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9"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2011</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41" w:lineRule="exact"/>
        <w:rPr>
          <w:sz w:val="24"/>
          <w:szCs w:val="24"/>
          <w:color w:val="auto"/>
        </w:rPr>
      </w:pPr>
    </w:p>
    <w:p>
      <w:pPr>
        <w:ind w:left="39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3954145</wp:posOffset>
            </wp:positionH>
            <wp:positionV relativeFrom="paragraph">
              <wp:posOffset>-10160</wp:posOffset>
            </wp:positionV>
            <wp:extent cx="8172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0-26224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INTEGRA LIFESCIENCES HOLDINGS CORPORATION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280" w:type="dxa"/>
        <w:tblCellMar>
          <w:top w:w="0" w:type="dxa"/>
          <w:left w:w="0" w:type="dxa"/>
          <w:bottom w:w="0" w:type="dxa"/>
          <w:right w:w="0" w:type="dxa"/>
        </w:tblCellMar>
      </w:tblPr>
      <w:tr>
        <w:trPr>
          <w:trHeight w:val="218"/>
        </w:trPr>
        <w:tc>
          <w:tcPr>
            <w:tcW w:w="4920" w:type="dxa"/>
            <w:vAlign w:val="bottom"/>
          </w:tcPr>
          <w:p>
            <w:pPr>
              <w:jc w:val="center"/>
              <w:ind w:right="1682"/>
              <w:spacing w:after="0"/>
              <w:rPr>
                <w:sz w:val="20"/>
                <w:szCs w:val="20"/>
                <w:color w:val="auto"/>
              </w:rPr>
            </w:pPr>
            <w:r>
              <w:rPr>
                <w:rFonts w:ascii="Arial" w:cs="Arial" w:eastAsia="Arial" w:hAnsi="Arial"/>
                <w:sz w:val="18"/>
                <w:szCs w:val="18"/>
                <w:b w:val="1"/>
                <w:bCs w:val="1"/>
                <w:color w:val="auto"/>
                <w:w w:val="96"/>
              </w:rPr>
              <w:t>DELAWARE</w:t>
            </w:r>
          </w:p>
        </w:tc>
        <w:tc>
          <w:tcPr>
            <w:tcW w:w="3220" w:type="dxa"/>
            <w:vAlign w:val="bottom"/>
          </w:tcPr>
          <w:p>
            <w:pPr>
              <w:jc w:val="right"/>
              <w:ind w:right="244"/>
              <w:spacing w:after="0"/>
              <w:rPr>
                <w:sz w:val="20"/>
                <w:szCs w:val="20"/>
                <w:color w:val="auto"/>
              </w:rPr>
            </w:pPr>
            <w:r>
              <w:rPr>
                <w:rFonts w:ascii="Arial" w:cs="Arial" w:eastAsia="Arial" w:hAnsi="Arial"/>
                <w:sz w:val="18"/>
                <w:szCs w:val="18"/>
                <w:b w:val="1"/>
                <w:bCs w:val="1"/>
                <w:color w:val="auto"/>
              </w:rPr>
              <w:t>51-0317849</w:t>
            </w:r>
          </w:p>
        </w:tc>
      </w:tr>
      <w:tr>
        <w:trPr>
          <w:trHeight w:val="149"/>
        </w:trPr>
        <w:tc>
          <w:tcPr>
            <w:tcW w:w="4920" w:type="dxa"/>
            <w:vAlign w:val="bottom"/>
          </w:tcPr>
          <w:p>
            <w:pPr>
              <w:jc w:val="center"/>
              <w:ind w:right="1662"/>
              <w:spacing w:after="0" w:line="149" w:lineRule="exact"/>
              <w:rPr>
                <w:sz w:val="20"/>
                <w:szCs w:val="20"/>
                <w:color w:val="auto"/>
              </w:rPr>
            </w:pPr>
            <w:r>
              <w:rPr>
                <w:rFonts w:ascii="Arial" w:cs="Arial" w:eastAsia="Arial" w:hAnsi="Arial"/>
                <w:sz w:val="14"/>
                <w:szCs w:val="14"/>
                <w:b w:val="1"/>
                <w:bCs w:val="1"/>
                <w:color w:val="auto"/>
                <w:w w:val="96"/>
              </w:rPr>
              <w:t>(STATE OR OTHER JURISDICTION OF</w:t>
            </w:r>
          </w:p>
        </w:tc>
        <w:tc>
          <w:tcPr>
            <w:tcW w:w="3220" w:type="dxa"/>
            <w:vAlign w:val="bottom"/>
          </w:tcPr>
          <w:p>
            <w:pPr>
              <w:jc w:val="center"/>
              <w:ind w:left="1684"/>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74"/>
        </w:trPr>
        <w:tc>
          <w:tcPr>
            <w:tcW w:w="4920" w:type="dxa"/>
            <w:vAlign w:val="bottom"/>
          </w:tcPr>
          <w:p>
            <w:pPr>
              <w:jc w:val="center"/>
              <w:ind w:right="1682"/>
              <w:spacing w:after="0"/>
              <w:rPr>
                <w:sz w:val="20"/>
                <w:szCs w:val="20"/>
                <w:color w:val="auto"/>
              </w:rPr>
            </w:pPr>
            <w:r>
              <w:rPr>
                <w:rFonts w:ascii="Arial" w:cs="Arial" w:eastAsia="Arial" w:hAnsi="Arial"/>
                <w:sz w:val="14"/>
                <w:szCs w:val="14"/>
                <w:b w:val="1"/>
                <w:bCs w:val="1"/>
                <w:color w:val="auto"/>
                <w:w w:val="98"/>
              </w:rPr>
              <w:t>INCORPORATION OR ORGANIZATION)</w:t>
            </w:r>
          </w:p>
        </w:tc>
        <w:tc>
          <w:tcPr>
            <w:tcW w:w="3220" w:type="dxa"/>
            <w:vAlign w:val="bottom"/>
          </w:tcPr>
          <w:p>
            <w:pPr>
              <w:jc w:val="center"/>
              <w:ind w:left="1684"/>
              <w:spacing w:after="0"/>
              <w:rPr>
                <w:sz w:val="20"/>
                <w:szCs w:val="20"/>
                <w:color w:val="auto"/>
              </w:rPr>
            </w:pPr>
            <w:r>
              <w:rPr>
                <w:rFonts w:ascii="Arial" w:cs="Arial" w:eastAsia="Arial" w:hAnsi="Arial"/>
                <w:sz w:val="14"/>
                <w:szCs w:val="14"/>
                <w:b w:val="1"/>
                <w:bCs w:val="1"/>
                <w:color w:val="auto"/>
              </w:rPr>
              <w:t>IDENTIFICATION NO.)</w:t>
            </w:r>
          </w:p>
        </w:tc>
      </w:tr>
      <w:tr>
        <w:trPr>
          <w:trHeight w:val="418"/>
        </w:trPr>
        <w:tc>
          <w:tcPr>
            <w:tcW w:w="4920" w:type="dxa"/>
            <w:vAlign w:val="bottom"/>
          </w:tcPr>
          <w:p>
            <w:pPr>
              <w:jc w:val="center"/>
              <w:ind w:right="1682"/>
              <w:spacing w:after="0"/>
              <w:rPr>
                <w:sz w:val="20"/>
                <w:szCs w:val="20"/>
                <w:color w:val="auto"/>
              </w:rPr>
            </w:pPr>
            <w:r>
              <w:rPr>
                <w:rFonts w:ascii="Arial" w:cs="Arial" w:eastAsia="Arial" w:hAnsi="Arial"/>
                <w:sz w:val="18"/>
                <w:szCs w:val="18"/>
                <w:b w:val="1"/>
                <w:bCs w:val="1"/>
                <w:color w:val="auto"/>
                <w:w w:val="97"/>
              </w:rPr>
              <w:t>311 ENTERPRISE DRIVE</w:t>
            </w:r>
          </w:p>
        </w:tc>
        <w:tc>
          <w:tcPr>
            <w:tcW w:w="3220" w:type="dxa"/>
            <w:vAlign w:val="bottom"/>
          </w:tcPr>
          <w:p>
            <w:pPr>
              <w:spacing w:after="0"/>
              <w:rPr>
                <w:sz w:val="24"/>
                <w:szCs w:val="24"/>
                <w:color w:val="auto"/>
              </w:rPr>
            </w:pPr>
          </w:p>
        </w:tc>
      </w:tr>
      <w:tr>
        <w:trPr>
          <w:trHeight w:val="231"/>
        </w:trPr>
        <w:tc>
          <w:tcPr>
            <w:tcW w:w="4920" w:type="dxa"/>
            <w:vAlign w:val="bottom"/>
          </w:tcPr>
          <w:p>
            <w:pPr>
              <w:jc w:val="center"/>
              <w:ind w:right="1662"/>
              <w:spacing w:after="0"/>
              <w:rPr>
                <w:sz w:val="20"/>
                <w:szCs w:val="20"/>
                <w:color w:val="auto"/>
              </w:rPr>
            </w:pPr>
            <w:r>
              <w:rPr>
                <w:rFonts w:ascii="Arial" w:cs="Arial" w:eastAsia="Arial" w:hAnsi="Arial"/>
                <w:sz w:val="18"/>
                <w:szCs w:val="18"/>
                <w:b w:val="1"/>
                <w:bCs w:val="1"/>
                <w:color w:val="auto"/>
                <w:w w:val="95"/>
              </w:rPr>
              <w:t>PLAINSBORO, NEW JERSEY</w:t>
            </w:r>
          </w:p>
        </w:tc>
        <w:tc>
          <w:tcPr>
            <w:tcW w:w="3220" w:type="dxa"/>
            <w:vAlign w:val="bottom"/>
          </w:tcPr>
          <w:p>
            <w:pPr>
              <w:jc w:val="right"/>
              <w:ind w:right="444"/>
              <w:spacing w:after="0"/>
              <w:rPr>
                <w:sz w:val="20"/>
                <w:szCs w:val="20"/>
                <w:color w:val="auto"/>
              </w:rPr>
            </w:pPr>
            <w:r>
              <w:rPr>
                <w:rFonts w:ascii="Arial" w:cs="Arial" w:eastAsia="Arial" w:hAnsi="Arial"/>
                <w:sz w:val="18"/>
                <w:szCs w:val="18"/>
                <w:b w:val="1"/>
                <w:bCs w:val="1"/>
                <w:color w:val="auto"/>
              </w:rPr>
              <w:t>08536</w:t>
            </w:r>
          </w:p>
        </w:tc>
      </w:tr>
      <w:tr>
        <w:trPr>
          <w:trHeight w:val="174"/>
        </w:trPr>
        <w:tc>
          <w:tcPr>
            <w:tcW w:w="4920" w:type="dxa"/>
            <w:vAlign w:val="bottom"/>
          </w:tcPr>
          <w:p>
            <w:pPr>
              <w:jc w:val="center"/>
              <w:ind w:right="1662"/>
              <w:spacing w:after="0"/>
              <w:rPr>
                <w:sz w:val="20"/>
                <w:szCs w:val="20"/>
                <w:color w:val="auto"/>
              </w:rPr>
            </w:pPr>
            <w:r>
              <w:rPr>
                <w:rFonts w:ascii="Arial" w:cs="Arial" w:eastAsia="Arial" w:hAnsi="Arial"/>
                <w:sz w:val="14"/>
                <w:szCs w:val="14"/>
                <w:b w:val="1"/>
                <w:bCs w:val="1"/>
                <w:color w:val="auto"/>
                <w:w w:val="96"/>
              </w:rPr>
              <w:t>(ADDRESS OF PRINCIPAL EXECUTIVE OFFICES)</w:t>
            </w:r>
          </w:p>
        </w:tc>
        <w:tc>
          <w:tcPr>
            <w:tcW w:w="3220" w:type="dxa"/>
            <w:vAlign w:val="bottom"/>
          </w:tcPr>
          <w:p>
            <w:pPr>
              <w:jc w:val="center"/>
              <w:ind w:left="1684"/>
              <w:spacing w:after="0"/>
              <w:rPr>
                <w:sz w:val="20"/>
                <w:szCs w:val="20"/>
                <w:color w:val="auto"/>
              </w:rPr>
            </w:pPr>
            <w:r>
              <w:rPr>
                <w:rFonts w:ascii="Arial" w:cs="Arial" w:eastAsia="Arial" w:hAnsi="Arial"/>
                <w:sz w:val="14"/>
                <w:szCs w:val="14"/>
                <w:b w:val="1"/>
                <w:bCs w:val="1"/>
                <w:color w:val="auto"/>
                <w:w w:val="98"/>
              </w:rPr>
              <w:t>(ZIP CODE)</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(609) 275-0500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jc w:val="both"/>
        <w:ind w:right="18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4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740" w:type="dxa"/>
            <w:vAlign w:val="bottom"/>
            <w:gridSpan w:val="2"/>
          </w:tcPr>
          <w:p>
            <w:pPr>
              <w:spacing w:after="0"/>
              <w:rPr>
                <w:sz w:val="20"/>
                <w:szCs w:val="20"/>
                <w:color w:val="auto"/>
              </w:rPr>
            </w:pPr>
            <w:r>
              <w:rPr>
                <w:rFonts w:ascii="Arial" w:cs="Arial" w:eastAsia="Arial" w:hAnsi="Arial"/>
                <w:sz w:val="18"/>
                <w:szCs w:val="18"/>
                <w:color w:val="auto"/>
                <w:w w:val="89"/>
              </w:rPr>
              <w:t>The number of shares of the registrant’s Common Stock, $0.01 par value, outstanding as of July 25, 2011 was 27,517,563.</w:t>
            </w:r>
          </w:p>
        </w:tc>
        <w:tc>
          <w:tcPr>
            <w:tcW w:w="22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4"/>
        </w:trPr>
        <w:tc>
          <w:tcPr>
            <w:tcW w:w="1760" w:type="dxa"/>
            <w:vAlign w:val="bottom"/>
            <w:tcBorders>
              <w:bottom w:val="single" w:sz="8" w:color="auto"/>
            </w:tcBorders>
          </w:tcPr>
          <w:p>
            <w:pPr>
              <w:spacing w:after="0"/>
              <w:rPr>
                <w:sz w:val="10"/>
                <w:szCs w:val="10"/>
                <w:color w:val="auto"/>
              </w:rPr>
            </w:pPr>
          </w:p>
        </w:tc>
        <w:tc>
          <w:tcPr>
            <w:tcW w:w="698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69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3"/>
              </w:rPr>
              <w:t>Page Number</w:t>
            </w:r>
          </w:p>
        </w:tc>
      </w:tr>
      <w:tr>
        <w:trPr>
          <w:trHeight w:val="264"/>
        </w:trPr>
        <w:tc>
          <w:tcPr>
            <w:tcW w:w="2820" w:type="dxa"/>
            <w:vAlign w:val="bottom"/>
            <w:tcBorders>
              <w:bottom w:val="single" w:sz="8" w:color="0000EE"/>
            </w:tcBorders>
            <w:gridSpan w:val="8"/>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7760" w:type="dxa"/>
            <w:vAlign w:val="bottom"/>
            <w:gridSpan w:val="7"/>
          </w:tcPr>
          <w:p>
            <w:pPr>
              <w:spacing w:after="0"/>
              <w:rPr>
                <w:sz w:val="22"/>
                <w:szCs w:val="22"/>
                <w:color w:val="auto"/>
              </w:rPr>
            </w:pPr>
          </w:p>
        </w:tc>
        <w:tc>
          <w:tcPr>
            <w:tcW w:w="740" w:type="dxa"/>
            <w:vAlign w:val="bottom"/>
          </w:tcPr>
          <w:p>
            <w:pPr>
              <w:spacing w:after="0"/>
              <w:rPr>
                <w:sz w:val="22"/>
                <w:szCs w:val="22"/>
                <w:color w:val="auto"/>
              </w:rPr>
            </w:pPr>
          </w:p>
        </w:tc>
      </w:tr>
      <w:tr>
        <w:trPr>
          <w:trHeight w:val="304"/>
        </w:trPr>
        <w:tc>
          <w:tcPr>
            <w:tcW w:w="202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Item 1. Financial Statements</w:t>
              </w:r>
            </w:hyperlink>
          </w:p>
        </w:tc>
        <w:tc>
          <w:tcPr>
            <w:tcW w:w="8560" w:type="dxa"/>
            <w:vAlign w:val="bottom"/>
            <w:gridSpan w:val="10"/>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870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Statements of Operations for the three and six months ended June 30, 2011 and 2010 (Unaudited)</w:t>
              </w:r>
            </w:hyperlink>
          </w:p>
        </w:tc>
        <w:tc>
          <w:tcPr>
            <w:tcW w:w="18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058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June 30, 2011 and December 31, 2010 (Unaudited)</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60" w:type="dxa"/>
            <w:vAlign w:val="bottom"/>
            <w:tcBorders>
              <w:right w:val="single" w:sz="8" w:color="0000EE"/>
            </w:tcBorders>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04"/>
        </w:trPr>
        <w:tc>
          <w:tcPr>
            <w:tcW w:w="806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Statements of Cash Flows for the six months ended June 30, 2011 and 2010 (Unaudited)</w:t>
              </w:r>
            </w:hyperlink>
          </w:p>
        </w:tc>
        <w:tc>
          <w:tcPr>
            <w:tcW w:w="2520" w:type="dxa"/>
            <w:vAlign w:val="bottom"/>
            <w:gridSpan w:val="2"/>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468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Notes to Unaudited Condensed Consolidated Financial Statements</w:t>
              </w:r>
            </w:hyperlink>
          </w:p>
        </w:tc>
        <w:tc>
          <w:tcPr>
            <w:tcW w:w="5900" w:type="dxa"/>
            <w:vAlign w:val="bottom"/>
            <w:gridSpan w:val="6"/>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10580" w:type="dxa"/>
            <w:vAlign w:val="bottom"/>
            <w:gridSpan w:val="15"/>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Item 2. Management’s Discussion and Analysis of Financial Condition and Results of Operations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48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3. Quantitative and Qualitative Disclosures About Market Risk</w:t>
              </w:r>
            </w:hyperlink>
          </w:p>
        </w:tc>
        <w:tc>
          <w:tcPr>
            <w:tcW w:w="2060" w:type="dxa"/>
            <w:vAlign w:val="bottom"/>
            <w:tcBorders>
              <w:top w:val="single" w:sz="8" w:color="0000EE"/>
            </w:tcBorders>
          </w:tcPr>
          <w:p>
            <w:pPr>
              <w:spacing w:after="0"/>
              <w:rPr>
                <w:sz w:val="24"/>
                <w:szCs w:val="24"/>
                <w:color w:val="auto"/>
              </w:rPr>
            </w:pPr>
          </w:p>
        </w:tc>
        <w:tc>
          <w:tcPr>
            <w:tcW w:w="3700" w:type="dxa"/>
            <w:vAlign w:val="bottom"/>
            <w:gridSpan w:val="3"/>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228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29">
              <w:r>
                <w:rPr>
                  <w:rFonts w:ascii="Arial" w:cs="Arial" w:eastAsia="Arial" w:hAnsi="Arial"/>
                  <w:sz w:val="18"/>
                  <w:szCs w:val="18"/>
                  <w:color w:val="0000EE"/>
                  <w:w w:val="87"/>
                </w:rPr>
                <w:t>Item 4. Controls and Procedures</w:t>
              </w:r>
            </w:hyperlink>
          </w:p>
        </w:tc>
        <w:tc>
          <w:tcPr>
            <w:tcW w:w="8300" w:type="dxa"/>
            <w:vAlign w:val="bottom"/>
            <w:gridSpan w:val="9"/>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252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30">
              <w:r>
                <w:rPr>
                  <w:rFonts w:ascii="Arial" w:cs="Arial" w:eastAsia="Arial" w:hAnsi="Arial"/>
                  <w:sz w:val="18"/>
                  <w:szCs w:val="18"/>
                  <w:color w:val="0000EE"/>
                  <w:w w:val="93"/>
                </w:rPr>
                <w:t>PART II. OTHER INFORMATION</w:t>
              </w:r>
            </w:hyperlink>
          </w:p>
        </w:tc>
        <w:tc>
          <w:tcPr>
            <w:tcW w:w="8060" w:type="dxa"/>
            <w:vAlign w:val="bottom"/>
            <w:gridSpan w:val="8"/>
          </w:tcPr>
          <w:p>
            <w:pPr>
              <w:spacing w:after="0"/>
              <w:rPr>
                <w:sz w:val="24"/>
                <w:szCs w:val="24"/>
                <w:color w:val="auto"/>
              </w:rPr>
            </w:pPr>
          </w:p>
        </w:tc>
        <w:tc>
          <w:tcPr>
            <w:tcW w:w="740" w:type="dxa"/>
            <w:vAlign w:val="bottom"/>
          </w:tcPr>
          <w:p>
            <w:pPr>
              <w:spacing w:after="0"/>
              <w:rPr>
                <w:sz w:val="24"/>
                <w:szCs w:val="24"/>
                <w:color w:val="auto"/>
              </w:rPr>
            </w:pPr>
          </w:p>
        </w:tc>
      </w:tr>
      <w:tr>
        <w:trPr>
          <w:trHeight w:val="304"/>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Item 1.</w:t>
              </w:r>
            </w:hyperlink>
          </w:p>
        </w:tc>
        <w:tc>
          <w:tcPr>
            <w:tcW w:w="1340" w:type="dxa"/>
            <w:vAlign w:val="bottom"/>
            <w:tcBorders>
              <w:bottom w:val="single" w:sz="8" w:color="0000EE"/>
            </w:tcBorders>
            <w:gridSpan w:val="3"/>
          </w:tcPr>
          <w:p>
            <w:pPr>
              <w:ind w:left="20"/>
              <w:spacing w:after="0"/>
              <w:rPr>
                <w:rFonts w:ascii="Arial" w:cs="Arial" w:eastAsia="Arial" w:hAnsi="Arial"/>
                <w:sz w:val="18"/>
                <w:szCs w:val="18"/>
                <w:color w:val="0000EE"/>
                <w:w w:val="87"/>
              </w:rPr>
            </w:pPr>
            <w:hyperlink w:anchor="page30">
              <w:r>
                <w:rPr>
                  <w:rFonts w:ascii="Arial" w:cs="Arial" w:eastAsia="Arial" w:hAnsi="Arial"/>
                  <w:sz w:val="18"/>
                  <w:szCs w:val="18"/>
                  <w:color w:val="0000EE"/>
                  <w:w w:val="87"/>
                </w:rPr>
                <w:t>Legal Proceedings</w:t>
              </w:r>
            </w:hyperlink>
          </w:p>
        </w:tc>
        <w:tc>
          <w:tcPr>
            <w:tcW w:w="8720" w:type="dxa"/>
            <w:vAlign w:val="bottom"/>
            <w:gridSpan w:val="11"/>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156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Item 1A. Risk Factors</w:t>
              </w:r>
            </w:hyperlink>
          </w:p>
        </w:tc>
        <w:tc>
          <w:tcPr>
            <w:tcW w:w="9020" w:type="dxa"/>
            <w:vAlign w:val="bottom"/>
            <w:gridSpan w:val="12"/>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Item 2.</w:t>
              </w:r>
            </w:hyperlink>
          </w:p>
        </w:tc>
        <w:tc>
          <w:tcPr>
            <w:tcW w:w="4280" w:type="dxa"/>
            <w:vAlign w:val="bottom"/>
            <w:tcBorders>
              <w:bottom w:val="single" w:sz="8" w:color="0000EE"/>
            </w:tcBorders>
            <w:gridSpan w:val="9"/>
          </w:tcPr>
          <w:p>
            <w:pPr>
              <w:ind w:left="20"/>
              <w:spacing w:after="0"/>
              <w:rPr>
                <w:rFonts w:ascii="Arial" w:cs="Arial" w:eastAsia="Arial" w:hAnsi="Arial"/>
                <w:sz w:val="18"/>
                <w:szCs w:val="18"/>
                <w:color w:val="0000EE"/>
                <w:w w:val="87"/>
              </w:rPr>
            </w:pPr>
            <w:hyperlink w:anchor="page30">
              <w:r>
                <w:rPr>
                  <w:rFonts w:ascii="Arial" w:cs="Arial" w:eastAsia="Arial" w:hAnsi="Arial"/>
                  <w:sz w:val="18"/>
                  <w:szCs w:val="18"/>
                  <w:color w:val="0000EE"/>
                  <w:w w:val="87"/>
                </w:rPr>
                <w:t>Unregistered Sales of Equity Securities and Use of Proceeds</w:t>
              </w:r>
            </w:hyperlink>
          </w:p>
        </w:tc>
        <w:tc>
          <w:tcPr>
            <w:tcW w:w="5780" w:type="dxa"/>
            <w:vAlign w:val="bottom"/>
            <w:gridSpan w:val="5"/>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43"/>
        </w:trPr>
        <w:tc>
          <w:tcPr>
            <w:tcW w:w="520" w:type="dxa"/>
            <w:vAlign w:val="bottom"/>
          </w:tcPr>
          <w:p>
            <w:pPr>
              <w:spacing w:after="0"/>
              <w:rPr>
                <w:sz w:val="20"/>
                <w:szCs w:val="20"/>
                <w:color w:val="auto"/>
              </w:rPr>
            </w:pPr>
            <w:r>
              <w:rPr>
                <w:rFonts w:ascii="Arial" w:cs="Arial" w:eastAsia="Arial" w:hAnsi="Arial"/>
                <w:sz w:val="18"/>
                <w:szCs w:val="18"/>
                <w:color w:val="auto"/>
                <w:w w:val="90"/>
              </w:rPr>
              <w:t>Item 4.</w:t>
            </w:r>
          </w:p>
        </w:tc>
        <w:tc>
          <w:tcPr>
            <w:tcW w:w="10060" w:type="dxa"/>
            <w:vAlign w:val="bottom"/>
            <w:gridSpan w:val="14"/>
          </w:tcPr>
          <w:p>
            <w:pPr>
              <w:ind w:left="20"/>
              <w:spacing w:after="0"/>
              <w:rPr>
                <w:sz w:val="20"/>
                <w:szCs w:val="20"/>
                <w:color w:val="auto"/>
              </w:rPr>
            </w:pPr>
            <w:r>
              <w:rPr>
                <w:rFonts w:ascii="Arial" w:cs="Arial" w:eastAsia="Arial" w:hAnsi="Arial"/>
                <w:sz w:val="18"/>
                <w:szCs w:val="18"/>
                <w:color w:val="auto"/>
              </w:rPr>
              <w:t>Reserved and Removed</w:t>
            </w:r>
          </w:p>
        </w:tc>
        <w:tc>
          <w:tcPr>
            <w:tcW w:w="740" w:type="dxa"/>
            <w:vAlign w:val="bottom"/>
          </w:tcPr>
          <w:p>
            <w:pPr>
              <w:spacing w:after="0"/>
              <w:rPr>
                <w:sz w:val="24"/>
                <w:szCs w:val="24"/>
                <w:color w:val="auto"/>
              </w:rPr>
            </w:pPr>
          </w:p>
        </w:tc>
      </w:tr>
      <w:tr>
        <w:trPr>
          <w:trHeight w:val="286"/>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Item 6.</w:t>
              </w:r>
            </w:hyperlink>
          </w:p>
        </w:tc>
        <w:tc>
          <w:tcPr>
            <w:tcW w:w="620" w:type="dxa"/>
            <w:vAlign w:val="bottom"/>
            <w:tcBorders>
              <w:bottom w:val="single" w:sz="8" w:color="0000EE"/>
            </w:tcBorders>
          </w:tcPr>
          <w:p>
            <w:pPr>
              <w:ind w:left="20"/>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Exhibits</w:t>
              </w:r>
            </w:hyperlink>
          </w:p>
        </w:tc>
        <w:tc>
          <w:tcPr>
            <w:tcW w:w="9440" w:type="dxa"/>
            <w:vAlign w:val="bottom"/>
            <w:gridSpan w:val="13"/>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w:t>
            </w:r>
          </w:p>
        </w:tc>
      </w:tr>
    </w:tbl>
    <w:p>
      <w:pPr>
        <w:spacing w:after="0" w:line="127" w:lineRule="exact"/>
        <w:rPr>
          <w:sz w:val="20"/>
          <w:szCs w:val="20"/>
          <w:color w:val="auto"/>
        </w:rPr>
      </w:pPr>
    </w:p>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SIGNATURES</w:t>
        </w:r>
      </w:hyperlink>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EE"/>
        </w:rPr>
        <w:t>Exhibit 4.3</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EE"/>
        </w:rPr>
        <w:t>Exhibit 10.3</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EE"/>
        </w:rPr>
        <w:t>Exhibit 10.4</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EE"/>
        </w:rPr>
        <w:t>Exhibit 10.5</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EE"/>
        </w:rPr>
        <w:t>Exhibit 10.6</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EE"/>
        </w:rPr>
        <w:t>Exhibit 31.1</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EE"/>
        </w:rPr>
        <w:t>Exhibit 31.2</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EE"/>
        </w:rPr>
        <w:t>Exhibit 32.1</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EE"/>
        </w:rPr>
        <w:t>Exhibit 32.2</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EX-101 INSTANCE DOCUMENT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EX-101 SCHEMA DOCUMENT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EX-101 CALCULATION LINKBASE DOCUMENT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EX-101 DEFINITION LINKBASE DOCUMENT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EX-101 LABELS LINKBASE DOCUMENT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EX-101 PRESENTATION LINKBASE DOCUMENT</w:t>
      </w:r>
    </w:p>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87"/>
              </w:rPr>
              <w:t>Three Months Ended June 30,</w:t>
            </w:r>
          </w:p>
        </w:tc>
        <w:tc>
          <w:tcPr>
            <w:tcW w:w="186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1"/>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193,329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178,595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374,370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351,293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Costs and Expenses: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72,838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64,464</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137,759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127,688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12,709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11,761</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24,862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95,732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74,216</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175,816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146,727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Intangible asset amortization</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4,050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3,575</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6,594</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costs and expenses</w:t>
            </w: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185,329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154,016</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345,498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304,071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73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8,000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24,579</w:t>
            </w: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28,872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47,222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(6,722)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(4,300)</w:t>
            </w: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(12,191)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(8,841)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1,909</w:t>
            </w:r>
          </w:p>
        </w:tc>
        <w:tc>
          <w:tcPr>
            <w:tcW w:w="0" w:type="dxa"/>
            <w:vAlign w:val="bottom"/>
          </w:tcPr>
          <w:p>
            <w:pPr>
              <w:spacing w:after="0"/>
              <w:rPr>
                <w:sz w:val="1"/>
                <w:szCs w:val="1"/>
                <w:color w:val="auto"/>
              </w:rPr>
            </w:pPr>
          </w:p>
        </w:tc>
      </w:tr>
      <w:tr>
        <w:trPr>
          <w:trHeight w:val="329"/>
        </w:trPr>
        <w:tc>
          <w:tcPr>
            <w:tcW w:w="73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1,998</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21,094</w:t>
            </w: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16,831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40,403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5,937</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73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699</w:t>
            </w:r>
          </w:p>
        </w:tc>
        <w:tc>
          <w:tcPr>
            <w:tcW w:w="20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15,157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12,186</w:t>
            </w:r>
          </w:p>
        </w:tc>
        <w:tc>
          <w:tcPr>
            <w:tcW w:w="18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30,379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Diluted net income per common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0.02</w:t>
            </w:r>
          </w:p>
        </w:tc>
        <w:tc>
          <w:tcPr>
            <w:tcW w:w="2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0.50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0.40</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(See Note 11):</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29,556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29,855</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29,559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29,672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30,178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30,399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30,154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30,282</w:t>
            </w:r>
          </w:p>
        </w:tc>
        <w:tc>
          <w:tcPr>
            <w:tcW w:w="0" w:type="dxa"/>
            <w:vAlign w:val="bottom"/>
          </w:tcPr>
          <w:p>
            <w:pPr>
              <w:spacing w:after="0"/>
              <w:rPr>
                <w:sz w:val="1"/>
                <w:szCs w:val="1"/>
                <w:color w:val="auto"/>
              </w:rPr>
            </w:pPr>
          </w:p>
        </w:tc>
      </w:tr>
    </w:tbl>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6"/>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137,279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Trade accounts receivable, net of allowances of $6,825 and $7,322</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116,179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106,005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net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174,460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Deferred tax assets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35,072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35,284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32,794</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495,784</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444,849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plant and equipment, net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115,667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Intangible assets, net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230,935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194,904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285,376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Deferred tax assets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12,464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13,630</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4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1,153,856</w:t>
            </w:r>
          </w:p>
        </w:tc>
        <w:tc>
          <w:tcPr>
            <w:tcW w:w="32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1,019,133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Borrowings under senior credit facility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Accounts payable, trade</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47,894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Accrued compensation</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25,063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41,684</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118,008</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201,857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borrowings under senior credit facility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144,375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Long-term convertible securities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345,687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155,154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liabilities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Other liabilities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16,652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11,826</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3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635,039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519,170</w:t>
            </w:r>
          </w:p>
        </w:tc>
        <w:tc>
          <w:tcPr>
            <w:tcW w:w="0" w:type="dxa"/>
            <w:vAlign w:val="bottom"/>
          </w:tcPr>
          <w:p>
            <w:pPr>
              <w:spacing w:after="0"/>
              <w:rPr>
                <w:sz w:val="1"/>
                <w:szCs w:val="1"/>
                <w:color w:val="auto"/>
              </w:rPr>
            </w:pPr>
          </w:p>
        </w:tc>
      </w:tr>
      <w:tr>
        <w:trPr>
          <w:trHeight w:val="329"/>
        </w:trPr>
        <w:tc>
          <w:tcPr>
            <w:tcW w:w="940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Preferred Stock; no par value; 15,000 authorized shares; none outstanding</w:t>
            </w:r>
          </w:p>
        </w:tc>
        <w:tc>
          <w:tcPr>
            <w:tcW w:w="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Common stock; $0.01 par value; 60,000 authorized shares; 35,860 and 35,745 issued at June 30, 2011 and December 31,</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2010, respectively</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598,249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552,227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 at cost; 8,425 shares and 7,212 shares at June 30, 2011 and December 31, 2010, respectively</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(340,667)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(283,658)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Accumulated other comprehensive (loss) income:</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Pension liability adjustment, net of tax</w:t>
            </w: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(586)</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loss on derivatives, net of tax</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245,018</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232,830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518,817</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499,963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40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1,153,856</w:t>
            </w:r>
          </w:p>
        </w:tc>
        <w:tc>
          <w:tcPr>
            <w:tcW w:w="32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1,019,133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86"/>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0" w:type="dxa"/>
            <w:vAlign w:val="bottom"/>
            <w:tcBorders>
              <w:bottom w:val="single" w:sz="8" w:color="CCEEFF"/>
            </w:tcBorders>
          </w:tcPr>
          <w:p>
            <w:pPr>
              <w:spacing w:after="0"/>
              <w:rPr>
                <w:sz w:val="12"/>
                <w:szCs w:val="12"/>
                <w:color w:val="auto"/>
              </w:rPr>
            </w:pPr>
          </w:p>
        </w:tc>
        <w:tc>
          <w:tcPr>
            <w:tcW w:w="19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Net income</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12,186</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24,451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 benefit</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(5,209)</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Amortization of debt issuance costs</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1,838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Non-cash interest expense</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Payment of accreted interest</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disposal of property and equipment</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Share-based compensation</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15,863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benefits from stock-based compensation arrangements</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(778)</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Changes in assets and liabilities, net of business acquisitions:</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(701)</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(9,550)</w:t>
            </w: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Other non-current assets</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accrued expenses and other current liabilities</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(1,108)</w:t>
            </w: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non-current liabilities</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330"/>
        </w:trPr>
        <w:tc>
          <w:tcPr>
            <w:tcW w:w="762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94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45,838</w:t>
            </w:r>
          </w:p>
        </w:tc>
        <w:tc>
          <w:tcPr>
            <w:tcW w:w="32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47,495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6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Cash used in business acquisition, net of cash acquired</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(80,799)</w:t>
            </w: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(13,138)</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(11,691)</w:t>
            </w:r>
          </w:p>
        </w:tc>
        <w:tc>
          <w:tcPr>
            <w:tcW w:w="0" w:type="dxa"/>
            <w:vAlign w:val="bottom"/>
          </w:tcPr>
          <w:p>
            <w:pPr>
              <w:spacing w:after="0"/>
              <w:rPr>
                <w:sz w:val="1"/>
                <w:szCs w:val="1"/>
                <w:color w:val="auto"/>
              </w:rPr>
            </w:pPr>
          </w:p>
        </w:tc>
      </w:tr>
      <w:tr>
        <w:trPr>
          <w:trHeight w:val="20"/>
        </w:trPr>
        <w:tc>
          <w:tcPr>
            <w:tcW w:w="762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762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(93,937)</w:t>
            </w:r>
          </w:p>
        </w:tc>
        <w:tc>
          <w:tcPr>
            <w:tcW w:w="12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(14,112)</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6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Borrowings under senior credit facility</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Repayments under senior credit facility</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(188,750)</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Proceeds from liability component of convertible notes issuance</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186,830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equity component of convertible notes issuance</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43,170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Repurchase of liability component of convertible notes</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(71,351)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stock purchase warrants</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Purchase of option hedge on convertible notes</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(42,895)</w:t>
            </w: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(8,005)</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Purchases of treasury stock</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(57,009)</w:t>
            </w: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exercised stock options</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Excess tax benefits from stock-based compensation arrangements</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3,474</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6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50,867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(3,244)</w:t>
            </w:r>
          </w:p>
        </w:tc>
        <w:tc>
          <w:tcPr>
            <w:tcW w:w="0" w:type="dxa"/>
            <w:vAlign w:val="bottom"/>
          </w:tcPr>
          <w:p>
            <w:pPr>
              <w:spacing w:after="0"/>
              <w:rPr>
                <w:sz w:val="1"/>
                <w:szCs w:val="1"/>
                <w:color w:val="auto"/>
              </w:rPr>
            </w:pPr>
          </w:p>
        </w:tc>
      </w:tr>
      <w:tr>
        <w:trPr>
          <w:trHeight w:val="20"/>
        </w:trPr>
        <w:tc>
          <w:tcPr>
            <w:tcW w:w="762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762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5,748</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(8,412)</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6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9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128,763</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137,279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93,618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59" w:lineRule="exact"/>
        <w:rPr>
          <w:sz w:val="20"/>
          <w:szCs w:val="20"/>
          <w:color w:val="auto"/>
        </w:rPr>
      </w:pPr>
    </w:p>
    <w:p>
      <w:pPr>
        <w:ind w:right="9040" w:firstLine="8"/>
        <w:spacing w:after="0" w:line="347" w:lineRule="auto"/>
        <w:tabs>
          <w:tab w:leader="none" w:pos="17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General</w:t>
      </w:r>
    </w:p>
    <w:p>
      <w:pPr>
        <w:spacing w:after="0" w:line="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terms “we,” “our,” “us,” “Company” and “Integra” refer to Integra LifeSciences Holdings Corporation, a Delaware corporation, and its subsidiaries unless the context suggests otherwise.</w:t>
      </w:r>
    </w:p>
    <w:p>
      <w:pPr>
        <w:spacing w:after="0" w:line="13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the opinion of management, the June 30, 2011 unaudited condensed consolidated financial statements contain all adjustments (consisting only of normal recurring adjustments) necessary for a fair statement of the financial position, results of operations and cash flows of the Company. Certain information and footnote disclosures normally included in financial statements prepared in accordance with generally accepted accounting principles have been condensed or omitted in accordance with the instructions to Form 10-Q and Rule 10-01 of Regulation S-X. These unaudited condensed consolidated financial statements should be read in conjunction with the Company’s consolidated financial statements for the year ended December 31, 2010 included in the Company’s Annual Report on Form 10-K. The December 31, 2010 condensed consolidated balance sheet was derived from audited financial statements but does not include all disclosures required by accounting principles generally accepted in the United States. Operating results for the three- and six-month periods ended June 30, 2011 are not necessarily indicative of the results to be expected for the entire year.</w:t>
      </w:r>
    </w:p>
    <w:p>
      <w:pPr>
        <w:spacing w:after="0" w:line="118"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color w:val="auto"/>
        </w:rPr>
        <w:t>The preparation of consolidated financial statements in conformity with generally accepted accounting principles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valuation of intangible assets including in-process research and development, amortization periods for acquired intangible assets, discount rates and estimated projected cash flows used to value and test impairments of long-lived assets and goodwill, estimates of projected cash flows and depreciation and amortization periods for long-lived assets, computation of taxes, valuation allowances recorded against deferred tax assets, the valuation of stock-based compensation, valuation of pension assets and liabilities, valuation of derivative instruments, valuation of the equity component of convertible debt instruments, and loss contingencies. These estimates are based on historical experience and on various other assumptions that are believed to be reasonable under the current circumstances. Actual results could differ from these estimates.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from the prior year’s financial statements have been reclassified in order to conform to the current year’s presentation.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90"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 xml:space="preserve">On June 16, 2011 the Financial Accounting Standards Board issued </w:t>
      </w:r>
      <w:r>
        <w:rPr>
          <w:rFonts w:ascii="Arial" w:cs="Arial" w:eastAsia="Arial" w:hAnsi="Arial"/>
          <w:sz w:val="16"/>
          <w:szCs w:val="16"/>
          <w:i w:val="1"/>
          <w:iCs w:val="1"/>
          <w:color w:val="auto"/>
        </w:rPr>
        <w:t>Accounting Standards Update No. 2011-05, Presentation of Comprehensive Income</w:t>
      </w:r>
      <w:r>
        <w:rPr>
          <w:rFonts w:ascii="Arial" w:cs="Arial" w:eastAsia="Arial" w:hAnsi="Arial"/>
          <w:sz w:val="16"/>
          <w:szCs w:val="16"/>
          <w:color w:val="auto"/>
        </w:rPr>
        <w:t>; this standard eliminates the option to report other comprehensive income and its components in the statement of changes in equity. The Company can elect to present items of net income and other comprehensive income in one continuous statement, or in two consecutive statements. Each component of net income and each component of other comprehensive income, together with totals for comprehensive income and its two parts – net income and other comprehensive income – would need to be displayed under either alternative, and the statements would need to be presented with equal prominence as the other primary financial statements. This standard does not change: 1) the items that constitute net income and other comprehensive income, 2) when an item of other comprehensive income must be reclassified to net income, or 3) the computation for earnings-per-share - which will continue to be based on net income. This standard is effective for fiscal years beginning after December 15, 2011, and the Company has not yet determined which method it will elect upon adoption.</w:t>
      </w:r>
    </w:p>
    <w:p>
      <w:pPr>
        <w:spacing w:after="0" w:line="118" w:lineRule="exact"/>
        <w:rPr>
          <w:sz w:val="20"/>
          <w:szCs w:val="20"/>
          <w:color w:val="auto"/>
        </w:rPr>
      </w:pPr>
    </w:p>
    <w:p>
      <w:pPr>
        <w:ind w:right="180"/>
        <w:spacing w:after="0" w:line="314" w:lineRule="auto"/>
        <w:rPr>
          <w:sz w:val="20"/>
          <w:szCs w:val="20"/>
          <w:color w:val="auto"/>
        </w:rPr>
      </w:pPr>
      <w:r>
        <w:rPr>
          <w:rFonts w:ascii="Arial" w:cs="Arial" w:eastAsia="Arial" w:hAnsi="Arial"/>
          <w:sz w:val="15"/>
          <w:szCs w:val="15"/>
          <w:color w:val="auto"/>
        </w:rPr>
        <w:t xml:space="preserve">On May 12, 2011 the Financial Accounting Standards Board issued </w:t>
      </w:r>
      <w:r>
        <w:rPr>
          <w:rFonts w:ascii="Arial" w:cs="Arial" w:eastAsia="Arial" w:hAnsi="Arial"/>
          <w:sz w:val="15"/>
          <w:szCs w:val="15"/>
          <w:i w:val="1"/>
          <w:iCs w:val="1"/>
          <w:color w:val="auto"/>
        </w:rPr>
        <w:t>Accounting Standards Update No. 2011-04 - Fair Value Measurement (Topic 820):</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Amendments to Achieve Common Fair Value Measurement and Disclosure Requirements in U.S. GAAP and IFRS. </w:t>
      </w:r>
      <w:r>
        <w:rPr>
          <w:rFonts w:ascii="Arial" w:cs="Arial" w:eastAsia="Arial" w:hAnsi="Arial"/>
          <w:sz w:val="15"/>
          <w:szCs w:val="15"/>
          <w:color w:val="auto"/>
        </w:rPr>
        <w:t>This standard merges many aspects of fair</w:t>
      </w:r>
      <w:r>
        <w:rPr>
          <w:rFonts w:ascii="Arial" w:cs="Arial" w:eastAsia="Arial" w:hAnsi="Arial"/>
          <w:sz w:val="15"/>
          <w:szCs w:val="15"/>
          <w:i w:val="1"/>
          <w:iCs w:val="1"/>
          <w:color w:val="auto"/>
        </w:rPr>
        <w:t xml:space="preserve"> </w:t>
      </w:r>
      <w:r>
        <w:rPr>
          <w:rFonts w:ascii="Arial" w:cs="Arial" w:eastAsia="Arial" w:hAnsi="Arial"/>
          <w:sz w:val="15"/>
          <w:szCs w:val="15"/>
          <w:color w:val="auto"/>
        </w:rPr>
        <w:t>value measurement guidance by amending U.S. GAAP and creating a new standard under International Financial Reporting Standards. The primary changes to U.S. GAAP include: 1) clarifying the valuation premise of highest and best use, 2) clarifying how portfolios of financial instruments are measured, 3) clarifying the use of blockage factors and other premiums and discounts, and 4) increasing the disclosure requirements in a number of circumstances. This standard is effective for fiscal years beginning after December 15, 2011, and the Company believes the standard will not have a material impact on the Company’s results.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Supplemental Cash Flow Information</w:t>
      </w:r>
    </w:p>
    <w:p>
      <w:pPr>
        <w:spacing w:after="0" w:line="90" w:lineRule="exact"/>
        <w:rPr>
          <w:sz w:val="20"/>
          <w:szCs w:val="20"/>
          <w:color w:val="auto"/>
        </w:rPr>
      </w:pPr>
    </w:p>
    <w:p>
      <w:pPr>
        <w:ind w:right="380"/>
        <w:spacing w:after="0" w:line="370" w:lineRule="auto"/>
        <w:rPr>
          <w:sz w:val="20"/>
          <w:szCs w:val="20"/>
          <w:color w:val="auto"/>
        </w:rPr>
      </w:pPr>
      <w:r>
        <w:rPr>
          <w:rFonts w:ascii="Arial" w:cs="Arial" w:eastAsia="Arial" w:hAnsi="Arial"/>
          <w:sz w:val="15"/>
          <w:szCs w:val="15"/>
          <w:color w:val="auto"/>
        </w:rPr>
        <w:t>During the six months ended June 30, 2010, 282,086 stock options were exercised, whereby in lieu of a cash payment for the exercise price, an option holder tendered 73,546 shares of Company stock that had a fair market value of approximately $3.1 million. These tendered shares were then immediately retired.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9020" w:firstLine="8"/>
        <w:spacing w:after="0" w:line="391" w:lineRule="auto"/>
        <w:tabs>
          <w:tab w:leader="none" w:pos="176"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BUSINESS ACQUISITIONS </w:t>
      </w:r>
      <w:r>
        <w:rPr>
          <w:rFonts w:ascii="Arial" w:cs="Arial" w:eastAsia="Arial" w:hAnsi="Arial"/>
          <w:sz w:val="16"/>
          <w:szCs w:val="16"/>
          <w:u w:val="single" w:color="auto"/>
          <w:color w:val="auto"/>
        </w:rPr>
        <w:t>SeaSpine, Inc.</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May 23, 2011, the Company acquired all of the outstanding common stock of SeaSpine, Inc. (“SeaSpine”) for $89.0 million, subject to certain working capital adjustments and indemnification holdbacks totaling $8.0 million which have been accrued at June 30, 2011. SeaSpine is based in Vista, California and designs, develops and manufactures spinal fixation products and synthetic bone substitute products.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summarizes the allocation of the purchase price based on fair value of the assets acquired and liabilities assumed (in thousands):</w:t>
      </w:r>
    </w:p>
    <w:p>
      <w:pPr>
        <w:spacing w:after="0" w:line="243"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Inventory</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14,900</w:t>
            </w: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7,608</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Other current assets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623</w:t>
            </w: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9,177</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Deferred tax asset—long term</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302</w:t>
            </w: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45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Intangible assets:</w:t>
            </w: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9"/>
              </w:rPr>
              <w:t>Wtd. Avg. Life:</w:t>
            </w:r>
          </w:p>
        </w:tc>
      </w:tr>
      <w:tr>
        <w:trPr>
          <w:trHeight w:val="216"/>
        </w:trPr>
        <w:tc>
          <w:tcPr>
            <w:tcW w:w="20" w:type="dxa"/>
            <w:vAlign w:val="bottom"/>
          </w:tcPr>
          <w:p>
            <w:pPr>
              <w:spacing w:after="0"/>
              <w:rPr>
                <w:sz w:val="18"/>
                <w:szCs w:val="18"/>
                <w:color w:val="auto"/>
              </w:rPr>
            </w:pPr>
          </w:p>
        </w:tc>
        <w:tc>
          <w:tcPr>
            <w:tcW w:w="4540" w:type="dxa"/>
            <w:vAlign w:val="bottom"/>
            <w:tcBorders>
              <w:top w:val="single" w:sz="8" w:color="CCEEFF"/>
            </w:tcBorders>
          </w:tcPr>
          <w:p>
            <w:pPr>
              <w:ind w:left="420"/>
              <w:spacing w:after="0"/>
              <w:rPr>
                <w:sz w:val="20"/>
                <w:szCs w:val="20"/>
                <w:color w:val="auto"/>
              </w:rPr>
            </w:pPr>
            <w:r>
              <w:rPr>
                <w:rFonts w:ascii="Arial" w:cs="Arial" w:eastAsia="Arial" w:hAnsi="Arial"/>
                <w:sz w:val="18"/>
                <w:szCs w:val="18"/>
                <w:color w:val="auto"/>
              </w:rPr>
              <w:t>Technology</w:t>
            </w:r>
          </w:p>
        </w:tc>
        <w:tc>
          <w:tcPr>
            <w:tcW w:w="1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3,000</w:t>
            </w:r>
          </w:p>
        </w:tc>
        <w:tc>
          <w:tcPr>
            <w:tcW w:w="4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8 years</w:t>
            </w:r>
          </w:p>
        </w:tc>
        <w:tc>
          <w:tcPr>
            <w:tcW w:w="8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relationships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41,200</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13 years</w:t>
            </w:r>
          </w:p>
        </w:tc>
      </w:tr>
      <w:tr>
        <w:trPr>
          <w:trHeight w:val="216"/>
        </w:trPr>
        <w:tc>
          <w:tcPr>
            <w:tcW w:w="20" w:type="dxa"/>
            <w:vAlign w:val="bottom"/>
          </w:tcPr>
          <w:p>
            <w:pPr>
              <w:spacing w:after="0"/>
              <w:rPr>
                <w:sz w:val="18"/>
                <w:szCs w:val="18"/>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Non-compete agreements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1,900</w:t>
            </w:r>
          </w:p>
        </w:tc>
        <w:tc>
          <w:tcPr>
            <w:tcW w:w="42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4 years</w:t>
            </w: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Brand name</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 year</w:t>
            </w:r>
          </w:p>
        </w:tc>
      </w:tr>
      <w:tr>
        <w:trPr>
          <w:trHeight w:val="223"/>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Goodwill</w:t>
            </w:r>
          </w:p>
        </w:tc>
        <w:tc>
          <w:tcPr>
            <w:tcW w:w="19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14,897</w:t>
            </w: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 acquired</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94,108</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Accounts payable and other liabilities</w:t>
            </w:r>
          </w:p>
        </w:tc>
        <w:tc>
          <w:tcPr>
            <w:tcW w:w="19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5,108</w:t>
            </w: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2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89,000</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Management determined the fair value of assets acquired during the second quarter of 2011. The goodwill recorded in connection with this acquisition is based on the benefits the Company expects to generate from SeaSpine’s future cash flows. For tax purposes, the Company is treating the acquisition as an asset acquisition; therefore, the goodwill will be deductible for tax purposes. The impact of the SeaSpine acquisition is not material to the consolidated operating results of the Company; therefore, the pro-forma impact of the acquisition has not been presented.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Integra Neurosciences Pty Ltd.</w:t>
      </w:r>
    </w:p>
    <w:p>
      <w:pPr>
        <w:spacing w:after="0" w:line="9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October 2008 the Company acquired Integra Neurosciences Pty Ltd. in Australia and Integra Neurosciences Pty Ltd. in New Zealand for $4.0 million (6.0 million Australian dollars) in cash at closing, $0.3 million in acquisition expenses and working capital adjustments, and up to $2.1 million based on the exchange rates in effect at the time of the acquisition (3.1 million Australian dollars) in future payments based on the performance of business in the three years after closing. The Company paid approximately $0.9 million (1.0 million Australian dollars) of this potential revenue performance obligation in November 2009 for the first revenue performance year, and another $1.0 million (1.0 million Australian dollars) in December 2010 for the second revenue performance year. The Company accrued $1.1 million (1.0 million Australian dollars) at June 30, 2011 for the third revenue performance year.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Theken</w:t>
      </w:r>
    </w:p>
    <w:p>
      <w:pPr>
        <w:spacing w:after="0" w:line="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August 2008 the Company acquired Theken Spine, LLC, Theken Disc, LLC and Therics, LLC (collectively, “Integra Spine”) for $75.0 million in cash, subject to certain adjustments, acquisition expenses of $2.4 million, working capital adjustments of $3.9 million, and up to $125.0 million in future payments based on the revenue performance of the business in each of the two years after closing. The Company paid approximately $52.0 million for the first year revenue performance obligation in November 2009. From November 2009 through June 30, 2011 the Company has accrued a total of $4.6 million to settle a dispute related to a disagreement in the calculation of “trade sales” used in determining the revenue performance payment for the first year revenue performance obligation (see Note 14, “Commitments and Contingencies”). There are no amounts due for the second performance year.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consisted of the following:</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680" w:type="dxa"/>
            <w:vAlign w:val="bottom"/>
          </w:tcPr>
          <w:p>
            <w:pPr>
              <w:jc w:val="right"/>
              <w:ind w:right="21"/>
              <w:spacing w:after="0"/>
              <w:rPr>
                <w:sz w:val="20"/>
                <w:szCs w:val="20"/>
                <w:color w:val="auto"/>
              </w:rPr>
            </w:pPr>
            <w:r>
              <w:rPr>
                <w:rFonts w:ascii="Arial" w:cs="Arial" w:eastAsia="Arial" w:hAnsi="Arial"/>
                <w:sz w:val="14"/>
                <w:szCs w:val="14"/>
                <w:b w:val="1"/>
                <w:bCs w:val="1"/>
                <w:color w:val="auto"/>
                <w:w w:val="99"/>
              </w:rPr>
              <w:t>June 30,</w:t>
            </w:r>
          </w:p>
        </w:tc>
        <w:tc>
          <w:tcPr>
            <w:tcW w:w="1480" w:type="dxa"/>
            <w:vAlign w:val="bottom"/>
            <w:gridSpan w:val="4"/>
          </w:tcPr>
          <w:p>
            <w:pPr>
              <w:ind w:left="58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6520" w:type="dxa"/>
            <w:vAlign w:val="bottom"/>
          </w:tcPr>
          <w:p>
            <w:pPr>
              <w:spacing w:after="0"/>
              <w:rPr>
                <w:sz w:val="14"/>
                <w:szCs w:val="14"/>
                <w:color w:val="auto"/>
              </w:rPr>
            </w:pPr>
          </w:p>
        </w:tc>
        <w:tc>
          <w:tcPr>
            <w:tcW w:w="68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2011</w:t>
            </w: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42"/>
        </w:trPr>
        <w:tc>
          <w:tcPr>
            <w:tcW w:w="6520" w:type="dxa"/>
            <w:vAlign w:val="bottom"/>
          </w:tcPr>
          <w:p>
            <w:pPr>
              <w:spacing w:after="0"/>
              <w:rPr>
                <w:sz w:val="12"/>
                <w:szCs w:val="12"/>
                <w:color w:val="auto"/>
              </w:rPr>
            </w:pPr>
          </w:p>
        </w:tc>
        <w:tc>
          <w:tcPr>
            <w:tcW w:w="1460" w:type="dxa"/>
            <w:vAlign w:val="bottom"/>
            <w:gridSpan w:val="3"/>
          </w:tcPr>
          <w:p>
            <w:pPr>
              <w:ind w:left="60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$109,065</w:t>
            </w:r>
          </w:p>
        </w:tc>
        <w:tc>
          <w:tcPr>
            <w:tcW w:w="7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87,508</w:t>
            </w:r>
          </w:p>
        </w:tc>
        <w:tc>
          <w:tcPr>
            <w:tcW w:w="10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Work-in process</w:t>
            </w:r>
          </w:p>
        </w:tc>
        <w:tc>
          <w:tcPr>
            <w:tcW w:w="680" w:type="dxa"/>
            <w:vAlign w:val="bottom"/>
          </w:tcPr>
          <w:p>
            <w:pPr>
              <w:jc w:val="right"/>
              <w:spacing w:after="0"/>
              <w:rPr>
                <w:sz w:val="20"/>
                <w:szCs w:val="20"/>
                <w:color w:val="auto"/>
              </w:rPr>
            </w:pPr>
            <w:r>
              <w:rPr>
                <w:rFonts w:ascii="Arial" w:cs="Arial" w:eastAsia="Arial" w:hAnsi="Arial"/>
                <w:sz w:val="18"/>
                <w:szCs w:val="18"/>
                <w:color w:val="auto"/>
              </w:rPr>
              <w:t>35,444</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31,536</w:t>
            </w: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29,951</w:t>
            </w:r>
          </w:p>
        </w:tc>
        <w:tc>
          <w:tcPr>
            <w:tcW w:w="5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27,884</w:t>
            </w:r>
          </w:p>
        </w:tc>
        <w:tc>
          <w:tcPr>
            <w:tcW w:w="100" w:type="dxa"/>
            <w:vAlign w:val="bottom"/>
            <w:shd w:val="clear" w:color="auto" w:fill="CCEEFF"/>
          </w:tcPr>
          <w:p>
            <w:pPr>
              <w:spacing w:after="0"/>
              <w:rPr>
                <w:sz w:val="18"/>
                <w:szCs w:val="18"/>
                <w:color w:val="auto"/>
              </w:rPr>
            </w:pPr>
          </w:p>
        </w:tc>
      </w:tr>
      <w:tr>
        <w:trPr>
          <w:trHeight w:val="222"/>
        </w:trPr>
        <w:tc>
          <w:tcPr>
            <w:tcW w:w="65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174,460</w:t>
            </w:r>
          </w:p>
        </w:tc>
        <w:tc>
          <w:tcPr>
            <w:tcW w:w="7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146,928</w:t>
            </w:r>
          </w:p>
        </w:tc>
        <w:tc>
          <w:tcPr>
            <w:tcW w:w="100" w:type="dxa"/>
            <w:vAlign w:val="bottom"/>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00"/>
          </w:cols>
          <w:pgMar w:left="240" w:top="459" w:right="259" w:bottom="1440" w:gutter="0" w:footer="0" w:header="0"/>
        </w:sectPr>
      </w:pPr>
    </w:p>
    <w:p>
      <w:pPr>
        <w:jc w:val="center"/>
        <w:ind w:right="-3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00"/>
          </w:cols>
          <w:pgMar w:left="240" w:top="459" w:right="25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OTHER INTANGIBLE ASSETS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six months ended June 30, 2011 were as follows (in thousands):</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$261,928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Accumulated impairment losses</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9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Goodwill at December 31, 2010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980" w:type="dxa"/>
            <w:vAlign w:val="bottom"/>
            <w:gridSpan w:val="2"/>
          </w:tcPr>
          <w:p>
            <w:pPr>
              <w:spacing w:after="0"/>
              <w:rPr>
                <w:sz w:val="20"/>
                <w:szCs w:val="20"/>
                <w:color w:val="auto"/>
              </w:rPr>
            </w:pPr>
            <w:r>
              <w:rPr>
                <w:rFonts w:ascii="Arial" w:cs="Arial" w:eastAsia="Arial" w:hAnsi="Arial"/>
                <w:sz w:val="18"/>
                <w:szCs w:val="18"/>
                <w:color w:val="auto"/>
              </w:rPr>
              <w:t>SeaSpine acquisition</w:t>
            </w:r>
          </w:p>
        </w:tc>
        <w:tc>
          <w:tcPr>
            <w:tcW w:w="680" w:type="dxa"/>
            <w:vAlign w:val="bottom"/>
          </w:tcPr>
          <w:p>
            <w:pPr>
              <w:jc w:val="right"/>
              <w:spacing w:after="0"/>
              <w:rPr>
                <w:sz w:val="20"/>
                <w:szCs w:val="20"/>
                <w:color w:val="auto"/>
              </w:rPr>
            </w:pPr>
            <w:r>
              <w:rPr>
                <w:rFonts w:ascii="Arial" w:cs="Arial" w:eastAsia="Arial" w:hAnsi="Arial"/>
                <w:sz w:val="18"/>
                <w:szCs w:val="18"/>
                <w:color w:val="auto"/>
              </w:rPr>
              <w:t>14,897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Integra Spine earnout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Integra Neurosciences Pty Ltd. earnout</w:t>
            </w:r>
          </w:p>
        </w:tc>
        <w:tc>
          <w:tcPr>
            <w:tcW w:w="680" w:type="dxa"/>
            <w:vAlign w:val="bottom"/>
          </w:tcPr>
          <w:p>
            <w:pPr>
              <w:jc w:val="right"/>
              <w:spacing w:after="0"/>
              <w:rPr>
                <w:sz w:val="20"/>
                <w:szCs w:val="20"/>
                <w:color w:val="auto"/>
              </w:rPr>
            </w:pPr>
            <w:r>
              <w:rPr>
                <w:rFonts w:ascii="Arial" w:cs="Arial" w:eastAsia="Arial" w:hAnsi="Arial"/>
                <w:sz w:val="18"/>
                <w:szCs w:val="18"/>
                <w:color w:val="auto"/>
              </w:rPr>
              <w:t>1,059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6980" w:type="dxa"/>
            <w:vAlign w:val="bottom"/>
            <w:gridSpan w:val="2"/>
          </w:tcPr>
          <w:p>
            <w:pPr>
              <w:spacing w:after="0"/>
              <w:rPr>
                <w:sz w:val="20"/>
                <w:szCs w:val="20"/>
                <w:color w:val="auto"/>
              </w:rPr>
            </w:pPr>
            <w:r>
              <w:rPr>
                <w:rFonts w:ascii="Arial" w:cs="Arial" w:eastAsia="Arial" w:hAnsi="Arial"/>
                <w:sz w:val="18"/>
                <w:szCs w:val="18"/>
                <w:color w:val="auto"/>
              </w:rPr>
              <w:t>Goodwill at June 30, 2011</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285,376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Company performs its assessment of the recoverability of goodwill annually during the second quarter and it is based upon a comparison of the carrying value of goodwill with its estimated fair value. The Company performed its most recent assessment during the second quarter of 2011 which resulted in no impairment.</w:t>
      </w:r>
    </w:p>
    <w:p>
      <w:pPr>
        <w:spacing w:after="0" w:line="14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Company performs its assessment of the recoverability of indefinite-live intangible assets annually during the second quarter and it is based upon a comparison of the carrying value of such assets to their estimated fair values. The Company performed its most recent assessment during the second quarter of 2011 which resulted in an impairment of $0.9 million related to one brand name asset that will no longer be used as part of our re-branding strategy. This charge has been recorded as a component of amortization expense.</w:t>
      </w:r>
    </w:p>
    <w:p>
      <w:pPr>
        <w:spacing w:after="0" w:line="14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During the six months ended June 30, 2011, the Company recorded impairment charges to definite lived intangible assets of $1.6 million related to technology assets whose related products are being discontinued and $0.2 million related to a brand name that will no longer be used because of our re-branding strategy. The Company has recorded the charges as a component of cost of product revenues and amortization expense,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identifiable intangible assets were as follows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980" w:type="dxa"/>
            <w:vAlign w:val="bottom"/>
            <w:gridSpan w:val="3"/>
          </w:tcPr>
          <w:p>
            <w:pPr>
              <w:jc w:val="center"/>
              <w:ind w:right="212"/>
              <w:spacing w:after="0"/>
              <w:rPr>
                <w:sz w:val="20"/>
                <w:szCs w:val="20"/>
                <w:color w:val="auto"/>
              </w:rPr>
            </w:pPr>
            <w:r>
              <w:rPr>
                <w:rFonts w:ascii="Arial" w:cs="Arial" w:eastAsia="Arial" w:hAnsi="Arial"/>
                <w:sz w:val="14"/>
                <w:szCs w:val="14"/>
                <w:b w:val="1"/>
                <w:bCs w:val="1"/>
                <w:color w:val="auto"/>
                <w:w w:val="88"/>
              </w:rPr>
              <w:t>Weighted</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June 30, 2011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0"/>
              </w:rPr>
              <w:t>December 31, 2010</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660" w:type="dxa"/>
            <w:vAlign w:val="bottom"/>
          </w:tcPr>
          <w:p>
            <w:pPr>
              <w:spacing w:after="0"/>
              <w:rPr>
                <w:sz w:val="11"/>
                <w:szCs w:val="11"/>
                <w:color w:val="auto"/>
              </w:rPr>
            </w:pPr>
          </w:p>
        </w:tc>
        <w:tc>
          <w:tcPr>
            <w:tcW w:w="88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6"/>
              </w:rPr>
              <w:t>Average</w:t>
            </w: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4660" w:type="dxa"/>
            <w:vAlign w:val="bottom"/>
          </w:tcPr>
          <w:p>
            <w:pPr>
              <w:spacing w:after="0"/>
              <w:rPr>
                <w:sz w:val="14"/>
                <w:szCs w:val="14"/>
                <w:color w:val="auto"/>
              </w:rPr>
            </w:pPr>
          </w:p>
        </w:tc>
        <w:tc>
          <w:tcPr>
            <w:tcW w:w="980" w:type="dxa"/>
            <w:vAlign w:val="bottom"/>
            <w:gridSpan w:val="3"/>
          </w:tcPr>
          <w:p>
            <w:pPr>
              <w:jc w:val="center"/>
              <w:ind w:right="212"/>
              <w:spacing w:after="0"/>
              <w:rPr>
                <w:sz w:val="20"/>
                <w:szCs w:val="20"/>
                <w:color w:val="auto"/>
              </w:rPr>
            </w:pPr>
            <w:r>
              <w:rPr>
                <w:rFonts w:ascii="Arial" w:cs="Arial" w:eastAsia="Arial" w:hAnsi="Arial"/>
                <w:sz w:val="14"/>
                <w:szCs w:val="14"/>
                <w:b w:val="1"/>
                <w:bCs w:val="1"/>
                <w:color w:val="auto"/>
                <w:w w:val="96"/>
              </w:rPr>
              <w:t>Life</w:t>
            </w: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Cost</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Net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12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4"/>
                <w:szCs w:val="14"/>
                <w:color w:val="auto"/>
              </w:rPr>
            </w:pPr>
          </w:p>
        </w:tc>
        <w:tc>
          <w:tcPr>
            <w:tcW w:w="680" w:type="dxa"/>
            <w:vAlign w:val="bottom"/>
            <w:gridSpan w:val="2"/>
          </w:tcPr>
          <w:p>
            <w:pPr>
              <w:ind w:left="140"/>
              <w:spacing w:after="0"/>
              <w:rPr>
                <w:sz w:val="20"/>
                <w:szCs w:val="20"/>
                <w:color w:val="auto"/>
              </w:rPr>
            </w:pPr>
            <w:r>
              <w:rPr>
                <w:rFonts w:ascii="Arial" w:cs="Arial" w:eastAsia="Arial" w:hAnsi="Arial"/>
                <w:sz w:val="14"/>
                <w:szCs w:val="14"/>
                <w:b w:val="1"/>
                <w:bCs w:val="1"/>
                <w:color w:val="auto"/>
              </w:rPr>
              <w:t>Net</w:t>
            </w:r>
          </w:p>
        </w:tc>
      </w:tr>
      <w:tr>
        <w:trPr>
          <w:trHeight w:val="210"/>
        </w:trPr>
        <w:tc>
          <w:tcPr>
            <w:tcW w:w="4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Completed technology</w:t>
            </w: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12 years</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72,133</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(32,293)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39,840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69,261</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(28,062)</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980" w:type="dxa"/>
            <w:vAlign w:val="bottom"/>
            <w:gridSpan w:val="3"/>
          </w:tcPr>
          <w:p>
            <w:pPr>
              <w:jc w:val="center"/>
              <w:ind w:right="212"/>
              <w:spacing w:after="0"/>
              <w:rPr>
                <w:sz w:val="20"/>
                <w:szCs w:val="20"/>
                <w:color w:val="auto"/>
              </w:rPr>
            </w:pPr>
            <w:r>
              <w:rPr>
                <w:rFonts w:ascii="Arial" w:cs="Arial" w:eastAsia="Arial" w:hAnsi="Arial"/>
                <w:sz w:val="18"/>
                <w:szCs w:val="18"/>
                <w:color w:val="auto"/>
                <w:w w:val="86"/>
              </w:rPr>
              <w:t>12 years</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142,954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(51,969)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90,985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99,290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(45,505)</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53,785</w:t>
            </w:r>
          </w:p>
        </w:tc>
        <w:tc>
          <w:tcPr>
            <w:tcW w:w="10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Trademarks/brand names</w:t>
            </w:r>
          </w:p>
        </w:tc>
        <w:tc>
          <w:tcPr>
            <w:tcW w:w="980" w:type="dxa"/>
            <w:vAlign w:val="bottom"/>
            <w:gridSpan w:val="3"/>
            <w:shd w:val="clear" w:color="auto" w:fill="CCEEFF"/>
          </w:tcPr>
          <w:p>
            <w:pPr>
              <w:jc w:val="center"/>
              <w:ind w:right="212"/>
              <w:spacing w:after="0"/>
              <w:rPr>
                <w:sz w:val="20"/>
                <w:szCs w:val="20"/>
                <w:color w:val="auto"/>
              </w:rPr>
            </w:pPr>
            <w:r>
              <w:rPr>
                <w:rFonts w:ascii="Arial" w:cs="Arial" w:eastAsia="Arial" w:hAnsi="Arial"/>
                <w:sz w:val="18"/>
                <w:szCs w:val="18"/>
                <w:color w:val="auto"/>
                <w:w w:val="86"/>
              </w:rPr>
              <w:t>35 years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33,448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(8,467)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24,981</w:t>
            </w:r>
          </w:p>
        </w:tc>
        <w:tc>
          <w:tcPr>
            <w:tcW w:w="10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Trademarks/brand names</w:t>
            </w:r>
          </w:p>
        </w:tc>
        <w:tc>
          <w:tcPr>
            <w:tcW w:w="980" w:type="dxa"/>
            <w:vAlign w:val="bottom"/>
            <w:gridSpan w:val="3"/>
          </w:tcPr>
          <w:p>
            <w:pPr>
              <w:jc w:val="center"/>
              <w:ind w:right="212"/>
              <w:spacing w:after="0"/>
              <w:rPr>
                <w:sz w:val="20"/>
                <w:szCs w:val="20"/>
                <w:color w:val="auto"/>
              </w:rPr>
            </w:pPr>
            <w:r>
              <w:rPr>
                <w:rFonts w:ascii="Arial" w:cs="Arial" w:eastAsia="Arial" w:hAnsi="Arial"/>
                <w:sz w:val="18"/>
                <w:szCs w:val="18"/>
                <w:color w:val="auto"/>
                <w:w w:val="93"/>
              </w:rPr>
              <w:t>Indefinite</w:t>
            </w:r>
          </w:p>
        </w:tc>
        <w:tc>
          <w:tcPr>
            <w:tcW w:w="580" w:type="dxa"/>
            <w:vAlign w:val="bottom"/>
          </w:tcPr>
          <w:p>
            <w:pPr>
              <w:jc w:val="right"/>
              <w:spacing w:after="0"/>
              <w:rPr>
                <w:sz w:val="20"/>
                <w:szCs w:val="20"/>
                <w:color w:val="auto"/>
              </w:rPr>
            </w:pPr>
            <w:r>
              <w:rPr>
                <w:rFonts w:ascii="Arial" w:cs="Arial" w:eastAsia="Arial" w:hAnsi="Arial"/>
                <w:sz w:val="18"/>
                <w:szCs w:val="18"/>
                <w:color w:val="auto"/>
              </w:rPr>
              <w:t>48,484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48,484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49,384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49,384</w:t>
            </w:r>
          </w:p>
        </w:tc>
        <w:tc>
          <w:tcPr>
            <w:tcW w:w="10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Supplier relationships</w:t>
            </w:r>
          </w:p>
        </w:tc>
        <w:tc>
          <w:tcPr>
            <w:tcW w:w="980" w:type="dxa"/>
            <w:vAlign w:val="bottom"/>
            <w:gridSpan w:val="3"/>
            <w:shd w:val="clear" w:color="auto" w:fill="CCEEFF"/>
          </w:tcPr>
          <w:p>
            <w:pPr>
              <w:jc w:val="center"/>
              <w:ind w:right="212"/>
              <w:spacing w:after="0"/>
              <w:rPr>
                <w:sz w:val="20"/>
                <w:szCs w:val="20"/>
                <w:color w:val="auto"/>
              </w:rPr>
            </w:pPr>
            <w:r>
              <w:rPr>
                <w:rFonts w:ascii="Arial" w:cs="Arial" w:eastAsia="Arial" w:hAnsi="Arial"/>
                <w:sz w:val="18"/>
                <w:szCs w:val="18"/>
                <w:color w:val="auto"/>
                <w:w w:val="86"/>
              </w:rPr>
              <w:t>30 years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29,300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(4,525)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24,775</w:t>
            </w:r>
          </w:p>
        </w:tc>
        <w:tc>
          <w:tcPr>
            <w:tcW w:w="10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All other*</w:t>
            </w:r>
          </w:p>
        </w:tc>
        <w:tc>
          <w:tcPr>
            <w:tcW w:w="980" w:type="dxa"/>
            <w:vAlign w:val="bottom"/>
            <w:gridSpan w:val="3"/>
          </w:tcPr>
          <w:p>
            <w:pPr>
              <w:jc w:val="center"/>
              <w:ind w:right="212"/>
              <w:spacing w:after="0"/>
              <w:rPr>
                <w:sz w:val="20"/>
                <w:szCs w:val="20"/>
                <w:color w:val="auto"/>
              </w:rPr>
            </w:pPr>
            <w:r>
              <w:rPr>
                <w:rFonts w:ascii="Arial" w:cs="Arial" w:eastAsia="Arial" w:hAnsi="Arial"/>
                <w:sz w:val="18"/>
                <w:szCs w:val="18"/>
                <w:color w:val="auto"/>
                <w:w w:val="86"/>
              </w:rPr>
              <w:t>15 years</w:t>
            </w:r>
          </w:p>
        </w:tc>
        <w:tc>
          <w:tcPr>
            <w:tcW w:w="580" w:type="dxa"/>
            <w:vAlign w:val="bottom"/>
          </w:tcPr>
          <w:p>
            <w:pPr>
              <w:jc w:val="right"/>
              <w:spacing w:after="0"/>
              <w:rPr>
                <w:sz w:val="20"/>
                <w:szCs w:val="20"/>
                <w:color w:val="auto"/>
              </w:rPr>
            </w:pPr>
            <w:r>
              <w:rPr>
                <w:rFonts w:ascii="Arial" w:cs="Arial" w:eastAsia="Arial" w:hAnsi="Arial"/>
                <w:sz w:val="18"/>
                <w:szCs w:val="18"/>
                <w:color w:val="auto"/>
              </w:rPr>
              <w:t>10,477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(7,934)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2,543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8,440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(7,660)</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18"/>
                <w:szCs w:val="18"/>
                <w:color w:val="auto"/>
              </w:rPr>
            </w:pPr>
          </w:p>
        </w:tc>
      </w:tr>
      <w:tr>
        <w:trPr>
          <w:trHeight w:val="115"/>
        </w:trPr>
        <w:tc>
          <w:tcPr>
            <w:tcW w:w="4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46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337,324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(106,389)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230,935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289,123</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(94,219)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194,904</w:t>
            </w:r>
          </w:p>
        </w:tc>
        <w:tc>
          <w:tcPr>
            <w:tcW w:w="100" w:type="dxa"/>
            <w:vAlign w:val="bottom"/>
            <w:shd w:val="clear" w:color="auto" w:fill="CCEEFF"/>
          </w:tcPr>
          <w:p>
            <w:pPr>
              <w:spacing w:after="0"/>
              <w:rPr>
                <w:sz w:val="18"/>
                <w:szCs w:val="18"/>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8" w:lineRule="exact"/>
        <w:rPr>
          <w:sz w:val="20"/>
          <w:szCs w:val="20"/>
          <w:color w:val="auto"/>
        </w:rPr>
      </w:pPr>
    </w:p>
    <w:p>
      <w:pPr>
        <w:ind w:left="220" w:right="140" w:hanging="212"/>
        <w:spacing w:after="0" w:line="268"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December 31, 2010 all other included in-process research and development of $0.3 million which was indefinite lived. During the second quarter of 2011, this asset was placed in service as a component of completed technology.</w:t>
      </w:r>
    </w:p>
    <w:p>
      <w:pPr>
        <w:spacing w:after="0" w:line="13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Based on quarter-end exchange rates, annual amortization expense is expected to approximate $23.8 million in 2011, $23.4 million in 2012, $17.6 million in 2013, $16.7 million in 2014 and $14.7 million in 2015. Identifiable intangible assets are initially recorded at fair market value at the time of acquisition using an income or cost approach.</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2016 Convertible Senior Notes</w:t>
      </w:r>
    </w:p>
    <w:p>
      <w:pPr>
        <w:spacing w:after="0" w:line="90"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On June 15, 2011, the Company issued $230.0 million aggregate principal amount of its 1.625% Convertible Senior Notes due 2016 (the “2016 Notes”). The 2016 Notes mature on December 15, 2016, and bear interest at a rate of 1.625% per annum payable semi-annually in arrears on December 15 and June 15 of each year. The portion of the debt proceeds that was classified as equity at the time of the offering was $43.2 million, and that amount is being amortized to interest expense using the effective interest method through December 2016. The effective interest rate implicit in the liability component is 5.6%. In connection with this offering, the Company capitalized approximately $6.3 million of financing fees. At June 30, 2011, the carrying amount of the liability component was</w:t>
      </w:r>
    </w:p>
    <w:p>
      <w:pPr>
        <w:spacing w:after="0" w:line="2"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$187.2 million, the remaining unamortized discount was $42.8 million, and the principal amount outstanding was $230.0 million. The fair value of the 2016 Notes at June 30, 2011 was approximately $231.4 million.</w:t>
      </w:r>
    </w:p>
    <w:p>
      <w:pPr>
        <w:spacing w:after="0" w:line="138"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2016 Notes are senior, unsecured obligations of the Company, and are convertible into cash and, if applicable, shares of its common stock based on an initial conversion rate, subject to adjustment of 17.4092 shares per $1,000 principal amount of 2016 Notes (which represents an initial conversion price of approximately $57.44 per share). The Company will satisfy any conversion of the 2016 Notes with cash up to the principal amount of the 2016 Notes pursuant to the net share settlement mechanism set forth in the indenture and, with respect to any excess conversion value, with shares of the Company’s common stock. The 2016 Notes are convertible only in the following circumstances: (1) if the closing sale price of the Company’s common stock exceeds 150% of the conversion price during a period as defined in the indenture; (2) if the average trading price per $1,000 principal amount of the 2016 Notes is less than or equal to 98% of the average conversion value of the 2016 Notes during a period as defined in the indenture; (3) at any time on or after June 15, 2016; or (4) if specified corporate transactions occur. The issue price of the 2016 Notes was equal to their face amount, which is also the amount holders are entitled to receive at maturity if the 2016 Notes are not converted. As of June 30, 2011, none of these conditions existed with respect to the 2016 Notes and as a result, the 2016 Notes are classified as long term.</w:t>
      </w:r>
    </w:p>
    <w:p>
      <w:pPr>
        <w:spacing w:after="0" w:line="12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Holders of the 2016 Notes, who convert their notes in connection with a qualifying fundamental change, as defined in the related indenture, may be entitled to a make-whole premium in the form of an increase in the conversion rate. Additionally, following the occurrence of a fundamental change, holders may require that the Company repurchase some or all of the 2016 Notes for cash at a repurchase price equal to 100% of the principal amount of the notes being repurchased, plus accrued and unpaid interest, if any.</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2016 Notes, under the terms of the private placement agreement, are guaranteed fully by Integra LifeSciences Corporation, a subsidiary of the Company. The Notes are the Company’s direct senior unsecured obligations and rank equal in right of payment to all of the Company’s existing and future unsecured and unsubordinated indebtedness.</w:t>
      </w:r>
    </w:p>
    <w:p>
      <w:pPr>
        <w:spacing w:after="0" w:line="14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connection with the issuance of the 2016 Notes, the Company entered into call transactions and warrant transactions, primarily with affiliates of the initial purchasers of the Notes (the “hedge participants”). The cost of the call transactions to the Company was approximately $42.9 million, representing options to buy 4.0 million shares from the hedge participants at an initial strike price of $57.44 per share, subject to customary anti-dilution adjustments. These transactions are expected to reduce the potential dilution upon conversion of the notes. The Company received approximately $28.5 million of proceeds from the warrant transactions, representing an obligation to potentially deliver 4.0 million shares to the hedge participants at an initial strike price of $70.05 per share, subject to customary anti-dilution adjustments. The earliest expiration of these warrant transactions is March 15, 2017 and they continue to expire through the 100th scheduled trading day thereafter, as defined in the indenture. The warrants could separately have a dilutive effect on the Company’s earnings per share if the market price of its common stock exceeds the strike price of the warrants.</w:t>
      </w:r>
    </w:p>
    <w:p>
      <w:pPr>
        <w:spacing w:after="0" w:line="11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During the three and six months ended June 30, 2011, the Company recognized non-cash interest of $0.3 million and cash interest of $0.2 million for a total of $0.5 million on the 2016 Notes.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Amended and Restated Senior Credit Agreement</w:t>
      </w:r>
    </w:p>
    <w:p>
      <w:pPr>
        <w:spacing w:after="0" w:line="90"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On August 10, 2010, the Company entered into an amended and restated credit agreement with a syndicate of lending banks (the “Senior Credit Facility”) and further amended the Senior Credit Facility on June 8, 2011. The June 8, 2011 amendment increased the revolving credit component from $450.0 million to $600.0 million and eliminated the $150.0 million term loan component that existed under the original amended and restated credit agreement, allows the Company to further increase the size of the revolving credit component by an aggregate of $200.0 million with additional commitments, provides the Company with decreased borrowing rates and annual commitment fees, and provides more favorable financial covenants. The Senior Credit Facility’s maturity was extended from August 10, 2015 to June 8, 2016 and is collateralized by substantially all of the assets of the Company’s U.S. subsidiaries, excluding intangible assets. In connection with the June 8, 2011 amendment, the Company capitalized $1.3 million of incremental financing costs, expensed $0.4 million of incremental financing costs, and expensed $0.4 million of previously capitalized financing costs. The Senior Credit Facility is subject to various financial and negative covenants and at June 30, 2011, the Company was in compliance with all such covenants.</w:t>
      </w:r>
    </w:p>
    <w:p>
      <w:pPr>
        <w:spacing w:after="0" w:line="120"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Borrowings under the Senior Credit Facility currently bear interest, at the Company’s option, at a rate equal to (i) the Eurodollar Rate (as defined in the Senior Credit Facility, which definition has not changed) in effect from time to time plus the applicable rate (ranging from 1.00% to 1.75%) or (ii) the highest of (x) the weighted average overnight Federal funds rate, as published by the Federal Reserve Bank of New York, plus 0.5%, (y) the prime lending rate of Bank of America, N.A. or (z) the one-month Eurodollar Rate plus 1.0%. The applicable rates are based on the Company’s consolidated total leverage ratio (defined as the ratio of</w:t>
      </w:r>
    </w:p>
    <w:p>
      <w:pPr>
        <w:spacing w:after="0" w:line="3" w:lineRule="exact"/>
        <w:rPr>
          <w:sz w:val="20"/>
          <w:szCs w:val="20"/>
          <w:color w:val="auto"/>
        </w:rPr>
      </w:pPr>
    </w:p>
    <w:p>
      <w:pPr>
        <w:ind w:right="260" w:firstLine="8"/>
        <w:spacing w:after="0" w:line="261" w:lineRule="auto"/>
        <w:tabs>
          <w:tab w:leader="none" w:pos="239"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consolidated funded indebtedness less cash in excess of $40 million that is not subject to any restriction of the use or investment thereof to (b) consolidated EBITDA) at the time of the applicable borrowing.</w:t>
      </w:r>
    </w:p>
    <w:p>
      <w:pPr>
        <w:spacing w:after="0" w:line="13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Company will also pay an annual commitment fee (ranging from 0.15% to 0.3%, based on the Company’s consolidated total leverage ratio) on the daily amount by which the revolving credit facility exceeds the outstanding loans and letters of credit under the credit facility.</w:t>
      </w:r>
    </w:p>
    <w:p>
      <w:pPr>
        <w:sectPr>
          <w:pgSz w:w="11900" w:h="16838" w:orient="portrait"/>
          <w:cols w:equalWidth="0" w:num="1">
            <w:col w:w="11420"/>
          </w:cols>
          <w:pgMar w:left="240" w:top="459" w:right="239" w:bottom="1440" w:gutter="0" w:footer="0" w:header="0"/>
        </w:sectPr>
      </w:pP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At June 30, 2011 and December 31, 2010, there was $144.4 million and $100.0 million outstanding, respectively, under the revolving credit component of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Senior Credit Facility at a weighted average interest rate of 1.5% and 2.5%, respectively. At June 30, 2011, there was approximately $455.6 million available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borrowing under the Senior Credit Facility. The fair value of outstanding borrowings under the Senior Credit Facility at June 30, 2011 was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$131.7 million. The Company considers the balance to be long-term in nature based on its current intent and ability to repay the borrowing outside of the next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twelve-month period.</w:t>
      </w:r>
    </w:p>
    <w:p>
      <w:pPr>
        <w:spacing w:after="0" w:line="165"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At December 31, 2010, there was $148.1 million outstanding under the term loan component of the Senior Credit Facility at an interest rate of 2.6%, and as noted above, this portion of the credit facility was eliminated and replaced with borrowings under the revolving credit component in June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2010 and 2012 Senior Convertible Notes</w:t>
      </w:r>
    </w:p>
    <w:p>
      <w:pPr>
        <w:spacing w:after="0" w:line="90" w:lineRule="exact"/>
        <w:rPr>
          <w:sz w:val="20"/>
          <w:szCs w:val="20"/>
          <w:color w:val="auto"/>
        </w:rPr>
      </w:pPr>
    </w:p>
    <w:p>
      <w:pPr>
        <w:ind w:right="220"/>
        <w:spacing w:after="0" w:line="305" w:lineRule="auto"/>
        <w:rPr>
          <w:sz w:val="20"/>
          <w:szCs w:val="20"/>
          <w:color w:val="auto"/>
        </w:rPr>
      </w:pPr>
      <w:r>
        <w:rPr>
          <w:rFonts w:ascii="Arial" w:cs="Arial" w:eastAsia="Arial" w:hAnsi="Arial"/>
          <w:sz w:val="15"/>
          <w:szCs w:val="15"/>
          <w:color w:val="auto"/>
        </w:rPr>
        <w:t>On June 11, 2007, the Company issued $165.0 million aggregate principal amount of its 2010 Notes and $165.0 million aggregate principal amount of its 2012 Notes (the 2010 Notes and the 2012 Notes, collectively the “Notes”). The 2010 Notes and the 2012 Notes bear interest at a rate of 2.75% per annum and</w:t>
      </w:r>
    </w:p>
    <w:p>
      <w:pPr>
        <w:ind w:right="60"/>
        <w:spacing w:after="0" w:line="287" w:lineRule="auto"/>
        <w:rPr>
          <w:sz w:val="20"/>
          <w:szCs w:val="20"/>
          <w:color w:val="auto"/>
        </w:rPr>
      </w:pPr>
      <w:r>
        <w:rPr>
          <w:rFonts w:ascii="Arial" w:cs="Arial" w:eastAsia="Arial" w:hAnsi="Arial"/>
          <w:sz w:val="16"/>
          <w:szCs w:val="16"/>
          <w:color w:val="auto"/>
        </w:rPr>
        <w:t>2.375% per annum, respectively, in each case payable semi-annually in arrears on December 1 and June 1 of each year. The portion of the debt proceeds that was classified as equity at the time of the offering was $16.4 million for the 2010 Notes and $30.6 million for the 2012 Notes. Those amounts are being amortized to interest expense using the effective interest method through June 2010 for the 2010 Notes, and through June 2012 for the 2012 Notes. The effective interest rate implicit in the liability component is 6.5% for the 2010 Notes and 6.8% for the 2012 Notes. The 2010 Notes were paid off in June 2010 in accordance with their terms. At June 30, 2011, the carrying amount of the liability component of the 2012 Notes was $158.5 million, the remaining unamortized discount was $6.5 million, and the principal amount outstanding was $165.0 million. At December 31, 2010, the carrying amount of the liability component of the 2012 Notes was $155.2 million, the remaining unamortized discount was $9.8 million, and the principal amount outstanding was $165.0 million. The entire carrying amount of the 2012 Notes is classified as long-term in the June 30, 2011 balance sheet as the Company has the intent and ability to settle the obligation with long-term borrowings from its Senior Credit Facility. The fair value of the 2012 Notes at June 30, 2011 was approximately $166.5 million.</w:t>
      </w:r>
    </w:p>
    <w:p>
      <w:pPr>
        <w:spacing w:after="0" w:line="120"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2012 Notes are senior, unsecured obligations of the Company, and are convertible into cash and, if applicable, shares of its common stock based on an initial conversion rate, subject to adjustment, of 15.3935 shares per $1,000 principal amount of notes (which represents an initial conversion price of approximately $64.96 per share). The Company will satisfy any conversion of the 2012 Notes with cash up to the principal amount pursuant to the net share settlement mechanism set forth in the indenture and, with respect to any excess conversion value, with shares of the Company’s common stock. The 2012 Notes are convertible only in the following circumstances: (1) if the closing sale price of the Company’s common stock exceeds 130% of the conversion price during a period as defined in the indenture; (2) if the average trading price per $1,000 principal amount of the 2012 Notes is less than or equal to 97% of the average conversion value of the 2012 Notes during a period as defined in the indenture; (3) anytime after December 15, 2011; or (4) if specified corporate transactions occur. None of these conditions existed with respect to the 2012 Notes as of June 30, 2011. The 2012 Notes are classified as long-term based on the Company’s intent and ability to settle the obligation with long-term borrowings from its Senior Credit Facility. The issue price of the 2012 Notes was equal to their face amount, which is also the amount holders are entitled to receive at maturity if the 2012 Notes are not converted.</w:t>
      </w:r>
    </w:p>
    <w:p>
      <w:pPr>
        <w:spacing w:after="0" w:line="123"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In connection with the issuance of the 2012 Notes, the Company entered into call transactions and warrant transactions, primarily with affiliates of the initial purchasers of the Notes (the “hedge participants”). The cost of the call transactions to the Company was approximately $30.4 million, representing options to buy 2.5 million shares from the hedge participants at an initial strike price of approximately $64.96 per share, subject to customary anti-dilution adjustments. These transactions are expected to reduce the potential dilution upon conversion of the notes. The Company received approximately $12.2 million of proceeds from the warrant transactions, representing an obligation to potentially deliver 2.5 million shares to the hedge participants at an initial strike price of approximately $77.96 per share, subject to customary anti-dilution adjustments. These warrant transactions expire on various dates between August 30, 2012 and January 23, 2013 and could separately have a dilutive effect on the Company’s earnings per share if the market price of its common stock exceeds the strike price of the warrants.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The interest expense components of the 2010 Notes and the 2012 Notes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ind w:left="40"/>
              <w:spacing w:after="0"/>
              <w:rPr>
                <w:sz w:val="20"/>
                <w:szCs w:val="20"/>
                <w:color w:val="auto"/>
              </w:rPr>
            </w:pPr>
            <w:r>
              <w:rPr>
                <w:rFonts w:ascii="Arial" w:cs="Arial" w:eastAsia="Arial" w:hAnsi="Arial"/>
                <w:sz w:val="14"/>
                <w:szCs w:val="14"/>
                <w:b w:val="1"/>
                <w:bCs w:val="1"/>
                <w:color w:val="auto"/>
                <w:w w:val="98"/>
              </w:rPr>
              <w:t>Six Months Ended June 30,</w:t>
            </w:r>
          </w:p>
        </w:tc>
      </w:tr>
      <w:tr>
        <w:trPr>
          <w:trHeight w:val="223"/>
        </w:trPr>
        <w:tc>
          <w:tcPr>
            <w:tcW w:w="6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2011</w:t>
            </w:r>
          </w:p>
        </w:tc>
        <w:tc>
          <w:tcPr>
            <w:tcW w:w="4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2011</w:t>
            </w:r>
          </w:p>
        </w:tc>
        <w:tc>
          <w:tcPr>
            <w:tcW w:w="4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9"/>
                <w:szCs w:val="19"/>
                <w:color w:val="auto"/>
              </w:rPr>
            </w:pPr>
          </w:p>
        </w:tc>
      </w:tr>
      <w:tr>
        <w:trPr>
          <w:trHeight w:val="142"/>
        </w:trPr>
        <w:tc>
          <w:tcPr>
            <w:tcW w:w="6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gridSpan w:val="5"/>
          </w:tcPr>
          <w:p>
            <w:pPr>
              <w:jc w:val="right"/>
              <w:ind w:right="277"/>
              <w:spacing w:after="0" w:line="142" w:lineRule="exact"/>
              <w:rPr>
                <w:sz w:val="20"/>
                <w:szCs w:val="20"/>
                <w:color w:val="auto"/>
              </w:rPr>
            </w:pPr>
            <w:r>
              <w:rPr>
                <w:rFonts w:ascii="Arial" w:cs="Arial" w:eastAsia="Arial" w:hAnsi="Arial"/>
                <w:sz w:val="14"/>
                <w:szCs w:val="14"/>
                <w:color w:val="auto"/>
                <w:w w:val="92"/>
              </w:rPr>
              <w:t>(amounts in thousands)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2010 Notes: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Non-cash interest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center"/>
              <w:ind w:left="297"/>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480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18"/>
                <w:szCs w:val="18"/>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Cash Interest</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center"/>
              <w:ind w:left="297"/>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00" w:type="dxa"/>
            <w:vAlign w:val="bottom"/>
            <w:shd w:val="clear" w:color="auto" w:fill="CCEEFF"/>
          </w:tcPr>
          <w:p>
            <w:pPr>
              <w:spacing w:after="0"/>
              <w:rPr>
                <w:sz w:val="18"/>
                <w:szCs w:val="18"/>
                <w:color w:val="auto"/>
              </w:rPr>
            </w:pPr>
          </w:p>
        </w:tc>
      </w:tr>
      <w:tr>
        <w:trPr>
          <w:trHeight w:val="222"/>
        </w:trPr>
        <w:tc>
          <w:tcPr>
            <w:tcW w:w="610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center"/>
              <w:ind w:left="297"/>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837</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r>
      <w:tr>
        <w:trPr>
          <w:trHeight w:val="20"/>
        </w:trPr>
        <w:tc>
          <w:tcPr>
            <w:tcW w:w="6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2012 Notes: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Non-cash interest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1,698</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1,586</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3,367</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3,146</w:t>
            </w:r>
          </w:p>
        </w:tc>
        <w:tc>
          <w:tcPr>
            <w:tcW w:w="100" w:type="dxa"/>
            <w:vAlign w:val="bottom"/>
          </w:tcPr>
          <w:p>
            <w:pPr>
              <w:spacing w:after="0"/>
              <w:rPr>
                <w:sz w:val="18"/>
                <w:szCs w:val="18"/>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Cash Interest</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center"/>
              <w:ind w:left="297"/>
              <w:spacing w:after="0"/>
              <w:rPr>
                <w:sz w:val="20"/>
                <w:szCs w:val="20"/>
                <w:color w:val="auto"/>
              </w:rPr>
            </w:pPr>
            <w:r>
              <w:rPr>
                <w:rFonts w:ascii="Arial" w:cs="Arial" w:eastAsia="Arial" w:hAnsi="Arial"/>
                <w:sz w:val="18"/>
                <w:szCs w:val="18"/>
                <w:color w:val="auto"/>
                <w:w w:val="86"/>
              </w:rPr>
              <w:t>980</w:t>
            </w:r>
          </w:p>
        </w:tc>
        <w:tc>
          <w:tcPr>
            <w:tcW w:w="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1,959</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1,959</w:t>
            </w:r>
          </w:p>
        </w:tc>
        <w:tc>
          <w:tcPr>
            <w:tcW w:w="100" w:type="dxa"/>
            <w:vAlign w:val="bottom"/>
            <w:shd w:val="clear" w:color="auto" w:fill="CCEEFF"/>
          </w:tcPr>
          <w:p>
            <w:pPr>
              <w:spacing w:after="0"/>
              <w:rPr>
                <w:sz w:val="18"/>
                <w:szCs w:val="18"/>
                <w:color w:val="auto"/>
              </w:rPr>
            </w:pPr>
          </w:p>
        </w:tc>
      </w:tr>
      <w:tr>
        <w:trPr>
          <w:trHeight w:val="222"/>
        </w:trPr>
        <w:tc>
          <w:tcPr>
            <w:tcW w:w="610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2,678</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2,566</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5,326</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5,105</w:t>
            </w:r>
          </w:p>
        </w:tc>
        <w:tc>
          <w:tcPr>
            <w:tcW w:w="100" w:type="dxa"/>
            <w:vAlign w:val="bottom"/>
          </w:tcPr>
          <w:p>
            <w:pPr>
              <w:spacing w:after="0"/>
              <w:rPr>
                <w:sz w:val="19"/>
                <w:szCs w:val="19"/>
                <w:color w:val="auto"/>
              </w:rPr>
            </w:pPr>
          </w:p>
        </w:tc>
      </w:tr>
      <w:tr>
        <w:trPr>
          <w:trHeight w:val="20"/>
        </w:trPr>
        <w:tc>
          <w:tcPr>
            <w:tcW w:w="6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800" w:firstLine="8"/>
        <w:spacing w:after="0" w:line="391" w:lineRule="auto"/>
        <w:tabs>
          <w:tab w:leader="none" w:pos="176"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DERIVATIVE INSTRUMENTS </w:t>
      </w:r>
      <w:r>
        <w:rPr>
          <w:rFonts w:ascii="Arial" w:cs="Arial" w:eastAsia="Arial" w:hAnsi="Arial"/>
          <w:sz w:val="16"/>
          <w:szCs w:val="16"/>
          <w:u w:val="single" w:color="auto"/>
          <w:color w:val="auto"/>
        </w:rPr>
        <w:t>Interest Rate Hedging</w:t>
      </w:r>
    </w:p>
    <w:p>
      <w:pPr>
        <w:spacing w:after="0" w:line="1" w:lineRule="exact"/>
        <w:rPr>
          <w:sz w:val="20"/>
          <w:szCs w:val="20"/>
          <w:color w:val="auto"/>
        </w:rPr>
      </w:pPr>
    </w:p>
    <w:p>
      <w:pPr>
        <w:ind w:right="100"/>
        <w:spacing w:after="0" w:line="335" w:lineRule="auto"/>
        <w:rPr>
          <w:sz w:val="20"/>
          <w:szCs w:val="20"/>
          <w:color w:val="auto"/>
        </w:rPr>
      </w:pPr>
      <w:r>
        <w:rPr>
          <w:rFonts w:ascii="Arial" w:cs="Arial" w:eastAsia="Arial" w:hAnsi="Arial"/>
          <w:sz w:val="15"/>
          <w:szCs w:val="15"/>
          <w:color w:val="auto"/>
        </w:rPr>
        <w:t>The Company’s interest rate risk relates to U.S. dollar denominated variable LIBOR interest rate borrowings. The Company uses an interest rate swap derivative instrument entered into on August 10, 2010 with an effective date of December 31, 2010 to manage its earnings and cash flow exposure to changes in interest rates by converting a portion of its floating-rate debt into fixed-rate debt beginning on December 31, 2010. This interest rate swap expires on August 10, 2015.</w:t>
      </w:r>
    </w:p>
    <w:p>
      <w:pPr>
        <w:spacing w:after="0" w:line="8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designates this derivative instrument as a cash flow hedge. The Company records the effective portion of any change in the fair value of a derivative instrument designated as a cash flow hedge as unrealized gains or losses in accumulated other comprehensive income (“AOCI”), net of tax, until the hedged item affects earnings, at which point the effective portion of any gain or loss will be reclassified to earnings. If the hedged cash flow does not occur, or if it becomes probable that it will not occur, the Company will reclassify the amount of any gain or loss on the related cash flow hedge to interest expense at that time.</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expects that approximately $2.1 million of pre-tax losses recorded as net in AOCI related to the interest rate hedge could be reclassified to earnings within the next twelve months.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 Hedging</w:t>
      </w:r>
    </w:p>
    <w:p>
      <w:pPr>
        <w:sectPr>
          <w:pgSz w:w="11900" w:h="16838" w:orient="portrait"/>
          <w:cols w:equalWidth="0" w:num="1">
            <w:col w:w="11400"/>
          </w:cols>
          <w:pgMar w:left="240" w:top="459" w:right="259" w:bottom="0" w:gutter="0" w:footer="0" w:header="0"/>
        </w:sectPr>
      </w:pPr>
    </w:p>
    <w:bookmarkStart w:id="10" w:name="page11"/>
    <w:bookmarkEnd w:id="10"/>
    <w:p>
      <w:pPr>
        <w:spacing w:after="0" w:line="291" w:lineRule="auto"/>
        <w:rPr>
          <w:sz w:val="20"/>
          <w:szCs w:val="20"/>
          <w:color w:val="auto"/>
        </w:rPr>
      </w:pPr>
      <w:r>
        <w:rPr>
          <w:rFonts w:ascii="Arial" w:cs="Arial" w:eastAsia="Arial" w:hAnsi="Arial"/>
          <w:sz w:val="16"/>
          <w:szCs w:val="16"/>
          <w:color w:val="auto"/>
        </w:rPr>
        <w:t>From time to time the Company enters into foreign currency hedge contracts intended to protect the U.S. dollar value of certain forecasted foreign currency denominated transactions. There were no foreign currency hedge contracts outstanding as of June 30, 2011 or December 31, 2010. The Company records the effective portion of any change in the fair value of foreign currency cash flow hedges in AOCI, net of tax, until the hedged item affects earnings. Once the related hedged item affects earnings, the Company reclassifies the effective portion of any related unrealized gain or loss on the foreign currency cash flow hedge to earnings. If the hedged forecasted transaction does not occur, or if it becomes probable that it will not occur, the Company will reclassify the amount of any gain or loss on the related cash flow hedge to earnings at that time.</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131"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00"/>
        <w:spacing w:after="0" w:line="306" w:lineRule="auto"/>
        <w:rPr>
          <w:sz w:val="20"/>
          <w:szCs w:val="20"/>
          <w:color w:val="auto"/>
        </w:rPr>
      </w:pPr>
      <w:r>
        <w:rPr>
          <w:rFonts w:ascii="Arial" w:cs="Arial" w:eastAsia="Arial" w:hAnsi="Arial"/>
          <w:sz w:val="16"/>
          <w:szCs w:val="16"/>
          <w:color w:val="auto"/>
        </w:rPr>
        <w:t>The success of the Company’s hedging program depends, in part, on forecasts of certain activity denominated in euros. The Company may experience unanticipated currency exchange gains or losses to the extent that there are differences between forecasted and actual activity during periods of currency volatility. In addition, changes in currency exchange rates related to any unhedged transactions may affect its earnings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Counterparty Credit Risk</w:t>
      </w:r>
    </w:p>
    <w:p>
      <w:pPr>
        <w:spacing w:after="0" w:line="90" w:lineRule="exact"/>
        <w:rPr>
          <w:sz w:val="20"/>
          <w:szCs w:val="20"/>
          <w:color w:val="auto"/>
        </w:rPr>
      </w:pPr>
    </w:p>
    <w:p>
      <w:pPr>
        <w:ind w:right="600"/>
        <w:spacing w:after="0" w:line="298" w:lineRule="auto"/>
        <w:rPr>
          <w:sz w:val="20"/>
          <w:szCs w:val="20"/>
          <w:color w:val="auto"/>
        </w:rPr>
      </w:pPr>
      <w:r>
        <w:rPr>
          <w:rFonts w:ascii="Arial" w:cs="Arial" w:eastAsia="Arial" w:hAnsi="Arial"/>
          <w:sz w:val="16"/>
          <w:szCs w:val="16"/>
          <w:color w:val="auto"/>
        </w:rPr>
        <w:t>The Company manages its concentration of counterparty credit risk on its derivative instruments by limiting acceptable counterparties to a group of major financial institutions with investment grade credit ratings, and by actively monitoring their credit ratings and outstanding positions on an ongoing basis. Therefore, the Company considers the credit risk of the counterparties to be low. Furthermore, none of the Company’s derivative transactions is subject to collateral or other security arrangements, and none contains provisions that depend upon the Company’s credit ratings from any credit rating agency.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Derivative Instruments</w:t>
      </w:r>
    </w:p>
    <w:p>
      <w:pPr>
        <w:spacing w:after="0" w:line="9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Company has classified all of its derivative instruments within Level 2 of the fair value hierarchy because observable inputs are available for substantially the full term of the derivative instruments. The following table summarizes the fair value, notional amounts presented in U.S. dollars, and presentation in the consolidated balance sheet for derivatives designated as hedging instruments as of June 30, 2011 and December 31, 2010:</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gridSpan w:val="4"/>
          </w:tcPr>
          <w:p>
            <w:pPr>
              <w:ind w:left="20"/>
              <w:spacing w:after="0"/>
              <w:rPr>
                <w:sz w:val="20"/>
                <w:szCs w:val="20"/>
                <w:color w:val="auto"/>
              </w:rPr>
            </w:pPr>
            <w:r>
              <w:rPr>
                <w:rFonts w:ascii="Arial" w:cs="Arial" w:eastAsia="Arial" w:hAnsi="Arial"/>
                <w:sz w:val="14"/>
                <w:szCs w:val="14"/>
                <w:b w:val="1"/>
                <w:bCs w:val="1"/>
                <w:color w:val="auto"/>
              </w:rPr>
              <w:t>Fair Value as of</w:t>
            </w:r>
          </w:p>
        </w:tc>
        <w:tc>
          <w:tcPr>
            <w:tcW w:w="0" w:type="dxa"/>
            <w:vAlign w:val="bottom"/>
          </w:tcPr>
          <w:p>
            <w:pPr>
              <w:spacing w:after="0"/>
              <w:rPr>
                <w:sz w:val="1"/>
                <w:szCs w:val="1"/>
                <w:color w:val="auto"/>
              </w:rPr>
            </w:pPr>
          </w:p>
        </w:tc>
      </w:tr>
      <w:tr>
        <w:trPr>
          <w:trHeight w:val="143"/>
        </w:trPr>
        <w:tc>
          <w:tcPr>
            <w:tcW w:w="920" w:type="dxa"/>
            <w:vAlign w:val="bottom"/>
          </w:tcPr>
          <w:p>
            <w:pPr>
              <w:spacing w:after="0"/>
              <w:rPr>
                <w:sz w:val="12"/>
                <w:szCs w:val="12"/>
                <w:color w:val="auto"/>
              </w:rPr>
            </w:pPr>
          </w:p>
        </w:tc>
        <w:tc>
          <w:tcPr>
            <w:tcW w:w="7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Location on Balance Sheet (a):</w:t>
            </w:r>
          </w:p>
        </w:tc>
        <w:tc>
          <w:tcPr>
            <w:tcW w:w="500" w:type="dxa"/>
            <w:vAlign w:val="bottom"/>
            <w:tcBorders>
              <w:top w:val="single" w:sz="8" w:color="auto"/>
            </w:tcBorders>
            <w:gridSpan w:val="2"/>
          </w:tcPr>
          <w:p>
            <w:pPr>
              <w:ind w:left="20"/>
              <w:spacing w:after="0" w:line="143" w:lineRule="exact"/>
              <w:rPr>
                <w:sz w:val="20"/>
                <w:szCs w:val="20"/>
                <w:color w:val="auto"/>
              </w:rPr>
            </w:pPr>
            <w:r>
              <w:rPr>
                <w:rFonts w:ascii="Arial" w:cs="Arial" w:eastAsia="Arial" w:hAnsi="Arial"/>
                <w:sz w:val="14"/>
                <w:szCs w:val="14"/>
                <w:b w:val="1"/>
                <w:bCs w:val="1"/>
                <w:color w:val="auto"/>
                <w:w w:val="82"/>
              </w:rPr>
              <w:t>June 30,</w:t>
            </w:r>
          </w:p>
        </w:tc>
        <w:tc>
          <w:tcPr>
            <w:tcW w:w="6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spacing w:after="0" w:line="143"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756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ind w:right="19"/>
              <w:spacing w:after="0" w:line="148" w:lineRule="exact"/>
              <w:rPr>
                <w:sz w:val="20"/>
                <w:szCs w:val="20"/>
                <w:color w:val="auto"/>
              </w:rPr>
            </w:pPr>
            <w:r>
              <w:rPr>
                <w:rFonts w:ascii="Arial" w:cs="Arial" w:eastAsia="Arial" w:hAnsi="Arial"/>
                <w:sz w:val="14"/>
                <w:szCs w:val="14"/>
                <w:b w:val="1"/>
                <w:bCs w:val="1"/>
                <w:color w:val="auto"/>
                <w:w w:val="89"/>
              </w:rPr>
              <w:t>2011</w:t>
            </w: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jc w:val="right"/>
              <w:ind w:right="179"/>
              <w:spacing w:after="0" w:line="148" w:lineRule="exact"/>
              <w:rPr>
                <w:sz w:val="20"/>
                <w:szCs w:val="20"/>
                <w:color w:val="auto"/>
              </w:rPr>
            </w:pPr>
            <w:r>
              <w:rPr>
                <w:rFonts w:ascii="Arial" w:cs="Arial" w:eastAsia="Arial" w:hAnsi="Arial"/>
                <w:sz w:val="14"/>
                <w:szCs w:val="14"/>
                <w:b w:val="1"/>
                <w:bCs w:val="1"/>
                <w:color w:val="auto"/>
                <w:w w:val="76"/>
              </w:rPr>
              <w:t>2010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56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(In thousands)</w:t>
            </w:r>
          </w:p>
        </w:tc>
        <w:tc>
          <w:tcPr>
            <w:tcW w:w="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5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5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Derivative Assets: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560" w:type="dxa"/>
            <w:vAlign w:val="bottom"/>
            <w:gridSpan w:val="3"/>
          </w:tcPr>
          <w:p>
            <w:pPr>
              <w:spacing w:after="0"/>
              <w:rPr>
                <w:sz w:val="20"/>
                <w:szCs w:val="20"/>
                <w:color w:val="auto"/>
              </w:rPr>
            </w:pPr>
            <w:r>
              <w:rPr>
                <w:rFonts w:ascii="Arial" w:cs="Arial" w:eastAsia="Arial" w:hAnsi="Arial"/>
                <w:sz w:val="18"/>
                <w:szCs w:val="18"/>
                <w:color w:val="auto"/>
              </w:rPr>
              <w:t>Interest rate swap — Other assets (b)</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196</w:t>
            </w:r>
          </w:p>
        </w:tc>
        <w:tc>
          <w:tcPr>
            <w:tcW w:w="90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1,825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5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Derivative Liabilities: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560" w:type="dxa"/>
            <w:vAlign w:val="bottom"/>
            <w:gridSpan w:val="3"/>
          </w:tcPr>
          <w:p>
            <w:pPr>
              <w:spacing w:after="0"/>
              <w:rPr>
                <w:sz w:val="20"/>
                <w:szCs w:val="20"/>
                <w:color w:val="auto"/>
              </w:rPr>
            </w:pPr>
            <w:r>
              <w:rPr>
                <w:rFonts w:ascii="Arial" w:cs="Arial" w:eastAsia="Arial" w:hAnsi="Arial"/>
                <w:sz w:val="18"/>
                <w:szCs w:val="18"/>
                <w:color w:val="auto"/>
              </w:rPr>
              <w:t>Interest rate swap — Accrued expenses and other current liabilities (b)</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2,103</w:t>
            </w:r>
          </w:p>
        </w:tc>
        <w:tc>
          <w:tcPr>
            <w:tcW w:w="90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4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 classifies derivative assets and liabilities as current based on the cash flows expected to be incurred within the following 12 months.</w:t>
      </w:r>
    </w:p>
    <w:p>
      <w:pPr>
        <w:spacing w:after="0" w:line="38" w:lineRule="exact"/>
        <w:rPr>
          <w:rFonts w:ascii="Arial" w:cs="Arial" w:eastAsia="Arial" w:hAnsi="Arial"/>
          <w:sz w:val="16"/>
          <w:szCs w:val="16"/>
          <w:color w:val="auto"/>
        </w:rPr>
      </w:pPr>
    </w:p>
    <w:p>
      <w:pPr>
        <w:ind w:left="460" w:right="340" w:hanging="452"/>
        <w:spacing w:after="0" w:line="323"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At June 30, 2011 and December 31, 2010, the notional amount related to the Company’s sole interest rate swap was $144.4 million and $148.1 million, respectively. In the subsequent twelve months, the Company expects to reduce these amounts by $10.3 million and $8.4 million, respectively.</w:t>
      </w:r>
    </w:p>
    <w:p>
      <w:pPr>
        <w:spacing w:after="0" w:line="9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following presents the effect of derivative instruments designated as cash flow hedges on the accompanying consolidated statements of operations during the three and six months ended June 30, 2011 and 2010:</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 of</w:t>
            </w: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 of Gain</w:t>
            </w:r>
          </w:p>
        </w:tc>
        <w:tc>
          <w:tcPr>
            <w:tcW w:w="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Gain</w:t>
            </w:r>
          </w:p>
        </w:tc>
        <w:tc>
          <w:tcPr>
            <w:tcW w:w="12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Reclassified</w:t>
            </w:r>
          </w:p>
        </w:tc>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Recognized</w:t>
            </w: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from AOCI Into</w:t>
            </w:r>
          </w:p>
        </w:tc>
        <w:tc>
          <w:tcPr>
            <w:tcW w:w="220" w:type="dxa"/>
            <w:vAlign w:val="bottom"/>
          </w:tcPr>
          <w:p>
            <w:pPr>
              <w:spacing w:after="0"/>
              <w:rPr>
                <w:sz w:val="12"/>
                <w:szCs w:val="12"/>
                <w:color w:val="auto"/>
              </w:rPr>
            </w:pPr>
          </w:p>
        </w:tc>
        <w:tc>
          <w:tcPr>
            <w:tcW w:w="2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Location in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160" w:type="dxa"/>
            <w:vAlign w:val="bottom"/>
            <w:gridSpan w:val="3"/>
          </w:tcPr>
          <w:p>
            <w:pPr>
              <w:jc w:val="center"/>
              <w:ind w:right="500"/>
              <w:spacing w:after="0" w:line="135" w:lineRule="exact"/>
              <w:rPr>
                <w:sz w:val="20"/>
                <w:szCs w:val="20"/>
                <w:color w:val="auto"/>
              </w:rPr>
            </w:pPr>
            <w:r>
              <w:rPr>
                <w:rFonts w:ascii="Arial" w:cs="Arial" w:eastAsia="Arial" w:hAnsi="Arial"/>
                <w:sz w:val="14"/>
                <w:szCs w:val="14"/>
                <w:b w:val="1"/>
                <w:bCs w:val="1"/>
                <w:color w:val="auto"/>
                <w:w w:val="96"/>
              </w:rPr>
              <w:t>in AOCI-</w:t>
            </w:r>
          </w:p>
        </w:tc>
        <w:tc>
          <w:tcPr>
            <w:tcW w:w="120" w:type="dxa"/>
            <w:vAlign w:val="bottom"/>
          </w:tcPr>
          <w:p>
            <w:pPr>
              <w:spacing w:after="0"/>
              <w:rPr>
                <w:sz w:val="11"/>
                <w:szCs w:val="11"/>
                <w:color w:val="auto"/>
              </w:rPr>
            </w:pPr>
          </w:p>
        </w:tc>
        <w:tc>
          <w:tcPr>
            <w:tcW w:w="112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86"/>
              </w:rPr>
              <w:t>Earnings-</w:t>
            </w:r>
          </w:p>
        </w:tc>
        <w:tc>
          <w:tcPr>
            <w:tcW w:w="220" w:type="dxa"/>
            <w:vAlign w:val="bottom"/>
          </w:tcPr>
          <w:p>
            <w:pPr>
              <w:spacing w:after="0"/>
              <w:rPr>
                <w:sz w:val="11"/>
                <w:szCs w:val="11"/>
                <w:color w:val="auto"/>
              </w:rPr>
            </w:pPr>
          </w:p>
        </w:tc>
        <w:tc>
          <w:tcPr>
            <w:tcW w:w="2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16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Effective</w:t>
            </w:r>
          </w:p>
        </w:tc>
        <w:tc>
          <w:tcPr>
            <w:tcW w:w="12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Effective</w:t>
            </w:r>
          </w:p>
        </w:tc>
        <w:tc>
          <w:tcPr>
            <w:tcW w:w="22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Statements of</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Portion</w:t>
            </w:r>
          </w:p>
        </w:tc>
        <w:tc>
          <w:tcPr>
            <w:tcW w:w="120" w:type="dxa"/>
            <w:vAlign w:val="bottom"/>
          </w:tcPr>
          <w:p>
            <w:pPr>
              <w:spacing w:after="0"/>
              <w:rPr>
                <w:sz w:val="15"/>
                <w:szCs w:val="15"/>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Portion</w:t>
            </w:r>
          </w:p>
        </w:tc>
        <w:tc>
          <w:tcPr>
            <w:tcW w:w="22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86"/>
              </w:rPr>
              <w:t>Operations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20" w:type="dxa"/>
            <w:vAlign w:val="bottom"/>
            <w:tcBorders>
              <w:top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4120" w:type="dxa"/>
            <w:vAlign w:val="bottom"/>
          </w:tcPr>
          <w:p>
            <w:pPr>
              <w:spacing w:after="0"/>
              <w:rPr>
                <w:sz w:val="7"/>
                <w:szCs w:val="7"/>
                <w:color w:val="auto"/>
              </w:rPr>
            </w:pPr>
          </w:p>
        </w:tc>
        <w:tc>
          <w:tcPr>
            <w:tcW w:w="2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June 30, 2011</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Interest rate swap</w:t>
            </w:r>
          </w:p>
        </w:tc>
        <w:tc>
          <w:tcPr>
            <w:tcW w:w="2740" w:type="dxa"/>
            <w:vAlign w:val="bottom"/>
            <w:gridSpan w:val="2"/>
          </w:tcPr>
          <w:p>
            <w:pPr>
              <w:ind w:left="264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ind w:left="100"/>
              <w:spacing w:after="0"/>
              <w:rPr>
                <w:sz w:val="20"/>
                <w:szCs w:val="20"/>
                <w:color w:val="auto"/>
              </w:rPr>
            </w:pPr>
            <w:r>
              <w:rPr>
                <w:rFonts w:ascii="Arial" w:cs="Arial" w:eastAsia="Arial" w:hAnsi="Arial"/>
                <w:sz w:val="18"/>
                <w:szCs w:val="18"/>
                <w:color w:val="auto"/>
              </w:rPr>
              <w:t>(2,958)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(570)</w:t>
            </w:r>
          </w:p>
        </w:tc>
        <w:tc>
          <w:tcPr>
            <w:tcW w:w="2240" w:type="dxa"/>
            <w:vAlign w:val="bottom"/>
            <w:gridSpan w:val="2"/>
          </w:tcPr>
          <w:p>
            <w:pPr>
              <w:ind w:left="2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1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June 30, 2010</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Currency hedge contracts</w:t>
            </w:r>
          </w:p>
        </w:tc>
        <w:tc>
          <w:tcPr>
            <w:tcW w:w="2740" w:type="dxa"/>
            <w:vAlign w:val="bottom"/>
            <w:gridSpan w:val="2"/>
          </w:tcPr>
          <w:p>
            <w:pPr>
              <w:ind w:left="264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ind w:left="100"/>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(1,009)</w:t>
            </w:r>
          </w:p>
        </w:tc>
        <w:tc>
          <w:tcPr>
            <w:tcW w:w="2240" w:type="dxa"/>
            <w:vAlign w:val="bottom"/>
            <w:gridSpan w:val="2"/>
          </w:tcPr>
          <w:p>
            <w:pPr>
              <w:ind w:left="220"/>
              <w:spacing w:after="0"/>
              <w:rPr>
                <w:sz w:val="20"/>
                <w:szCs w:val="20"/>
                <w:color w:val="auto"/>
              </w:rPr>
            </w:pPr>
            <w:r>
              <w:rPr>
                <w:rFonts w:ascii="Arial" w:cs="Arial" w:eastAsia="Arial" w:hAnsi="Arial"/>
                <w:sz w:val="18"/>
                <w:szCs w:val="18"/>
                <w:color w:val="auto"/>
              </w:rPr>
              <w:t>Other income (expense)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1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Six Months Ended June 30, 2011</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Interest rate swap</w:t>
            </w:r>
          </w:p>
        </w:tc>
        <w:tc>
          <w:tcPr>
            <w:tcW w:w="2740" w:type="dxa"/>
            <w:vAlign w:val="bottom"/>
            <w:gridSpan w:val="2"/>
          </w:tcPr>
          <w:p>
            <w:pPr>
              <w:ind w:left="264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ind w:left="100"/>
              <w:spacing w:after="0"/>
              <w:rPr>
                <w:sz w:val="20"/>
                <w:szCs w:val="20"/>
                <w:color w:val="auto"/>
              </w:rPr>
            </w:pPr>
            <w:r>
              <w:rPr>
                <w:rFonts w:ascii="Arial" w:cs="Arial" w:eastAsia="Arial" w:hAnsi="Arial"/>
                <w:sz w:val="18"/>
                <w:szCs w:val="18"/>
                <w:color w:val="auto"/>
              </w:rPr>
              <w:t>(2,781)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(1,143)</w:t>
            </w:r>
          </w:p>
        </w:tc>
        <w:tc>
          <w:tcPr>
            <w:tcW w:w="2240" w:type="dxa"/>
            <w:vAlign w:val="bottom"/>
            <w:gridSpan w:val="2"/>
          </w:tcPr>
          <w:p>
            <w:pPr>
              <w:ind w:left="2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1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Six Months Ended June 30, 2010</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Currency hedge contracts</w:t>
            </w:r>
          </w:p>
        </w:tc>
        <w:tc>
          <w:tcPr>
            <w:tcW w:w="2740" w:type="dxa"/>
            <w:vAlign w:val="bottom"/>
            <w:gridSpan w:val="2"/>
          </w:tcPr>
          <w:p>
            <w:pPr>
              <w:ind w:left="264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ind w:left="100"/>
              <w:spacing w:after="0"/>
              <w:rPr>
                <w:sz w:val="20"/>
                <w:szCs w:val="20"/>
                <w:color w:val="auto"/>
              </w:rPr>
            </w:pPr>
            <w:r>
              <w:rPr>
                <w:rFonts w:ascii="Arial" w:cs="Arial" w:eastAsia="Arial" w:hAnsi="Arial"/>
                <w:sz w:val="18"/>
                <w:szCs w:val="18"/>
                <w:color w:val="auto"/>
              </w:rPr>
              <w:t>(1,734)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(1,718)</w:t>
            </w:r>
          </w:p>
        </w:tc>
        <w:tc>
          <w:tcPr>
            <w:tcW w:w="2240" w:type="dxa"/>
            <w:vAlign w:val="bottom"/>
            <w:gridSpan w:val="2"/>
          </w:tcPr>
          <w:p>
            <w:pPr>
              <w:ind w:left="220"/>
              <w:spacing w:after="0"/>
              <w:rPr>
                <w:sz w:val="20"/>
                <w:szCs w:val="20"/>
                <w:color w:val="auto"/>
              </w:rPr>
            </w:pPr>
            <w:r>
              <w:rPr>
                <w:rFonts w:ascii="Arial" w:cs="Arial" w:eastAsia="Arial" w:hAnsi="Arial"/>
                <w:sz w:val="18"/>
                <w:szCs w:val="18"/>
                <w:color w:val="auto"/>
              </w:rPr>
              <w:t>Other income (expense)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640" w:type="dxa"/>
            <w:vAlign w:val="bottom"/>
            <w:vMerge w:val="restart"/>
          </w:tcPr>
          <w:p>
            <w:pPr>
              <w:ind w:left="1480"/>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recognized no gains or losses resulting from ineffectiveness of cash flow hedges during the three and six months ended June 30, 2011 and 2010.</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9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June 30, 2011, the Company had stock options, restricted stock awards, performance stock awards, contract stock awards and restricted stock unit awards outstanding under six plans, the 1996 Incentive Stock Option and Non-Qualified Stock Option Plan (the “1996 Plan”), the 1998 Stock Option Plan (the “1998 Plan”), the 1999 Stock Option Plan (the “1999 Plan”), the 2000 Equity Incentive Plan (the “2000 Plan”), the 2001 Equity Incentive Plan (the “2001 Plan”), and the 2003 Equity Incentive Plan (the “2003 Plan,” and collectively, the “Plans”). No new awards may be granted under the 1996 Plan, the 1998 Plan, the 1999 Plan and the 2000 Plan.</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Stock options issued under the Plans become exercisable over specified periods, generally within four years from the date of grant for officers, directors and employees, and generally expire six years from the grant date for employees and from six to ten years for directors and certain executive officers. Restricted stock issued under the Plans vests over specified periods, generally three years after the date of grant.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9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 granted approximately 34,000 and 59,000 stock options during the six months ended June 30, 2011 and June 30, 2010, respectively. As of June 30, 2011, there were approximately $1.3 million of total unrecognized compensation costs related to unvested stock options. These costs are expected to be recognized over a weighted-average period of approximately 2 years. The Company received net proceeds of $3.3 million and $4.6 million from stock option exercises for the six months ended June 30, 2011 and 2010,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Awards of Restricted Stock, Performance Stock and Contract Stock</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Performance stock awards have performance features associated with them. Performance stock, restricted stock and contract stock awards generally have requisite service periods of three years. The Company expenses the fair value of these awards on a straight-line basis over the vesting period or requisite service period, whichever is shorter. As of June 30, 2011, there were approximately $13.1 million of total unrecognized compensation costs related to unvested awards. The Company expects to recognize these costs over a weighted-average period of approximately two years.</w:t>
      </w:r>
    </w:p>
    <w:p>
      <w:pPr>
        <w:spacing w:after="0" w:line="113"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On May 17, 2011, in connection with the extension of the employment agreement with the chief executive officer, the Company provided a grant of 165,000 contract stock/stock units (“SUs”). As the SUs vested at the grant date, the Company recognized a charge of approximately $8.4 million upon issuance, which was included in selling, general and administrative expenses.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formal policy related to the repurchase of shares for the purpose of satisfying stock-based compensation obligations.</w:t>
      </w:r>
    </w:p>
    <w:p>
      <w:pPr>
        <w:spacing w:after="0" w:line="171"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The Company also maintains an Employee Stock Purchase Plan (the “ESPP”), which provides eligible employees with the opportunity to acquire shares of common stock at periodic intervals by means of accumulated payroll deductions. The ESPP is a non-compensatory plan based on its terms.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TREASURY STOCK</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On October 29, 2010, the Company’s Board of Directors authorized the Company to repurchase shares of the Company’s common stock for an aggregate purchase price not to exceed $75.0 million through December 31, 2012. Shares may be purchased either in the open market or in privately negotiated transactions. As of June 30, 2011, there remained $55.5 million available for share repurchases under this authorization. In addition to the authorization above, on June 3, 2011, the Company’s Board of Directors separately authorized the Company to repurchase shares of common stock from the proceeds of the 2016 Notes in connection with that offering. The following table sets forth the Company’s treasury stock activity:</w:t>
      </w:r>
    </w:p>
    <w:p>
      <w:pPr>
        <w:spacing w:after="0" w:line="13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6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 of Shares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40" w:type="dxa"/>
            <w:vAlign w:val="bottom"/>
            <w:gridSpan w:val="3"/>
          </w:tcPr>
          <w:p>
            <w:pPr>
              <w:jc w:val="center"/>
              <w:ind w:right="2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w w:val="92"/>
              </w:rPr>
              <w:t>Shares repurchased in the open market in connection with the Board approved buyback</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program</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$19,439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Shares repurchased in connection with the issuance of the 2016 Notes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37,570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57,009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RETIREMENT BENEFIT PLANS</w:t>
      </w:r>
    </w:p>
    <w:p>
      <w:pPr>
        <w:spacing w:after="0" w:line="96" w:lineRule="exact"/>
        <w:rPr>
          <w:sz w:val="20"/>
          <w:szCs w:val="20"/>
          <w:color w:val="auto"/>
        </w:rPr>
      </w:pPr>
    </w:p>
    <w:p>
      <w:pPr>
        <w:ind w:right="260"/>
        <w:spacing w:after="0" w:line="335" w:lineRule="auto"/>
        <w:rPr>
          <w:sz w:val="20"/>
          <w:szCs w:val="20"/>
          <w:color w:val="auto"/>
        </w:rPr>
      </w:pPr>
      <w:r>
        <w:rPr>
          <w:rFonts w:ascii="Arial" w:cs="Arial" w:eastAsia="Arial" w:hAnsi="Arial"/>
          <w:sz w:val="15"/>
          <w:szCs w:val="15"/>
          <w:color w:val="auto"/>
        </w:rPr>
        <w:t>The Company maintains defined benefit pension plans that cover employees in its manufacturing plants located in Andover, United Kingdom (the “UK Plan”) and Tuttlingen, Germany (the “Germany Plan”). The Company closed the Tuttlingen, Germany plant in December 2005. The Company did not terminate the Germany Plan and the Company remains obligated for the accrued pension benefits related to this plan. The plans cover certain current and former employees.</w:t>
      </w:r>
    </w:p>
    <w:p>
      <w:pPr>
        <w:spacing w:after="0" w:line="88"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Effective March 31, 2011, the Company froze the benefits due to the participants of the UK Plan in their entirety; this curtailment resulted in a $0.3 million reduction in the projected benefit obligations which the Company recorded on that date. The Company recorded the entire curtailment gain as an offset to the unrecognized net actuarial loss in accumulated other comprehensive income; therefore, this gain had no impact on the condensed consolidated statements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Net periodic benefit costs for the Company’s defined benefit pension plans included the following amounts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8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4"/>
                <w:szCs w:val="14"/>
                <w:color w:val="auto"/>
              </w:rPr>
            </w:pPr>
          </w:p>
        </w:tc>
        <w:tc>
          <w:tcPr>
            <w:tcW w:w="20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1"/>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2011</w:t>
            </w:r>
          </w:p>
        </w:tc>
        <w:tc>
          <w:tcPr>
            <w:tcW w:w="7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2010</w:t>
            </w:r>
          </w:p>
        </w:tc>
        <w:tc>
          <w:tcPr>
            <w:tcW w:w="6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w w:val="96"/>
              </w:rPr>
              <w:t>2011</w:t>
            </w:r>
          </w:p>
        </w:tc>
        <w:tc>
          <w:tcPr>
            <w:tcW w:w="3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 cost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169</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155</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334</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(149)</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Recognized net actuarial loss</w:t>
            </w:r>
          </w:p>
        </w:tc>
        <w:tc>
          <w:tcPr>
            <w:tcW w:w="160" w:type="dxa"/>
            <w:vAlign w:val="bottom"/>
          </w:tcPr>
          <w:p>
            <w:pPr>
              <w:spacing w:after="0"/>
              <w:rPr>
                <w:sz w:val="18"/>
                <w:szCs w:val="18"/>
                <w:color w:val="auto"/>
              </w:rPr>
            </w:pPr>
          </w:p>
        </w:tc>
        <w:tc>
          <w:tcPr>
            <w:tcW w:w="12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4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period benefit cost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3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40"/>
        <w:spacing w:after="0" w:line="268" w:lineRule="auto"/>
        <w:rPr>
          <w:sz w:val="20"/>
          <w:szCs w:val="20"/>
          <w:color w:val="auto"/>
        </w:rPr>
      </w:pPr>
      <w:r>
        <w:rPr>
          <w:rFonts w:ascii="Arial" w:cs="Arial" w:eastAsia="Arial" w:hAnsi="Arial"/>
          <w:sz w:val="18"/>
          <w:szCs w:val="18"/>
          <w:color w:val="auto"/>
        </w:rPr>
        <w:t>The Company made $0.4 million and $0.5 million of contributions to its defined benefit pension plans during the six months ended June 30, 2011 and 2010,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Company’s effective tax rate: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0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85"/>
              </w:rPr>
              <w:t>June 30,</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4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2011</w:t>
            </w:r>
          </w:p>
        </w:tc>
        <w:tc>
          <w:tcPr>
            <w:tcW w:w="9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w w:val="83"/>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180" w:type="dxa"/>
            <w:vAlign w:val="bottom"/>
          </w:tcPr>
          <w:p>
            <w:pPr>
              <w:spacing w:after="0"/>
              <w:rPr>
                <w:sz w:val="7"/>
                <w:szCs w:val="7"/>
                <w:color w:val="auto"/>
              </w:rPr>
            </w:pPr>
          </w:p>
        </w:tc>
        <w:tc>
          <w:tcPr>
            <w:tcW w:w="5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Reported tax rate</w:t>
            </w:r>
          </w:p>
        </w:tc>
        <w:tc>
          <w:tcPr>
            <w:tcW w:w="6600" w:type="dxa"/>
            <w:vAlign w:val="bottom"/>
            <w:gridSpan w:val="3"/>
            <w:shd w:val="clear" w:color="auto" w:fill="CCEEFF"/>
          </w:tcPr>
          <w:p>
            <w:pPr>
              <w:jc w:val="right"/>
              <w:ind w:right="692"/>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460" w:type="dxa"/>
            <w:vAlign w:val="bottom"/>
            <w:gridSpan w:val="3"/>
          </w:tcPr>
          <w:p>
            <w:pPr>
              <w:jc w:val="center"/>
              <w:ind w:left="332"/>
              <w:spacing w:after="0"/>
              <w:rPr>
                <w:sz w:val="20"/>
                <w:szCs w:val="20"/>
                <w:color w:val="auto"/>
              </w:rPr>
            </w:pPr>
            <w:r>
              <w:rPr>
                <w:rFonts w:ascii="Arial" w:cs="Arial" w:eastAsia="Arial" w:hAnsi="Arial"/>
                <w:sz w:val="14"/>
                <w:szCs w:val="14"/>
                <w:b w:val="1"/>
                <w:bCs w:val="1"/>
                <w:color w:val="auto"/>
                <w:w w:val="87"/>
              </w:rPr>
              <w:t>Six Months Ended</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85"/>
              </w:rPr>
              <w:t>June 30,</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4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2011</w:t>
            </w:r>
          </w:p>
        </w:tc>
        <w:tc>
          <w:tcPr>
            <w:tcW w:w="9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w w:val="83"/>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180" w:type="dxa"/>
            <w:vAlign w:val="bottom"/>
          </w:tcPr>
          <w:p>
            <w:pPr>
              <w:spacing w:after="0"/>
              <w:rPr>
                <w:sz w:val="7"/>
                <w:szCs w:val="7"/>
                <w:color w:val="auto"/>
              </w:rPr>
            </w:pPr>
          </w:p>
        </w:tc>
        <w:tc>
          <w:tcPr>
            <w:tcW w:w="5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Reported tax rate</w:t>
            </w:r>
          </w:p>
        </w:tc>
        <w:tc>
          <w:tcPr>
            <w:tcW w:w="6600" w:type="dxa"/>
            <w:vAlign w:val="bottom"/>
            <w:gridSpan w:val="3"/>
            <w:shd w:val="clear" w:color="auto" w:fill="CCEEFF"/>
          </w:tcPr>
          <w:p>
            <w:pPr>
              <w:jc w:val="right"/>
              <w:ind w:right="692"/>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240" w:type="dxa"/>
            <w:vAlign w:val="bottom"/>
          </w:tcPr>
          <w:p>
            <w:pPr>
              <w:jc w:val="right"/>
              <w:ind w:right="3012"/>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The Company’s effective income tax rates for the three months ended June 30, 2011 and 2010 were 65.0% and 28.1%, respectively. Income tax expense for the three months ended June 30, 2011 included a $1.7 million correction to a deferred tax asset relating to 2009. The correction was not material to 2009 or to the expected results for the full year 2011, but represented a sizable adjustment to the tax expense recorded in the quarter. In addition, a tax law change in the State of New Jersey, effective June 30, 2011, resulted in an adjustment to certain deferred tax assets, which increased tax expense by $0.7 million. Further, the Company’s projection of full year income decreased significantly, especially in the United States because of certain costs and expenses recorded in the second quarter and the projection of similar costs and expenses for the remainder of the year. This change in estimate of the expected full year tax rate resulted in a year-to-date reduction of income tax expense recorded in the quarter. All of these items resulted in the reported effective tax rate for the three months ended June 30, 2011 to be 65.0%.</w:t>
      </w:r>
    </w:p>
    <w:p>
      <w:pPr>
        <w:spacing w:after="0" w:line="10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Company’s effective income tax rates for the six months ended June 30, 2011 and 2010 were 27.6% and 24.8%, respectively. The income tax expense for the six months ended June 30, 2011 includes additional tax expense related to a $1.7 million correction to a deferred tax asset relating to 2009 that was recorded during the six-month period. This increase is partially offset because the Tax Relief, Unemployment Insurance and Job Creation Act of 2010 was passed during the fourth quarter of 2010, and had the effect of lowering the tax rate used to determine the tax provision for the second quarter of 2011 versus the rate that was in effect for the second quarter of 2010. Additionally, during the same period last year, we recorded a reversal of $2.3 million of accruals for uncertain tax positions resulting from matters which were considered effectively settled and the expiration of the statute of limitations for certain matters, which further lowered our effective tax rate for the prior-year period. Further, the Company’s projection of full year income decreased significantly, especially in the United States because of certain costs and expenses recorded in the second quarter and the projection of similar costs and expenses for the remainder of the year. This change in estimate of the expected full year tax rate resulted in a year-to-date reduction of income tax expense recorded during the six-month period.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INCOME PER SHARE</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Certain of the Company’s unvested restricted share units contain rights to receive nonforfeitable dividends, and thus, are participating securities requiring the two-class method of computing earnings per share. The participating securities had an insignificant impact on the calculation of earnings per share (impacts the rounding by less than $0.01 per share) on all of the periods presented; therefore, the Company does not present the full calculation below.</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income per share was as follows (in thousands, except per share amounts):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ind w:left="40"/>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2011</w:t>
            </w:r>
          </w:p>
        </w:tc>
        <w:tc>
          <w:tcPr>
            <w:tcW w:w="4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net income per share:</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699</w:t>
            </w:r>
          </w:p>
        </w:tc>
        <w:tc>
          <w:tcPr>
            <w:tcW w:w="48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15,157</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12,186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30,379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29,556</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29,855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29,559</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29,672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Basic net income per common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0.02</w:t>
            </w:r>
          </w:p>
        </w:tc>
        <w:tc>
          <w:tcPr>
            <w:tcW w:w="48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0.51</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0.41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699</w:t>
            </w:r>
          </w:p>
        </w:tc>
        <w:tc>
          <w:tcPr>
            <w:tcW w:w="48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15,157</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12,186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30,379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29,556</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29,855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29,559</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29,672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Stock options and restricted stock</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595</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6080" w:type="dxa"/>
            <w:vAlign w:val="bottom"/>
            <w:gridSpan w:val="2"/>
          </w:tcPr>
          <w:p>
            <w:pPr>
              <w:spacing w:after="0"/>
              <w:rPr>
                <w:sz w:val="20"/>
                <w:szCs w:val="20"/>
                <w:color w:val="auto"/>
              </w:rPr>
            </w:pPr>
            <w:r>
              <w:rPr>
                <w:rFonts w:ascii="Arial" w:cs="Arial" w:eastAsia="Arial" w:hAnsi="Arial"/>
                <w:sz w:val="18"/>
                <w:szCs w:val="18"/>
                <w:color w:val="auto"/>
              </w:rPr>
              <w:t>Weighted average common shares for diluted earnings per share</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30,178</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30,399</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30,154</w:t>
            </w: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30,282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0.40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spacing w:after="0" w:line="303" w:lineRule="auto"/>
        <w:rPr>
          <w:sz w:val="20"/>
          <w:szCs w:val="20"/>
          <w:color w:val="auto"/>
        </w:rPr>
      </w:pPr>
      <w:r>
        <w:rPr>
          <w:rFonts w:ascii="Arial" w:cs="Arial" w:eastAsia="Arial" w:hAnsi="Arial"/>
          <w:sz w:val="15"/>
          <w:szCs w:val="15"/>
          <w:color w:val="auto"/>
        </w:rPr>
        <w:t>At June 30, 2011 and 2010 the Company had 1.5 million and 1.9 million of outstanding stock options, respectively. The Company also has warrants outstanding relating to its 2016 Notes and 2012 Notes. Stock options, restricted stock and warrants are included in the diluted earnings per share calculation using the treasury stock method, unless the effect of including the stock options would be anti-dilutive. For the three months ended June 30, 2011 and 2010, 0.1 million and</w:t>
      </w:r>
    </w:p>
    <w:p>
      <w:pPr>
        <w:spacing w:after="0" w:line="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0.7 million anti-dilutive stock options, respectively, were excluded from the diluted earnings per share calculation. For the six months ended June 30, 2011 and 2010, 0.2 million and 0.7 million anti-dilutive stock options, respectively, were excluded from the diluted earnings per share calculation. As the strike price of the warrants exceeded the Company’s average stock price for the period, the warrants are anti-dilutive and the entire number of warrants was also excluded from the diluted earnings per share calculation.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920" w:firstLine="8"/>
        <w:spacing w:after="0" w:line="445" w:lineRule="auto"/>
        <w:tabs>
          <w:tab w:leader="none" w:pos="263"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COMPREHENSIVE (LOSS) INCOME </w:t>
      </w:r>
      <w:r>
        <w:rPr>
          <w:rFonts w:ascii="Arial" w:cs="Arial" w:eastAsia="Arial" w:hAnsi="Arial"/>
          <w:sz w:val="16"/>
          <w:szCs w:val="16"/>
          <w:color w:val="auto"/>
        </w:rPr>
        <w:t>Comprehensive (loss) income was as follows (in thousands):</w:t>
      </w:r>
    </w:p>
    <w:p>
      <w:pPr>
        <w:spacing w:after="0" w:line="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87"/>
              </w:rPr>
              <w:t>Three Months Ended June 30,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88"/>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Borders>
              <w:bottom w:val="single" w:sz="8" w:color="CCEEFF"/>
            </w:tcBorders>
          </w:tcPr>
          <w:p>
            <w:pPr>
              <w:spacing w:after="0"/>
              <w:rPr>
                <w:sz w:val="12"/>
                <w:szCs w:val="12"/>
                <w:color w:val="auto"/>
              </w:rPr>
            </w:pPr>
          </w:p>
        </w:tc>
        <w:tc>
          <w:tcPr>
            <w:tcW w:w="11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12,186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4,934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(16,704)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18,400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(27,933)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Change in unrealized gain on derivatives, net of tax</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Pension liability adjustment, net of tax</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185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8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4,195</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29,838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AND GEOGRAPHIC INFORMATION</w:t>
      </w:r>
    </w:p>
    <w:p>
      <w:pPr>
        <w:spacing w:after="0" w:line="96"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The Company’s chief operating decision maker reviews financial results and manages the business on an aggregate basis. Therefore, the Company presents financial results in a single reporting segment - the development, manufacture and distribution of medical devices.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Revenue consisted of the following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4"/>
                <w:szCs w:val="14"/>
                <w:color w:val="auto"/>
              </w:rPr>
            </w:pPr>
          </w:p>
        </w:tc>
        <w:tc>
          <w:tcPr>
            <w:tcW w:w="1880" w:type="dxa"/>
            <w:vAlign w:val="bottom"/>
            <w:gridSpan w:val="5"/>
          </w:tcPr>
          <w:p>
            <w:pPr>
              <w:ind w:left="100"/>
              <w:spacing w:after="0"/>
              <w:rPr>
                <w:sz w:val="20"/>
                <w:szCs w:val="20"/>
                <w:color w:val="auto"/>
              </w:rPr>
            </w:pPr>
            <w:r>
              <w:rPr>
                <w:rFonts w:ascii="Arial" w:cs="Arial" w:eastAsia="Arial" w:hAnsi="Arial"/>
                <w:sz w:val="14"/>
                <w:szCs w:val="14"/>
                <w:b w:val="1"/>
                <w:bCs w:val="1"/>
                <w:color w:val="auto"/>
                <w:w w:val="97"/>
              </w:rPr>
              <w:t>Six Months Ended June 30,</w:t>
            </w:r>
          </w:p>
        </w:tc>
      </w:tr>
      <w:tr>
        <w:trPr>
          <w:trHeight w:val="142"/>
        </w:trPr>
        <w:tc>
          <w:tcPr>
            <w:tcW w:w="6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Borders>
              <w:top w:val="single" w:sz="8" w:color="auto"/>
            </w:tcBorders>
          </w:tcPr>
          <w:p>
            <w:pPr>
              <w:jc w:val="right"/>
              <w:ind w:right="146"/>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6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Orthopedics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80,579</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72,819</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$ 152,813</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$ 143,006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Neurosurgery</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72,102</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66,306</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140,460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131,080</w:t>
            </w: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Instruments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40,648</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39,470</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81,097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77,207</w:t>
            </w:r>
          </w:p>
        </w:tc>
        <w:tc>
          <w:tcPr>
            <w:tcW w:w="100" w:type="dxa"/>
            <w:vAlign w:val="bottom"/>
            <w:shd w:val="clear" w:color="auto" w:fill="CCEEFF"/>
          </w:tcPr>
          <w:p>
            <w:pPr>
              <w:spacing w:after="0"/>
              <w:rPr>
                <w:sz w:val="18"/>
                <w:szCs w:val="18"/>
                <w:color w:val="auto"/>
              </w:rPr>
            </w:pPr>
          </w:p>
        </w:tc>
      </w:tr>
      <w:tr>
        <w:trPr>
          <w:trHeight w:val="20"/>
        </w:trPr>
        <w:tc>
          <w:tcPr>
            <w:tcW w:w="6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0"/>
        </w:trPr>
        <w:tc>
          <w:tcPr>
            <w:tcW w:w="6260" w:type="dxa"/>
            <w:vAlign w:val="bottom"/>
          </w:tcPr>
          <w:p>
            <w:pPr>
              <w:spacing w:after="0"/>
              <w:rPr>
                <w:sz w:val="20"/>
                <w:szCs w:val="20"/>
                <w:color w:val="auto"/>
              </w:rPr>
            </w:pPr>
            <w:r>
              <w:rPr>
                <w:rFonts w:ascii="Arial" w:cs="Arial" w:eastAsia="Arial" w:hAnsi="Arial"/>
                <w:sz w:val="18"/>
                <w:szCs w:val="18"/>
                <w:color w:val="auto"/>
              </w:rPr>
              <w:t>Total 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193,329</w:t>
            </w:r>
          </w:p>
        </w:tc>
        <w:tc>
          <w:tcPr>
            <w:tcW w:w="38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178,595</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$ 374,370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$ 351,293</w:t>
            </w:r>
          </w:p>
        </w:tc>
        <w:tc>
          <w:tcPr>
            <w:tcW w:w="100" w:type="dxa"/>
            <w:vAlign w:val="bottom"/>
          </w:tcPr>
          <w:p>
            <w:pPr>
              <w:spacing w:after="0"/>
              <w:rPr>
                <w:sz w:val="24"/>
                <w:szCs w:val="24"/>
                <w:color w:val="auto"/>
              </w:rPr>
            </w:pPr>
          </w:p>
        </w:tc>
      </w:tr>
      <w:tr>
        <w:trPr>
          <w:trHeight w:val="20"/>
        </w:trPr>
        <w:tc>
          <w:tcPr>
            <w:tcW w:w="6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Company attributes revenues to geographic areas based on the location of the customer. We summarize total revenues by major geographic area below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4"/>
                <w:szCs w:val="14"/>
                <w:color w:val="auto"/>
              </w:rPr>
            </w:pPr>
          </w:p>
        </w:tc>
        <w:tc>
          <w:tcPr>
            <w:tcW w:w="1880" w:type="dxa"/>
            <w:vAlign w:val="bottom"/>
            <w:gridSpan w:val="5"/>
          </w:tcPr>
          <w:p>
            <w:pPr>
              <w:ind w:left="100"/>
              <w:spacing w:after="0"/>
              <w:rPr>
                <w:sz w:val="20"/>
                <w:szCs w:val="20"/>
                <w:color w:val="auto"/>
              </w:rPr>
            </w:pPr>
            <w:r>
              <w:rPr>
                <w:rFonts w:ascii="Arial" w:cs="Arial" w:eastAsia="Arial" w:hAnsi="Arial"/>
                <w:sz w:val="14"/>
                <w:szCs w:val="14"/>
                <w:b w:val="1"/>
                <w:bCs w:val="1"/>
                <w:color w:val="auto"/>
                <w:w w:val="97"/>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Borders>
              <w:top w:val="single" w:sz="8" w:color="auto"/>
            </w:tcBorders>
          </w:tcPr>
          <w:p>
            <w:pPr>
              <w:jc w:val="right"/>
              <w:ind w:right="146"/>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144,872</w:t>
            </w: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138,760</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$ 278,172</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$ 268,123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Europe</w:t>
            </w: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25,209</w:t>
            </w: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20,076</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50,296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44,228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11,625</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9,174</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22,372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Other Foreign</w:t>
            </w: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11,623</w:t>
            </w: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10,585</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23,530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20,531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193,329</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178,595</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$ 374,370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$ 351,293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96"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In consideration for certain technology, manufacturing, distribution and selling rights and licenses granted to the Company, the Company has agreed to pay royalties on sales of certain products that we sell. The royalty payments that the Company made under these agreements were not significant for any of the periods presented.</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settled, or has pending against it, various other lawsuits, claims and proceedings. We describe the most significant of these below.</w:t>
      </w:r>
    </w:p>
    <w:p>
      <w:pPr>
        <w:spacing w:after="0" w:line="1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January 2010, the Company received a notice from the seller’s representative of the former Theken companies of a disagreement in the calculation of “trade sales” used in calculating a revenue performance payment that the Company made in November 2009 related to the first performance year that ended September 30, 2009. The notice alleged that the Company owed an additional $6.7 million, and the Company recorded an accrual of $3.4 million for the settlement at that time. In January 2011, the Company received a notice from the seller’s representative that the alleged amount owed had been reduced to $5.7 million, and in June 2011 the Company and the seller agreed to settle the matter for $4.6 million. An accrual for an additional $1.2 million has been recorded at June 30, 2011 – for a total accrual of $4.6 million. There are no amounts due under the asset purchase agreement for the second performance year that ended September 30, 2010.</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24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has various product liability claims pending against it for which it currently has accruals totaling $4.8 million recorded in the financial statements. The Company’s insurance policies cover these matters and the Company has recorded a corresponding receivable. Therefore, there is no impact on the Company’s consolidated statements of operations.</w:t>
      </w:r>
    </w:p>
    <w:p>
      <w:pPr>
        <w:spacing w:after="0" w:line="140"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In addition to these matters, the Company is subject to various claims, lawsuits and proceedings in the ordinary course of its business, including claims by current or former employees, distributors and competitors and with respect to its products. In the opinion of management, such claims are either adequately covered by insurance or otherwise indemnified, or are not expected, individually or in the aggregate, to result in a material adverse effect on the Company’s financial condition. However, it is possible that these contingencies could materially affect its results of operations, financial position and cash flows in a particular period.</w:t>
      </w:r>
    </w:p>
    <w:p>
      <w:pPr>
        <w:spacing w:after="0" w:line="9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a period cost as outside counsel incurs those fees.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condensed consolidated financial statements and the related notes thereto appearing elsewhere in this report and our consolidated financial statements for the year ended December 31, 2010 included in our Annual Report on Form 10-K.</w:t>
      </w:r>
    </w:p>
    <w:p>
      <w:pPr>
        <w:spacing w:after="0" w:line="140" w:lineRule="exact"/>
        <w:rPr>
          <w:sz w:val="20"/>
          <w:szCs w:val="20"/>
          <w:color w:val="auto"/>
        </w:rPr>
      </w:pPr>
    </w:p>
    <w:p>
      <w:pPr>
        <w:ind w:right="160"/>
        <w:spacing w:after="0" w:line="318" w:lineRule="auto"/>
        <w:rPr>
          <w:sz w:val="20"/>
          <w:szCs w:val="20"/>
          <w:color w:val="auto"/>
        </w:rPr>
      </w:pPr>
      <w:r>
        <w:rPr>
          <w:rFonts w:ascii="Arial" w:cs="Arial" w:eastAsia="Arial" w:hAnsi="Arial"/>
          <w:sz w:val="15"/>
          <w:szCs w:val="15"/>
          <w:color w:val="auto"/>
        </w:rPr>
        <w:t>We have made statements in this report which constitute forward-looking statements within the meaning of Section 27A of the Securities Act of 1933 and Section 21E of the Securities Exchange Act of 1934 (the “Exchange Act”). These forward-looking statements are subject to a number of risks, uncertainties and assumptions about the Company. Our actual results may differ materially from those anticipated in these forward-looking statements as a result of many factors, including but not limited to those set forth above under the heading “Risk Factors” in our Annual Report on Form 10-K for the year ended December 31, 2010. We undertake no obligation to publicly update or revise any forward-looking statements, whether as a result of new information, future events or otherwise.</w:t>
      </w:r>
    </w:p>
    <w:p>
      <w:pPr>
        <w:spacing w:after="0" w:line="10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You can identify these forward-looking statements by forward-looking words such as “believe,” “may,” “could,” “will,” “estimate,” “continue,” “anticipate,” “intend,” “seek,” “plan,” “expect,” “should,” “would” and similar expressions in this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Integra is a world leader in medical devices and is focused on limiting uncertainty for surgeons so they can concentrate on providing the best patient care. Integra offers innovative solutions in orthopedic surgery, neurosurgery, spine surgery, and reconstructive and general surgery.</w:t>
      </w:r>
    </w:p>
    <w:p>
      <w:pPr>
        <w:spacing w:after="0" w:line="13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present revenues in three market categories — Orthopedics, Neurosurgery and Instruments. Our orthopedics products include specialty metal implants for surgery of the extremities and spine, orthobiologics products for repair and grafting of bone, dermal regeneration products and tissue engineered wound dressings and nerve and tendon repair products. Our neurosurgery products group includes, among other things, grafts that are indicated for the repair of the dura mater, ultrasonic surgery systems for tissue ablation, cranial stabilization and brain retraction systems, systems for measurement of various brain parameters and devices used to gain access to the cranial cavity and to drain excess cerebrospinal fluid from the ventricles of the brain. Our instrument products include a wide range of specialty and general surgical and dental instruments and surgical lighting for sale to hospitals, surgery centers, and dental, podiatry, veterinary and physician offices.</w:t>
      </w:r>
    </w:p>
    <w:p>
      <w:pPr>
        <w:spacing w:after="0" w:line="14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manage these product groups and distribution channels on a centralized basis. Accordingly, we present our financial results under a single reporting segment — the development, manufacture and distribution of medical devices.</w:t>
      </w:r>
    </w:p>
    <w:p>
      <w:pPr>
        <w:spacing w:after="0" w:line="13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manufacture many of our products in plants located in the United States, France, Germany, Ireland, Mexico, Puerto Rico and the United Kingdom. We also source most of our hand-held surgical instruments through specialized third-party vendors.</w:t>
      </w:r>
    </w:p>
    <w:p>
      <w:pPr>
        <w:spacing w:after="0" w:line="13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the United States, we have three sales channels. Within our Orthopedics sales channel, we sell through a large direct sales organization, and through specialty distributors focused on their respective surgical specialties. Neurosurgery sells products through directly employed sales representatives. Instruments sells through two sales channels, both directly and through distributors and wholesalers, depending on the customer call point.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We also market certain products through strategic corporate partners.</w:t>
      </w:r>
    </w:p>
    <w:p>
      <w:pPr>
        <w:spacing w:after="0" w:line="1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goal is to become a global leader in the development, manufacture and marketing of medical devices, implants and instruments by developing or acquiring innovative medical devices to sell through our sales channels. Our strategy therefore entails substantial growth in revenues through both internal means — launching new products and selling existing products more intensively — and by acquiring existing businesses or acquiring or in-licensing already successful product lines. We distinguish ourselves by emphasizing the importance of the relatively new field of regenerative medicine, which we define as surgical implants derived from our proprietary collagen matrix technology.</w:t>
      </w:r>
    </w:p>
    <w:p>
      <w:pPr>
        <w:spacing w:after="0" w:line="143"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We aim to achieve this growth in revenues while maintaining strong financial results. While we pay attention to any meaningful trend in our financial results, we pay particular attention to measurements that are indicative of long-term profitable growth. These measurements include (1) revenue growth (derived through acquisitions and products developed internally), (2) gross margins on total revenues, (3) operating margins (which we aim to continually expand on as we leverage our existing infrastructure), (4) earnings before interest, taxes, depreciation and amortization, and (5) earnings per diluted share of common stock.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we are particularly effective in the following aspects of our business:</w:t>
      </w:r>
    </w:p>
    <w:p>
      <w:pPr>
        <w:spacing w:after="0" w:line="90" w:lineRule="exact"/>
        <w:rPr>
          <w:sz w:val="20"/>
          <w:szCs w:val="20"/>
          <w:color w:val="auto"/>
        </w:rPr>
      </w:pPr>
    </w:p>
    <w:p>
      <w:pPr>
        <w:ind w:left="900" w:right="140" w:hanging="325"/>
        <w:spacing w:after="0" w:line="335" w:lineRule="auto"/>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i w:val="1"/>
          <w:iCs w:val="1"/>
          <w:color w:val="auto"/>
        </w:rPr>
        <w:t xml:space="preserve">Developing, manufacturing and selling regenerative medicine products. </w:t>
      </w:r>
      <w:r>
        <w:rPr>
          <w:rFonts w:ascii="Arial" w:cs="Arial" w:eastAsia="Arial" w:hAnsi="Arial"/>
          <w:sz w:val="15"/>
          <w:szCs w:val="15"/>
          <w:color w:val="auto"/>
        </w:rPr>
        <w:t>We have a broad technology platform for developing products that</w:t>
      </w:r>
      <w:r>
        <w:rPr>
          <w:rFonts w:ascii="Arial" w:cs="Arial" w:eastAsia="Arial" w:hAnsi="Arial"/>
          <w:sz w:val="15"/>
          <w:szCs w:val="15"/>
          <w:i w:val="1"/>
          <w:iCs w:val="1"/>
          <w:color w:val="auto"/>
        </w:rPr>
        <w:t xml:space="preserve"> </w:t>
      </w:r>
      <w:r>
        <w:rPr>
          <w:rFonts w:ascii="Arial" w:cs="Arial" w:eastAsia="Arial" w:hAnsi="Arial"/>
          <w:sz w:val="15"/>
          <w:szCs w:val="15"/>
          <w:color w:val="auto"/>
        </w:rPr>
        <w:t>regenerate or repair soft tissue and bone. We believe that we have a particular advantage in developing, manufacturing and selling tissue repair products derived from bovine collagen. These products constituted 24% of revenues for the six months ended June 30, 2011 and 2010, respectively.</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0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Developing metal implants for bone and joint repair, fixation and fusion. </w:t>
      </w:r>
      <w:r>
        <w:rPr>
          <w:rFonts w:ascii="Arial" w:cs="Arial" w:eastAsia="Arial" w:hAnsi="Arial"/>
          <w:sz w:val="18"/>
          <w:szCs w:val="18"/>
          <w:color w:val="auto"/>
        </w:rPr>
        <w:t>We have significant expertise in developing metal implants for use in bone</w:t>
      </w:r>
      <w:r>
        <w:rPr>
          <w:rFonts w:ascii="Arial" w:cs="Arial" w:eastAsia="Arial" w:hAnsi="Arial"/>
          <w:sz w:val="18"/>
          <w:szCs w:val="18"/>
          <w:i w:val="1"/>
          <w:iCs w:val="1"/>
          <w:color w:val="auto"/>
        </w:rPr>
        <w:t xml:space="preserve"> </w:t>
      </w:r>
      <w:r>
        <w:rPr>
          <w:rFonts w:ascii="Arial" w:cs="Arial" w:eastAsia="Arial" w:hAnsi="Arial"/>
          <w:sz w:val="18"/>
          <w:szCs w:val="18"/>
          <w:color w:val="auto"/>
        </w:rPr>
        <w:t>and joint repair, fixation and fusion and in successfully bringing those products to market.</w:t>
      </w:r>
    </w:p>
    <w:p>
      <w:pPr>
        <w:spacing w:after="0" w:line="50" w:lineRule="exact"/>
        <w:rPr>
          <w:rFonts w:ascii="Arial" w:cs="Arial" w:eastAsia="Arial" w:hAnsi="Arial"/>
          <w:sz w:val="18"/>
          <w:szCs w:val="18"/>
          <w:color w:val="auto"/>
        </w:rPr>
      </w:pPr>
    </w:p>
    <w:p>
      <w:pPr>
        <w:ind w:left="900" w:hanging="325"/>
        <w:spacing w:after="0" w:line="298"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Acquiring and integrating new product lines and complementary businesses. </w:t>
      </w:r>
      <w:r>
        <w:rPr>
          <w:rFonts w:ascii="Arial" w:cs="Arial" w:eastAsia="Arial" w:hAnsi="Arial"/>
          <w:sz w:val="16"/>
          <w:szCs w:val="16"/>
          <w:color w:val="auto"/>
        </w:rPr>
        <w:t>Since 2008, we have acquired and integrated eight product lines or</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businesses through a disciplined acquisition program. We emphasize acquiring product lines at reasonable valuations which complement our existing products or can be used to gain greater advantages from our broad technology platform in tissue regeneration and metal implants. Our management is experienced at successfully integrating acquired product lines and businesses.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96"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In May 2011, we acquired SeaSpine, Inc. (“SeaSpine”) for approximately $89.0 million subject to customary working capital adjustments and indemnification holdbacks totaling $8.0 million. SeaSpine, based in Vista, California, offers spinal fusion products to customers across the U.S. and in select markets in Europe. The addition of the SeaSpine business effectively doubles our distribution footprint and customer base in the U.S. spine hardware market.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Net income for the three months ended June 30, 2011 was $0.7 million, or $0.02 per diluted share as compared with net income of $15.2 million or $0.50 per diluted share for the three months ended June 30, 2010.</w:t>
      </w:r>
    </w:p>
    <w:p>
      <w:pPr>
        <w:spacing w:after="0" w:line="132"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Net income for the six months ended June 30, 2011 was $12.2 million, or $0.40 per diluted share as compared with net income of $30.4 million or $1.00 per diluted share for the six months ended June 30, 2010.</w:t>
      </w:r>
    </w:p>
    <w:p>
      <w:pPr>
        <w:spacing w:after="0" w:line="13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For both of these periods, the decrease in net income resulted primarily from selling, general and administrative costs in connection with an incremental stock based compensation charge of $8.4 million, costs related to the implementation of our global enterprise resource planning system, and impairments of intangible assets. Additionally, during the first and second quarters of 2010, we reversed accruals of uncertain tax positions which decreased our overall tax expense for the six months ended June 30, 2010.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Our costs and expenses include the following charges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spacing w:after="0"/>
              <w:rPr>
                <w:sz w:val="20"/>
                <w:szCs w:val="20"/>
                <w:color w:val="auto"/>
              </w:rPr>
            </w:pPr>
            <w:r>
              <w:rPr>
                <w:rFonts w:ascii="Arial" w:cs="Arial" w:eastAsia="Arial" w:hAnsi="Arial"/>
                <w:sz w:val="14"/>
                <w:szCs w:val="14"/>
                <w:b w:val="1"/>
                <w:bCs w:val="1"/>
                <w:color w:val="auto"/>
                <w:w w:val="91"/>
              </w:rPr>
              <w:t>Three Months Ended June 30,</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87"/>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Acquisition-related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6"/>
              </w:rPr>
              <w:t>640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w w:val="99"/>
              </w:rPr>
              <w:t>Charges related to extending our Chief Executive Officer’s employment contract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8,379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8,379</w:t>
            </w:r>
          </w:p>
        </w:tc>
        <w:tc>
          <w:tcPr>
            <w:tcW w:w="14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Certain employee termination and related charges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846</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w w:val="94"/>
              </w:rPr>
              <w:t>Facility consolidation, acquisition integration, manufacturing and distribution transfer</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20" w:type="dxa"/>
            <w:vAlign w:val="bottom"/>
          </w:tcPr>
          <w:p>
            <w:pPr>
              <w:jc w:val="right"/>
              <w:ind w:right="5492"/>
              <w:spacing w:after="0"/>
              <w:rPr>
                <w:sz w:val="20"/>
                <w:szCs w:val="20"/>
                <w:color w:val="auto"/>
              </w:rPr>
            </w:pPr>
            <w:r>
              <w:rPr>
                <w:rFonts w:ascii="Arial" w:cs="Arial" w:eastAsia="Arial" w:hAnsi="Arial"/>
                <w:sz w:val="18"/>
                <w:szCs w:val="18"/>
                <w:color w:val="auto"/>
              </w:rPr>
              <w:t>charges</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w w:val="86"/>
              </w:rPr>
              <w:t>784</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2,093</w:t>
            </w: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Systems implementation charges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5,587</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Intangible asset impairment charges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w w:val="86"/>
              </w:rPr>
              <w:t>797</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2,648</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Charges associated with discontinued or withdrawn product lines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3,179</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w w:val="94"/>
              </w:rPr>
              <w:t>Expenses related to issuance costs in connection with the revised credit agreement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790</w:t>
            </w:r>
          </w:p>
        </w:tc>
        <w:tc>
          <w:tcPr>
            <w:tcW w:w="14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Non-cash amortization of imputed interest for convertible debt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4"/>
              </w:rPr>
              <w:t>1,888</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3,632</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Charges related to restructuring our European entities</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378</w:t>
            </w:r>
          </w:p>
        </w:tc>
        <w:tc>
          <w:tcPr>
            <w:tcW w:w="14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22,397</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4"/>
              </w:rPr>
              <w:t>4,109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30,094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jc w:val="right"/>
              <w:ind w:right="912"/>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3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items reported above are reflected in the condensed consolidated statements of operations as follows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4"/>
          </w:tcPr>
          <w:p>
            <w:pPr>
              <w:jc w:val="right"/>
              <w:ind w:right="15"/>
              <w:spacing w:after="0"/>
              <w:rPr>
                <w:sz w:val="20"/>
                <w:szCs w:val="20"/>
                <w:color w:val="auto"/>
              </w:rPr>
            </w:pPr>
            <w:r>
              <w:rPr>
                <w:rFonts w:ascii="Arial" w:cs="Arial" w:eastAsia="Arial" w:hAnsi="Arial"/>
                <w:sz w:val="14"/>
                <w:szCs w:val="14"/>
                <w:b w:val="1"/>
                <w:bCs w:val="1"/>
                <w:color w:val="auto"/>
                <w:w w:val="86"/>
              </w:rPr>
              <w:t>Three Months Ended June 30,</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5"/>
          </w:tcPr>
          <w:p>
            <w:pPr>
              <w:ind w:left="20"/>
              <w:spacing w:after="0"/>
              <w:rPr>
                <w:sz w:val="20"/>
                <w:szCs w:val="20"/>
                <w:color w:val="auto"/>
              </w:rPr>
            </w:pPr>
            <w:r>
              <w:rPr>
                <w:rFonts w:ascii="Arial" w:cs="Arial" w:eastAsia="Arial" w:hAnsi="Arial"/>
                <w:sz w:val="14"/>
                <w:szCs w:val="14"/>
                <w:b w:val="1"/>
                <w:bCs w:val="1"/>
                <w:color w:val="auto"/>
                <w:w w:val="95"/>
              </w:rPr>
              <w:t>Six Months Ended June 30,</w:t>
            </w:r>
          </w:p>
        </w:tc>
      </w:tr>
      <w:tr>
        <w:trPr>
          <w:trHeight w:val="142"/>
        </w:trPr>
        <w:tc>
          <w:tcPr>
            <w:tcW w:w="6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w w:val="96"/>
              </w:rPr>
              <w:t>2010</w:t>
            </w:r>
          </w:p>
        </w:tc>
        <w:tc>
          <w:tcPr>
            <w:tcW w:w="3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6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product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4,854</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7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19,370</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Intangible asset amortization</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900</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797</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1,148</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4,422</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3,941</w:t>
            </w:r>
          </w:p>
        </w:tc>
        <w:tc>
          <w:tcPr>
            <w:tcW w:w="100" w:type="dxa"/>
            <w:vAlign w:val="bottom"/>
            <w:shd w:val="clear" w:color="auto" w:fill="CCEEFF"/>
          </w:tcPr>
          <w:p>
            <w:pPr>
              <w:spacing w:after="0"/>
              <w:rPr>
                <w:sz w:val="18"/>
                <w:szCs w:val="18"/>
                <w:color w:val="auto"/>
              </w:rPr>
            </w:pPr>
          </w:p>
        </w:tc>
      </w:tr>
      <w:tr>
        <w:trPr>
          <w:trHeight w:val="20"/>
        </w:trPr>
        <w:tc>
          <w:tcPr>
            <w:tcW w:w="6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0"/>
        </w:trPr>
        <w:tc>
          <w:tcPr>
            <w:tcW w:w="63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22,397</w:t>
            </w:r>
          </w:p>
        </w:tc>
        <w:tc>
          <w:tcPr>
            <w:tcW w:w="56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4,109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30,094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7,881</w:t>
            </w:r>
          </w:p>
        </w:tc>
        <w:tc>
          <w:tcPr>
            <w:tcW w:w="100" w:type="dxa"/>
            <w:vAlign w:val="bottom"/>
          </w:tcPr>
          <w:p>
            <w:pPr>
              <w:spacing w:after="0"/>
              <w:rPr>
                <w:sz w:val="24"/>
                <w:szCs w:val="24"/>
                <w:color w:val="auto"/>
              </w:rPr>
            </w:pPr>
          </w:p>
        </w:tc>
      </w:tr>
      <w:tr>
        <w:trPr>
          <w:trHeight w:val="20"/>
        </w:trPr>
        <w:tc>
          <w:tcPr>
            <w:tcW w:w="6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typically define special charges as items for which the amounts and/or timing of such expenses may vary significantly from period-to-period, depending upon our acquisition, integration, and restructuring activities and for certain items where the amounts are non-cash in nature. We believe that, given our ongoing strategy of seeking acquisitions, our continuing focus on rationalizing our existing manufacturing and distribution infrastructure and our continuing review of various product lines in relation to our current business strategy, certain of the special charges discussed above could recur with similar materiality in the future. During 2010, we started investing significant resources in the global implementation of a single enterprise resource planning system. We will capitalize certain of those costs and record the balance as operating expenses.</w:t>
      </w:r>
    </w:p>
    <w:p>
      <w:pPr>
        <w:spacing w:after="0" w:line="120" w:lineRule="exact"/>
        <w:rPr>
          <w:sz w:val="20"/>
          <w:szCs w:val="20"/>
          <w:color w:val="auto"/>
        </w:rPr>
      </w:pPr>
    </w:p>
    <w:p>
      <w:pPr>
        <w:ind w:right="300"/>
        <w:spacing w:after="0" w:line="294" w:lineRule="auto"/>
        <w:rPr>
          <w:sz w:val="20"/>
          <w:szCs w:val="20"/>
          <w:color w:val="auto"/>
        </w:rPr>
      </w:pPr>
      <w:r>
        <w:rPr>
          <w:rFonts w:ascii="Arial" w:cs="Arial" w:eastAsia="Arial" w:hAnsi="Arial"/>
          <w:sz w:val="16"/>
          <w:szCs w:val="16"/>
          <w:color w:val="auto"/>
        </w:rPr>
        <w:t>We believe that the separate identification of these special charges provides important supplemental information to investors regarding financial and business trends relating to our financial condition and results of operations. Investors may find this information useful in assessing comparability of our operating performance from period to period, against the business model objectives that management has established, and against other companies in our industry. We provide this information to investors so that they can analyze our operating results in the same way that management does and to use this information in their assessment of our core business and their valuation of Integra.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 on Product Revenues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Our revenues and gross margin on product revenues were as follows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88"/>
              </w:rPr>
              <w:t>Three Months Ended June 30,</w:t>
            </w:r>
          </w:p>
        </w:tc>
        <w:tc>
          <w:tcPr>
            <w:tcW w:w="180" w:type="dxa"/>
            <w:vAlign w:val="bottom"/>
          </w:tcPr>
          <w:p>
            <w:pPr>
              <w:spacing w:after="0"/>
              <w:rPr>
                <w:sz w:val="14"/>
                <w:szCs w:val="14"/>
                <w:color w:val="auto"/>
              </w:rPr>
            </w:pPr>
          </w:p>
        </w:tc>
        <w:tc>
          <w:tcPr>
            <w:tcW w:w="21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Borders>
              <w:bottom w:val="single" w:sz="8" w:color="CCEEFF"/>
            </w:tcBorders>
          </w:tcPr>
          <w:p>
            <w:pPr>
              <w:spacing w:after="0"/>
              <w:rPr>
                <w:sz w:val="12"/>
                <w:szCs w:val="12"/>
                <w:color w:val="auto"/>
              </w:rPr>
            </w:pPr>
          </w:p>
        </w:tc>
        <w:tc>
          <w:tcPr>
            <w:tcW w:w="12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6"/>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Orthopedics</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80,579</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72,819</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$152,813</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$143,006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Neurosurgery</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72,102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66,306</w:t>
            </w:r>
          </w:p>
        </w:tc>
        <w:tc>
          <w:tcPr>
            <w:tcW w:w="360" w:type="dxa"/>
            <w:vAlign w:val="bottom"/>
          </w:tcPr>
          <w:p>
            <w:pPr>
              <w:spacing w:after="0"/>
              <w:rPr>
                <w:sz w:val="18"/>
                <w:szCs w:val="18"/>
                <w:color w:val="auto"/>
              </w:rPr>
            </w:pPr>
          </w:p>
        </w:tc>
        <w:tc>
          <w:tcPr>
            <w:tcW w:w="1400" w:type="dxa"/>
            <w:vAlign w:val="bottom"/>
            <w:gridSpan w:val="3"/>
          </w:tcPr>
          <w:p>
            <w:pPr>
              <w:jc w:val="right"/>
              <w:ind w:right="540"/>
              <w:spacing w:after="0"/>
              <w:rPr>
                <w:sz w:val="20"/>
                <w:szCs w:val="20"/>
                <w:color w:val="auto"/>
              </w:rPr>
            </w:pPr>
            <w:r>
              <w:rPr>
                <w:rFonts w:ascii="Arial" w:cs="Arial" w:eastAsia="Arial" w:hAnsi="Arial"/>
                <w:sz w:val="18"/>
                <w:szCs w:val="18"/>
                <w:color w:val="auto"/>
              </w:rPr>
              <w:t>140,460</w:t>
            </w:r>
          </w:p>
        </w:tc>
        <w:tc>
          <w:tcPr>
            <w:tcW w:w="680" w:type="dxa"/>
            <w:vAlign w:val="bottom"/>
          </w:tcPr>
          <w:p>
            <w:pPr>
              <w:jc w:val="right"/>
              <w:spacing w:after="0"/>
              <w:rPr>
                <w:sz w:val="20"/>
                <w:szCs w:val="20"/>
                <w:color w:val="auto"/>
              </w:rPr>
            </w:pPr>
            <w:r>
              <w:rPr>
                <w:rFonts w:ascii="Arial" w:cs="Arial" w:eastAsia="Arial" w:hAnsi="Arial"/>
                <w:sz w:val="18"/>
                <w:szCs w:val="18"/>
                <w:color w:val="auto"/>
              </w:rPr>
              <w:t>131,080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Instruments</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40,648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39,470</w:t>
            </w:r>
          </w:p>
        </w:tc>
        <w:tc>
          <w:tcPr>
            <w:tcW w:w="3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81,097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77,207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454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193,329</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178,595</w:t>
            </w:r>
          </w:p>
        </w:tc>
        <w:tc>
          <w:tcPr>
            <w:tcW w:w="360" w:type="dxa"/>
            <w:vAlign w:val="bottom"/>
          </w:tcPr>
          <w:p>
            <w:pPr>
              <w:spacing w:after="0"/>
              <w:rPr>
                <w:sz w:val="24"/>
                <w:szCs w:val="24"/>
                <w:color w:val="auto"/>
              </w:rPr>
            </w:pPr>
          </w:p>
        </w:tc>
        <w:tc>
          <w:tcPr>
            <w:tcW w:w="1400" w:type="dxa"/>
            <w:vAlign w:val="bottom"/>
            <w:gridSpan w:val="3"/>
          </w:tcPr>
          <w:p>
            <w:pPr>
              <w:jc w:val="right"/>
              <w:ind w:right="540"/>
              <w:spacing w:after="0"/>
              <w:rPr>
                <w:sz w:val="20"/>
                <w:szCs w:val="20"/>
                <w:color w:val="auto"/>
              </w:rPr>
            </w:pPr>
            <w:r>
              <w:rPr>
                <w:rFonts w:ascii="Arial" w:cs="Arial" w:eastAsia="Arial" w:hAnsi="Arial"/>
                <w:sz w:val="18"/>
                <w:szCs w:val="18"/>
                <w:color w:val="auto"/>
              </w:rPr>
              <w:t>374,370</w:t>
            </w:r>
          </w:p>
        </w:tc>
        <w:tc>
          <w:tcPr>
            <w:tcW w:w="680" w:type="dxa"/>
            <w:vAlign w:val="bottom"/>
          </w:tcPr>
          <w:p>
            <w:pPr>
              <w:jc w:val="right"/>
              <w:spacing w:after="0"/>
              <w:rPr>
                <w:sz w:val="20"/>
                <w:szCs w:val="20"/>
                <w:color w:val="auto"/>
              </w:rPr>
            </w:pPr>
            <w:r>
              <w:rPr>
                <w:rFonts w:ascii="Arial" w:cs="Arial" w:eastAsia="Arial" w:hAnsi="Arial"/>
                <w:sz w:val="18"/>
                <w:szCs w:val="18"/>
                <w:color w:val="auto"/>
              </w:rPr>
              <w:t>351,293</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revenues</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72,838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64,464</w:t>
            </w:r>
          </w:p>
        </w:tc>
        <w:tc>
          <w:tcPr>
            <w:tcW w:w="3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137,759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127,688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540" w:type="dxa"/>
            <w:vAlign w:val="bottom"/>
            <w:gridSpan w:val="2"/>
          </w:tcPr>
          <w:p>
            <w:pPr>
              <w:spacing w:after="0"/>
              <w:rPr>
                <w:sz w:val="20"/>
                <w:szCs w:val="20"/>
                <w:color w:val="auto"/>
              </w:rPr>
            </w:pPr>
            <w:r>
              <w:rPr>
                <w:rFonts w:ascii="Arial" w:cs="Arial" w:eastAsia="Arial" w:hAnsi="Arial"/>
                <w:sz w:val="18"/>
                <w:szCs w:val="18"/>
                <w:color w:val="auto"/>
              </w:rPr>
              <w:t>Gross margin on total revenues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120,491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114,131</w:t>
            </w:r>
          </w:p>
        </w:tc>
        <w:tc>
          <w:tcPr>
            <w:tcW w:w="360" w:type="dxa"/>
            <w:vAlign w:val="bottom"/>
          </w:tcPr>
          <w:p>
            <w:pPr>
              <w:spacing w:after="0"/>
              <w:rPr>
                <w:sz w:val="24"/>
                <w:szCs w:val="24"/>
                <w:color w:val="auto"/>
              </w:rPr>
            </w:pPr>
          </w:p>
        </w:tc>
        <w:tc>
          <w:tcPr>
            <w:tcW w:w="1400" w:type="dxa"/>
            <w:vAlign w:val="bottom"/>
            <w:gridSpan w:val="3"/>
          </w:tcPr>
          <w:p>
            <w:pPr>
              <w:jc w:val="right"/>
              <w:ind w:right="540"/>
              <w:spacing w:after="0"/>
              <w:rPr>
                <w:sz w:val="20"/>
                <w:szCs w:val="20"/>
                <w:color w:val="auto"/>
              </w:rPr>
            </w:pPr>
            <w:r>
              <w:rPr>
                <w:rFonts w:ascii="Arial" w:cs="Arial" w:eastAsia="Arial" w:hAnsi="Arial"/>
                <w:sz w:val="18"/>
                <w:szCs w:val="18"/>
                <w:color w:val="auto"/>
              </w:rPr>
              <w:t>$ 236,611</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223,605</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Gross margin as a percentage of total revenues</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63.9%</w:t>
            </w:r>
          </w:p>
        </w:tc>
        <w:tc>
          <w:tcPr>
            <w:tcW w:w="14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63.2%</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180"/>
        <w:spacing w:after="0" w:line="347" w:lineRule="auto"/>
        <w:rPr>
          <w:sz w:val="20"/>
          <w:szCs w:val="20"/>
          <w:color w:val="auto"/>
        </w:rPr>
      </w:pPr>
      <w:r>
        <w:rPr>
          <w:rFonts w:ascii="Arial" w:cs="Arial" w:eastAsia="Arial" w:hAnsi="Arial"/>
          <w:sz w:val="18"/>
          <w:szCs w:val="18"/>
          <w:b w:val="1"/>
          <w:bCs w:val="1"/>
          <w:color w:val="auto"/>
        </w:rPr>
        <w:t>THREE MONTHS ENDED JUNE 30, 2011 AS COMPARED TO THREE MONTHS ENDED JUNE 30, 2010 Revenues and Gross Margin</w:t>
      </w:r>
    </w:p>
    <w:p>
      <w:pPr>
        <w:spacing w:after="0" w:line="2" w:lineRule="exact"/>
        <w:rPr>
          <w:sz w:val="20"/>
          <w:szCs w:val="20"/>
          <w:color w:val="auto"/>
        </w:rPr>
      </w:pPr>
    </w:p>
    <w:p>
      <w:pPr>
        <w:ind w:right="140"/>
        <w:spacing w:after="0" w:line="318" w:lineRule="auto"/>
        <w:rPr>
          <w:sz w:val="20"/>
          <w:szCs w:val="20"/>
          <w:color w:val="auto"/>
        </w:rPr>
      </w:pPr>
      <w:r>
        <w:rPr>
          <w:rFonts w:ascii="Arial" w:cs="Arial" w:eastAsia="Arial" w:hAnsi="Arial"/>
          <w:sz w:val="15"/>
          <w:szCs w:val="15"/>
          <w:color w:val="auto"/>
        </w:rPr>
        <w:t>For the three months ended June 30, 2011, total revenues increased by $14.7 million, or 8%, to $193.3 million from $178.6 million for the same period during 2010. Domestic revenues increased 4% to $144.9 million, or 75% of total revenues, for the three months ended June 30, 2011 from $138.8 million, or 78% of total revenues, for the three months ended June 30, 2010. International revenues increased to $48.4 million from $39.8 million in the prior-year period, an increase of 22%, driven in part by foreign exchange fluctuations from a stronger euro versus the U.S. dollar compared to the second quarter of 2010. Foreign exchange rate fluctuations overall accounted for a $4.2 million increase in revenues during the second quarter of 2011 as compared to the same period last year.</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306" w:lineRule="auto"/>
        <w:rPr>
          <w:sz w:val="20"/>
          <w:szCs w:val="20"/>
          <w:color w:val="auto"/>
        </w:rPr>
      </w:pPr>
      <w:r>
        <w:rPr>
          <w:rFonts w:ascii="Arial" w:cs="Arial" w:eastAsia="Arial" w:hAnsi="Arial"/>
          <w:sz w:val="16"/>
          <w:szCs w:val="16"/>
          <w:color w:val="auto"/>
        </w:rPr>
        <w:t>Orthopedics revenues were $80.6 million, an increase of 11% over the prior-year period. Most of the increase came from sales of spinal implants from our SeaSpine acquisition, regenerative medicine products for skin and wound repair and from sales of orthobiologics. Additionally, implants in the forefoot and peripheral nerve repair products in upper and lower extremities increased over the same quarter last year.</w:t>
      </w:r>
    </w:p>
    <w:p>
      <w:pPr>
        <w:spacing w:after="0" w:line="10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Neurosurgery revenues were $72.1 million, up 9% from the prior-year period. The primary sales driver was an increase in ultrasonic tissue ablation systems, neuromonitoring devices used in the critical care setting, and implants.</w:t>
      </w:r>
    </w:p>
    <w:p>
      <w:pPr>
        <w:spacing w:after="0" w:line="132"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Revenues in the Instruments category were $40.6 million, up 3% from the prior year. Sales of instruments, surgical lighting systems, and retractors in the acute care setting have increased while instruments in our office based channel have decreased 1% compared to the same period in 2010.</w:t>
      </w:r>
    </w:p>
    <w:p>
      <w:pPr>
        <w:spacing w:after="0" w:line="8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Gross margin increased by $6.4 million to $120.5 million for the three-month period ended June 30, 2011, from $114.1 million for the same period last year. Gross margin as a percentage of total revenue was 62.3% compared to 63.9% in the prior year period. Included in the 2011 gross margin amount were impairments of intangible technology assets, the impact of discontinued products and a portion of the amortization of the SeaSpine inventory at acquisition value. Additionally, we had slightly higher costs of manufacturing than in the prior year period.</w:t>
      </w:r>
    </w:p>
    <w:p>
      <w:pPr>
        <w:spacing w:after="0" w:line="143"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We expect that our gross margin for the full year 2011 will be in line with our full year 2010 gross margin. This will be achieved despite the incremental costs related to the amortization of SeaSpine inventory at acquisition value, and the aforementioned intangible asset charge. We plan to achieve this through</w:t>
      </w:r>
    </w:p>
    <w:p>
      <w:pPr>
        <w:ind w:firstLine="8"/>
        <w:spacing w:after="0" w:line="261" w:lineRule="auto"/>
        <w:tabs>
          <w:tab w:leader="none" w:pos="21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improving efficiencies in our manufacturing operations, resulting in better yields and lower costs, and to a lesser extent, (ii) increasing our sales of higher gross margin products as a proportion of total revenues, particularly those from our orthopedic lines.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operating expenses as a percent of total revenues: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26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Three Months Ended June 30,</w:t>
            </w:r>
          </w:p>
        </w:tc>
      </w:tr>
      <w:tr>
        <w:trPr>
          <w:trHeight w:val="142"/>
        </w:trPr>
        <w:tc>
          <w:tcPr>
            <w:tcW w:w="60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2011</w:t>
            </w:r>
          </w:p>
        </w:tc>
        <w:tc>
          <w:tcPr>
            <w:tcW w:w="112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r>
      <w:tr>
        <w:trPr>
          <w:trHeight w:val="210"/>
        </w:trPr>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17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6.6%</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780" w:type="dxa"/>
            <w:vAlign w:val="bottom"/>
            <w:gridSpan w:val="2"/>
          </w:tcPr>
          <w:p>
            <w:pPr>
              <w:jc w:val="right"/>
              <w:ind w:right="980"/>
              <w:spacing w:after="0"/>
              <w:rPr>
                <w:sz w:val="20"/>
                <w:szCs w:val="20"/>
                <w:color w:val="auto"/>
              </w:rPr>
            </w:pPr>
            <w:r>
              <w:rPr>
                <w:rFonts w:ascii="Arial" w:cs="Arial" w:eastAsia="Arial" w:hAnsi="Arial"/>
                <w:sz w:val="18"/>
                <w:szCs w:val="18"/>
                <w:color w:val="auto"/>
              </w:rPr>
              <w:t>49.5%</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41.5%</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amortization</w:t>
            </w:r>
          </w:p>
        </w:tc>
        <w:tc>
          <w:tcPr>
            <w:tcW w:w="17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r>
      <w:tr>
        <w:trPr>
          <w:trHeight w:val="20"/>
        </w:trPr>
        <w:tc>
          <w:tcPr>
            <w:tcW w:w="60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30"/>
        </w:trPr>
        <w:tc>
          <w:tcPr>
            <w:tcW w:w="60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780" w:type="dxa"/>
            <w:vAlign w:val="bottom"/>
            <w:gridSpan w:val="2"/>
          </w:tcPr>
          <w:p>
            <w:pPr>
              <w:jc w:val="right"/>
              <w:ind w:right="980"/>
              <w:spacing w:after="0"/>
              <w:rPr>
                <w:sz w:val="20"/>
                <w:szCs w:val="20"/>
                <w:color w:val="auto"/>
              </w:rPr>
            </w:pPr>
            <w:r>
              <w:rPr>
                <w:rFonts w:ascii="Arial" w:cs="Arial" w:eastAsia="Arial" w:hAnsi="Arial"/>
                <w:sz w:val="18"/>
                <w:szCs w:val="18"/>
                <w:color w:val="auto"/>
              </w:rPr>
              <w:t>58.2%</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50.1%</w:t>
            </w:r>
          </w:p>
        </w:tc>
      </w:tr>
      <w:tr>
        <w:trPr>
          <w:trHeight w:val="20"/>
        </w:trPr>
        <w:tc>
          <w:tcPr>
            <w:tcW w:w="60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700"/>
        <w:spacing w:after="0" w:line="332" w:lineRule="auto"/>
        <w:rPr>
          <w:sz w:val="20"/>
          <w:szCs w:val="20"/>
          <w:color w:val="auto"/>
        </w:rPr>
      </w:pPr>
      <w:r>
        <w:rPr>
          <w:rFonts w:ascii="Arial" w:cs="Arial" w:eastAsia="Arial" w:hAnsi="Arial"/>
          <w:sz w:val="16"/>
          <w:szCs w:val="16"/>
          <w:color w:val="auto"/>
        </w:rPr>
        <w:t>Total operating expenses, which consist of research and development expenses, selling, general and administrative expenses, and amortization expenses, increased $22.9 million, or 26%, to $112.5 million in the second quarter of 2011 compared to $89.6 million in the second quarter of 2010.</w:t>
      </w:r>
    </w:p>
    <w:p>
      <w:pPr>
        <w:spacing w:after="0" w:line="8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Research and development expenses in the second quarter of 2011 increased by $0.9 million to $12.7 million compared to $11.8 million in the same period last year. This increase resulted primarily from headcount increases as we concentrate on product development efforts for our spine, neurosurgery and extremity reconstruction product lines.</w:t>
      </w:r>
    </w:p>
    <w:p>
      <w:pPr>
        <w:spacing w:after="0" w:line="140"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Selling, general and administrative expenses in the second quarter of 2011 increased by $21.5 million to $95.7 million compared to $74.2 million in the same period last year. Selling expenses increased by $4.2 million primarily due to commission costs and increases in the sales organization in the United States and Europe. General and administrative costs increased $17.3 million primarily due to an incremental stock based compensation charge of $8.4 million related to the renewal of our chief executive officer’s employment agreement, charges related to the implementation of our global enterprise resource planning system of $2.9 million, costs related to our acquisitions of $1.1 million and to a lesser extent headcount, compensation and benefit costs. We will continue to expand our direct sales organizations in our direct selling platforms where business opportunities are most attractive, including extremity reconstruction, and increase corporate staff to support our information systems infrastructure to facilitate future growth. We continue to expect that selling, general and administrative spending will be between 40% and 42% of revenues.</w:t>
      </w:r>
    </w:p>
    <w:p>
      <w:pPr>
        <w:spacing w:after="0" w:line="11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Amortization expense in the second quarter of 2011 was $4.0 million compared to $3.6 million in the same period last year. This increase is related primarily to tradename impairments of $0.9 million in connection with our re-branding strategy, which were partially offset by the completion of the amortization period for certain intangible assets. The Company has also identified several tradenames that it will phase out through the end of 2012; therefore, their useful lives will be shortened which will result in additional amortization expense of $1.6 million in the second half of 2011 and $2.7 million for the full year 2012. As our re-branding strategy continues to evolve, we may make further decisions about our trade names and incur additional impairment charges or accelerated amortization.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non-operating income and expenses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88"/>
              </w:rPr>
              <w:t>Three Months Ended June 30,</w:t>
            </w:r>
          </w:p>
        </w:tc>
      </w:tr>
      <w:tr>
        <w:trPr>
          <w:trHeight w:val="142"/>
        </w:trPr>
        <w:tc>
          <w:tcPr>
            <w:tcW w:w="4080" w:type="dxa"/>
            <w:vAlign w:val="bottom"/>
            <w:tcBorders>
              <w:bottom w:val="single" w:sz="8" w:color="CCEEFF"/>
            </w:tcBorders>
          </w:tcPr>
          <w:p>
            <w:pPr>
              <w:spacing w:after="0"/>
              <w:rPr>
                <w:sz w:val="12"/>
                <w:szCs w:val="12"/>
                <w:color w:val="auto"/>
              </w:rPr>
            </w:pPr>
          </w:p>
        </w:tc>
        <w:tc>
          <w:tcPr>
            <w:tcW w:w="24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2"/>
                <w:szCs w:val="12"/>
                <w:color w:val="auto"/>
              </w:rPr>
            </w:pPr>
          </w:p>
        </w:tc>
      </w:tr>
      <w:tr>
        <w:trPr>
          <w:trHeight w:val="210"/>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Interest expense</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(6,722)</w:t>
            </w:r>
          </w:p>
        </w:tc>
        <w:tc>
          <w:tcPr>
            <w:tcW w:w="4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(4,300)</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2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2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Interest income increased in the three months ended June 30, 2011 compared to the same period last year, primarily as a result of higher overall cash balances.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Interest expense in the three months ended June 30, 2011 increased primarily because of additional borrowings during the period on our senior credit facility and the impact of the interest rate swap which increased our interest expense by $0.6 million. Additionally, the three-month period ended June 30, 2011 includes approximately $0.8 million of debt issuance costs that were immediately expensed upon the refinancing of our senior credit facility. Our reported interest expense for the three-month periods ended June 30, 2011 and 2010 includes non-cash interest related to the accounting for convertible securities of $2.0 million and $2.1 million,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9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Other income for the second quarter of 2011 of $0.6 million consists primarily of income from credits for research and development activities performed in foreign jurisdictions partially offset by foreign exchange losses on intercompany balances. Other income for the second quarter of 2010 of $0.8 million consists primarily of foreign exchange gains on intercompany balances.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1"/>
              </w:rPr>
              <w:t>Three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82"/>
              <w:spacing w:after="0" w:line="142" w:lineRule="exact"/>
              <w:rPr>
                <w:sz w:val="20"/>
                <w:szCs w:val="20"/>
                <w:color w:val="auto"/>
              </w:rPr>
            </w:pPr>
            <w:r>
              <w:rPr>
                <w:rFonts w:ascii="Arial" w:cs="Arial" w:eastAsia="Arial" w:hAnsi="Arial"/>
                <w:sz w:val="14"/>
                <w:szCs w:val="14"/>
                <w:b w:val="1"/>
                <w:bCs w:val="1"/>
                <w:color w:val="auto"/>
                <w:w w:val="96"/>
              </w:rPr>
              <w:t>2011</w:t>
            </w:r>
          </w:p>
        </w:tc>
        <w:tc>
          <w:tcPr>
            <w:tcW w:w="4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82"/>
              <w:spacing w:after="0"/>
              <w:rPr>
                <w:sz w:val="20"/>
                <w:szCs w:val="20"/>
                <w:color w:val="auto"/>
              </w:rPr>
            </w:pPr>
            <w:r>
              <w:rPr>
                <w:rFonts w:ascii="Arial" w:cs="Arial" w:eastAsia="Arial" w:hAnsi="Arial"/>
                <w:sz w:val="18"/>
                <w:szCs w:val="18"/>
                <w:color w:val="auto"/>
              </w:rPr>
              <w:t>1,998</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Income tax expense</w:t>
            </w:r>
          </w:p>
        </w:tc>
        <w:tc>
          <w:tcPr>
            <w:tcW w:w="2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82"/>
              <w:spacing w:after="0"/>
              <w:rPr>
                <w:sz w:val="20"/>
                <w:szCs w:val="20"/>
                <w:color w:val="auto"/>
              </w:rPr>
            </w:pPr>
            <w:r>
              <w:rPr>
                <w:rFonts w:ascii="Arial" w:cs="Arial" w:eastAsia="Arial" w:hAnsi="Arial"/>
                <w:sz w:val="18"/>
                <w:szCs w:val="18"/>
                <w:color w:val="auto"/>
              </w:rPr>
              <w:t>1,299</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5,937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0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42"/>
              <w:spacing w:after="0"/>
              <w:rPr>
                <w:sz w:val="20"/>
                <w:szCs w:val="20"/>
                <w:color w:val="auto"/>
              </w:rPr>
            </w:pPr>
            <w:r>
              <w:rPr>
                <w:rFonts w:ascii="Arial" w:cs="Arial" w:eastAsia="Arial" w:hAnsi="Arial"/>
                <w:sz w:val="18"/>
                <w:szCs w:val="18"/>
                <w:color w:val="auto"/>
              </w:rPr>
              <w:t>65.0%</w:t>
            </w: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spacing w:after="0" w:line="312" w:lineRule="auto"/>
        <w:rPr>
          <w:sz w:val="20"/>
          <w:szCs w:val="20"/>
          <w:color w:val="auto"/>
        </w:rPr>
      </w:pPr>
      <w:r>
        <w:rPr>
          <w:rFonts w:ascii="Arial" w:cs="Arial" w:eastAsia="Arial" w:hAnsi="Arial"/>
          <w:sz w:val="15"/>
          <w:szCs w:val="15"/>
          <w:color w:val="auto"/>
        </w:rPr>
        <w:t>Our effective income tax rates for the three months ended June 30, 2011 and 2010 were 65.0% and 28.1%, respectively. Income tax expense for the three months ended June 30, 2011 included a $1.7 million correction to a deferred tax asset relating to 2009. The correction was not material to 2009 or to the expected results for the full year 2011, but represented a sizable adjustment to the tax expense recorded in the quarter. In addition, a tax law change in the State of New Jersey, effective June 30, 2011, resulted in an adjustment to certain deferred tax assets, which increased tax expense by $0.7 million. Further, our projection of full year income decreased significantly, especially in the United States because of certain costs and expenses recorded in the second quarter and the projection of similar costs and expenses for the remainder of the year. This change in estimate of the expected full year tax rate resulted in a year-to-date reduction of income tax expense recorded in the quarter. All of these items resulted in the reported effective tax rate for the three months ended June 30, 2011 to be 65.0%.</w:t>
      </w:r>
    </w:p>
    <w:p>
      <w:pPr>
        <w:spacing w:after="0" w:line="10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Our effective tax rate may vary from period to period depending on, among other factors, the geographic and business mix of taxable earnings and losses. We consider these factors and others, including our history of generating taxable earnings, in assessing our ability to realize deferred tax assets. We expect our effective income tax rate for the full year to be approximately 10%.</w:t>
      </w:r>
    </w:p>
    <w:p>
      <w:pPr>
        <w:spacing w:after="0" w:line="215" w:lineRule="exact"/>
        <w:rPr>
          <w:sz w:val="20"/>
          <w:szCs w:val="20"/>
          <w:color w:val="auto"/>
        </w:rPr>
      </w:pPr>
    </w:p>
    <w:p>
      <w:pPr>
        <w:ind w:right="3840"/>
        <w:spacing w:after="0" w:line="347" w:lineRule="auto"/>
        <w:rPr>
          <w:sz w:val="20"/>
          <w:szCs w:val="20"/>
          <w:color w:val="auto"/>
        </w:rPr>
      </w:pPr>
      <w:r>
        <w:rPr>
          <w:rFonts w:ascii="Arial" w:cs="Arial" w:eastAsia="Arial" w:hAnsi="Arial"/>
          <w:sz w:val="18"/>
          <w:szCs w:val="18"/>
          <w:b w:val="1"/>
          <w:bCs w:val="1"/>
          <w:color w:val="auto"/>
        </w:rPr>
        <w:t>SIX MONTHS ENDED JUNE 30, 2011 AS COMPARED TO SIX MONTHS ENDED JUNE 30, 2010 Revenues and Gross Margin</w:t>
      </w:r>
    </w:p>
    <w:p>
      <w:pPr>
        <w:spacing w:after="0" w:line="2" w:lineRule="exact"/>
        <w:rPr>
          <w:sz w:val="20"/>
          <w:szCs w:val="20"/>
          <w:color w:val="auto"/>
        </w:rPr>
      </w:pPr>
    </w:p>
    <w:p>
      <w:pPr>
        <w:ind w:right="420"/>
        <w:spacing w:after="0" w:line="298" w:lineRule="auto"/>
        <w:rPr>
          <w:sz w:val="20"/>
          <w:szCs w:val="20"/>
          <w:color w:val="auto"/>
        </w:rPr>
      </w:pPr>
      <w:r>
        <w:rPr>
          <w:rFonts w:ascii="Arial" w:cs="Arial" w:eastAsia="Arial" w:hAnsi="Arial"/>
          <w:sz w:val="16"/>
          <w:szCs w:val="16"/>
          <w:color w:val="auto"/>
        </w:rPr>
        <w:t>For the six-month period ended June 30, 2011, total revenues increased by $23.1 million or 7%, to $374.4 million from $351.3 million during the prior-year period. Domestic revenues increased by 4% to $278.2 million and were 74% and 76% of total revenues for the six months ended June 30, 2011 and 2010, respectively. International revenues increased $13.0 million to $96.2 million, an increase of 16% compared to the same period in 2010. Foreign exchange fluctuations accounted for a $5.0 million increase in revenues for the six month period ended June 30, 2011.</w:t>
      </w:r>
    </w:p>
    <w:p>
      <w:pPr>
        <w:spacing w:after="0" w:line="11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Orthopedics revenues were $152.8 million, an increase of 7% over the prior year period. Spine and orthobiologics products led the growth in this category primarily as a result of our SeaSpine acquisition. Other increases came from sales of engineered collagen products for skin and wound repair and as a result of extremities reconstruction products implants for the forefoot.</w:t>
      </w:r>
    </w:p>
    <w:p>
      <w:pPr>
        <w:spacing w:after="0" w:line="140" w:lineRule="exact"/>
        <w:rPr>
          <w:sz w:val="20"/>
          <w:szCs w:val="20"/>
          <w:color w:val="auto"/>
        </w:rPr>
      </w:pPr>
    </w:p>
    <w:p>
      <w:pPr>
        <w:ind w:right="140"/>
        <w:spacing w:after="0" w:line="370" w:lineRule="auto"/>
        <w:rPr>
          <w:sz w:val="20"/>
          <w:szCs w:val="20"/>
          <w:color w:val="auto"/>
        </w:rPr>
      </w:pPr>
      <w:r>
        <w:rPr>
          <w:rFonts w:ascii="Arial" w:cs="Arial" w:eastAsia="Arial" w:hAnsi="Arial"/>
          <w:sz w:val="15"/>
          <w:szCs w:val="15"/>
          <w:color w:val="auto"/>
        </w:rPr>
        <w:t>Neurosurgery revenues were $140.5 million, an increase of 7% over the prior year period. As was the case in the second quarter, the primary sales driver for the year-to-date period was an increase in ultrasonic tissue ablation systems, neuromonitoring devices used in the critical care setting, and duraplasty products.</w:t>
      </w:r>
    </w:p>
    <w:p>
      <w:pPr>
        <w:sectPr>
          <w:pgSz w:w="11900" w:h="16838" w:orient="portrait"/>
          <w:cols w:equalWidth="0" w:num="1">
            <w:col w:w="11380"/>
          </w:cols>
          <w:pgMar w:left="240" w:top="459" w:right="279" w:bottom="1440" w:gutter="0" w:footer="0" w:header="0"/>
        </w:sectPr>
      </w:pP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380"/>
          </w:cols>
          <w:pgMar w:left="240" w:top="459" w:right="27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Instruments revenues were $81.1 million, an increase of 5% over the prior year period. Sales of surgical lighting systems and handheld instruments in the office based channel primarily drove the growth in this category.</w:t>
      </w:r>
    </w:p>
    <w:p>
      <w:pPr>
        <w:spacing w:after="0" w:line="13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Gross margin increased by $13.0 million to $236.6 million for the six-month period ended June 30, 2011, from $223.6 million for the same period last year. Gross margin as a percentage of total revenue was 63.2% for the first two quarters of 2011, compared to 63.7% for this same period during 2010. This decrease resulted from impairments of intangible technology assets, amortization of the SeaSpine inventory at acquisition value, and product discontinuance costs.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operating expenses as a percent of total revenues: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24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624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2011</w:t>
            </w:r>
          </w:p>
        </w:tc>
        <w:tc>
          <w:tcPr>
            <w:tcW w:w="104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Borders>
              <w:top w:val="single" w:sz="8" w:color="auto"/>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r>
      <w:tr>
        <w:trPr>
          <w:trHeight w:val="210"/>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16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6.6%</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620" w:type="dxa"/>
            <w:vAlign w:val="bottom"/>
            <w:gridSpan w:val="2"/>
          </w:tcPr>
          <w:p>
            <w:pPr>
              <w:jc w:val="right"/>
              <w:ind w:right="900"/>
              <w:spacing w:after="0"/>
              <w:rPr>
                <w:sz w:val="20"/>
                <w:szCs w:val="20"/>
                <w:color w:val="auto"/>
              </w:rPr>
            </w:pPr>
            <w:r>
              <w:rPr>
                <w:rFonts w:ascii="Arial" w:cs="Arial" w:eastAsia="Arial" w:hAnsi="Arial"/>
                <w:sz w:val="18"/>
                <w:szCs w:val="18"/>
                <w:color w:val="auto"/>
              </w:rPr>
              <w:t>47.0%</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41.7%</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amortization</w:t>
            </w:r>
          </w:p>
        </w:tc>
        <w:tc>
          <w:tcPr>
            <w:tcW w:w="16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1.9%</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r>
      <w:tr>
        <w:trPr>
          <w:trHeight w:val="20"/>
        </w:trPr>
        <w:tc>
          <w:tcPr>
            <w:tcW w:w="6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31"/>
        </w:trPr>
        <w:tc>
          <w:tcPr>
            <w:tcW w:w="62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620" w:type="dxa"/>
            <w:vAlign w:val="bottom"/>
            <w:gridSpan w:val="2"/>
          </w:tcPr>
          <w:p>
            <w:pPr>
              <w:jc w:val="right"/>
              <w:ind w:right="900"/>
              <w:spacing w:after="0"/>
              <w:rPr>
                <w:sz w:val="20"/>
                <w:szCs w:val="20"/>
                <w:color w:val="auto"/>
              </w:rPr>
            </w:pPr>
            <w:r>
              <w:rPr>
                <w:rFonts w:ascii="Arial" w:cs="Arial" w:eastAsia="Arial" w:hAnsi="Arial"/>
                <w:sz w:val="18"/>
                <w:szCs w:val="18"/>
                <w:color w:val="auto"/>
              </w:rPr>
              <w:t>55.5%</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50.2%</w:t>
            </w:r>
          </w:p>
        </w:tc>
      </w:tr>
      <w:tr>
        <w:trPr>
          <w:trHeight w:val="20"/>
        </w:trPr>
        <w:tc>
          <w:tcPr>
            <w:tcW w:w="6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Total operating expenses, which consist of research and development expenses, selling, general and administrative expenses and amortization expenses, increased $31.3 million, or 18%, to $207.7 million in the first half of 2011, compared to $176.4 million in the same period last year.</w:t>
      </w:r>
    </w:p>
    <w:p>
      <w:pPr>
        <w:spacing w:after="0" w:line="8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Research and development expenses in the first half of 2011 increased by $1.8 million to $24.9 million compared to $23.1 million in the same period last year. This increase resulted primarily from headcount increases as we concentrate on product development efforts for our spine, neurosurgery and extremity reconstruction product lines.</w:t>
      </w:r>
    </w:p>
    <w:p>
      <w:pPr>
        <w:spacing w:after="0" w:line="14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Selling, general and administrative expenses in the first half of 2011 increased by $29.1 million to $175.8 million compared to $146.7 million in the same period last year. Selling expenses increased by $6.7 million primarily because of an increase in revenues and the corresponding commission costs. General and administrative costs increased $22.3 million due to an incremental stock based compensation charge of $8.4 million related to the renewal of our chief executive officer’s employment agreement, charges related to the implementation of our global enterprise resource planning system of $5.6 million, acquisition related costs of $1.4 million, severance costs, and to a lesser extent, increases in compensation costs brought on by increased headcount and bonus accruals.</w:t>
      </w:r>
    </w:p>
    <w:p>
      <w:pPr>
        <w:spacing w:after="0" w:line="1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Amortization expense in the first six months of 2011 increased by $0.5 million to $7.1 million compared to $6.6 million in the same period last year. The increase was primarily related to the impairment of tradenames totaling $1.1 million, partially offset by the completion of the amortization period for certain intangible assets. Additionally, the Company has identified several tradenames that it will phase out through the end of 2012; therefore, their useful lives have been shortened. Accordingly, this change in useful life will result in incremental amortization expense of $1.6 million in the second half of 2011 and $2.7 million in the full year of 2012. As our re-branding strategy continues to evolve, we may make further decisions about our trade names and incur additional impairment charges or accelerated amortization.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non-operating income and expenses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4"/>
              </w:rPr>
              <w:t>Six Months Ended June 30,</w:t>
            </w:r>
          </w:p>
        </w:tc>
      </w:tr>
      <w:tr>
        <w:trPr>
          <w:trHeight w:val="142"/>
        </w:trPr>
        <w:tc>
          <w:tcPr>
            <w:tcW w:w="63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2011</w:t>
            </w:r>
          </w:p>
        </w:tc>
        <w:tc>
          <w:tcPr>
            <w:tcW w:w="7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w w:val="96"/>
              </w:rPr>
              <w:t>2010</w:t>
            </w:r>
          </w:p>
        </w:tc>
        <w:tc>
          <w:tcPr>
            <w:tcW w:w="120" w:type="dxa"/>
            <w:vAlign w:val="bottom"/>
            <w:tcBorders>
              <w:bottom w:val="single" w:sz="8" w:color="CCEEFF"/>
            </w:tcBorders>
          </w:tcPr>
          <w:p>
            <w:pPr>
              <w:spacing w:after="0"/>
              <w:rPr>
                <w:sz w:val="12"/>
                <w:szCs w:val="12"/>
                <w:color w:val="auto"/>
              </w:rPr>
            </w:pPr>
          </w:p>
        </w:tc>
      </w:tr>
      <w:tr>
        <w:trPr>
          <w:trHeight w:val="210"/>
        </w:trPr>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w w:val="95"/>
              </w:rPr>
              <w:t>(12,191)</w:t>
            </w:r>
          </w:p>
        </w:tc>
        <w:tc>
          <w:tcPr>
            <w:tcW w:w="1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(8,841)</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12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Interest income increased in the six-month period ended June 30, 2011, compared to the same period last year, primarily due to higher average cash balances.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Interest expense increased in the six-month period ended June 30, 2011, compared to the same period last year, primarily because of increased average borrowings under our Senior Credit Facility during the period. Additionally, the impact of our interest rate swap resulted in additional interest expense of $1.1 million during the period. Furthermore, the six-month period ended June 30, 2011 includes approximately $0.8 million of debt issuance costs that were immediately expensed upon the refinancing of our Senior Credit Facility. Our reported interest expense for the six-month periods ended June 30, 2011 and 2010 includes non-cash interest related to the accounting for convertible securities of $3.7 million and $4.3 million,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96"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Other income (expense) in the six months ended June 30, 2011 consisted of research and development reimbursements from foreign governments, which was almost entirely offset by foreign exchange losses. Other income (expense) in the six months ended June 30, 2010 consisted primarily as a result of foreign exchange gains of $1.9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0"/>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502"/>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w w:val="96"/>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2"/>
              <w:spacing w:after="0"/>
              <w:rPr>
                <w:sz w:val="20"/>
                <w:szCs w:val="20"/>
                <w:color w:val="auto"/>
              </w:rPr>
            </w:pPr>
            <w:r>
              <w:rPr>
                <w:rFonts w:ascii="Arial" w:cs="Arial" w:eastAsia="Arial" w:hAnsi="Arial"/>
                <w:sz w:val="18"/>
                <w:szCs w:val="18"/>
                <w:color w:val="auto"/>
                <w:w w:val="90"/>
              </w:rPr>
              <w:t>16,831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40,403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Income tax expense</w:t>
            </w:r>
          </w:p>
        </w:tc>
        <w:tc>
          <w:tcPr>
            <w:tcW w:w="2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2"/>
              <w:spacing w:after="0"/>
              <w:rPr>
                <w:sz w:val="20"/>
                <w:szCs w:val="20"/>
                <w:color w:val="auto"/>
              </w:rPr>
            </w:pPr>
            <w:r>
              <w:rPr>
                <w:rFonts w:ascii="Arial" w:cs="Arial" w:eastAsia="Arial" w:hAnsi="Arial"/>
                <w:sz w:val="18"/>
                <w:szCs w:val="18"/>
                <w:color w:val="auto"/>
              </w:rPr>
              <w:t>4,645</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10,024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rPr>
              <w:t>27.6%</w:t>
            </w: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effective income tax rates for the six months ended June 30, 2011 and 2010 were 27.6% and 24.8%, respectively. The income tax expense for the six months ended June 30, 2011 reflects additional tax expense related to a $1.7 million collection to a deferred tax asset relating to 2009 that was recorded during the six-month period. The increase in rate was tempered by the fact that during the fourth quarter of 2010, the Tax Relief, Unemployment Insurance and Job Creation Act of 2010 was passed, which lowered the tax rate used to determine the tax provision for the first six months of 2011 versus the rate that was in effect for the first six months of 2010. Additionally, during the six months ended June 30, 2010, we recorded a reversal of $2.3 million of accruals for uncertain tax positions due to matters that were considered effectively settled and the expiration of the statute of limitations for certain matters, which further reduced the 2010 effective rate below the 2011 effective rate. Further, our projection of full year income decreased significantly, especially in the United States because of certain costs and expenses recorded in the second quarter and the projection of similar costs and expenses for the remainder of the year. This change in estimate of the expected full year tax rate resulted in a year-to-date reduction of income tax expense recorded, during the six-month period.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PRODUCT REVENUES AND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Product revenues by major geographic area are summarized below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4"/>
                <w:szCs w:val="14"/>
                <w:color w:val="auto"/>
              </w:rPr>
            </w:pPr>
          </w:p>
        </w:tc>
        <w:tc>
          <w:tcPr>
            <w:tcW w:w="1880" w:type="dxa"/>
            <w:vAlign w:val="bottom"/>
            <w:gridSpan w:val="5"/>
          </w:tcPr>
          <w:p>
            <w:pPr>
              <w:ind w:left="100"/>
              <w:spacing w:after="0"/>
              <w:rPr>
                <w:sz w:val="20"/>
                <w:szCs w:val="20"/>
                <w:color w:val="auto"/>
              </w:rPr>
            </w:pPr>
            <w:r>
              <w:rPr>
                <w:rFonts w:ascii="Arial" w:cs="Arial" w:eastAsia="Arial" w:hAnsi="Arial"/>
                <w:sz w:val="14"/>
                <w:szCs w:val="14"/>
                <w:b w:val="1"/>
                <w:bCs w:val="1"/>
                <w:color w:val="auto"/>
                <w:w w:val="97"/>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Borders>
              <w:top w:val="single" w:sz="8" w:color="auto"/>
            </w:tcBorders>
          </w:tcPr>
          <w:p>
            <w:pPr>
              <w:jc w:val="right"/>
              <w:ind w:right="146"/>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144,872</w:t>
            </w: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138,760</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$ 278,172</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$ 268,123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Europe</w:t>
            </w: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25,209</w:t>
            </w: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20,076</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50,296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44,228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11,625</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9,174</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22,372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Other Foreign</w:t>
            </w: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11,623</w:t>
            </w: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10,585</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23,530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20,531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193,329</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178,595</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$ 374,370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$ 351,293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Most of our revenues are from customers within the United States. Sales to U.S. customers were up approximately 4% for the three month period ended June 30, 2011 due to the strength of our orthopedics category. Over the past several quarters, revenues from our European customers have been affected by the austerity measures put in place by various European governments which has impacted their healthcare spending levels. Despite these austerity measures, during the second quarter we had an increase in European sales of approximately 26% which was driven largely by changes in foreign exchange rates and growth in neurosurgery and orthopedics products. Sales to customers in the Asia Pacific region increased approximately 27% for the three month period ended June 30, 2011 largely due to neurosurgery sales, while sales in orthopedics, and instruments grew modestly. Sales to our other foreign customers, particularly in Canada and Latin American countries, increased approximately 10% for the three month period ended June 30, 2011; this increase was focused in instruments and orthopedics.</w:t>
      </w:r>
    </w:p>
    <w:p>
      <w:pPr>
        <w:spacing w:after="0" w:line="10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Sales to U.S. customers were also up approximately 4% for the six month period ended June 30, 2011 due to the strength of our orthopedics business, while instruments and neurosurgery product sales grew modestly. We had an increase in European sales of approximately 14% for the six month period ended June 30, 2011 due in part to foreign exchange fluctuations, which had an impact on our neurosurgery products, and to a lesser extent, orthopedics and instruments. Sales to customers in the Asia Pacific region increased approximately 22% for the six month period ended June 30, 2011 largely due to neurosurgery sales while orthopedics and instruments revenues grew modestly. Sales to our other foreign customers, particularly in Canada and Latin American countries, increased approximately 15% for the six month period ended June 30, 2011 primarily in instruments.</w:t>
      </w:r>
    </w:p>
    <w:p>
      <w:pPr>
        <w:sectPr>
          <w:pgSz w:w="11900" w:h="16838" w:orient="portrait"/>
          <w:cols w:equalWidth="0" w:num="1">
            <w:col w:w="11420"/>
          </w:cols>
          <w:pgMar w:left="240" w:top="459" w:right="239" w:bottom="1440" w:gutter="0" w:footer="0" w:header="0"/>
        </w:sectPr>
      </w:pP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459" w:right="2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generate significant revenues outside the United States, a portion of which are U.S. dollar-denominated transactions conducted with customers who generate revenue in currencies other than the U.S. dollar. As a result, currency fluctuations between the U.S. dollar and the currencies in which those customers do business could have an impact on the demand for our products in foreign countries.</w:t>
      </w:r>
    </w:p>
    <w:p>
      <w:pPr>
        <w:spacing w:after="0" w:line="14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Local economic conditions, regulatory or political considerations, the effectiveness of our sales representatives and distributors, local competition and changes in local medical practice all may combine to affect our sales into markets outside the United States.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Marketable Securities</w:t>
      </w:r>
    </w:p>
    <w:p>
      <w:pPr>
        <w:spacing w:after="0" w:line="9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had cash and cash equivalents totaling approximately $137.3 million and $128.8 million at June 30, 2011 and December 31, 2010, respectively. At June 30, 2011, our non-U.S. subsidiaries held approximately $88.5 million of cash and cash equivalents that are available for use by all of our operations outside of the United States. If these funds were repatriated to the United States, or used for United States operations, certain amounts could be subject to tax in the United States for the incremental amount in excess of the foreign tax paid.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1"/>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45,838</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47,495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(93,937)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(14,112)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50,867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Effect of exchange rate fluctuations on cash</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5,748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(8,412)</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0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8,516</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21,727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Provided by Operating Activities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generated operating cash flows of $45.8 million and $47.5 million for the six months ended June 30, 2011 and 2010, respectively. Operating cash flows were lower than the same period in 2010 largely because of the decreased net income for the period, partially offset by an increase in stock based compensation charges. Net income for the six months ended June 30, 2011, plus items included in those earnings that did not result in a change to our cash balance, amounted to approximately $52.0 million. Changes in working capital reduced cash flows by approximately $5.7 million. Among the changes in working capital, accounts receivable used $0.7 million of cash, inventory used $9.6 million of cash, and deferred revenue used $1.1 million of cash; however, prepaid expenses and other current assets provided $1.2 million, and accounts payable, accrued expenses and other current liabilities provided $4.4 million of cash.</w:t>
      </w:r>
    </w:p>
    <w:p>
      <w:pPr>
        <w:spacing w:after="0" w:line="120"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Net income for the six months ended June 30, 2010, plus items included in those earnings that did not result in a change to our cash balance, amounted to approximately $58.1 million. Additionally, we paid $6.6 million in accreted interest related to repurchase of our convertible notes. Changes in working capital reduced cash flows by $3.6 million. Among the changes in working capital, accounts receivable contributed $2.7 million and accounts payable and accrued expenses contributed another $6.0 million, while inventories used $7.8 million and prepaid expenses used $3.9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Used in Investing Activities</w:t>
      </w:r>
    </w:p>
    <w:p>
      <w:pPr>
        <w:spacing w:after="0" w:line="96"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During the six months ended June 30, 2011, we paid $80.8 million ($81.0 million net of $0.2 million of cash acquired) related to our acquisition of SeaSpine, Inc. and incurred $13.1 million in capital expenditures related primarily to expanding our regenerative medicine manufacturing capacity. During the six months ended June 30, 2010, we paid $11.7 million in cash for capital expenditures and $2.4 million for business acquisitions.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Used in Financing Activities</w:t>
      </w:r>
    </w:p>
    <w:p>
      <w:pPr>
        <w:spacing w:after="0" w:line="9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Our principal sources of cash from financing activities relates to $230.0 million in borrowings under the 2016 Notes issued in June 2011, proceeds from the related warrant sale of $28.5 million, and $85.0 million in additional borrowings under our Senior Credit Facility. These amounts were offset by $188.8 million in repayments under our Senior Credit Facility, $42.9 million for the call option on our 2016 Notes, debt issuance costs of $8.0 million, treasury stock purchases of $57.0 million and proceeds from stock option exercises and the tax impact of stock based compensation of $4.1 million.</w:t>
      </w:r>
    </w:p>
    <w:p>
      <w:pPr>
        <w:spacing w:after="0" w:line="11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principal uses of cash for financing activities in the six months ended June 30, 2010 were from the repayment of the liability component of our 2010 Notes of $71.4 million, and proceeds from net borrowings under our senior credit facility of $60.0 million. Additionally, we generated proceeds from stock option exercises and the tax impact of stock-based compensation of $8.1 million in 2010.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96"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At June 30, 2011 and December 31, 2010, working capital was $377.8 million and $243.0 million, respectively. The increase in working capital is primarily related to financing the purchase of SeaSpine with long term borrowings under our Senior Credit Facility and additional cash generated during the period.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Senior Credit Agreement</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During 2010, we entered into an amended and restated credit agreement with a syndicate of lending banks (the “Senior Credit Facility”) and further amended the Senior Credit Facility in June 2011. The June 2011 amendment increased the revolving credit component from $450.0 million to $600.0 million by reallocating and eliminating the $150.0 million term loan component that existed under the original amended and restated credit agreement, allows us to further increase the size of the revolving credit component by an aggregate of $200.0 million with additional commitments, provides us with decreased borrowing rates and annual commitment fees, and provides more favorable financial covenants. The Senior Credit Facility’s maturity was extended from August 10, 2015 to June 8, 2016 and is collateralized by substantially all of the assets of the Company’s U.S. subsidiaries, excluding intangible assets. The Senior Credit Facility is subject to various financial and negative covenants.</w:t>
      </w:r>
    </w:p>
    <w:p>
      <w:pPr>
        <w:spacing w:after="0" w:line="118" w:lineRule="exact"/>
        <w:rPr>
          <w:sz w:val="20"/>
          <w:szCs w:val="20"/>
          <w:color w:val="auto"/>
        </w:rPr>
      </w:pPr>
    </w:p>
    <w:p>
      <w:pPr>
        <w:ind w:right="20"/>
        <w:spacing w:after="0" w:line="302" w:lineRule="auto"/>
        <w:rPr>
          <w:sz w:val="20"/>
          <w:szCs w:val="20"/>
          <w:color w:val="auto"/>
        </w:rPr>
      </w:pPr>
      <w:r>
        <w:rPr>
          <w:rFonts w:ascii="Arial" w:cs="Arial" w:eastAsia="Arial" w:hAnsi="Arial"/>
          <w:sz w:val="15"/>
          <w:szCs w:val="15"/>
          <w:color w:val="auto"/>
        </w:rPr>
        <w:t>Borrowings under the Senior Credit Facility currently bear interest, at the Company’s option, at a rate equal to (i) the Eurodollar Rate (as defined in the Senior Credit Facility, which definition has not changed) in effect from time to time plus the applicable rate (ranging from 1.00% to 1.75%) or (ii) the highest of (x) the weighted average overnight Federal funds rate, as published by the Federal Reserve Bank of New York, plus 0.5%, (y) the prime lending rate of Bank of America, N.A. or (z) the one-month Eurodollar Rate plus 1.0%. The applicable rates are based on the Company’s consolidated total leverage ratio (defined as the ratio of</w:t>
      </w:r>
    </w:p>
    <w:p>
      <w:pPr>
        <w:spacing w:after="0" w:line="3" w:lineRule="exact"/>
        <w:rPr>
          <w:sz w:val="20"/>
          <w:szCs w:val="20"/>
          <w:color w:val="auto"/>
        </w:rPr>
      </w:pPr>
    </w:p>
    <w:p>
      <w:pPr>
        <w:ind w:right="260" w:firstLine="8"/>
        <w:spacing w:after="0" w:line="261" w:lineRule="auto"/>
        <w:tabs>
          <w:tab w:leader="none" w:pos="239"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consolidated funded indebtedness less cash in excess of $40 million that is not subject to any restriction of the use or investment thereof to (b) consolidated EBITDA) at the time of the applicable borrowing.</w:t>
      </w:r>
    </w:p>
    <w:p>
      <w:pPr>
        <w:spacing w:after="0" w:line="13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Company will also pay an annual commitment fee (ranging from 0.15% to 0.3%, based on the Company’s consolidated total leverage ratio) on the daily amount by which the revolving credit facility exceeds the outstanding loans and letters of credit under the credit facility.</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plan to utilize the Senior Credit Facility for working capital, capital expenditures, share repurchases, acquisitions, debt repayments and other general corporate purposes. At June 30, 2011 and December 31, 2010, there was $144.4 million and $100.0 million outstanding, respectively, under the revolving credit component of the Senior Credit Facility at a weighted average interest rate of 1.5% and 2.5%, respectively. The Company considers the balance to be long-term in nature based on its current intent and ability to repay the borrowing outside of the next twelve-month period. At June 30, 2011, there was approximately $455.6 million available for borrowing under the Senior Credit Facility.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 and Related Hedging Activities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We pay interest each June 1 and December 1 on our $165.0 million senior convertible notes due June 2012 (“2012 Notes”) at an annual rate of 2.375%, and 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our $230.0 million senior convertible notes due December 2016 (“2016 Notes”) at an annual interest rate of 1.625% (collectively, “the Notes”). The 2012 Notes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2016 Notes are senior, unsecured obligations of Integra, and are convertible into cash and, if applicable, shares of our common stock based on an initial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conversion rate, subject to adjustment, of 15.3935 shares and 17.4092 shares, respectively, per $1,000 principal amount of notes (which represents an initial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conversion price of approximately $64.96 per share and $57.44 per share, respectively). We expect to satisfy any conversion of the Notes with cash up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 pursuant to the net share settlement mechanism set forth in the respective indenture and, with respect to any excess conversion value,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 The 2012 Notes and 2016 Notes are convertible only in the following circumstances: (1) if the closing sale price of our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exceeds 130% and 150%, respectively, of the conversion price during a period as defined in the applicable indenture; (2) if the average trading price per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$1,000 principal amount of the Notes is less than or equal to 97% or 98%, respectively, of the average conversion value of the Notes during a period as defined 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applicable indenture; (3) at any time on or after December 15, 2011, or June 15, 2016, respectively; or (4) if specified corporate transactions occur. The issue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price of the Notes was equal to their face amounts, which is also the amount holders are entitled to receive at maturity if the Notes are not converted. None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these conditions existed with respect to the Notes; therefore the 2016 Notes are classified as long-term. The 2012 Notes are classified as long-term based on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Company’s intent and ability to settle the obligation with long-term borrowings from its Senior Credit Facility.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Notes, under the terms of the applicable private placement agreement, are guaranteed fully by Integra LifeSciences Corporation, a subsidiary of Integra. The Notes are Integra’s direct senior unsecured obligations and will rank equal in right of payment to all of our existing and future unsecured and unsubordinated indebtedness.</w:t>
      </w:r>
    </w:p>
    <w:p>
      <w:pPr>
        <w:spacing w:after="0" w:line="14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connection with the issuance of the Notes, we entered into call transactions and warrant transactions, primarily with affiliates of the initial purchasers of the Notes (the “hedge participants”). The cost of the call transactions to us was approximately $30.4 million for the 2012 Notes and $42.9 million for the 2016 Notes. We received approximately $12.2 million and $28.5 million of proceeds from the warrant transactions for the 2012 Notes and 2016 Notes, respectively. The call transactions involved our purchasing call options from the hedge participants, and the warrant transactions involved us selling call options to the hedge participants with a higher strike price than the purchased call options. The initial strike price of the call transactions is approximately $64.96 for the 2012 Notes and $57.44 for the 2016 Notes, subject to anti-dilution adjustments substantially similar to those in the Notes. The initial strike price of the warrant transactions is approximately $90.95 for the 2012 Notes and $70.05 for the 2016 Notes, in each case subject to customary anti-dilution adjustments.</w:t>
      </w:r>
    </w:p>
    <w:p>
      <w:pPr>
        <w:spacing w:after="0" w:line="118"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We may from time to time seek to retire or purchase a portion of our outstanding Notes through cash purchases and/or exchanges for equity securities, in open market purchases, privately negotiated transactions or otherwise. Such repurchases or exchanges, if any, will depend on prevailing market conditions, our liquidity requirements, contractual restrictions and other factors. Under certain circumstances, the call options associated with any repurchased Notes may terminate early, but only with respect to the number of Notes that cease to be outstanding. The amounts involved may be material.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Plan</w:t>
      </w:r>
    </w:p>
    <w:p>
      <w:pPr>
        <w:spacing w:after="0" w:line="9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On October 29, 2010, our Board of Directors authorized us to repurchase shares of our common stock for an aggregate purchase price not to exceed $75.0 million through December 31, 2012. Shares may be purchased either in the open market or in privately negotiated transactions. Under this program during the first six months of 2011, we repurchased approximately 0.4 million shares at a cost of $19.5 million; $55.5 million remains available under the authorization.</w:t>
      </w:r>
    </w:p>
    <w:p>
      <w:pPr>
        <w:spacing w:after="0" w:line="10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addition to the authorization above, on June 3, 2011 the Company’s Board of Directors separately authorized the Company to repurchase shares of common stock from the proceeds of the 2016 Notes in connection with that debt offering. The Company repurchased 0.8 million shares for an aggregate purchase price of $37.6 million under that authorization during the second quarter of 2011.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have not paid any cash dividends on our common stock since our formation. Our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deemed relevant by the Board of Directors.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believe that our cash and available borrowings under the Senior Credit Facility are sufficient to finance our operations and capital expenditures, and potential acquisition-related payments in the near term based on our current plans. The Company considers all such outstanding amounts to be long-term in nature based on its current intent and ability to repay the borrowings outside of the next twelve month period.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2011, we were obligated to pay the following amounts under various agreements: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79"/>
              </w:rPr>
              <w:t>Less than</w:t>
            </w:r>
          </w:p>
        </w:tc>
        <w:tc>
          <w:tcPr>
            <w:tcW w:w="62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1-3</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76"/>
              <w:spacing w:after="0"/>
              <w:rPr>
                <w:sz w:val="20"/>
                <w:szCs w:val="20"/>
                <w:color w:val="auto"/>
              </w:rPr>
            </w:pPr>
            <w:r>
              <w:rPr>
                <w:rFonts w:ascii="Arial" w:cs="Arial" w:eastAsia="Arial" w:hAnsi="Arial"/>
                <w:sz w:val="14"/>
                <w:szCs w:val="14"/>
                <w:b w:val="1"/>
                <w:bCs w:val="1"/>
                <w:color w:val="auto"/>
              </w:rPr>
              <w:t>3-5</w:t>
            </w:r>
          </w:p>
        </w:tc>
        <w:tc>
          <w:tcPr>
            <w:tcW w:w="30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64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1 Year</w:t>
            </w:r>
          </w:p>
        </w:tc>
        <w:tc>
          <w:tcPr>
            <w:tcW w:w="20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78"/>
              </w:rPr>
              <w:t>Years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(In millions)</w:t>
            </w: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Convertible Securities(1)</w:t>
            </w:r>
          </w:p>
        </w:tc>
        <w:tc>
          <w:tcPr>
            <w:tcW w:w="4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$395.0</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$ 165.0</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0"/>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Revolving Credit Facility(2)</w:t>
            </w:r>
          </w:p>
        </w:tc>
        <w:tc>
          <w:tcPr>
            <w:tcW w:w="4380" w:type="dxa"/>
            <w:vAlign w:val="bottom"/>
            <w:gridSpan w:val="3"/>
          </w:tcPr>
          <w:p>
            <w:pPr>
              <w:jc w:val="right"/>
              <w:ind w:right="140"/>
              <w:spacing w:after="0"/>
              <w:rPr>
                <w:sz w:val="20"/>
                <w:szCs w:val="20"/>
                <w:color w:val="auto"/>
              </w:rPr>
            </w:pPr>
            <w:r>
              <w:rPr>
                <w:rFonts w:ascii="Arial" w:cs="Arial" w:eastAsia="Arial" w:hAnsi="Arial"/>
                <w:sz w:val="18"/>
                <w:szCs w:val="18"/>
                <w:color w:val="auto"/>
              </w:rPr>
              <w:t>145.0</w:t>
            </w:r>
          </w:p>
        </w:tc>
        <w:tc>
          <w:tcPr>
            <w:tcW w:w="16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145.0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Interest(3)</w:t>
            </w:r>
          </w:p>
        </w:tc>
        <w:tc>
          <w:tcPr>
            <w:tcW w:w="4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26.4</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Employment Agreements(4)</w:t>
            </w:r>
          </w:p>
        </w:tc>
        <w:tc>
          <w:tcPr>
            <w:tcW w:w="4380" w:type="dxa"/>
            <w:vAlign w:val="bottom"/>
            <w:gridSpan w:val="3"/>
          </w:tcPr>
          <w:p>
            <w:pPr>
              <w:jc w:val="right"/>
              <w:ind w:right="140"/>
              <w:spacing w:after="0"/>
              <w:rPr>
                <w:sz w:val="20"/>
                <w:szCs w:val="20"/>
                <w:color w:val="auto"/>
              </w:rPr>
            </w:pPr>
            <w:r>
              <w:rPr>
                <w:rFonts w:ascii="Arial" w:cs="Arial" w:eastAsia="Arial" w:hAnsi="Arial"/>
                <w:sz w:val="18"/>
                <w:szCs w:val="18"/>
                <w:color w:val="auto"/>
              </w:rPr>
              <w:t>3.6</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4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46.7</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Acquisition consideration(5)</w:t>
            </w:r>
          </w:p>
        </w:tc>
        <w:tc>
          <w:tcPr>
            <w:tcW w:w="4380" w:type="dxa"/>
            <w:vAlign w:val="bottom"/>
            <w:gridSpan w:val="3"/>
          </w:tcPr>
          <w:p>
            <w:pPr>
              <w:jc w:val="right"/>
              <w:ind w:right="140"/>
              <w:spacing w:after="0"/>
              <w:rPr>
                <w:sz w:val="20"/>
                <w:szCs w:val="20"/>
                <w:color w:val="auto"/>
              </w:rPr>
            </w:pPr>
            <w:r>
              <w:rPr>
                <w:rFonts w:ascii="Arial" w:cs="Arial" w:eastAsia="Arial" w:hAnsi="Arial"/>
                <w:sz w:val="18"/>
                <w:szCs w:val="18"/>
                <w:color w:val="auto"/>
              </w:rPr>
              <w:t>13.7</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8.7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4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13.1</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Other</w:t>
            </w:r>
          </w:p>
        </w:tc>
        <w:tc>
          <w:tcPr>
            <w:tcW w:w="3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650.8</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$ 207.2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164.8</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740" w:type="dxa"/>
            <w:vAlign w:val="bottom"/>
            <w:vMerge w:val="restart"/>
          </w:tcPr>
          <w:p>
            <w:pPr>
              <w:jc w:val="right"/>
              <w:ind w:right="1672"/>
              <w:spacing w:after="0"/>
              <w:rPr>
                <w:sz w:val="20"/>
                <w:szCs w:val="20"/>
                <w:color w:val="auto"/>
              </w:rPr>
            </w:pPr>
            <w:r>
              <w:rPr>
                <w:rFonts w:ascii="Arial" w:cs="Arial" w:eastAsia="Arial" w:hAnsi="Arial"/>
                <w:sz w:val="18"/>
                <w:szCs w:val="18"/>
                <w:color w:val="auto"/>
              </w:rPr>
              <w:t>26</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hanging="452"/>
        <w:spacing w:after="0" w:line="283"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estimated debt service obligation of the senior convertible securities includes interest expense representing the amortization of the discount on the liability component of the senior convertible notes in accordance with the authoritative guidance. We have the ability and intent to settle the $165.0 million 2012 Notes that are due within one year with long-term borrowing under our Senior Credit Faclity, and have therefore classified these borrowings as long-term in our June 30, 2011 condensed consolidated balance sheet. See Note 5, “Debt,” of our consolidated financial statements for additional information.</w:t>
      </w:r>
    </w:p>
    <w:p>
      <w:pPr>
        <w:spacing w:after="0" w:line="2" w:lineRule="exact"/>
        <w:rPr>
          <w:rFonts w:ascii="Arial" w:cs="Arial" w:eastAsia="Arial" w:hAnsi="Arial"/>
          <w:sz w:val="16"/>
          <w:szCs w:val="16"/>
          <w:color w:val="auto"/>
        </w:rPr>
      </w:pPr>
    </w:p>
    <w:p>
      <w:pPr>
        <w:ind w:left="460" w:right="26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may borrow and make payments against the credit facility from time to time and considers all of the outstanding amounts to be long-term based on its current intent and ability to repay the borrowing outside of the next twelve-month period.</w:t>
      </w:r>
    </w:p>
    <w:p>
      <w:pPr>
        <w:ind w:left="460" w:right="14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Interest is calculated on the convertible securities based on current interest rates paid by the Company. As the revolving credit facility can be repaid at any time, no interest has been included in the calculation.</w:t>
      </w: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Amounts shown under Employment Agreements do not include compensation resulting from a change in control.</w:t>
      </w:r>
    </w:p>
    <w:p>
      <w:pPr>
        <w:spacing w:after="0" w:line="9" w:lineRule="exact"/>
        <w:rPr>
          <w:rFonts w:ascii="Arial" w:cs="Arial" w:eastAsia="Arial" w:hAnsi="Arial"/>
          <w:sz w:val="18"/>
          <w:szCs w:val="18"/>
          <w:color w:val="auto"/>
        </w:rPr>
      </w:pPr>
    </w:p>
    <w:p>
      <w:pPr>
        <w:ind w:left="460" w:right="600" w:hanging="452"/>
        <w:spacing w:after="0" w:line="361"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acquisition consideration is comprised of amounts that may be due to the sellers of SeaSpine, Inc. upon the finalization of the working capital adjustment and indemnification holdback releases, the settlement of the Theken earnout dispute, and the earnout for Integra Neurosciences Pty Ltd.</w:t>
      </w:r>
    </w:p>
    <w:p>
      <w:pPr>
        <w:spacing w:after="0" w:line="69"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Excluded from the contractual obligations table is the liability for uncertain tax benefits, including interest and penalties, totaling $7.4 million. This liability for uncertain tax benefits has been excluded because we cannot make a reliable estimate of the period in which the uncertain tax benefits may be realized.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critical accounting estimates included in our Annual Report on Form 10-K for the fiscal year ended December 31, 2010 have not materially changed.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 xml:space="preserve">On June 16, 2011 the Financial Accounting Standards Board issued </w:t>
      </w:r>
      <w:r>
        <w:rPr>
          <w:rFonts w:ascii="Arial" w:cs="Arial" w:eastAsia="Arial" w:hAnsi="Arial"/>
          <w:sz w:val="16"/>
          <w:szCs w:val="16"/>
          <w:i w:val="1"/>
          <w:iCs w:val="1"/>
          <w:color w:val="auto"/>
        </w:rPr>
        <w:t>Accounting Standards Update No. 2011-05, Presentation of Comprehensive Income</w:t>
      </w:r>
      <w:r>
        <w:rPr>
          <w:rFonts w:ascii="Arial" w:cs="Arial" w:eastAsia="Arial" w:hAnsi="Arial"/>
          <w:sz w:val="16"/>
          <w:szCs w:val="16"/>
          <w:color w:val="auto"/>
        </w:rPr>
        <w:t>; this standard eliminates the option to report other comprehensive income and its components in the statement of changes in equity. We can elect to present items of net income and other comprehensive income in one continuous statement, or in two consecutive statements. Each component of net income and each component of other comprehensive income, together with totals for comprehensive income and its two parts – net income and other comprehensive income – would need to be displayed under either alternative, and the statements would need to be presented with equal prominence as the other primary financial statements. This standard does not change: 1) the items that constitute net income and other comprehensive income, 2) when an item of other comprehensive income must be reclassified to net income, or 3) the computation for earnings-per-share - which will continue to be based on net income. This standard is effective for fiscal years beginning after December 15, 2011, and we have not yet determined which method we will elect upon adoption.</w:t>
      </w:r>
    </w:p>
    <w:p>
      <w:pPr>
        <w:spacing w:after="0" w:line="118"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 xml:space="preserve">On May 12, 2011 the Financial Accounting Standards Board issued </w:t>
      </w:r>
      <w:r>
        <w:rPr>
          <w:rFonts w:ascii="Arial" w:cs="Arial" w:eastAsia="Arial" w:hAnsi="Arial"/>
          <w:sz w:val="16"/>
          <w:szCs w:val="16"/>
          <w:i w:val="1"/>
          <w:iCs w:val="1"/>
          <w:color w:val="auto"/>
        </w:rPr>
        <w:t>Accounting Standards Update No. 2011-04 - Fair Value Measurement (Topic 820):</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Amendments to Achieve Common Fair Value Measurement and Disclosure Requirements in U.S. GAAP and IFRS. </w:t>
      </w:r>
      <w:r>
        <w:rPr>
          <w:rFonts w:ascii="Arial" w:cs="Arial" w:eastAsia="Arial" w:hAnsi="Arial"/>
          <w:sz w:val="16"/>
          <w:szCs w:val="16"/>
          <w:color w:val="auto"/>
        </w:rPr>
        <w:t>This standard merges many aspects of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measurement guidance by amending U.S. GAAP and creating a new standard under International Financial Reporting Standards. The primary changes to U.S. GAAP include: 1) clarifying the valuation premise of highest and best use, 2) clarifying how portfolios of financial instruments are measured, 3) clarifying the use of blockage factors and other premiums and discounts, and 4) increasing the disclosure requirements in a number of circumstances. This standard is effective for fiscal years beginning after December 15, 2011, and we believe the standard will not have a material impact on our results.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and Other Rate Risks</w:t>
      </w:r>
    </w:p>
    <w:p>
      <w:pPr>
        <w:spacing w:after="0" w:line="9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operate on a global basis and are exposed to the risk that changes in foreign currency exchange rates could adversely affect our financial condition, results of operations and cash flows. We are primarily exposed to foreign currency exchange rate risk with respect to transactions and net assets denominated in euros, Swiss francs, British pounds, Canadian dollars, and Australian dollars. We manage the foreign currency exposure centrally, on a combined basis, which allows us to net exposures and to take advantage of any natural offsets. To mitigate the impact of currency fluctuations on transactions denominated in nonfunctional currencies, we periodically enter into derivative financial instruments in the form of foreign currency exchange forward contracts with major financial institutions. We temporarily record realized and unrealized gains and losses on these contracts that qualify as cash flow hedges in other comprehensive income, and then recognize them in other income or expense when the hedged item affects net earnings.</w:t>
      </w:r>
    </w:p>
    <w:p>
      <w:pPr>
        <w:spacing w:after="0" w:line="11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From time to time, we enter into foreign currency forward exchange contracts with terms of up to 12 months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 There were no foreign currency forward contracts outstanding at June 30, 2011.</w:t>
      </w:r>
    </w:p>
    <w:p>
      <w:pPr>
        <w:spacing w:after="0" w:line="14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maintain written policies and procedures governing our risk management activities. With respect to cash flow hedges, changes in cash flows attributable to hedged transactions are generally expected to be completely offset by changes in the fair value of hedge instruments. Consequently, foreign currency exchange contracts would not subject us to material risk due to exchange rate movements, because gains and losses on these contracts offset gains and losses on the assets, liabilities or transactions being hedged.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i w:val="1"/>
          <w:iCs w:val="1"/>
          <w:u w:val="single" w:color="auto"/>
          <w:color w:val="auto"/>
        </w:rPr>
        <w:t>Cash and Cash Equivalents</w:t>
      </w:r>
      <w:r>
        <w:rPr>
          <w:rFonts w:ascii="Arial" w:cs="Arial" w:eastAsia="Arial" w:hAnsi="Arial"/>
          <w:sz w:val="16"/>
          <w:szCs w:val="16"/>
          <w:i w:val="1"/>
          <w:iCs w:val="1"/>
          <w:color w:val="auto"/>
        </w:rPr>
        <w:t xml:space="preserve"> </w:t>
      </w:r>
      <w:r>
        <w:rPr>
          <w:rFonts w:ascii="Arial" w:cs="Arial" w:eastAsia="Arial" w:hAnsi="Arial"/>
          <w:sz w:val="16"/>
          <w:szCs w:val="16"/>
          <w:color w:val="auto"/>
        </w:rPr>
        <w:t>- We are exposed to the risk of interest rate fluctuations on the interest income earned on our cash and cash equivalents. A</w:t>
      </w:r>
      <w:r>
        <w:rPr>
          <w:rFonts w:ascii="Arial" w:cs="Arial" w:eastAsia="Arial" w:hAnsi="Arial"/>
          <w:sz w:val="16"/>
          <w:szCs w:val="16"/>
          <w:i w:val="1"/>
          <w:iCs w:val="1"/>
          <w:color w:val="auto"/>
        </w:rPr>
        <w:t xml:space="preserve"> </w:t>
      </w:r>
      <w:r>
        <w:rPr>
          <w:rFonts w:ascii="Arial" w:cs="Arial" w:eastAsia="Arial" w:hAnsi="Arial"/>
          <w:sz w:val="16"/>
          <w:szCs w:val="16"/>
          <w:color w:val="auto"/>
        </w:rPr>
        <w:t>hypothetical 100 basis point movement in interest rates applicable to our cash and cash equivalents outstanding at June 30, 2011 would increase interest income by approximately $1.4 million on an annual basis. No significant decrease in interest income would be expected as our cash balances are earning interest at rates close to zero. We are subject to foreign currency exchange risk with respect to cash balances maintained in foreign currencies.</w:t>
      </w:r>
    </w:p>
    <w:p>
      <w:pPr>
        <w:spacing w:after="0" w:line="11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u w:val="single" w:color="auto"/>
          <w:color w:val="auto"/>
        </w:rPr>
        <w:t>Senior Credit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 Our interest rate risk relates primarily to U.S. dollar LIBOR-indexed borrowings. We have used an interest rate derivative instrument to</w:t>
      </w:r>
      <w:r>
        <w:rPr>
          <w:rFonts w:ascii="Arial" w:cs="Arial" w:eastAsia="Arial" w:hAnsi="Arial"/>
          <w:sz w:val="18"/>
          <w:szCs w:val="18"/>
          <w:i w:val="1"/>
          <w:iCs w:val="1"/>
          <w:color w:val="auto"/>
        </w:rPr>
        <w:t xml:space="preserve"> </w:t>
      </w:r>
      <w:r>
        <w:rPr>
          <w:rFonts w:ascii="Arial" w:cs="Arial" w:eastAsia="Arial" w:hAnsi="Arial"/>
          <w:sz w:val="18"/>
          <w:szCs w:val="18"/>
          <w:color w:val="auto"/>
        </w:rPr>
        <w:t>manage our earnings and cash flow exposure to changes in interest rates by utilizing a forward-starting interest rate swap that began to offset a portion of our interest payments in the first quarter of 2011. This interest rate derivative instrument fixed the interest rate on a portion of our expected LIBOR-indexed floating-rate borrowings beginning on December 31, 2010. The interest rate swap had a notional amount of $144.4 million outstanding as of June 30, 2011. We recognized $1.1 million of additional interest expense related to this derivative during the first half of 2011. The fair value of our interest rate derivative instrument was a net liability of $1.9 million at June 30, 2011.</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Based on our outstanding borrowings at June 30, 2011, our variable rate debt is fully hedged and would not be impacted by a change in interest rates.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maintain disclosure controls and procedures that are designed to provide reasonable assurance that information required to be disclosed in our Exchange Act reports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for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14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June 30, 2011. Based upon this evaluation, our principal executive officer and principal financial officer concluded that our disclosure controls and procedures were effective as of June 30, 2011 to provide such reasonable assurance.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There were no changes in our internal control over financial reporting (as defined in Rule 13a-15(f) under the Exchange Act) that occurred during the quarter ended June 30, 2011 that have materially affected, or are reasonably likely to materially affect, our internal control over financial reporting.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Various lawsuits, claims and proceedings are pending or have been settled by us. The most significant items are described below.</w:t>
      </w:r>
    </w:p>
    <w:p>
      <w:pPr>
        <w:spacing w:after="0" w:line="171" w:lineRule="exact"/>
        <w:rPr>
          <w:sz w:val="20"/>
          <w:szCs w:val="20"/>
          <w:color w:val="auto"/>
        </w:rPr>
      </w:pPr>
    </w:p>
    <w:p>
      <w:pPr>
        <w:ind w:right="160"/>
        <w:spacing w:after="0" w:line="318" w:lineRule="auto"/>
        <w:rPr>
          <w:sz w:val="20"/>
          <w:szCs w:val="20"/>
          <w:color w:val="auto"/>
        </w:rPr>
      </w:pPr>
      <w:r>
        <w:rPr>
          <w:rFonts w:ascii="Arial" w:cs="Arial" w:eastAsia="Arial" w:hAnsi="Arial"/>
          <w:sz w:val="15"/>
          <w:szCs w:val="15"/>
          <w:color w:val="auto"/>
        </w:rPr>
        <w:t>In January 2010, we received a notice from the seller’s representative of the former Theken companies of a disagreement in the calculation of “trade sales” used in calculating a revenue performance payment that we made in November 2009 related to the first performance year that ended September 30, 2009. The notice alleged that we owed an additional $6.7 million. In January 2011, the Company received a notice from the seller’s representative that the alleged amount owed had been reduced to $5.7 million, and in June 2011 the Company and the seller agreed to settle the matter for $4.6 million; accordingly, this amount has been accrued at June 30, 2011. There are no amounts due under the asset purchase agreement for the second performance year that ended September 30, 2010.</w:t>
      </w:r>
    </w:p>
    <w:p>
      <w:pPr>
        <w:spacing w:after="0" w:line="10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have various product liability claims pending against us for which we currently has accruals totaling $4.8 million recorded in the financial statements. Our insurance policies cover these matters and we have recorded a corresponding receivable. Therefore, there is no impact on our consolidated statements of operations.</w:t>
      </w:r>
    </w:p>
    <w:p>
      <w:pPr>
        <w:spacing w:after="0" w:line="140"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In addition to these matters, we are subject to various claims, lawsuits and proceedings in the ordinary course of our business, including claims by current or former employees, distributors and competitors and with respect to our products. In the opinion of management, such claims are either adequately covered by insurance or otherwise indemnified, or are not expected, individually or in the aggregate, to result in a material adverse effect on our financial condition. However, it is possible that our results of operations, financial position and cash flows in a particular period could be materially affected by these contingencies.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The Risk Factors included in our Annual Report on Form 10-K for the fiscal year ended December 31, 2010 have not materially changed other than the modifications to the risk factors as set forth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may fluctuate.</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operating results, including components of operating results such as gross margin and cost of product sales, may fluctuate from time to time, and such fluctuations could affect our stock price. Our operating results have fluctuated in the past and can be expected to fluctuate from time to time in the future. Some of the factors that may cause these fluctuations include:</w:t>
      </w:r>
    </w:p>
    <w:p>
      <w:pPr>
        <w:spacing w:after="0" w:line="59" w:lineRule="exact"/>
        <w:rPr>
          <w:sz w:val="20"/>
          <w:szCs w:val="20"/>
          <w:color w:val="auto"/>
        </w:rPr>
      </w:pPr>
    </w:p>
    <w:p>
      <w:pPr>
        <w:ind w:left="900" w:right="12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current economic conditions, which could affect the ability of hospitals and other customers to purchase our products and could result in a reduction in elective and non-reimbursed operative procedures;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acquisitions;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our restructuring activities;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timing of significant customer orders, which tend to increase in the fourth quarter to coincide with the end of budget cycles for many hospitals;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acceptance of our existing products, as well as products in development;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of regulatory approvals;</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rates of exchange between the U.S. dollar and other currencies of foreign countries in which we do business, such as the euro and the British pound;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expenses incurred and business lost in connection with product field corrections or recalls;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cost or decreases in the supply of raw materials, including energy and steel;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manufacture our products efficiently;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of our research and development expenditures;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reimbursement for our products by third-party payors such as Medicare, Medicaid and private health insurers;</w:t>
      </w:r>
    </w:p>
    <w:p>
      <w:pPr>
        <w:spacing w:after="0" w:line="90" w:lineRule="exact"/>
        <w:rPr>
          <w:rFonts w:ascii="Arial" w:cs="Arial" w:eastAsia="Arial" w:hAnsi="Arial"/>
          <w:sz w:val="18"/>
          <w:szCs w:val="18"/>
          <w:color w:val="auto"/>
        </w:rPr>
      </w:pPr>
    </w:p>
    <w:p>
      <w:pPr>
        <w:ind w:left="900" w:right="240" w:hanging="325"/>
        <w:spacing w:after="0" w:line="33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inspections of our manufacturing facilities for compliance with Quality System Regulations (Good Manufacturing Practices) which could result in Form 483 observations, warning letters, injunctions or other adverse findings from the FDA or from equivalent regulatory bodies;</w:t>
      </w:r>
    </w:p>
    <w:p>
      <w:pPr>
        <w:spacing w:after="0" w:line="4" w:lineRule="exact"/>
        <w:rPr>
          <w:rFonts w:ascii="Arial" w:cs="Arial" w:eastAsia="Arial" w:hAnsi="Arial"/>
          <w:sz w:val="16"/>
          <w:szCs w:val="16"/>
          <w:color w:val="auto"/>
        </w:rPr>
      </w:pPr>
    </w:p>
    <w:p>
      <w:pPr>
        <w:ind w:left="900" w:right="32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FDA’s reform to the 510(k) Premarket Notification process which could make it more difficult to obtain clearance of our medical devices and could result in the requirement of clinical trial data in order to obtain FDA clearance; and</w:t>
      </w:r>
    </w:p>
    <w:p>
      <w:pPr>
        <w:spacing w:after="0" w:line="5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increased regulatory scrutiny of certain of our products, including products which we manufacture for others, could result in their being removed from the market.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In October 2010, our Board of Directors adopted a new program that authorizes us to repurchase shares of our common stock for an aggregate purchase price not to exceed $75.0 million through December 31, 2012. Shares may be repurchased either in the open market or in privately negotiated transactions.</w:t>
      </w:r>
    </w:p>
    <w:p>
      <w:pPr>
        <w:spacing w:after="0" w:line="8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There were purchases of approximately 0.4 million shares of our common stock totaling $19.5 million during the six months ended June 30, 2011 under this program.</w:t>
      </w:r>
    </w:p>
    <w:p>
      <w:pPr>
        <w:spacing w:after="0" w:line="13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addition to the authorization above, on June 3, 2011 the Company’s Board of Directors separately authorized the Company to repurchase shares of common stock from the proceeds of the 2016 Notes in connection with that debt offering. The Company repurchased 0.8 million shares for an aggregate purchase price of $37.6 million under that authorization during the second quarter of 2011.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ectPr>
          <w:pgSz w:w="11900" w:h="16838" w:orient="portrait"/>
          <w:cols w:equalWidth="0" w:num="1">
            <w:col w:w="11420"/>
          </w:cols>
          <w:pgMar w:left="240" w:top="459" w:right="239" w:bottom="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16"/>
        </w:trPr>
        <w:tc>
          <w:tcPr>
            <w:tcW w:w="620" w:type="dxa"/>
            <w:vAlign w:val="bottom"/>
          </w:tcPr>
          <w:p>
            <w:pPr>
              <w:jc w:val="right"/>
              <w:ind w:right="312"/>
              <w:spacing w:after="0"/>
              <w:rPr>
                <w:sz w:val="20"/>
                <w:szCs w:val="20"/>
                <w:color w:val="auto"/>
              </w:rPr>
            </w:pPr>
            <w:r>
              <w:rPr>
                <w:rFonts w:ascii="Arial" w:cs="Arial" w:eastAsia="Arial" w:hAnsi="Arial"/>
                <w:sz w:val="18"/>
                <w:szCs w:val="18"/>
                <w:color w:val="auto"/>
                <w:w w:val="79"/>
              </w:rPr>
              <w:t>4.1</w:t>
            </w:r>
          </w:p>
        </w:tc>
        <w:tc>
          <w:tcPr>
            <w:tcW w:w="10400" w:type="dxa"/>
            <w:vAlign w:val="bottom"/>
          </w:tcPr>
          <w:p>
            <w:pPr>
              <w:ind w:left="400"/>
              <w:spacing w:after="0"/>
              <w:rPr>
                <w:sz w:val="20"/>
                <w:szCs w:val="20"/>
                <w:color w:val="auto"/>
              </w:rPr>
            </w:pPr>
            <w:r>
              <w:rPr>
                <w:rFonts w:ascii="Arial" w:cs="Arial" w:eastAsia="Arial" w:hAnsi="Arial"/>
                <w:sz w:val="18"/>
                <w:szCs w:val="18"/>
                <w:color w:val="auto"/>
                <w:w w:val="88"/>
              </w:rPr>
              <w:t>Purchase Agreement, dated June 9, 2011, by and between Integra LifeSciences Holdings Corporation and J.P. Morgan Securities LLC, Merrill</w:t>
            </w:r>
          </w:p>
        </w:tc>
      </w:tr>
      <w:tr>
        <w:trPr>
          <w:trHeight w:val="216"/>
        </w:trPr>
        <w:tc>
          <w:tcPr>
            <w:tcW w:w="620" w:type="dxa"/>
            <w:vAlign w:val="bottom"/>
          </w:tcPr>
          <w:p>
            <w:pPr>
              <w:spacing w:after="0"/>
              <w:rPr>
                <w:sz w:val="18"/>
                <w:szCs w:val="18"/>
                <w:color w:val="auto"/>
              </w:rPr>
            </w:pPr>
          </w:p>
        </w:tc>
        <w:tc>
          <w:tcPr>
            <w:tcW w:w="10400" w:type="dxa"/>
            <w:vAlign w:val="bottom"/>
          </w:tcPr>
          <w:p>
            <w:pPr>
              <w:ind w:left="400"/>
              <w:spacing w:after="0"/>
              <w:rPr>
                <w:sz w:val="20"/>
                <w:szCs w:val="20"/>
                <w:color w:val="auto"/>
              </w:rPr>
            </w:pPr>
            <w:r>
              <w:rPr>
                <w:rFonts w:ascii="Arial" w:cs="Arial" w:eastAsia="Arial" w:hAnsi="Arial"/>
                <w:sz w:val="18"/>
                <w:szCs w:val="18"/>
                <w:color w:val="auto"/>
                <w:w w:val="92"/>
              </w:rPr>
              <w:t>Lynch, Pierce, Fenner &amp; Smith Incorporated, Morgan Stanley &amp; Co. LLC, Deutsche Bank Securities Inc., RBC Capital Markets, LLC and</w:t>
            </w:r>
          </w:p>
        </w:tc>
      </w:tr>
      <w:tr>
        <w:trPr>
          <w:trHeight w:val="222"/>
        </w:trPr>
        <w:tc>
          <w:tcPr>
            <w:tcW w:w="620" w:type="dxa"/>
            <w:vAlign w:val="bottom"/>
          </w:tcPr>
          <w:p>
            <w:pPr>
              <w:spacing w:after="0"/>
              <w:rPr>
                <w:sz w:val="19"/>
                <w:szCs w:val="19"/>
                <w:color w:val="auto"/>
              </w:rPr>
            </w:pPr>
          </w:p>
        </w:tc>
        <w:tc>
          <w:tcPr>
            <w:tcW w:w="10400" w:type="dxa"/>
            <w:vAlign w:val="bottom"/>
          </w:tcPr>
          <w:p>
            <w:pPr>
              <w:ind w:left="400"/>
              <w:spacing w:after="0"/>
              <w:rPr>
                <w:sz w:val="20"/>
                <w:szCs w:val="20"/>
                <w:color w:val="auto"/>
              </w:rPr>
            </w:pPr>
            <w:r>
              <w:rPr>
                <w:rFonts w:ascii="Arial" w:cs="Arial" w:eastAsia="Arial" w:hAnsi="Arial"/>
                <w:sz w:val="18"/>
                <w:szCs w:val="18"/>
                <w:color w:val="auto"/>
              </w:rPr>
              <w:t>Wells Fargo Securities, LLC (Incorporated by reference to Exhibit 4.1 to the Company’s Form 8-K filed on June 15, 2011)</w:t>
            </w:r>
          </w:p>
        </w:tc>
      </w:tr>
      <w:tr>
        <w:trPr>
          <w:trHeight w:val="318"/>
        </w:trPr>
        <w:tc>
          <w:tcPr>
            <w:tcW w:w="620" w:type="dxa"/>
            <w:vAlign w:val="bottom"/>
          </w:tcPr>
          <w:p>
            <w:pPr>
              <w:jc w:val="right"/>
              <w:ind w:right="312"/>
              <w:spacing w:after="0"/>
              <w:rPr>
                <w:sz w:val="20"/>
                <w:szCs w:val="20"/>
                <w:color w:val="auto"/>
              </w:rPr>
            </w:pPr>
            <w:r>
              <w:rPr>
                <w:rFonts w:ascii="Arial" w:cs="Arial" w:eastAsia="Arial" w:hAnsi="Arial"/>
                <w:sz w:val="18"/>
                <w:szCs w:val="18"/>
                <w:color w:val="auto"/>
                <w:w w:val="79"/>
              </w:rPr>
              <w:t>4.2</w:t>
            </w:r>
          </w:p>
        </w:tc>
        <w:tc>
          <w:tcPr>
            <w:tcW w:w="10400" w:type="dxa"/>
            <w:vAlign w:val="bottom"/>
          </w:tcPr>
          <w:p>
            <w:pPr>
              <w:ind w:left="400"/>
              <w:spacing w:after="0"/>
              <w:rPr>
                <w:sz w:val="20"/>
                <w:szCs w:val="20"/>
                <w:color w:val="auto"/>
              </w:rPr>
            </w:pPr>
            <w:r>
              <w:rPr>
                <w:rFonts w:ascii="Arial" w:cs="Arial" w:eastAsia="Arial" w:hAnsi="Arial"/>
                <w:sz w:val="18"/>
                <w:szCs w:val="18"/>
                <w:color w:val="auto"/>
                <w:w w:val="89"/>
              </w:rPr>
              <w:t>Indenture, dated June 15, 2011, by and between Integra LifeSciences Holdings Corporation and Wells Fargo Bank, National Association, as</w:t>
            </w:r>
          </w:p>
        </w:tc>
      </w:tr>
      <w:tr>
        <w:trPr>
          <w:trHeight w:val="222"/>
        </w:trPr>
        <w:tc>
          <w:tcPr>
            <w:tcW w:w="620" w:type="dxa"/>
            <w:vAlign w:val="bottom"/>
          </w:tcPr>
          <w:p>
            <w:pPr>
              <w:spacing w:after="0"/>
              <w:rPr>
                <w:sz w:val="19"/>
                <w:szCs w:val="19"/>
                <w:color w:val="auto"/>
              </w:rPr>
            </w:pPr>
          </w:p>
        </w:tc>
        <w:tc>
          <w:tcPr>
            <w:tcW w:w="10400" w:type="dxa"/>
            <w:vAlign w:val="bottom"/>
          </w:tcPr>
          <w:p>
            <w:pPr>
              <w:ind w:left="400"/>
              <w:spacing w:after="0"/>
              <w:rPr>
                <w:sz w:val="20"/>
                <w:szCs w:val="20"/>
                <w:color w:val="auto"/>
              </w:rPr>
            </w:pPr>
            <w:r>
              <w:rPr>
                <w:rFonts w:ascii="Arial" w:cs="Arial" w:eastAsia="Arial" w:hAnsi="Arial"/>
                <w:sz w:val="18"/>
                <w:szCs w:val="18"/>
                <w:color w:val="auto"/>
              </w:rPr>
              <w:t>trustee (Incorporated by reference to Exhibit 4.2 to the Company’s Form 8-K filed on June 15, 2011)</w:t>
            </w:r>
          </w:p>
        </w:tc>
      </w:tr>
      <w:tr>
        <w:trPr>
          <w:trHeight w:val="365"/>
        </w:trPr>
        <w:tc>
          <w:tcPr>
            <w:tcW w:w="620" w:type="dxa"/>
            <w:vAlign w:val="bottom"/>
          </w:tcPr>
          <w:p>
            <w:pPr>
              <w:spacing w:after="0"/>
              <w:rPr>
                <w:sz w:val="24"/>
                <w:szCs w:val="24"/>
                <w:color w:val="auto"/>
              </w:rPr>
            </w:pPr>
          </w:p>
        </w:tc>
        <w:tc>
          <w:tcPr>
            <w:tcW w:w="10400" w:type="dxa"/>
            <w:vAlign w:val="bottom"/>
          </w:tcPr>
          <w:p>
            <w:pPr>
              <w:ind w:left="4640"/>
              <w:spacing w:after="0"/>
              <w:rPr>
                <w:sz w:val="20"/>
                <w:szCs w:val="20"/>
                <w:color w:val="auto"/>
              </w:rPr>
            </w:pPr>
            <w:r>
              <w:rPr>
                <w:rFonts w:ascii="Arial" w:cs="Arial" w:eastAsia="Arial" w:hAnsi="Arial"/>
                <w:sz w:val="18"/>
                <w:szCs w:val="18"/>
                <w:color w:val="auto"/>
              </w:rPr>
              <w:t>29</w:t>
            </w:r>
          </w:p>
        </w:tc>
      </w:tr>
    </w:tbl>
    <w:p>
      <w:pPr>
        <w:sectPr>
          <w:pgSz w:w="11900" w:h="16838" w:orient="portrait"/>
          <w:cols w:equalWidth="0" w:num="1">
            <w:col w:w="11020"/>
          </w:cols>
          <w:pgMar w:left="600" w:top="131"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840" w:type="dxa"/>
            <w:vAlign w:val="bottom"/>
          </w:tcPr>
          <w:p>
            <w:pPr>
              <w:ind w:left="100"/>
              <w:spacing w:after="0"/>
              <w:rPr>
                <w:sz w:val="20"/>
                <w:szCs w:val="20"/>
                <w:color w:val="auto"/>
              </w:rPr>
            </w:pPr>
            <w:r>
              <w:rPr>
                <w:rFonts w:ascii="Arial" w:cs="Arial" w:eastAsia="Arial" w:hAnsi="Arial"/>
                <w:sz w:val="18"/>
                <w:szCs w:val="18"/>
                <w:color w:val="auto"/>
              </w:rPr>
              <w:t>*4.3</w:t>
            </w:r>
          </w:p>
        </w:tc>
        <w:tc>
          <w:tcPr>
            <w:tcW w:w="10400" w:type="dxa"/>
            <w:vAlign w:val="bottom"/>
          </w:tcPr>
          <w:p>
            <w:pPr>
              <w:ind w:left="360"/>
              <w:spacing w:after="0"/>
              <w:rPr>
                <w:sz w:val="20"/>
                <w:szCs w:val="20"/>
                <w:color w:val="auto"/>
              </w:rPr>
            </w:pPr>
            <w:r>
              <w:rPr>
                <w:rFonts w:ascii="Arial" w:cs="Arial" w:eastAsia="Arial" w:hAnsi="Arial"/>
                <w:sz w:val="18"/>
                <w:szCs w:val="18"/>
                <w:color w:val="auto"/>
                <w:w w:val="89"/>
              </w:rPr>
              <w:t>Second Amended and Restated Credit Agreement, dated as of June 8, 2011, among Integra LifeSciences Holdings Corporation, the lenders</w:t>
            </w:r>
          </w:p>
        </w:tc>
      </w:tr>
      <w:tr>
        <w:trPr>
          <w:trHeight w:val="216"/>
        </w:trPr>
        <w:tc>
          <w:tcPr>
            <w:tcW w:w="840" w:type="dxa"/>
            <w:vAlign w:val="bottom"/>
          </w:tcPr>
          <w:p>
            <w:pPr>
              <w:spacing w:after="0"/>
              <w:rPr>
                <w:sz w:val="18"/>
                <w:szCs w:val="18"/>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w w:val="89"/>
              </w:rPr>
              <w:t>party thereto, Bank of America, N.A. as Administrative Agent, Swing Line Lender and L/C Issuer, JPMorgan Chase Bank N.A. as Syndication</w:t>
            </w:r>
          </w:p>
        </w:tc>
      </w:tr>
      <w:tr>
        <w:trPr>
          <w:trHeight w:val="216"/>
        </w:trPr>
        <w:tc>
          <w:tcPr>
            <w:tcW w:w="840" w:type="dxa"/>
            <w:vAlign w:val="bottom"/>
          </w:tcPr>
          <w:p>
            <w:pPr>
              <w:spacing w:after="0"/>
              <w:rPr>
                <w:sz w:val="18"/>
                <w:szCs w:val="18"/>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w w:val="91"/>
              </w:rPr>
              <w:t>Agent, and, HSBC Bank USA, NA, Royal Bank of Canada, Wells Fargo Bank, N.A., Fifth Third Bank, DNB NOR Bank ASA, and TD Bank,</w:t>
            </w:r>
          </w:p>
        </w:tc>
      </w:tr>
      <w:tr>
        <w:trPr>
          <w:trHeight w:val="222"/>
        </w:trPr>
        <w:tc>
          <w:tcPr>
            <w:tcW w:w="840" w:type="dxa"/>
            <w:vAlign w:val="bottom"/>
          </w:tcPr>
          <w:p>
            <w:pPr>
              <w:spacing w:after="0"/>
              <w:rPr>
                <w:sz w:val="19"/>
                <w:szCs w:val="19"/>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rPr>
              <w:t>N.A., as Co-Documentation Agents</w:t>
            </w:r>
          </w:p>
        </w:tc>
      </w:tr>
      <w:tr>
        <w:trPr>
          <w:trHeight w:val="318"/>
        </w:trPr>
        <w:tc>
          <w:tcPr>
            <w:tcW w:w="840" w:type="dxa"/>
            <w:vAlign w:val="bottom"/>
          </w:tcPr>
          <w:p>
            <w:pPr>
              <w:ind w:left="100"/>
              <w:spacing w:after="0"/>
              <w:rPr>
                <w:sz w:val="20"/>
                <w:szCs w:val="20"/>
                <w:color w:val="auto"/>
              </w:rPr>
            </w:pPr>
            <w:r>
              <w:rPr>
                <w:rFonts w:ascii="Arial" w:cs="Arial" w:eastAsia="Arial" w:hAnsi="Arial"/>
                <w:sz w:val="18"/>
                <w:szCs w:val="18"/>
                <w:color w:val="auto"/>
              </w:rPr>
              <w:t>10.1</w:t>
            </w:r>
          </w:p>
        </w:tc>
        <w:tc>
          <w:tcPr>
            <w:tcW w:w="10400" w:type="dxa"/>
            <w:vAlign w:val="bottom"/>
          </w:tcPr>
          <w:p>
            <w:pPr>
              <w:ind w:left="360"/>
              <w:spacing w:after="0"/>
              <w:rPr>
                <w:sz w:val="20"/>
                <w:szCs w:val="20"/>
                <w:color w:val="auto"/>
              </w:rPr>
            </w:pPr>
            <w:r>
              <w:rPr>
                <w:rFonts w:ascii="Arial" w:cs="Arial" w:eastAsia="Arial" w:hAnsi="Arial"/>
                <w:sz w:val="18"/>
                <w:szCs w:val="18"/>
                <w:color w:val="auto"/>
                <w:w w:val="88"/>
              </w:rPr>
              <w:t>Letter Agreement dated May 17, 2011 between the Company and Stuart M. Essig (Incorporated by reference to Exhibit 10.1 to the Company’s</w:t>
            </w:r>
          </w:p>
        </w:tc>
      </w:tr>
      <w:tr>
        <w:trPr>
          <w:trHeight w:val="222"/>
        </w:trPr>
        <w:tc>
          <w:tcPr>
            <w:tcW w:w="840" w:type="dxa"/>
            <w:vAlign w:val="bottom"/>
          </w:tcPr>
          <w:p>
            <w:pPr>
              <w:spacing w:after="0"/>
              <w:rPr>
                <w:sz w:val="19"/>
                <w:szCs w:val="19"/>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rPr>
              <w:t>Form 8-K filed on May 23, 2011)</w:t>
            </w:r>
          </w:p>
        </w:tc>
      </w:tr>
      <w:tr>
        <w:trPr>
          <w:trHeight w:val="318"/>
        </w:trPr>
        <w:tc>
          <w:tcPr>
            <w:tcW w:w="840" w:type="dxa"/>
            <w:vAlign w:val="bottom"/>
          </w:tcPr>
          <w:p>
            <w:pPr>
              <w:ind w:left="100"/>
              <w:spacing w:after="0"/>
              <w:rPr>
                <w:sz w:val="20"/>
                <w:szCs w:val="20"/>
                <w:color w:val="auto"/>
              </w:rPr>
            </w:pPr>
            <w:r>
              <w:rPr>
                <w:rFonts w:ascii="Arial" w:cs="Arial" w:eastAsia="Arial" w:hAnsi="Arial"/>
                <w:sz w:val="18"/>
                <w:szCs w:val="18"/>
                <w:color w:val="auto"/>
              </w:rPr>
              <w:t>10.2</w:t>
            </w:r>
          </w:p>
        </w:tc>
        <w:tc>
          <w:tcPr>
            <w:tcW w:w="10400" w:type="dxa"/>
            <w:vAlign w:val="bottom"/>
          </w:tcPr>
          <w:p>
            <w:pPr>
              <w:ind w:left="360"/>
              <w:spacing w:after="0"/>
              <w:rPr>
                <w:sz w:val="20"/>
                <w:szCs w:val="20"/>
                <w:color w:val="auto"/>
              </w:rPr>
            </w:pPr>
            <w:r>
              <w:rPr>
                <w:rFonts w:ascii="Arial" w:cs="Arial" w:eastAsia="Arial" w:hAnsi="Arial"/>
                <w:sz w:val="18"/>
                <w:szCs w:val="18"/>
                <w:color w:val="auto"/>
                <w:w w:val="90"/>
              </w:rPr>
              <w:t>Contract Stock/Units Agreement dated as of May 17, 2011 between the Company and Stuart M. Essig (Incorporated by reference to Exhibit</w:t>
            </w:r>
          </w:p>
        </w:tc>
      </w:tr>
      <w:tr>
        <w:trPr>
          <w:trHeight w:val="222"/>
        </w:trPr>
        <w:tc>
          <w:tcPr>
            <w:tcW w:w="840" w:type="dxa"/>
            <w:vAlign w:val="bottom"/>
          </w:tcPr>
          <w:p>
            <w:pPr>
              <w:spacing w:after="0"/>
              <w:rPr>
                <w:sz w:val="19"/>
                <w:szCs w:val="19"/>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rPr>
              <w:t>10.2 to the Company’s Form 8-K filed on May 23, 2011)</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*10.3</w:t>
            </w:r>
          </w:p>
        </w:tc>
        <w:tc>
          <w:tcPr>
            <w:tcW w:w="10400" w:type="dxa"/>
            <w:vAlign w:val="bottom"/>
          </w:tcPr>
          <w:p>
            <w:pPr>
              <w:ind w:left="360"/>
              <w:spacing w:after="0"/>
              <w:rPr>
                <w:sz w:val="20"/>
                <w:szCs w:val="20"/>
                <w:color w:val="auto"/>
              </w:rPr>
            </w:pPr>
            <w:r>
              <w:rPr>
                <w:rFonts w:ascii="Arial" w:cs="Arial" w:eastAsia="Arial" w:hAnsi="Arial"/>
                <w:sz w:val="18"/>
                <w:szCs w:val="18"/>
                <w:color w:val="auto"/>
              </w:rPr>
              <w:t>New Form of Contract Stock / Restricted Units Agreement (for 2011 Annual Equity Award for Stuart M. Essig)</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10400" w:type="dxa"/>
            <w:vAlign w:val="bottom"/>
          </w:tcPr>
          <w:p>
            <w:pPr>
              <w:ind w:left="360"/>
              <w:spacing w:after="0"/>
              <w:rPr>
                <w:sz w:val="20"/>
                <w:szCs w:val="20"/>
                <w:color w:val="auto"/>
              </w:rPr>
            </w:pPr>
            <w:r>
              <w:rPr>
                <w:rFonts w:ascii="Arial" w:cs="Arial" w:eastAsia="Arial" w:hAnsi="Arial"/>
                <w:sz w:val="18"/>
                <w:szCs w:val="18"/>
                <w:color w:val="auto"/>
              </w:rPr>
              <w:t>Form of Amendment 2011-1 to Contract Stock / Restricted Units Agreements between the Company and Mr. Essig</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*10.5</w:t>
            </w:r>
          </w:p>
        </w:tc>
        <w:tc>
          <w:tcPr>
            <w:tcW w:w="10400" w:type="dxa"/>
            <w:vAlign w:val="bottom"/>
          </w:tcPr>
          <w:p>
            <w:pPr>
              <w:ind w:left="360"/>
              <w:spacing w:after="0"/>
              <w:rPr>
                <w:sz w:val="20"/>
                <w:szCs w:val="20"/>
                <w:color w:val="auto"/>
              </w:rPr>
            </w:pPr>
            <w:r>
              <w:rPr>
                <w:rFonts w:ascii="Arial" w:cs="Arial" w:eastAsia="Arial" w:hAnsi="Arial"/>
                <w:sz w:val="18"/>
                <w:szCs w:val="18"/>
                <w:color w:val="auto"/>
                <w:w w:val="95"/>
              </w:rPr>
              <w:t>Amendment 2011-1, dated as of May 17, 2011, to the Stuart M. Essig Contract Stock / Units Agreement dated as of August 6, 2008</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*10.6</w:t>
            </w:r>
          </w:p>
        </w:tc>
        <w:tc>
          <w:tcPr>
            <w:tcW w:w="10400" w:type="dxa"/>
            <w:vAlign w:val="bottom"/>
          </w:tcPr>
          <w:p>
            <w:pPr>
              <w:ind w:left="360"/>
              <w:spacing w:after="0"/>
              <w:rPr>
                <w:sz w:val="20"/>
                <w:szCs w:val="20"/>
                <w:color w:val="auto"/>
              </w:rPr>
            </w:pPr>
            <w:r>
              <w:rPr>
                <w:rFonts w:ascii="Arial" w:cs="Arial" w:eastAsia="Arial" w:hAnsi="Arial"/>
                <w:sz w:val="18"/>
                <w:szCs w:val="18"/>
                <w:color w:val="auto"/>
                <w:w w:val="89"/>
              </w:rPr>
              <w:t>Amendment 2011-1, dated as of May 17, 2011, to the Stuart M. Essig Contract Stock / Restricted Units Agreement dated as of July 27, 2004</w:t>
            </w:r>
          </w:p>
        </w:tc>
      </w:tr>
      <w:tr>
        <w:trPr>
          <w:trHeight w:val="318"/>
        </w:trPr>
        <w:tc>
          <w:tcPr>
            <w:tcW w:w="840" w:type="dxa"/>
            <w:vAlign w:val="bottom"/>
          </w:tcPr>
          <w:p>
            <w:pPr>
              <w:ind w:left="100"/>
              <w:spacing w:after="0"/>
              <w:rPr>
                <w:sz w:val="20"/>
                <w:szCs w:val="20"/>
                <w:color w:val="auto"/>
              </w:rPr>
            </w:pPr>
            <w:r>
              <w:rPr>
                <w:rFonts w:ascii="Arial" w:cs="Arial" w:eastAsia="Arial" w:hAnsi="Arial"/>
                <w:sz w:val="18"/>
                <w:szCs w:val="18"/>
                <w:color w:val="auto"/>
              </w:rPr>
              <w:t>10.7</w:t>
            </w:r>
          </w:p>
        </w:tc>
        <w:tc>
          <w:tcPr>
            <w:tcW w:w="10400" w:type="dxa"/>
            <w:vAlign w:val="bottom"/>
          </w:tcPr>
          <w:p>
            <w:pPr>
              <w:ind w:left="360"/>
              <w:spacing w:after="0"/>
              <w:rPr>
                <w:sz w:val="20"/>
                <w:szCs w:val="20"/>
                <w:color w:val="auto"/>
              </w:rPr>
            </w:pPr>
            <w:r>
              <w:rPr>
                <w:rFonts w:ascii="Arial" w:cs="Arial" w:eastAsia="Arial" w:hAnsi="Arial"/>
                <w:sz w:val="18"/>
                <w:szCs w:val="18"/>
                <w:color w:val="auto"/>
                <w:w w:val="95"/>
              </w:rPr>
              <w:t>Letter Agreement, dated June 9, 2011, between Deutsche Bank AG, London Branch and Integra LifeSciences Holdings Corporation,</w:t>
            </w:r>
          </w:p>
        </w:tc>
      </w:tr>
      <w:tr>
        <w:trPr>
          <w:trHeight w:val="222"/>
        </w:trPr>
        <w:tc>
          <w:tcPr>
            <w:tcW w:w="840" w:type="dxa"/>
            <w:vAlign w:val="bottom"/>
          </w:tcPr>
          <w:p>
            <w:pPr>
              <w:spacing w:after="0"/>
              <w:rPr>
                <w:sz w:val="19"/>
                <w:szCs w:val="19"/>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w w:val="91"/>
              </w:rPr>
              <w:t>regarding the Base Call Option Transaction (Incorporated by reference to Exhibit 10.1 to the Company’s Form 8-K filed on June 15, 2011)</w:t>
            </w:r>
          </w:p>
        </w:tc>
      </w:tr>
      <w:tr>
        <w:trPr>
          <w:trHeight w:val="318"/>
        </w:trPr>
        <w:tc>
          <w:tcPr>
            <w:tcW w:w="840" w:type="dxa"/>
            <w:vAlign w:val="bottom"/>
          </w:tcPr>
          <w:p>
            <w:pPr>
              <w:ind w:left="100"/>
              <w:spacing w:after="0"/>
              <w:rPr>
                <w:sz w:val="20"/>
                <w:szCs w:val="20"/>
                <w:color w:val="auto"/>
              </w:rPr>
            </w:pPr>
            <w:r>
              <w:rPr>
                <w:rFonts w:ascii="Arial" w:cs="Arial" w:eastAsia="Arial" w:hAnsi="Arial"/>
                <w:sz w:val="18"/>
                <w:szCs w:val="18"/>
                <w:color w:val="auto"/>
              </w:rPr>
              <w:t>10.8</w:t>
            </w:r>
          </w:p>
        </w:tc>
        <w:tc>
          <w:tcPr>
            <w:tcW w:w="10400" w:type="dxa"/>
            <w:vAlign w:val="bottom"/>
          </w:tcPr>
          <w:p>
            <w:pPr>
              <w:ind w:left="360"/>
              <w:spacing w:after="0"/>
              <w:rPr>
                <w:sz w:val="20"/>
                <w:szCs w:val="20"/>
                <w:color w:val="auto"/>
              </w:rPr>
            </w:pPr>
            <w:r>
              <w:rPr>
                <w:rFonts w:ascii="Arial" w:cs="Arial" w:eastAsia="Arial" w:hAnsi="Arial"/>
                <w:sz w:val="18"/>
                <w:szCs w:val="18"/>
                <w:color w:val="auto"/>
                <w:w w:val="90"/>
              </w:rPr>
              <w:t>Letter Agreement, dated June 9, 2011, between Royal Bank of Canada and Integra LifeSciences Holdings Corporation, regarding the Base</w:t>
            </w:r>
          </w:p>
        </w:tc>
      </w:tr>
      <w:tr>
        <w:trPr>
          <w:trHeight w:val="222"/>
        </w:trPr>
        <w:tc>
          <w:tcPr>
            <w:tcW w:w="840" w:type="dxa"/>
            <w:vAlign w:val="bottom"/>
          </w:tcPr>
          <w:p>
            <w:pPr>
              <w:spacing w:after="0"/>
              <w:rPr>
                <w:sz w:val="19"/>
                <w:szCs w:val="19"/>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rPr>
              <w:t>Call Option Transaction (Incorporated by reference to Exhibit 10.2 to the Company’s Form 8-K filed on June 15, 2011)</w:t>
            </w:r>
          </w:p>
        </w:tc>
      </w:tr>
      <w:tr>
        <w:trPr>
          <w:trHeight w:val="318"/>
        </w:trPr>
        <w:tc>
          <w:tcPr>
            <w:tcW w:w="840" w:type="dxa"/>
            <w:vAlign w:val="bottom"/>
          </w:tcPr>
          <w:p>
            <w:pPr>
              <w:ind w:left="100"/>
              <w:spacing w:after="0"/>
              <w:rPr>
                <w:sz w:val="20"/>
                <w:szCs w:val="20"/>
                <w:color w:val="auto"/>
              </w:rPr>
            </w:pPr>
            <w:r>
              <w:rPr>
                <w:rFonts w:ascii="Arial" w:cs="Arial" w:eastAsia="Arial" w:hAnsi="Arial"/>
                <w:sz w:val="18"/>
                <w:szCs w:val="18"/>
                <w:color w:val="auto"/>
              </w:rPr>
              <w:t>10.9</w:t>
            </w:r>
          </w:p>
        </w:tc>
        <w:tc>
          <w:tcPr>
            <w:tcW w:w="10400" w:type="dxa"/>
            <w:vAlign w:val="bottom"/>
          </w:tcPr>
          <w:p>
            <w:pPr>
              <w:ind w:left="360"/>
              <w:spacing w:after="0"/>
              <w:rPr>
                <w:sz w:val="20"/>
                <w:szCs w:val="20"/>
                <w:color w:val="auto"/>
              </w:rPr>
            </w:pPr>
            <w:r>
              <w:rPr>
                <w:rFonts w:ascii="Arial" w:cs="Arial" w:eastAsia="Arial" w:hAnsi="Arial"/>
                <w:sz w:val="18"/>
                <w:szCs w:val="18"/>
                <w:color w:val="auto"/>
                <w:w w:val="88"/>
              </w:rPr>
              <w:t>Letter Agreement, dated June 9, 2011, between The Royal Bank of Scotland plc and Integra LifeSciences Holdings Corporation, regarding the</w:t>
            </w:r>
          </w:p>
        </w:tc>
      </w:tr>
      <w:tr>
        <w:trPr>
          <w:trHeight w:val="222"/>
        </w:trPr>
        <w:tc>
          <w:tcPr>
            <w:tcW w:w="840" w:type="dxa"/>
            <w:vAlign w:val="bottom"/>
          </w:tcPr>
          <w:p>
            <w:pPr>
              <w:spacing w:after="0"/>
              <w:rPr>
                <w:sz w:val="19"/>
                <w:szCs w:val="19"/>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rPr>
              <w:t>Base Call Option Transaction (Incorporated by reference to Exhibit 10.3 to the Company’s Form 8-K filed on June 15, 2011)</w:t>
            </w:r>
          </w:p>
        </w:tc>
      </w:tr>
      <w:tr>
        <w:trPr>
          <w:trHeight w:val="318"/>
        </w:trPr>
        <w:tc>
          <w:tcPr>
            <w:tcW w:w="840" w:type="dxa"/>
            <w:vAlign w:val="bottom"/>
          </w:tcPr>
          <w:p>
            <w:pPr>
              <w:ind w:left="100"/>
              <w:spacing w:after="0"/>
              <w:rPr>
                <w:sz w:val="20"/>
                <w:szCs w:val="20"/>
                <w:color w:val="auto"/>
              </w:rPr>
            </w:pPr>
            <w:r>
              <w:rPr>
                <w:rFonts w:ascii="Arial" w:cs="Arial" w:eastAsia="Arial" w:hAnsi="Arial"/>
                <w:sz w:val="18"/>
                <w:szCs w:val="18"/>
                <w:color w:val="auto"/>
              </w:rPr>
              <w:t>10.10</w:t>
            </w:r>
          </w:p>
        </w:tc>
        <w:tc>
          <w:tcPr>
            <w:tcW w:w="10400" w:type="dxa"/>
            <w:vAlign w:val="bottom"/>
          </w:tcPr>
          <w:p>
            <w:pPr>
              <w:ind w:left="360"/>
              <w:spacing w:after="0"/>
              <w:rPr>
                <w:sz w:val="20"/>
                <w:szCs w:val="20"/>
                <w:color w:val="auto"/>
              </w:rPr>
            </w:pPr>
            <w:r>
              <w:rPr>
                <w:rFonts w:ascii="Arial" w:cs="Arial" w:eastAsia="Arial" w:hAnsi="Arial"/>
                <w:sz w:val="18"/>
                <w:szCs w:val="18"/>
                <w:color w:val="auto"/>
                <w:w w:val="92"/>
              </w:rPr>
              <w:t>Letter Agreement, dated June 9, 2011, between Wells Fargo Bank, National Association and Integra LifeSciences Holdings Corporation,</w:t>
            </w:r>
          </w:p>
        </w:tc>
      </w:tr>
      <w:tr>
        <w:trPr>
          <w:trHeight w:val="222"/>
        </w:trPr>
        <w:tc>
          <w:tcPr>
            <w:tcW w:w="840" w:type="dxa"/>
            <w:vAlign w:val="bottom"/>
          </w:tcPr>
          <w:p>
            <w:pPr>
              <w:spacing w:after="0"/>
              <w:rPr>
                <w:sz w:val="19"/>
                <w:szCs w:val="19"/>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w w:val="91"/>
              </w:rPr>
              <w:t>regarding the Base Call Option Transaction (Incorporated by reference to Exhibit 10.4 to the Company’s Form 8-K filed on June 15, 2011)</w:t>
            </w:r>
          </w:p>
        </w:tc>
      </w:tr>
      <w:tr>
        <w:trPr>
          <w:trHeight w:val="318"/>
        </w:trPr>
        <w:tc>
          <w:tcPr>
            <w:tcW w:w="840" w:type="dxa"/>
            <w:vAlign w:val="bottom"/>
          </w:tcPr>
          <w:p>
            <w:pPr>
              <w:ind w:left="100"/>
              <w:spacing w:after="0"/>
              <w:rPr>
                <w:sz w:val="20"/>
                <w:szCs w:val="20"/>
                <w:color w:val="auto"/>
              </w:rPr>
            </w:pPr>
            <w:r>
              <w:rPr>
                <w:rFonts w:ascii="Arial" w:cs="Arial" w:eastAsia="Arial" w:hAnsi="Arial"/>
                <w:sz w:val="18"/>
                <w:szCs w:val="18"/>
                <w:color w:val="auto"/>
              </w:rPr>
              <w:t>10.11</w:t>
            </w:r>
          </w:p>
        </w:tc>
        <w:tc>
          <w:tcPr>
            <w:tcW w:w="10400" w:type="dxa"/>
            <w:vAlign w:val="bottom"/>
          </w:tcPr>
          <w:p>
            <w:pPr>
              <w:ind w:left="360"/>
              <w:spacing w:after="0"/>
              <w:rPr>
                <w:sz w:val="20"/>
                <w:szCs w:val="20"/>
                <w:color w:val="auto"/>
              </w:rPr>
            </w:pPr>
            <w:r>
              <w:rPr>
                <w:rFonts w:ascii="Arial" w:cs="Arial" w:eastAsia="Arial" w:hAnsi="Arial"/>
                <w:sz w:val="18"/>
                <w:szCs w:val="18"/>
                <w:color w:val="auto"/>
                <w:w w:val="95"/>
              </w:rPr>
              <w:t>Letter Agreement, dated June 9, 2011, between Deutsche Bank AG, London Branch and Integra LifeSciences Holdings Corporation,</w:t>
            </w:r>
          </w:p>
        </w:tc>
      </w:tr>
      <w:tr>
        <w:trPr>
          <w:trHeight w:val="222"/>
        </w:trPr>
        <w:tc>
          <w:tcPr>
            <w:tcW w:w="840" w:type="dxa"/>
            <w:vAlign w:val="bottom"/>
          </w:tcPr>
          <w:p>
            <w:pPr>
              <w:spacing w:after="0"/>
              <w:rPr>
                <w:sz w:val="19"/>
                <w:szCs w:val="19"/>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w w:val="93"/>
              </w:rPr>
              <w:t>regarding the Base Warrant Transaction (Incorporated by reference to Exhibit 10.5 to the Company’s Form 8-K filed on June 15, 2011)</w:t>
            </w:r>
          </w:p>
        </w:tc>
      </w:tr>
      <w:tr>
        <w:trPr>
          <w:trHeight w:val="318"/>
        </w:trPr>
        <w:tc>
          <w:tcPr>
            <w:tcW w:w="840" w:type="dxa"/>
            <w:vAlign w:val="bottom"/>
          </w:tcPr>
          <w:p>
            <w:pPr>
              <w:ind w:left="100"/>
              <w:spacing w:after="0"/>
              <w:rPr>
                <w:sz w:val="20"/>
                <w:szCs w:val="20"/>
                <w:color w:val="auto"/>
              </w:rPr>
            </w:pPr>
            <w:r>
              <w:rPr>
                <w:rFonts w:ascii="Arial" w:cs="Arial" w:eastAsia="Arial" w:hAnsi="Arial"/>
                <w:sz w:val="18"/>
                <w:szCs w:val="18"/>
                <w:color w:val="auto"/>
              </w:rPr>
              <w:t>10.12</w:t>
            </w:r>
          </w:p>
        </w:tc>
        <w:tc>
          <w:tcPr>
            <w:tcW w:w="10400" w:type="dxa"/>
            <w:vAlign w:val="bottom"/>
          </w:tcPr>
          <w:p>
            <w:pPr>
              <w:ind w:left="360"/>
              <w:spacing w:after="0"/>
              <w:rPr>
                <w:sz w:val="20"/>
                <w:szCs w:val="20"/>
                <w:color w:val="auto"/>
              </w:rPr>
            </w:pPr>
            <w:r>
              <w:rPr>
                <w:rFonts w:ascii="Arial" w:cs="Arial" w:eastAsia="Arial" w:hAnsi="Arial"/>
                <w:sz w:val="18"/>
                <w:szCs w:val="18"/>
                <w:color w:val="auto"/>
                <w:w w:val="90"/>
              </w:rPr>
              <w:t>Letter Agreement, dated June 9, 2011, between Royal Bank of Canada and Integra LifeSciences Holdings Corporation, regarding the Base</w:t>
            </w:r>
          </w:p>
        </w:tc>
      </w:tr>
      <w:tr>
        <w:trPr>
          <w:trHeight w:val="222"/>
        </w:trPr>
        <w:tc>
          <w:tcPr>
            <w:tcW w:w="840" w:type="dxa"/>
            <w:vAlign w:val="bottom"/>
          </w:tcPr>
          <w:p>
            <w:pPr>
              <w:spacing w:after="0"/>
              <w:rPr>
                <w:sz w:val="19"/>
                <w:szCs w:val="19"/>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rPr>
              <w:t>Warrant Transaction (Incorporated by reference to Exhibit 10.6 to the Company’s Form 8-K filed on June 15, 2011)</w:t>
            </w:r>
          </w:p>
        </w:tc>
      </w:tr>
      <w:tr>
        <w:trPr>
          <w:trHeight w:val="318"/>
        </w:trPr>
        <w:tc>
          <w:tcPr>
            <w:tcW w:w="840" w:type="dxa"/>
            <w:vAlign w:val="bottom"/>
          </w:tcPr>
          <w:p>
            <w:pPr>
              <w:ind w:left="100"/>
              <w:spacing w:after="0"/>
              <w:rPr>
                <w:sz w:val="20"/>
                <w:szCs w:val="20"/>
                <w:color w:val="auto"/>
              </w:rPr>
            </w:pPr>
            <w:r>
              <w:rPr>
                <w:rFonts w:ascii="Arial" w:cs="Arial" w:eastAsia="Arial" w:hAnsi="Arial"/>
                <w:sz w:val="18"/>
                <w:szCs w:val="18"/>
                <w:color w:val="auto"/>
              </w:rPr>
              <w:t>10.13</w:t>
            </w:r>
          </w:p>
        </w:tc>
        <w:tc>
          <w:tcPr>
            <w:tcW w:w="10400" w:type="dxa"/>
            <w:vAlign w:val="bottom"/>
          </w:tcPr>
          <w:p>
            <w:pPr>
              <w:ind w:left="360"/>
              <w:spacing w:after="0"/>
              <w:rPr>
                <w:sz w:val="20"/>
                <w:szCs w:val="20"/>
                <w:color w:val="auto"/>
              </w:rPr>
            </w:pPr>
            <w:r>
              <w:rPr>
                <w:rFonts w:ascii="Arial" w:cs="Arial" w:eastAsia="Arial" w:hAnsi="Arial"/>
                <w:sz w:val="18"/>
                <w:szCs w:val="18"/>
                <w:color w:val="auto"/>
                <w:w w:val="88"/>
              </w:rPr>
              <w:t>Letter Agreement, dated June 9, 2011, between The Royal Bank of Scotland plc and Integra LifeSciences Holdings Corporation, regarding the</w:t>
            </w:r>
          </w:p>
        </w:tc>
      </w:tr>
      <w:tr>
        <w:trPr>
          <w:trHeight w:val="222"/>
        </w:trPr>
        <w:tc>
          <w:tcPr>
            <w:tcW w:w="840" w:type="dxa"/>
            <w:vAlign w:val="bottom"/>
          </w:tcPr>
          <w:p>
            <w:pPr>
              <w:spacing w:after="0"/>
              <w:rPr>
                <w:sz w:val="19"/>
                <w:szCs w:val="19"/>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rPr>
              <w:t>Base Warrant Transaction (Incorporated by reference to Exhibit 10.7 to the Company’s Form 8-K filed on June 15, 2011)</w:t>
            </w:r>
          </w:p>
        </w:tc>
      </w:tr>
      <w:tr>
        <w:trPr>
          <w:trHeight w:val="318"/>
        </w:trPr>
        <w:tc>
          <w:tcPr>
            <w:tcW w:w="840" w:type="dxa"/>
            <w:vAlign w:val="bottom"/>
          </w:tcPr>
          <w:p>
            <w:pPr>
              <w:ind w:left="100"/>
              <w:spacing w:after="0"/>
              <w:rPr>
                <w:sz w:val="20"/>
                <w:szCs w:val="20"/>
                <w:color w:val="auto"/>
              </w:rPr>
            </w:pPr>
            <w:r>
              <w:rPr>
                <w:rFonts w:ascii="Arial" w:cs="Arial" w:eastAsia="Arial" w:hAnsi="Arial"/>
                <w:sz w:val="18"/>
                <w:szCs w:val="18"/>
                <w:color w:val="auto"/>
              </w:rPr>
              <w:t>10.14</w:t>
            </w:r>
          </w:p>
        </w:tc>
        <w:tc>
          <w:tcPr>
            <w:tcW w:w="10400" w:type="dxa"/>
            <w:vAlign w:val="bottom"/>
          </w:tcPr>
          <w:p>
            <w:pPr>
              <w:ind w:left="360"/>
              <w:spacing w:after="0"/>
              <w:rPr>
                <w:sz w:val="20"/>
                <w:szCs w:val="20"/>
                <w:color w:val="auto"/>
              </w:rPr>
            </w:pPr>
            <w:r>
              <w:rPr>
                <w:rFonts w:ascii="Arial" w:cs="Arial" w:eastAsia="Arial" w:hAnsi="Arial"/>
                <w:sz w:val="18"/>
                <w:szCs w:val="18"/>
                <w:color w:val="auto"/>
                <w:w w:val="92"/>
              </w:rPr>
              <w:t>Letter Agreement, dated June 9, 2011, between Wells Fargo Bank, National Association and Integra LifeSciences Holdings Corporation,</w:t>
            </w:r>
          </w:p>
        </w:tc>
      </w:tr>
      <w:tr>
        <w:trPr>
          <w:trHeight w:val="222"/>
        </w:trPr>
        <w:tc>
          <w:tcPr>
            <w:tcW w:w="840" w:type="dxa"/>
            <w:vAlign w:val="bottom"/>
          </w:tcPr>
          <w:p>
            <w:pPr>
              <w:spacing w:after="0"/>
              <w:rPr>
                <w:sz w:val="19"/>
                <w:szCs w:val="19"/>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w w:val="93"/>
              </w:rPr>
              <w:t>regarding the Base Warrant Transaction (Incorporated by reference to Exhibit 10.8 to the Company’s Form 8-K filed on June 15, 2011)</w:t>
            </w:r>
          </w:p>
        </w:tc>
      </w:tr>
      <w:tr>
        <w:trPr>
          <w:trHeight w:val="318"/>
        </w:trPr>
        <w:tc>
          <w:tcPr>
            <w:tcW w:w="840" w:type="dxa"/>
            <w:vAlign w:val="bottom"/>
          </w:tcPr>
          <w:p>
            <w:pPr>
              <w:ind w:left="100"/>
              <w:spacing w:after="0"/>
              <w:rPr>
                <w:sz w:val="20"/>
                <w:szCs w:val="20"/>
                <w:color w:val="auto"/>
              </w:rPr>
            </w:pPr>
            <w:r>
              <w:rPr>
                <w:rFonts w:ascii="Arial" w:cs="Arial" w:eastAsia="Arial" w:hAnsi="Arial"/>
                <w:sz w:val="18"/>
                <w:szCs w:val="18"/>
                <w:color w:val="auto"/>
              </w:rPr>
              <w:t>10.15</w:t>
            </w:r>
          </w:p>
        </w:tc>
        <w:tc>
          <w:tcPr>
            <w:tcW w:w="10400" w:type="dxa"/>
            <w:vAlign w:val="bottom"/>
          </w:tcPr>
          <w:p>
            <w:pPr>
              <w:ind w:left="360"/>
              <w:spacing w:after="0"/>
              <w:rPr>
                <w:sz w:val="20"/>
                <w:szCs w:val="20"/>
                <w:color w:val="auto"/>
              </w:rPr>
            </w:pPr>
            <w:r>
              <w:rPr>
                <w:rFonts w:ascii="Arial" w:cs="Arial" w:eastAsia="Arial" w:hAnsi="Arial"/>
                <w:sz w:val="18"/>
                <w:szCs w:val="18"/>
                <w:color w:val="auto"/>
                <w:w w:val="94"/>
              </w:rPr>
              <w:t>Letter Agreement, dated June 14, 2011, between Deutsche Bank AG, London Branch and Integra LifeSciences Holdings Corporation,</w:t>
            </w:r>
          </w:p>
        </w:tc>
      </w:tr>
      <w:tr>
        <w:trPr>
          <w:trHeight w:val="216"/>
        </w:trPr>
        <w:tc>
          <w:tcPr>
            <w:tcW w:w="840" w:type="dxa"/>
            <w:vAlign w:val="bottom"/>
          </w:tcPr>
          <w:p>
            <w:pPr>
              <w:spacing w:after="0"/>
              <w:rPr>
                <w:sz w:val="18"/>
                <w:szCs w:val="18"/>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w w:val="92"/>
              </w:rPr>
              <w:t>regarding the Additional Call Option Transaction (Incorporated by reference to Exhibit 10.9 to the Company’s Form 8-K filed on June 15,</w:t>
            </w:r>
          </w:p>
        </w:tc>
      </w:tr>
      <w:tr>
        <w:trPr>
          <w:trHeight w:val="222"/>
        </w:trPr>
        <w:tc>
          <w:tcPr>
            <w:tcW w:w="840" w:type="dxa"/>
            <w:vAlign w:val="bottom"/>
          </w:tcPr>
          <w:p>
            <w:pPr>
              <w:spacing w:after="0"/>
              <w:rPr>
                <w:sz w:val="19"/>
                <w:szCs w:val="19"/>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rPr>
              <w:t>2011)</w:t>
            </w:r>
          </w:p>
        </w:tc>
      </w:tr>
      <w:tr>
        <w:trPr>
          <w:trHeight w:val="365"/>
        </w:trPr>
        <w:tc>
          <w:tcPr>
            <w:tcW w:w="840" w:type="dxa"/>
            <w:vAlign w:val="bottom"/>
          </w:tcPr>
          <w:p>
            <w:pPr>
              <w:spacing w:after="0"/>
              <w:rPr>
                <w:sz w:val="24"/>
                <w:szCs w:val="24"/>
                <w:color w:val="auto"/>
              </w:rPr>
            </w:pPr>
          </w:p>
        </w:tc>
        <w:tc>
          <w:tcPr>
            <w:tcW w:w="10400" w:type="dxa"/>
            <w:vAlign w:val="bottom"/>
          </w:tcPr>
          <w:p>
            <w:pPr>
              <w:ind w:left="4600"/>
              <w:spacing w:after="0"/>
              <w:rPr>
                <w:sz w:val="20"/>
                <w:szCs w:val="20"/>
                <w:color w:val="auto"/>
              </w:rPr>
            </w:pPr>
            <w:r>
              <w:rPr>
                <w:rFonts w:ascii="Arial" w:cs="Arial" w:eastAsia="Arial" w:hAnsi="Arial"/>
                <w:sz w:val="18"/>
                <w:szCs w:val="18"/>
                <w:color w:val="auto"/>
              </w:rPr>
              <w:t>30</w:t>
            </w: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ind w:left="280"/>
              <w:spacing w:after="0"/>
              <w:rPr>
                <w:sz w:val="20"/>
                <w:szCs w:val="20"/>
                <w:color w:val="auto"/>
              </w:rPr>
            </w:pPr>
            <w:r>
              <w:rPr>
                <w:rFonts w:ascii="Arial" w:cs="Arial" w:eastAsia="Arial" w:hAnsi="Arial"/>
                <w:sz w:val="18"/>
                <w:szCs w:val="18"/>
                <w:color w:val="auto"/>
              </w:rPr>
              <w:t>10.16</w:t>
            </w:r>
          </w:p>
        </w:tc>
        <w:tc>
          <w:tcPr>
            <w:tcW w:w="10240" w:type="dxa"/>
            <w:vAlign w:val="bottom"/>
          </w:tcPr>
          <w:p>
            <w:pPr>
              <w:ind w:left="260"/>
              <w:spacing w:after="0"/>
              <w:rPr>
                <w:sz w:val="20"/>
                <w:szCs w:val="20"/>
                <w:color w:val="auto"/>
              </w:rPr>
            </w:pPr>
            <w:r>
              <w:rPr>
                <w:rFonts w:ascii="Arial" w:cs="Arial" w:eastAsia="Arial" w:hAnsi="Arial"/>
                <w:sz w:val="18"/>
                <w:szCs w:val="18"/>
                <w:color w:val="auto"/>
                <w:w w:val="93"/>
              </w:rPr>
              <w:t>Letter Agreement, dated June 14, 2011, between Royal Bank of Canada and Integra LifeSciences Holdings Corporation, regarding the</w:t>
            </w:r>
          </w:p>
        </w:tc>
      </w:tr>
      <w:tr>
        <w:trPr>
          <w:trHeight w:val="222"/>
        </w:trPr>
        <w:tc>
          <w:tcPr>
            <w:tcW w:w="1120" w:type="dxa"/>
            <w:vAlign w:val="bottom"/>
          </w:tcPr>
          <w:p>
            <w:pPr>
              <w:spacing w:after="0"/>
              <w:rPr>
                <w:sz w:val="19"/>
                <w:szCs w:val="19"/>
                <w:color w:val="auto"/>
              </w:rPr>
            </w:pPr>
          </w:p>
        </w:tc>
        <w:tc>
          <w:tcPr>
            <w:tcW w:w="10240" w:type="dxa"/>
            <w:vAlign w:val="bottom"/>
          </w:tcPr>
          <w:p>
            <w:pPr>
              <w:ind w:left="260"/>
              <w:spacing w:after="0"/>
              <w:rPr>
                <w:sz w:val="20"/>
                <w:szCs w:val="20"/>
                <w:color w:val="auto"/>
              </w:rPr>
            </w:pPr>
            <w:r>
              <w:rPr>
                <w:rFonts w:ascii="Arial" w:cs="Arial" w:eastAsia="Arial" w:hAnsi="Arial"/>
                <w:sz w:val="18"/>
                <w:szCs w:val="18"/>
                <w:color w:val="auto"/>
                <w:w w:val="96"/>
              </w:rPr>
              <w:t>Additional Call Option Transaction (Incorporated by reference to Exhibit 10.10 to the Company’s Form 8-K filed on June 15, 2011)</w:t>
            </w:r>
          </w:p>
        </w:tc>
      </w:tr>
      <w:tr>
        <w:trPr>
          <w:trHeight w:val="318"/>
        </w:trPr>
        <w:tc>
          <w:tcPr>
            <w:tcW w:w="1120" w:type="dxa"/>
            <w:vAlign w:val="bottom"/>
          </w:tcPr>
          <w:p>
            <w:pPr>
              <w:ind w:left="280"/>
              <w:spacing w:after="0"/>
              <w:rPr>
                <w:sz w:val="20"/>
                <w:szCs w:val="20"/>
                <w:color w:val="auto"/>
              </w:rPr>
            </w:pPr>
            <w:r>
              <w:rPr>
                <w:rFonts w:ascii="Arial" w:cs="Arial" w:eastAsia="Arial" w:hAnsi="Arial"/>
                <w:sz w:val="18"/>
                <w:szCs w:val="18"/>
                <w:color w:val="auto"/>
              </w:rPr>
              <w:t>10.17</w:t>
            </w:r>
          </w:p>
        </w:tc>
        <w:tc>
          <w:tcPr>
            <w:tcW w:w="10240" w:type="dxa"/>
            <w:vAlign w:val="bottom"/>
          </w:tcPr>
          <w:p>
            <w:pPr>
              <w:ind w:left="260"/>
              <w:spacing w:after="0"/>
              <w:rPr>
                <w:sz w:val="20"/>
                <w:szCs w:val="20"/>
                <w:color w:val="auto"/>
              </w:rPr>
            </w:pPr>
            <w:r>
              <w:rPr>
                <w:rFonts w:ascii="Arial" w:cs="Arial" w:eastAsia="Arial" w:hAnsi="Arial"/>
                <w:sz w:val="18"/>
                <w:szCs w:val="18"/>
                <w:color w:val="auto"/>
                <w:w w:val="89"/>
              </w:rPr>
              <w:t>Letter Agreement, dated June 14, 2011, between The Royal Bank of Scotland plc and Integra LifeSciences Holdings Corporation, regarding</w:t>
            </w:r>
          </w:p>
        </w:tc>
      </w:tr>
      <w:tr>
        <w:trPr>
          <w:trHeight w:val="222"/>
        </w:trPr>
        <w:tc>
          <w:tcPr>
            <w:tcW w:w="1120" w:type="dxa"/>
            <w:vAlign w:val="bottom"/>
          </w:tcPr>
          <w:p>
            <w:pPr>
              <w:spacing w:after="0"/>
              <w:rPr>
                <w:sz w:val="19"/>
                <w:szCs w:val="19"/>
                <w:color w:val="auto"/>
              </w:rPr>
            </w:pPr>
          </w:p>
        </w:tc>
        <w:tc>
          <w:tcPr>
            <w:tcW w:w="10240" w:type="dxa"/>
            <w:vAlign w:val="bottom"/>
          </w:tcPr>
          <w:p>
            <w:pPr>
              <w:ind w:left="260"/>
              <w:spacing w:after="0"/>
              <w:rPr>
                <w:sz w:val="20"/>
                <w:szCs w:val="20"/>
                <w:color w:val="auto"/>
              </w:rPr>
            </w:pPr>
            <w:r>
              <w:rPr>
                <w:rFonts w:ascii="Arial" w:cs="Arial" w:eastAsia="Arial" w:hAnsi="Arial"/>
                <w:sz w:val="18"/>
                <w:szCs w:val="18"/>
                <w:color w:val="auto"/>
                <w:w w:val="93"/>
              </w:rPr>
              <w:t>the Additional Call Option Transaction (Incorporated by reference to Exhibit 10.11 to the Company’s Form 8-K filed on June 15, 2011)</w:t>
            </w:r>
          </w:p>
        </w:tc>
      </w:tr>
      <w:tr>
        <w:trPr>
          <w:trHeight w:val="318"/>
        </w:trPr>
        <w:tc>
          <w:tcPr>
            <w:tcW w:w="1120" w:type="dxa"/>
            <w:vAlign w:val="bottom"/>
          </w:tcPr>
          <w:p>
            <w:pPr>
              <w:ind w:left="280"/>
              <w:spacing w:after="0"/>
              <w:rPr>
                <w:sz w:val="20"/>
                <w:szCs w:val="20"/>
                <w:color w:val="auto"/>
              </w:rPr>
            </w:pPr>
            <w:r>
              <w:rPr>
                <w:rFonts w:ascii="Arial" w:cs="Arial" w:eastAsia="Arial" w:hAnsi="Arial"/>
                <w:sz w:val="18"/>
                <w:szCs w:val="18"/>
                <w:color w:val="auto"/>
              </w:rPr>
              <w:t>10.18</w:t>
            </w:r>
          </w:p>
        </w:tc>
        <w:tc>
          <w:tcPr>
            <w:tcW w:w="10240" w:type="dxa"/>
            <w:vAlign w:val="bottom"/>
          </w:tcPr>
          <w:p>
            <w:pPr>
              <w:ind w:left="260"/>
              <w:spacing w:after="0"/>
              <w:rPr>
                <w:sz w:val="20"/>
                <w:szCs w:val="20"/>
                <w:color w:val="auto"/>
              </w:rPr>
            </w:pPr>
            <w:r>
              <w:rPr>
                <w:rFonts w:ascii="Arial" w:cs="Arial" w:eastAsia="Arial" w:hAnsi="Arial"/>
                <w:sz w:val="18"/>
                <w:szCs w:val="18"/>
                <w:color w:val="auto"/>
                <w:w w:val="91"/>
              </w:rPr>
              <w:t>Letter Agreement, dated June 14, 2011, between Wells Fargo Bank, National Association and Integra LifeSciences Holdings Corporation,</w:t>
            </w:r>
          </w:p>
        </w:tc>
      </w:tr>
      <w:tr>
        <w:trPr>
          <w:trHeight w:val="216"/>
        </w:trPr>
        <w:tc>
          <w:tcPr>
            <w:tcW w:w="1120" w:type="dxa"/>
            <w:vAlign w:val="bottom"/>
          </w:tcPr>
          <w:p>
            <w:pPr>
              <w:spacing w:after="0"/>
              <w:rPr>
                <w:sz w:val="18"/>
                <w:szCs w:val="18"/>
                <w:color w:val="auto"/>
              </w:rPr>
            </w:pPr>
          </w:p>
        </w:tc>
        <w:tc>
          <w:tcPr>
            <w:tcW w:w="10240" w:type="dxa"/>
            <w:vAlign w:val="bottom"/>
          </w:tcPr>
          <w:p>
            <w:pPr>
              <w:ind w:left="260"/>
              <w:spacing w:after="0"/>
              <w:rPr>
                <w:sz w:val="20"/>
                <w:szCs w:val="20"/>
                <w:color w:val="auto"/>
              </w:rPr>
            </w:pPr>
            <w:r>
              <w:rPr>
                <w:rFonts w:ascii="Arial" w:cs="Arial" w:eastAsia="Arial" w:hAnsi="Arial"/>
                <w:sz w:val="18"/>
                <w:szCs w:val="18"/>
                <w:color w:val="auto"/>
                <w:w w:val="91"/>
              </w:rPr>
              <w:t>regarding the Additional Call Option Transaction (Incorporated by reference to Exhibit 10.12 to the Company’s Form 8-K filed on June 15,</w:t>
            </w:r>
          </w:p>
        </w:tc>
      </w:tr>
      <w:tr>
        <w:trPr>
          <w:trHeight w:val="222"/>
        </w:trPr>
        <w:tc>
          <w:tcPr>
            <w:tcW w:w="1120" w:type="dxa"/>
            <w:vAlign w:val="bottom"/>
          </w:tcPr>
          <w:p>
            <w:pPr>
              <w:spacing w:after="0"/>
              <w:rPr>
                <w:sz w:val="19"/>
                <w:szCs w:val="19"/>
                <w:color w:val="auto"/>
              </w:rPr>
            </w:pPr>
          </w:p>
        </w:tc>
        <w:tc>
          <w:tcPr>
            <w:tcW w:w="10240" w:type="dxa"/>
            <w:vAlign w:val="bottom"/>
          </w:tcPr>
          <w:p>
            <w:pPr>
              <w:ind w:left="260"/>
              <w:spacing w:after="0"/>
              <w:rPr>
                <w:sz w:val="20"/>
                <w:szCs w:val="20"/>
                <w:color w:val="auto"/>
              </w:rPr>
            </w:pPr>
            <w:r>
              <w:rPr>
                <w:rFonts w:ascii="Arial" w:cs="Arial" w:eastAsia="Arial" w:hAnsi="Arial"/>
                <w:sz w:val="18"/>
                <w:szCs w:val="18"/>
                <w:color w:val="auto"/>
              </w:rPr>
              <w:t>2011)</w:t>
            </w:r>
          </w:p>
        </w:tc>
      </w:tr>
      <w:tr>
        <w:trPr>
          <w:trHeight w:val="318"/>
        </w:trPr>
        <w:tc>
          <w:tcPr>
            <w:tcW w:w="1120" w:type="dxa"/>
            <w:vAlign w:val="bottom"/>
          </w:tcPr>
          <w:p>
            <w:pPr>
              <w:ind w:left="280"/>
              <w:spacing w:after="0"/>
              <w:rPr>
                <w:sz w:val="20"/>
                <w:szCs w:val="20"/>
                <w:color w:val="auto"/>
              </w:rPr>
            </w:pPr>
            <w:r>
              <w:rPr>
                <w:rFonts w:ascii="Arial" w:cs="Arial" w:eastAsia="Arial" w:hAnsi="Arial"/>
                <w:sz w:val="18"/>
                <w:szCs w:val="18"/>
                <w:color w:val="auto"/>
              </w:rPr>
              <w:t>10.19</w:t>
            </w:r>
          </w:p>
        </w:tc>
        <w:tc>
          <w:tcPr>
            <w:tcW w:w="10240" w:type="dxa"/>
            <w:vAlign w:val="bottom"/>
          </w:tcPr>
          <w:p>
            <w:pPr>
              <w:ind w:left="260"/>
              <w:spacing w:after="0"/>
              <w:rPr>
                <w:sz w:val="20"/>
                <w:szCs w:val="20"/>
                <w:color w:val="auto"/>
              </w:rPr>
            </w:pPr>
            <w:r>
              <w:rPr>
                <w:rFonts w:ascii="Arial" w:cs="Arial" w:eastAsia="Arial" w:hAnsi="Arial"/>
                <w:sz w:val="18"/>
                <w:szCs w:val="18"/>
                <w:color w:val="auto"/>
                <w:w w:val="93"/>
              </w:rPr>
              <w:t>Letter Agreement, dated June 14, 2011, between Deutsche Bank AG, London Branch and Integra LifeSciences Holdings Corporation,</w:t>
            </w:r>
          </w:p>
        </w:tc>
      </w:tr>
      <w:tr>
        <w:trPr>
          <w:trHeight w:val="222"/>
        </w:trPr>
        <w:tc>
          <w:tcPr>
            <w:tcW w:w="1120" w:type="dxa"/>
            <w:vAlign w:val="bottom"/>
          </w:tcPr>
          <w:p>
            <w:pPr>
              <w:spacing w:after="0"/>
              <w:rPr>
                <w:sz w:val="19"/>
                <w:szCs w:val="19"/>
                <w:color w:val="auto"/>
              </w:rPr>
            </w:pPr>
          </w:p>
        </w:tc>
        <w:tc>
          <w:tcPr>
            <w:tcW w:w="10240" w:type="dxa"/>
            <w:vAlign w:val="bottom"/>
          </w:tcPr>
          <w:p>
            <w:pPr>
              <w:ind w:left="260"/>
              <w:spacing w:after="0"/>
              <w:rPr>
                <w:sz w:val="20"/>
                <w:szCs w:val="20"/>
                <w:color w:val="auto"/>
              </w:rPr>
            </w:pPr>
            <w:r>
              <w:rPr>
                <w:rFonts w:ascii="Arial" w:cs="Arial" w:eastAsia="Arial" w:hAnsi="Arial"/>
                <w:sz w:val="18"/>
                <w:szCs w:val="18"/>
                <w:color w:val="auto"/>
                <w:w w:val="89"/>
              </w:rPr>
              <w:t>regarding the Additional Warrant Transaction (Incorporated by reference to Exhibit 10.13 to the Company’s Form 8-K filed on June 15, 2011)</w:t>
            </w:r>
          </w:p>
        </w:tc>
      </w:tr>
      <w:tr>
        <w:trPr>
          <w:trHeight w:val="318"/>
        </w:trPr>
        <w:tc>
          <w:tcPr>
            <w:tcW w:w="1120" w:type="dxa"/>
            <w:vAlign w:val="bottom"/>
          </w:tcPr>
          <w:p>
            <w:pPr>
              <w:ind w:left="280"/>
              <w:spacing w:after="0"/>
              <w:rPr>
                <w:sz w:val="20"/>
                <w:szCs w:val="20"/>
                <w:color w:val="auto"/>
              </w:rPr>
            </w:pPr>
            <w:r>
              <w:rPr>
                <w:rFonts w:ascii="Arial" w:cs="Arial" w:eastAsia="Arial" w:hAnsi="Arial"/>
                <w:sz w:val="18"/>
                <w:szCs w:val="18"/>
                <w:color w:val="auto"/>
              </w:rPr>
              <w:t>10.20</w:t>
            </w:r>
          </w:p>
        </w:tc>
        <w:tc>
          <w:tcPr>
            <w:tcW w:w="10240" w:type="dxa"/>
            <w:vAlign w:val="bottom"/>
          </w:tcPr>
          <w:p>
            <w:pPr>
              <w:ind w:left="260"/>
              <w:spacing w:after="0"/>
              <w:rPr>
                <w:sz w:val="20"/>
                <w:szCs w:val="20"/>
                <w:color w:val="auto"/>
              </w:rPr>
            </w:pPr>
            <w:r>
              <w:rPr>
                <w:rFonts w:ascii="Arial" w:cs="Arial" w:eastAsia="Arial" w:hAnsi="Arial"/>
                <w:sz w:val="18"/>
                <w:szCs w:val="18"/>
                <w:color w:val="auto"/>
                <w:w w:val="93"/>
              </w:rPr>
              <w:t>Letter Agreement, dated June 14, 2011, between Royal Bank of Canada and Integra LifeSciences Holdings Corporation, regarding the</w:t>
            </w:r>
          </w:p>
        </w:tc>
      </w:tr>
      <w:tr>
        <w:trPr>
          <w:trHeight w:val="222"/>
        </w:trPr>
        <w:tc>
          <w:tcPr>
            <w:tcW w:w="1120" w:type="dxa"/>
            <w:vAlign w:val="bottom"/>
          </w:tcPr>
          <w:p>
            <w:pPr>
              <w:spacing w:after="0"/>
              <w:rPr>
                <w:sz w:val="19"/>
                <w:szCs w:val="19"/>
                <w:color w:val="auto"/>
              </w:rPr>
            </w:pPr>
          </w:p>
        </w:tc>
        <w:tc>
          <w:tcPr>
            <w:tcW w:w="10240" w:type="dxa"/>
            <w:vAlign w:val="bottom"/>
          </w:tcPr>
          <w:p>
            <w:pPr>
              <w:ind w:left="260"/>
              <w:spacing w:after="0"/>
              <w:rPr>
                <w:sz w:val="20"/>
                <w:szCs w:val="20"/>
                <w:color w:val="auto"/>
              </w:rPr>
            </w:pPr>
            <w:r>
              <w:rPr>
                <w:rFonts w:ascii="Arial" w:cs="Arial" w:eastAsia="Arial" w:hAnsi="Arial"/>
                <w:sz w:val="18"/>
                <w:szCs w:val="18"/>
                <w:color w:val="auto"/>
                <w:w w:val="98"/>
              </w:rPr>
              <w:t>Additional Warrant Transaction (Incorporated by reference to Exhibit 10.14 to the Company’s Form 8-K filed on June 15, 2011)</w:t>
            </w:r>
          </w:p>
        </w:tc>
      </w:tr>
      <w:tr>
        <w:trPr>
          <w:trHeight w:val="318"/>
        </w:trPr>
        <w:tc>
          <w:tcPr>
            <w:tcW w:w="1120" w:type="dxa"/>
            <w:vAlign w:val="bottom"/>
          </w:tcPr>
          <w:p>
            <w:pPr>
              <w:ind w:left="280"/>
              <w:spacing w:after="0"/>
              <w:rPr>
                <w:sz w:val="20"/>
                <w:szCs w:val="20"/>
                <w:color w:val="auto"/>
              </w:rPr>
            </w:pPr>
            <w:r>
              <w:rPr>
                <w:rFonts w:ascii="Arial" w:cs="Arial" w:eastAsia="Arial" w:hAnsi="Arial"/>
                <w:sz w:val="18"/>
                <w:szCs w:val="18"/>
                <w:color w:val="auto"/>
              </w:rPr>
              <w:t>10.21</w:t>
            </w:r>
          </w:p>
        </w:tc>
        <w:tc>
          <w:tcPr>
            <w:tcW w:w="10240" w:type="dxa"/>
            <w:vAlign w:val="bottom"/>
          </w:tcPr>
          <w:p>
            <w:pPr>
              <w:ind w:left="260"/>
              <w:spacing w:after="0"/>
              <w:rPr>
                <w:sz w:val="20"/>
                <w:szCs w:val="20"/>
                <w:color w:val="auto"/>
              </w:rPr>
            </w:pPr>
            <w:r>
              <w:rPr>
                <w:rFonts w:ascii="Arial" w:cs="Arial" w:eastAsia="Arial" w:hAnsi="Arial"/>
                <w:sz w:val="18"/>
                <w:szCs w:val="18"/>
                <w:color w:val="auto"/>
                <w:w w:val="89"/>
              </w:rPr>
              <w:t>Letter Agreement, dated June 14, 2011, between The Royal Bank of Scotland plc and Integra LifeSciences Holdings Corporation, regarding</w:t>
            </w:r>
          </w:p>
        </w:tc>
      </w:tr>
      <w:tr>
        <w:trPr>
          <w:trHeight w:val="222"/>
        </w:trPr>
        <w:tc>
          <w:tcPr>
            <w:tcW w:w="1120" w:type="dxa"/>
            <w:vAlign w:val="bottom"/>
          </w:tcPr>
          <w:p>
            <w:pPr>
              <w:spacing w:after="0"/>
              <w:rPr>
                <w:sz w:val="19"/>
                <w:szCs w:val="19"/>
                <w:color w:val="auto"/>
              </w:rPr>
            </w:pPr>
          </w:p>
        </w:tc>
        <w:tc>
          <w:tcPr>
            <w:tcW w:w="10240" w:type="dxa"/>
            <w:vAlign w:val="bottom"/>
          </w:tcPr>
          <w:p>
            <w:pPr>
              <w:ind w:left="260"/>
              <w:spacing w:after="0"/>
              <w:rPr>
                <w:sz w:val="20"/>
                <w:szCs w:val="20"/>
                <w:color w:val="auto"/>
              </w:rPr>
            </w:pPr>
            <w:r>
              <w:rPr>
                <w:rFonts w:ascii="Arial" w:cs="Arial" w:eastAsia="Arial" w:hAnsi="Arial"/>
                <w:sz w:val="18"/>
                <w:szCs w:val="18"/>
                <w:color w:val="auto"/>
                <w:w w:val="96"/>
              </w:rPr>
              <w:t>the Additional Warrant Transaction (Incorporated by reference to Exhibit 10.15 to the Company’s Form 8-K filed on June 15, 2011)</w:t>
            </w:r>
          </w:p>
        </w:tc>
      </w:tr>
      <w:tr>
        <w:trPr>
          <w:trHeight w:val="318"/>
        </w:trPr>
        <w:tc>
          <w:tcPr>
            <w:tcW w:w="1120" w:type="dxa"/>
            <w:vAlign w:val="bottom"/>
          </w:tcPr>
          <w:p>
            <w:pPr>
              <w:ind w:left="280"/>
              <w:spacing w:after="0"/>
              <w:rPr>
                <w:sz w:val="20"/>
                <w:szCs w:val="20"/>
                <w:color w:val="auto"/>
              </w:rPr>
            </w:pPr>
            <w:r>
              <w:rPr>
                <w:rFonts w:ascii="Arial" w:cs="Arial" w:eastAsia="Arial" w:hAnsi="Arial"/>
                <w:sz w:val="18"/>
                <w:szCs w:val="18"/>
                <w:color w:val="auto"/>
              </w:rPr>
              <w:t>10.22</w:t>
            </w:r>
          </w:p>
        </w:tc>
        <w:tc>
          <w:tcPr>
            <w:tcW w:w="10240" w:type="dxa"/>
            <w:vAlign w:val="bottom"/>
          </w:tcPr>
          <w:p>
            <w:pPr>
              <w:ind w:left="260"/>
              <w:spacing w:after="0"/>
              <w:rPr>
                <w:sz w:val="20"/>
                <w:szCs w:val="20"/>
                <w:color w:val="auto"/>
              </w:rPr>
            </w:pPr>
            <w:r>
              <w:rPr>
                <w:rFonts w:ascii="Arial" w:cs="Arial" w:eastAsia="Arial" w:hAnsi="Arial"/>
                <w:sz w:val="18"/>
                <w:szCs w:val="18"/>
                <w:color w:val="auto"/>
                <w:w w:val="91"/>
              </w:rPr>
              <w:t>Letter Agreement, dated June 14, 2011, between Wells Fargo Bank, National Association and Integra LifeSciences Holdings Corporation,</w:t>
            </w:r>
          </w:p>
        </w:tc>
      </w:tr>
      <w:tr>
        <w:trPr>
          <w:trHeight w:val="222"/>
        </w:trPr>
        <w:tc>
          <w:tcPr>
            <w:tcW w:w="1120" w:type="dxa"/>
            <w:vAlign w:val="bottom"/>
          </w:tcPr>
          <w:p>
            <w:pPr>
              <w:spacing w:after="0"/>
              <w:rPr>
                <w:sz w:val="19"/>
                <w:szCs w:val="19"/>
                <w:color w:val="auto"/>
              </w:rPr>
            </w:pPr>
          </w:p>
        </w:tc>
        <w:tc>
          <w:tcPr>
            <w:tcW w:w="10240" w:type="dxa"/>
            <w:vAlign w:val="bottom"/>
          </w:tcPr>
          <w:p>
            <w:pPr>
              <w:ind w:left="260"/>
              <w:spacing w:after="0"/>
              <w:rPr>
                <w:sz w:val="20"/>
                <w:szCs w:val="20"/>
                <w:color w:val="auto"/>
              </w:rPr>
            </w:pPr>
            <w:r>
              <w:rPr>
                <w:rFonts w:ascii="Arial" w:cs="Arial" w:eastAsia="Arial" w:hAnsi="Arial"/>
                <w:sz w:val="18"/>
                <w:szCs w:val="18"/>
                <w:color w:val="auto"/>
                <w:w w:val="89"/>
              </w:rPr>
              <w:t>regarding the Additional Warrant Transaction (Incorporated by reference to Exhibit 10.16 to the Company’s Form 8-K filed on June 15, 2011)</w:t>
            </w:r>
          </w:p>
        </w:tc>
      </w:tr>
      <w:tr>
        <w:trPr>
          <w:trHeight w:val="324"/>
        </w:trPr>
        <w:tc>
          <w:tcPr>
            <w:tcW w:w="1120" w:type="dxa"/>
            <w:vAlign w:val="bottom"/>
          </w:tcPr>
          <w:p>
            <w:pPr>
              <w:ind w:left="180"/>
              <w:spacing w:after="0"/>
              <w:rPr>
                <w:sz w:val="20"/>
                <w:szCs w:val="20"/>
                <w:color w:val="auto"/>
              </w:rPr>
            </w:pPr>
            <w:r>
              <w:rPr>
                <w:rFonts w:ascii="Arial" w:cs="Arial" w:eastAsia="Arial" w:hAnsi="Arial"/>
                <w:sz w:val="18"/>
                <w:szCs w:val="18"/>
                <w:color w:val="auto"/>
              </w:rPr>
              <w:t>*31.1</w:t>
            </w:r>
          </w:p>
        </w:tc>
        <w:tc>
          <w:tcPr>
            <w:tcW w:w="10240" w:type="dxa"/>
            <w:vAlign w:val="bottom"/>
          </w:tcPr>
          <w:p>
            <w:pPr>
              <w:ind w:left="26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324"/>
        </w:trPr>
        <w:tc>
          <w:tcPr>
            <w:tcW w:w="1120" w:type="dxa"/>
            <w:vAlign w:val="bottom"/>
          </w:tcPr>
          <w:p>
            <w:pPr>
              <w:ind w:left="180"/>
              <w:spacing w:after="0"/>
              <w:rPr>
                <w:sz w:val="20"/>
                <w:szCs w:val="20"/>
                <w:color w:val="auto"/>
              </w:rPr>
            </w:pPr>
            <w:r>
              <w:rPr>
                <w:rFonts w:ascii="Arial" w:cs="Arial" w:eastAsia="Arial" w:hAnsi="Arial"/>
                <w:sz w:val="18"/>
                <w:szCs w:val="18"/>
                <w:color w:val="auto"/>
              </w:rPr>
              <w:t>*31.2</w:t>
            </w:r>
          </w:p>
        </w:tc>
        <w:tc>
          <w:tcPr>
            <w:tcW w:w="10240" w:type="dxa"/>
            <w:vAlign w:val="bottom"/>
          </w:tcPr>
          <w:p>
            <w:pPr>
              <w:ind w:left="26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324"/>
        </w:trPr>
        <w:tc>
          <w:tcPr>
            <w:tcW w:w="1120" w:type="dxa"/>
            <w:vAlign w:val="bottom"/>
          </w:tcPr>
          <w:p>
            <w:pPr>
              <w:ind w:left="180"/>
              <w:spacing w:after="0"/>
              <w:rPr>
                <w:sz w:val="20"/>
                <w:szCs w:val="20"/>
                <w:color w:val="auto"/>
              </w:rPr>
            </w:pPr>
            <w:r>
              <w:rPr>
                <w:rFonts w:ascii="Arial" w:cs="Arial" w:eastAsia="Arial" w:hAnsi="Arial"/>
                <w:sz w:val="18"/>
                <w:szCs w:val="18"/>
                <w:color w:val="auto"/>
              </w:rPr>
              <w:t>*32.1</w:t>
            </w:r>
          </w:p>
        </w:tc>
        <w:tc>
          <w:tcPr>
            <w:tcW w:w="10240" w:type="dxa"/>
            <w:vAlign w:val="bottom"/>
          </w:tcPr>
          <w:p>
            <w:pPr>
              <w:ind w:left="260"/>
              <w:spacing w:after="0"/>
              <w:rPr>
                <w:sz w:val="20"/>
                <w:szCs w:val="20"/>
                <w:color w:val="auto"/>
              </w:rPr>
            </w:pPr>
            <w:r>
              <w:rPr>
                <w:rFonts w:ascii="Arial" w:cs="Arial" w:eastAsia="Arial" w:hAnsi="Arial"/>
                <w:sz w:val="18"/>
                <w:szCs w:val="18"/>
                <w:color w:val="auto"/>
              </w:rPr>
              <w:t>Certification of Principal Executive Officer Pursuant to Section 906 of the Sarbanes-Oxley Act of 2002</w:t>
            </w:r>
          </w:p>
        </w:tc>
      </w:tr>
      <w:tr>
        <w:trPr>
          <w:trHeight w:val="324"/>
        </w:trPr>
        <w:tc>
          <w:tcPr>
            <w:tcW w:w="1120" w:type="dxa"/>
            <w:vAlign w:val="bottom"/>
          </w:tcPr>
          <w:p>
            <w:pPr>
              <w:ind w:left="180"/>
              <w:spacing w:after="0"/>
              <w:rPr>
                <w:sz w:val="20"/>
                <w:szCs w:val="20"/>
                <w:color w:val="auto"/>
              </w:rPr>
            </w:pPr>
            <w:r>
              <w:rPr>
                <w:rFonts w:ascii="Arial" w:cs="Arial" w:eastAsia="Arial" w:hAnsi="Arial"/>
                <w:sz w:val="18"/>
                <w:szCs w:val="18"/>
                <w:color w:val="auto"/>
              </w:rPr>
              <w:t>*32.2</w:t>
            </w:r>
          </w:p>
        </w:tc>
        <w:tc>
          <w:tcPr>
            <w:tcW w:w="10240" w:type="dxa"/>
            <w:vAlign w:val="bottom"/>
          </w:tcPr>
          <w:p>
            <w:pPr>
              <w:ind w:left="260"/>
              <w:spacing w:after="0"/>
              <w:rPr>
                <w:sz w:val="20"/>
                <w:szCs w:val="20"/>
                <w:color w:val="auto"/>
              </w:rPr>
            </w:pPr>
            <w:r>
              <w:rPr>
                <w:rFonts w:ascii="Arial" w:cs="Arial" w:eastAsia="Arial" w:hAnsi="Arial"/>
                <w:sz w:val="18"/>
                <w:szCs w:val="18"/>
                <w:color w:val="auto"/>
              </w:rPr>
              <w:t>Certification of Principal Financial Officer Pursuant to Section 906 of the Sarbanes-Oxley Act of 2002</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*†101.INS</w:t>
            </w:r>
          </w:p>
        </w:tc>
        <w:tc>
          <w:tcPr>
            <w:tcW w:w="10240" w:type="dxa"/>
            <w:vAlign w:val="bottom"/>
          </w:tcPr>
          <w:p>
            <w:pPr>
              <w:ind w:left="260"/>
              <w:spacing w:after="0"/>
              <w:rPr>
                <w:sz w:val="20"/>
                <w:szCs w:val="20"/>
                <w:color w:val="auto"/>
              </w:rPr>
            </w:pPr>
            <w:r>
              <w:rPr>
                <w:rFonts w:ascii="Arial" w:cs="Arial" w:eastAsia="Arial" w:hAnsi="Arial"/>
                <w:sz w:val="18"/>
                <w:szCs w:val="18"/>
                <w:color w:val="auto"/>
              </w:rPr>
              <w:t>XBRL Instance Document</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*†101.SCH</w:t>
            </w:r>
          </w:p>
        </w:tc>
        <w:tc>
          <w:tcPr>
            <w:tcW w:w="10240" w:type="dxa"/>
            <w:vAlign w:val="bottom"/>
          </w:tcPr>
          <w:p>
            <w:pPr>
              <w:ind w:left="26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*†101.CAL</w:t>
            </w:r>
          </w:p>
        </w:tc>
        <w:tc>
          <w:tcPr>
            <w:tcW w:w="10240" w:type="dxa"/>
            <w:vAlign w:val="bottom"/>
          </w:tcPr>
          <w:p>
            <w:pPr>
              <w:ind w:left="2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*†101.DEF</w:t>
            </w:r>
          </w:p>
        </w:tc>
        <w:tc>
          <w:tcPr>
            <w:tcW w:w="10240" w:type="dxa"/>
            <w:vAlign w:val="bottom"/>
          </w:tcPr>
          <w:p>
            <w:pPr>
              <w:ind w:left="260"/>
              <w:spacing w:after="0"/>
              <w:rPr>
                <w:sz w:val="20"/>
                <w:szCs w:val="20"/>
                <w:color w:val="auto"/>
              </w:rPr>
            </w:pPr>
            <w:r>
              <w:rPr>
                <w:rFonts w:ascii="Arial" w:cs="Arial" w:eastAsia="Arial" w:hAnsi="Arial"/>
                <w:sz w:val="18"/>
                <w:szCs w:val="18"/>
                <w:color w:val="auto"/>
              </w:rPr>
              <w:t>XBRL Definition Linkbase Document</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*†101.LAB</w:t>
            </w:r>
          </w:p>
        </w:tc>
        <w:tc>
          <w:tcPr>
            <w:tcW w:w="10240" w:type="dxa"/>
            <w:vAlign w:val="bottom"/>
          </w:tcPr>
          <w:p>
            <w:pPr>
              <w:ind w:left="260"/>
              <w:spacing w:after="0"/>
              <w:rPr>
                <w:sz w:val="20"/>
                <w:szCs w:val="20"/>
                <w:color w:val="auto"/>
              </w:rPr>
            </w:pPr>
            <w:r>
              <w:rPr>
                <w:rFonts w:ascii="Arial" w:cs="Arial" w:eastAsia="Arial" w:hAnsi="Arial"/>
                <w:sz w:val="18"/>
                <w:szCs w:val="18"/>
                <w:color w:val="auto"/>
              </w:rPr>
              <w:t>XBRL Taxonomy Extension Labels Linkbase Document</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*†101.PRE</w:t>
            </w:r>
          </w:p>
        </w:tc>
        <w:tc>
          <w:tcPr>
            <w:tcW w:w="10240" w:type="dxa"/>
            <w:vAlign w:val="bottom"/>
          </w:tcPr>
          <w:p>
            <w:pPr>
              <w:ind w:left="26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5" w:lineRule="exact"/>
        <w:rPr>
          <w:sz w:val="20"/>
          <w:szCs w:val="20"/>
          <w:color w:val="auto"/>
        </w:rPr>
      </w:pPr>
    </w:p>
    <w:p>
      <w:pPr>
        <w:ind w:left="220" w:right="60" w:hanging="212"/>
        <w:spacing w:after="0" w:line="295" w:lineRule="auto"/>
        <w:tabs>
          <w:tab w:leader="none" w:pos="2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financial information of Integra LifeSciences Holdings Corporation Quarterly Report on Form 10-Q for the quarter ended June 30, 2011 filed on July 29, 2011 formatted in XBRL (Extensible Business Reporting Language): (i) the Condensed Consolidated Statements of Operations, (ii) the Condensed Consolidated Balance Sheets, (iii) Parenthetical Data to the Condensed Consolidated Balance Sheets, (iv) the Condensed Consolidated Statements of Cash Flows, and (v) Notes to Condensed Consolidated Financial Statements, is furnished electronically herewith.</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9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INTEGRA LIFESCIENCES HOLDINGS CORPORATION</w:t>
            </w:r>
          </w:p>
        </w:tc>
      </w:tr>
      <w:tr>
        <w:trPr>
          <w:trHeight w:val="433"/>
        </w:trPr>
        <w:tc>
          <w:tcPr>
            <w:tcW w:w="3500" w:type="dxa"/>
            <w:vAlign w:val="bottom"/>
          </w:tcPr>
          <w:p>
            <w:pPr>
              <w:spacing w:after="0"/>
              <w:rPr>
                <w:sz w:val="20"/>
                <w:szCs w:val="20"/>
                <w:color w:val="auto"/>
              </w:rPr>
            </w:pPr>
            <w:r>
              <w:rPr>
                <w:rFonts w:ascii="Arial" w:cs="Arial" w:eastAsia="Arial" w:hAnsi="Arial"/>
                <w:sz w:val="18"/>
                <w:szCs w:val="18"/>
                <w:color w:val="auto"/>
              </w:rPr>
              <w:t>Date: July 29, 2011</w:t>
            </w:r>
          </w:p>
        </w:tc>
        <w:tc>
          <w:tcPr>
            <w:tcW w:w="2320" w:type="dxa"/>
            <w:vAlign w:val="bottom"/>
          </w:tcPr>
          <w:p>
            <w:pPr>
              <w:spacing w:after="0"/>
              <w:rPr>
                <w:sz w:val="24"/>
                <w:szCs w:val="24"/>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Stuart M. Essig</w:t>
            </w:r>
          </w:p>
        </w:tc>
      </w:tr>
      <w:tr>
        <w:trPr>
          <w:trHeight w:val="216"/>
        </w:trPr>
        <w:tc>
          <w:tcPr>
            <w:tcW w:w="35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i w:val="1"/>
                <w:iCs w:val="1"/>
                <w:color w:val="auto"/>
              </w:rPr>
              <w:t>Stuart M. Essig</w:t>
            </w:r>
          </w:p>
        </w:tc>
      </w:tr>
      <w:tr>
        <w:trPr>
          <w:trHeight w:val="222"/>
        </w:trPr>
        <w:tc>
          <w:tcPr>
            <w:tcW w:w="35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r>
      <w:tr>
        <w:trPr>
          <w:trHeight w:val="433"/>
        </w:trPr>
        <w:tc>
          <w:tcPr>
            <w:tcW w:w="3500" w:type="dxa"/>
            <w:vAlign w:val="bottom"/>
          </w:tcPr>
          <w:p>
            <w:pPr>
              <w:spacing w:after="0"/>
              <w:rPr>
                <w:sz w:val="20"/>
                <w:szCs w:val="20"/>
                <w:color w:val="auto"/>
              </w:rPr>
            </w:pPr>
            <w:r>
              <w:rPr>
                <w:rFonts w:ascii="Arial" w:cs="Arial" w:eastAsia="Arial" w:hAnsi="Arial"/>
                <w:sz w:val="18"/>
                <w:szCs w:val="18"/>
                <w:color w:val="auto"/>
              </w:rPr>
              <w:t>Date: July 29, 2011</w:t>
            </w:r>
          </w:p>
        </w:tc>
        <w:tc>
          <w:tcPr>
            <w:tcW w:w="2320" w:type="dxa"/>
            <w:vAlign w:val="bottom"/>
          </w:tcPr>
          <w:p>
            <w:pPr>
              <w:spacing w:after="0"/>
              <w:rPr>
                <w:sz w:val="24"/>
                <w:szCs w:val="24"/>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John B. Henneman, III</w:t>
            </w:r>
          </w:p>
        </w:tc>
      </w:tr>
      <w:tr>
        <w:trPr>
          <w:trHeight w:val="216"/>
        </w:trPr>
        <w:tc>
          <w:tcPr>
            <w:tcW w:w="35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i w:val="1"/>
                <w:iCs w:val="1"/>
                <w:color w:val="auto"/>
              </w:rPr>
              <w:t>John B. Henneman, III</w:t>
            </w:r>
          </w:p>
        </w:tc>
      </w:tr>
      <w:tr>
        <w:trPr>
          <w:trHeight w:val="216"/>
        </w:trPr>
        <w:tc>
          <w:tcPr>
            <w:tcW w:w="35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i w:val="1"/>
                <w:iCs w:val="1"/>
                <w:color w:val="auto"/>
              </w:rPr>
              <w:t>Executive Vice President, Finance and Administration,</w:t>
            </w:r>
          </w:p>
        </w:tc>
      </w:tr>
      <w:tr>
        <w:trPr>
          <w:trHeight w:val="222"/>
        </w:trPr>
        <w:tc>
          <w:tcPr>
            <w:tcW w:w="35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i w:val="1"/>
                <w:iCs w:val="1"/>
                <w:color w:val="auto"/>
              </w:rPr>
              <w:t>and Chief Financial Officer</w:t>
            </w:r>
          </w:p>
        </w:tc>
      </w:tr>
      <w:tr>
        <w:trPr>
          <w:trHeight w:val="378"/>
        </w:trPr>
        <w:tc>
          <w:tcPr>
            <w:tcW w:w="350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32</w:t>
            </w:r>
          </w:p>
        </w:tc>
        <w:tc>
          <w:tcPr>
            <w:tcW w:w="56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20" w:type="dxa"/>
            <w:vAlign w:val="bottom"/>
          </w:tcPr>
          <w:p>
            <w:pPr>
              <w:jc w:val="right"/>
              <w:ind w:right="292"/>
              <w:spacing w:after="0"/>
              <w:rPr>
                <w:sz w:val="20"/>
                <w:szCs w:val="20"/>
                <w:color w:val="auto"/>
              </w:rPr>
            </w:pPr>
            <w:r>
              <w:rPr>
                <w:rFonts w:ascii="Arial" w:cs="Arial" w:eastAsia="Arial" w:hAnsi="Arial"/>
                <w:sz w:val="18"/>
                <w:szCs w:val="18"/>
                <w:b w:val="1"/>
                <w:bCs w:val="1"/>
                <w:color w:val="auto"/>
                <w:w w:val="88"/>
              </w:rPr>
              <w:t>Exhibits</w:t>
            </w:r>
          </w:p>
        </w:tc>
        <w:tc>
          <w:tcPr>
            <w:tcW w:w="10400" w:type="dxa"/>
            <w:vAlign w:val="bottom"/>
          </w:tcPr>
          <w:p>
            <w:pPr>
              <w:spacing w:after="0"/>
              <w:rPr>
                <w:sz w:val="19"/>
                <w:szCs w:val="19"/>
                <w:color w:val="auto"/>
              </w:rPr>
            </w:pPr>
          </w:p>
        </w:tc>
      </w:tr>
      <w:tr>
        <w:trPr>
          <w:trHeight w:val="520"/>
        </w:trPr>
        <w:tc>
          <w:tcPr>
            <w:tcW w:w="1020" w:type="dxa"/>
            <w:vAlign w:val="bottom"/>
          </w:tcPr>
          <w:p>
            <w:pPr>
              <w:jc w:val="right"/>
              <w:ind w:right="352"/>
              <w:spacing w:after="0"/>
              <w:rPr>
                <w:sz w:val="20"/>
                <w:szCs w:val="20"/>
                <w:color w:val="auto"/>
              </w:rPr>
            </w:pPr>
            <w:r>
              <w:rPr>
                <w:rFonts w:ascii="Arial" w:cs="Arial" w:eastAsia="Arial" w:hAnsi="Arial"/>
                <w:sz w:val="18"/>
                <w:szCs w:val="18"/>
                <w:color w:val="auto"/>
              </w:rPr>
              <w:t>4.1</w:t>
            </w:r>
          </w:p>
        </w:tc>
        <w:tc>
          <w:tcPr>
            <w:tcW w:w="10400" w:type="dxa"/>
            <w:vAlign w:val="bottom"/>
          </w:tcPr>
          <w:p>
            <w:pPr>
              <w:ind w:left="360"/>
              <w:spacing w:after="0"/>
              <w:rPr>
                <w:sz w:val="20"/>
                <w:szCs w:val="20"/>
                <w:color w:val="auto"/>
              </w:rPr>
            </w:pPr>
            <w:r>
              <w:rPr>
                <w:rFonts w:ascii="Arial" w:cs="Arial" w:eastAsia="Arial" w:hAnsi="Arial"/>
                <w:sz w:val="18"/>
                <w:szCs w:val="18"/>
                <w:color w:val="auto"/>
                <w:w w:val="88"/>
              </w:rPr>
              <w:t>Purchase Agreement, dated June 9, 2011, by and between Integra LifeSciences Holdings Corporation and J.P. Morgan Securities LLC, Merrill</w:t>
            </w:r>
          </w:p>
        </w:tc>
      </w:tr>
      <w:tr>
        <w:trPr>
          <w:trHeight w:val="216"/>
        </w:trPr>
        <w:tc>
          <w:tcPr>
            <w:tcW w:w="1020" w:type="dxa"/>
            <w:vAlign w:val="bottom"/>
          </w:tcPr>
          <w:p>
            <w:pPr>
              <w:spacing w:after="0"/>
              <w:rPr>
                <w:sz w:val="18"/>
                <w:szCs w:val="18"/>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w w:val="92"/>
              </w:rPr>
              <w:t>Lynch, Pierce, Fenner &amp; Smith Incorporated, Morgan Stanley &amp; Co. LLC, Deutsche Bank Securities Inc., RBC Capital Markets, LLC and</w:t>
            </w:r>
          </w:p>
        </w:tc>
      </w:tr>
      <w:tr>
        <w:trPr>
          <w:trHeight w:val="222"/>
        </w:trPr>
        <w:tc>
          <w:tcPr>
            <w:tcW w:w="1020" w:type="dxa"/>
            <w:vAlign w:val="bottom"/>
          </w:tcPr>
          <w:p>
            <w:pPr>
              <w:spacing w:after="0"/>
              <w:rPr>
                <w:sz w:val="19"/>
                <w:szCs w:val="19"/>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rPr>
              <w:t>Wells Fargo Securities, LLC (Incorporated by reference to Exhibit 4.1 to the Company’s Form 8-K filed on June 15, 2011)</w:t>
            </w:r>
          </w:p>
        </w:tc>
      </w:tr>
      <w:tr>
        <w:trPr>
          <w:trHeight w:val="318"/>
        </w:trPr>
        <w:tc>
          <w:tcPr>
            <w:tcW w:w="1020" w:type="dxa"/>
            <w:vAlign w:val="bottom"/>
          </w:tcPr>
          <w:p>
            <w:pPr>
              <w:jc w:val="right"/>
              <w:ind w:right="352"/>
              <w:spacing w:after="0"/>
              <w:rPr>
                <w:sz w:val="20"/>
                <w:szCs w:val="20"/>
                <w:color w:val="auto"/>
              </w:rPr>
            </w:pPr>
            <w:r>
              <w:rPr>
                <w:rFonts w:ascii="Arial" w:cs="Arial" w:eastAsia="Arial" w:hAnsi="Arial"/>
                <w:sz w:val="18"/>
                <w:szCs w:val="18"/>
                <w:color w:val="auto"/>
              </w:rPr>
              <w:t>4.2</w:t>
            </w:r>
          </w:p>
        </w:tc>
        <w:tc>
          <w:tcPr>
            <w:tcW w:w="10400" w:type="dxa"/>
            <w:vAlign w:val="bottom"/>
          </w:tcPr>
          <w:p>
            <w:pPr>
              <w:ind w:left="360"/>
              <w:spacing w:after="0"/>
              <w:rPr>
                <w:sz w:val="20"/>
                <w:szCs w:val="20"/>
                <w:color w:val="auto"/>
              </w:rPr>
            </w:pPr>
            <w:r>
              <w:rPr>
                <w:rFonts w:ascii="Arial" w:cs="Arial" w:eastAsia="Arial" w:hAnsi="Arial"/>
                <w:sz w:val="18"/>
                <w:szCs w:val="18"/>
                <w:color w:val="auto"/>
                <w:w w:val="89"/>
              </w:rPr>
              <w:t>Indenture, dated June 15, 2011, by and between Integra LifeSciences Holdings Corporation and Wells Fargo Bank, National Association, as</w:t>
            </w:r>
          </w:p>
        </w:tc>
      </w:tr>
      <w:tr>
        <w:trPr>
          <w:trHeight w:val="222"/>
        </w:trPr>
        <w:tc>
          <w:tcPr>
            <w:tcW w:w="1020" w:type="dxa"/>
            <w:vAlign w:val="bottom"/>
          </w:tcPr>
          <w:p>
            <w:pPr>
              <w:spacing w:after="0"/>
              <w:rPr>
                <w:sz w:val="19"/>
                <w:szCs w:val="19"/>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rPr>
              <w:t>trustee (Incorporated by reference to Exhibit 4.2 to the Company’s Form 8-K filed on June 15, 2011)</w:t>
            </w:r>
          </w:p>
        </w:tc>
      </w:tr>
      <w:tr>
        <w:trPr>
          <w:trHeight w:val="318"/>
        </w:trPr>
        <w:tc>
          <w:tcPr>
            <w:tcW w:w="1020" w:type="dxa"/>
            <w:vAlign w:val="bottom"/>
          </w:tcPr>
          <w:p>
            <w:pPr>
              <w:jc w:val="right"/>
              <w:ind w:right="352"/>
              <w:spacing w:after="0"/>
              <w:rPr>
                <w:sz w:val="20"/>
                <w:szCs w:val="20"/>
                <w:color w:val="auto"/>
              </w:rPr>
            </w:pPr>
            <w:r>
              <w:rPr>
                <w:rFonts w:ascii="Arial" w:cs="Arial" w:eastAsia="Arial" w:hAnsi="Arial"/>
                <w:sz w:val="18"/>
                <w:szCs w:val="18"/>
                <w:color w:val="auto"/>
              </w:rPr>
              <w:t>*4.3</w:t>
            </w:r>
          </w:p>
        </w:tc>
        <w:tc>
          <w:tcPr>
            <w:tcW w:w="10400" w:type="dxa"/>
            <w:vAlign w:val="bottom"/>
          </w:tcPr>
          <w:p>
            <w:pPr>
              <w:ind w:left="360"/>
              <w:spacing w:after="0"/>
              <w:rPr>
                <w:sz w:val="20"/>
                <w:szCs w:val="20"/>
                <w:color w:val="auto"/>
              </w:rPr>
            </w:pPr>
            <w:r>
              <w:rPr>
                <w:rFonts w:ascii="Arial" w:cs="Arial" w:eastAsia="Arial" w:hAnsi="Arial"/>
                <w:sz w:val="18"/>
                <w:szCs w:val="18"/>
                <w:color w:val="auto"/>
                <w:w w:val="89"/>
              </w:rPr>
              <w:t>Second Amended and Restated Credit Agreement, dated as of June 8, 2011, among Integra LifeSciences Holdings Corporation, the lenders</w:t>
            </w:r>
          </w:p>
        </w:tc>
      </w:tr>
      <w:tr>
        <w:trPr>
          <w:trHeight w:val="216"/>
        </w:trPr>
        <w:tc>
          <w:tcPr>
            <w:tcW w:w="1020" w:type="dxa"/>
            <w:vAlign w:val="bottom"/>
          </w:tcPr>
          <w:p>
            <w:pPr>
              <w:spacing w:after="0"/>
              <w:rPr>
                <w:sz w:val="18"/>
                <w:szCs w:val="18"/>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w w:val="89"/>
              </w:rPr>
              <w:t>party thereto, Bank of America, N.A. as Administrative Agent, Swing Line Lender and L/C Issuer, JPMorgan Chase Bank N.A. as Syndication</w:t>
            </w:r>
          </w:p>
        </w:tc>
      </w:tr>
      <w:tr>
        <w:trPr>
          <w:trHeight w:val="216"/>
        </w:trPr>
        <w:tc>
          <w:tcPr>
            <w:tcW w:w="1020" w:type="dxa"/>
            <w:vAlign w:val="bottom"/>
          </w:tcPr>
          <w:p>
            <w:pPr>
              <w:spacing w:after="0"/>
              <w:rPr>
                <w:sz w:val="18"/>
                <w:szCs w:val="18"/>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w w:val="91"/>
              </w:rPr>
              <w:t>Agent, and, HSBC Bank USA, NA, Royal Bank of Canada, Wells Fargo Bank, N.A., Fifth Third Bank, DNB NOR Bank ASA, and TD Bank,</w:t>
            </w:r>
          </w:p>
        </w:tc>
      </w:tr>
      <w:tr>
        <w:trPr>
          <w:trHeight w:val="222"/>
        </w:trPr>
        <w:tc>
          <w:tcPr>
            <w:tcW w:w="1020" w:type="dxa"/>
            <w:vAlign w:val="bottom"/>
          </w:tcPr>
          <w:p>
            <w:pPr>
              <w:spacing w:after="0"/>
              <w:rPr>
                <w:sz w:val="19"/>
                <w:szCs w:val="19"/>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rPr>
              <w:t>N.A., as Co-Documentation Agents</w:t>
            </w:r>
          </w:p>
        </w:tc>
      </w:tr>
      <w:tr>
        <w:trPr>
          <w:trHeight w:val="318"/>
        </w:trPr>
        <w:tc>
          <w:tcPr>
            <w:tcW w:w="1020" w:type="dxa"/>
            <w:vAlign w:val="bottom"/>
          </w:tcPr>
          <w:p>
            <w:pPr>
              <w:jc w:val="right"/>
              <w:ind w:right="352"/>
              <w:spacing w:after="0"/>
              <w:rPr>
                <w:sz w:val="20"/>
                <w:szCs w:val="20"/>
                <w:color w:val="auto"/>
              </w:rPr>
            </w:pPr>
            <w:r>
              <w:rPr>
                <w:rFonts w:ascii="Arial" w:cs="Arial" w:eastAsia="Arial" w:hAnsi="Arial"/>
                <w:sz w:val="18"/>
                <w:szCs w:val="18"/>
                <w:color w:val="auto"/>
              </w:rPr>
              <w:t>10.1</w:t>
            </w:r>
          </w:p>
        </w:tc>
        <w:tc>
          <w:tcPr>
            <w:tcW w:w="10400" w:type="dxa"/>
            <w:vAlign w:val="bottom"/>
          </w:tcPr>
          <w:p>
            <w:pPr>
              <w:ind w:left="360"/>
              <w:spacing w:after="0"/>
              <w:rPr>
                <w:sz w:val="20"/>
                <w:szCs w:val="20"/>
                <w:color w:val="auto"/>
              </w:rPr>
            </w:pPr>
            <w:r>
              <w:rPr>
                <w:rFonts w:ascii="Arial" w:cs="Arial" w:eastAsia="Arial" w:hAnsi="Arial"/>
                <w:sz w:val="18"/>
                <w:szCs w:val="18"/>
                <w:color w:val="auto"/>
                <w:w w:val="88"/>
              </w:rPr>
              <w:t>Letter Agreement dated May 17, 2011 between the Company and Stuart M. Essig (Incorporated by reference to Exhibit 10.1 to the Company’s</w:t>
            </w:r>
          </w:p>
        </w:tc>
      </w:tr>
      <w:tr>
        <w:trPr>
          <w:trHeight w:val="222"/>
        </w:trPr>
        <w:tc>
          <w:tcPr>
            <w:tcW w:w="1020" w:type="dxa"/>
            <w:vAlign w:val="bottom"/>
          </w:tcPr>
          <w:p>
            <w:pPr>
              <w:spacing w:after="0"/>
              <w:rPr>
                <w:sz w:val="19"/>
                <w:szCs w:val="19"/>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rPr>
              <w:t>Form 8-K filed on May 23, 2011)</w:t>
            </w:r>
          </w:p>
        </w:tc>
      </w:tr>
      <w:tr>
        <w:trPr>
          <w:trHeight w:val="318"/>
        </w:trPr>
        <w:tc>
          <w:tcPr>
            <w:tcW w:w="1020" w:type="dxa"/>
            <w:vAlign w:val="bottom"/>
          </w:tcPr>
          <w:p>
            <w:pPr>
              <w:jc w:val="right"/>
              <w:ind w:right="352"/>
              <w:spacing w:after="0"/>
              <w:rPr>
                <w:sz w:val="20"/>
                <w:szCs w:val="20"/>
                <w:color w:val="auto"/>
              </w:rPr>
            </w:pPr>
            <w:r>
              <w:rPr>
                <w:rFonts w:ascii="Arial" w:cs="Arial" w:eastAsia="Arial" w:hAnsi="Arial"/>
                <w:sz w:val="18"/>
                <w:szCs w:val="18"/>
                <w:color w:val="auto"/>
              </w:rPr>
              <w:t>10.2</w:t>
            </w:r>
          </w:p>
        </w:tc>
        <w:tc>
          <w:tcPr>
            <w:tcW w:w="10400" w:type="dxa"/>
            <w:vAlign w:val="bottom"/>
          </w:tcPr>
          <w:p>
            <w:pPr>
              <w:ind w:left="360"/>
              <w:spacing w:after="0"/>
              <w:rPr>
                <w:sz w:val="20"/>
                <w:szCs w:val="20"/>
                <w:color w:val="auto"/>
              </w:rPr>
            </w:pPr>
            <w:r>
              <w:rPr>
                <w:rFonts w:ascii="Arial" w:cs="Arial" w:eastAsia="Arial" w:hAnsi="Arial"/>
                <w:sz w:val="18"/>
                <w:szCs w:val="18"/>
                <w:color w:val="auto"/>
                <w:w w:val="90"/>
              </w:rPr>
              <w:t>Contract Stock/Units Agreement dated as of May 17, 2011 between the Company and Stuart M. Essig (Incorporated by reference to Exhibit</w:t>
            </w:r>
          </w:p>
        </w:tc>
      </w:tr>
      <w:tr>
        <w:trPr>
          <w:trHeight w:val="222"/>
        </w:trPr>
        <w:tc>
          <w:tcPr>
            <w:tcW w:w="1020" w:type="dxa"/>
            <w:vAlign w:val="bottom"/>
          </w:tcPr>
          <w:p>
            <w:pPr>
              <w:spacing w:after="0"/>
              <w:rPr>
                <w:sz w:val="19"/>
                <w:szCs w:val="19"/>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rPr>
              <w:t>10.2 to the Company’s Form 8-K filed on May 23, 2011)</w:t>
            </w:r>
          </w:p>
        </w:tc>
      </w:tr>
      <w:tr>
        <w:trPr>
          <w:trHeight w:val="324"/>
        </w:trPr>
        <w:tc>
          <w:tcPr>
            <w:tcW w:w="1020" w:type="dxa"/>
            <w:vAlign w:val="bottom"/>
          </w:tcPr>
          <w:p>
            <w:pPr>
              <w:jc w:val="right"/>
              <w:ind w:right="352"/>
              <w:spacing w:after="0"/>
              <w:rPr>
                <w:sz w:val="20"/>
                <w:szCs w:val="20"/>
                <w:color w:val="auto"/>
              </w:rPr>
            </w:pPr>
            <w:r>
              <w:rPr>
                <w:rFonts w:ascii="Arial" w:cs="Arial" w:eastAsia="Arial" w:hAnsi="Arial"/>
                <w:sz w:val="18"/>
                <w:szCs w:val="18"/>
                <w:color w:val="auto"/>
              </w:rPr>
              <w:t>*10.3</w:t>
            </w:r>
          </w:p>
        </w:tc>
        <w:tc>
          <w:tcPr>
            <w:tcW w:w="10400" w:type="dxa"/>
            <w:vAlign w:val="bottom"/>
          </w:tcPr>
          <w:p>
            <w:pPr>
              <w:ind w:left="360"/>
              <w:spacing w:after="0"/>
              <w:rPr>
                <w:sz w:val="20"/>
                <w:szCs w:val="20"/>
                <w:color w:val="auto"/>
              </w:rPr>
            </w:pPr>
            <w:r>
              <w:rPr>
                <w:rFonts w:ascii="Arial" w:cs="Arial" w:eastAsia="Arial" w:hAnsi="Arial"/>
                <w:sz w:val="18"/>
                <w:szCs w:val="18"/>
                <w:color w:val="auto"/>
              </w:rPr>
              <w:t>New Form of Contract Stock / Restricted Units Agreement (for 2011 Annual Equity Award for Stuart M. Essig)</w:t>
            </w:r>
          </w:p>
        </w:tc>
      </w:tr>
      <w:tr>
        <w:trPr>
          <w:trHeight w:val="324"/>
        </w:trPr>
        <w:tc>
          <w:tcPr>
            <w:tcW w:w="1020" w:type="dxa"/>
            <w:vAlign w:val="bottom"/>
          </w:tcPr>
          <w:p>
            <w:pPr>
              <w:jc w:val="right"/>
              <w:ind w:right="352"/>
              <w:spacing w:after="0"/>
              <w:rPr>
                <w:sz w:val="20"/>
                <w:szCs w:val="20"/>
                <w:color w:val="auto"/>
              </w:rPr>
            </w:pPr>
            <w:r>
              <w:rPr>
                <w:rFonts w:ascii="Arial" w:cs="Arial" w:eastAsia="Arial" w:hAnsi="Arial"/>
                <w:sz w:val="18"/>
                <w:szCs w:val="18"/>
                <w:color w:val="auto"/>
              </w:rPr>
              <w:t>*10.4</w:t>
            </w:r>
          </w:p>
        </w:tc>
        <w:tc>
          <w:tcPr>
            <w:tcW w:w="10400" w:type="dxa"/>
            <w:vAlign w:val="bottom"/>
          </w:tcPr>
          <w:p>
            <w:pPr>
              <w:ind w:left="360"/>
              <w:spacing w:after="0"/>
              <w:rPr>
                <w:sz w:val="20"/>
                <w:szCs w:val="20"/>
                <w:color w:val="auto"/>
              </w:rPr>
            </w:pPr>
            <w:r>
              <w:rPr>
                <w:rFonts w:ascii="Arial" w:cs="Arial" w:eastAsia="Arial" w:hAnsi="Arial"/>
                <w:sz w:val="18"/>
                <w:szCs w:val="18"/>
                <w:color w:val="auto"/>
              </w:rPr>
              <w:t>Form of Amendment 2011-1 to Contract Stock / Restricted Units Agreements between the Company and Mr. Essig</w:t>
            </w:r>
          </w:p>
        </w:tc>
      </w:tr>
      <w:tr>
        <w:trPr>
          <w:trHeight w:val="324"/>
        </w:trPr>
        <w:tc>
          <w:tcPr>
            <w:tcW w:w="1020" w:type="dxa"/>
            <w:vAlign w:val="bottom"/>
          </w:tcPr>
          <w:p>
            <w:pPr>
              <w:jc w:val="right"/>
              <w:ind w:right="352"/>
              <w:spacing w:after="0"/>
              <w:rPr>
                <w:sz w:val="20"/>
                <w:szCs w:val="20"/>
                <w:color w:val="auto"/>
              </w:rPr>
            </w:pPr>
            <w:r>
              <w:rPr>
                <w:rFonts w:ascii="Arial" w:cs="Arial" w:eastAsia="Arial" w:hAnsi="Arial"/>
                <w:sz w:val="18"/>
                <w:szCs w:val="18"/>
                <w:color w:val="auto"/>
              </w:rPr>
              <w:t>*10.5</w:t>
            </w:r>
          </w:p>
        </w:tc>
        <w:tc>
          <w:tcPr>
            <w:tcW w:w="10400" w:type="dxa"/>
            <w:vAlign w:val="bottom"/>
          </w:tcPr>
          <w:p>
            <w:pPr>
              <w:ind w:left="360"/>
              <w:spacing w:after="0"/>
              <w:rPr>
                <w:sz w:val="20"/>
                <w:szCs w:val="20"/>
                <w:color w:val="auto"/>
              </w:rPr>
            </w:pPr>
            <w:r>
              <w:rPr>
                <w:rFonts w:ascii="Arial" w:cs="Arial" w:eastAsia="Arial" w:hAnsi="Arial"/>
                <w:sz w:val="18"/>
                <w:szCs w:val="18"/>
                <w:color w:val="auto"/>
                <w:w w:val="95"/>
              </w:rPr>
              <w:t>Amendment 2011-1, dated as of May 17, 2011, to the Stuart M. Essig Contract Stock / Units Agreement dated as of August 6, 2008</w:t>
            </w:r>
          </w:p>
        </w:tc>
      </w:tr>
      <w:tr>
        <w:trPr>
          <w:trHeight w:val="338"/>
        </w:trPr>
        <w:tc>
          <w:tcPr>
            <w:tcW w:w="1020" w:type="dxa"/>
            <w:vAlign w:val="bottom"/>
          </w:tcPr>
          <w:p>
            <w:pPr>
              <w:jc w:val="right"/>
              <w:ind w:right="352"/>
              <w:spacing w:after="0"/>
              <w:rPr>
                <w:sz w:val="20"/>
                <w:szCs w:val="20"/>
                <w:color w:val="auto"/>
              </w:rPr>
            </w:pPr>
            <w:r>
              <w:rPr>
                <w:rFonts w:ascii="Arial" w:cs="Arial" w:eastAsia="Arial" w:hAnsi="Arial"/>
                <w:sz w:val="18"/>
                <w:szCs w:val="18"/>
                <w:color w:val="auto"/>
              </w:rPr>
              <w:t>*10.6</w:t>
            </w:r>
          </w:p>
        </w:tc>
        <w:tc>
          <w:tcPr>
            <w:tcW w:w="10400" w:type="dxa"/>
            <w:vAlign w:val="bottom"/>
          </w:tcPr>
          <w:p>
            <w:pPr>
              <w:ind w:left="360"/>
              <w:spacing w:after="0"/>
              <w:rPr>
                <w:sz w:val="20"/>
                <w:szCs w:val="20"/>
                <w:color w:val="auto"/>
              </w:rPr>
            </w:pPr>
            <w:r>
              <w:rPr>
                <w:rFonts w:ascii="Arial" w:cs="Arial" w:eastAsia="Arial" w:hAnsi="Arial"/>
                <w:sz w:val="18"/>
                <w:szCs w:val="18"/>
                <w:color w:val="auto"/>
                <w:w w:val="89"/>
              </w:rPr>
              <w:t>Amendment 2011-1, dated as of May 17, 2011, to the Stuart M. Essig Contract Stock / Restricted Units Agreement dated as of July 27, 2004</w:t>
            </w:r>
          </w:p>
        </w:tc>
      </w:tr>
      <w:tr>
        <w:trPr>
          <w:trHeight w:val="318"/>
        </w:trPr>
        <w:tc>
          <w:tcPr>
            <w:tcW w:w="1020" w:type="dxa"/>
            <w:vAlign w:val="bottom"/>
          </w:tcPr>
          <w:p>
            <w:pPr>
              <w:jc w:val="right"/>
              <w:ind w:right="352"/>
              <w:spacing w:after="0"/>
              <w:rPr>
                <w:sz w:val="20"/>
                <w:szCs w:val="20"/>
                <w:color w:val="auto"/>
              </w:rPr>
            </w:pPr>
            <w:r>
              <w:rPr>
                <w:rFonts w:ascii="Arial" w:cs="Arial" w:eastAsia="Arial" w:hAnsi="Arial"/>
                <w:sz w:val="18"/>
                <w:szCs w:val="18"/>
                <w:color w:val="auto"/>
              </w:rPr>
              <w:t>10.7</w:t>
            </w:r>
          </w:p>
        </w:tc>
        <w:tc>
          <w:tcPr>
            <w:tcW w:w="10400" w:type="dxa"/>
            <w:vAlign w:val="bottom"/>
          </w:tcPr>
          <w:p>
            <w:pPr>
              <w:ind w:left="360"/>
              <w:spacing w:after="0"/>
              <w:rPr>
                <w:sz w:val="20"/>
                <w:szCs w:val="20"/>
                <w:color w:val="auto"/>
              </w:rPr>
            </w:pPr>
            <w:r>
              <w:rPr>
                <w:rFonts w:ascii="Arial" w:cs="Arial" w:eastAsia="Arial" w:hAnsi="Arial"/>
                <w:sz w:val="18"/>
                <w:szCs w:val="18"/>
                <w:color w:val="auto"/>
                <w:w w:val="95"/>
              </w:rPr>
              <w:t>Letter Agreement, dated June 9, 2011, between Deutsche Bank AG, London Branch and Integra LifeSciences Holdings Corporation,</w:t>
            </w:r>
          </w:p>
        </w:tc>
      </w:tr>
      <w:tr>
        <w:trPr>
          <w:trHeight w:val="222"/>
        </w:trPr>
        <w:tc>
          <w:tcPr>
            <w:tcW w:w="1020" w:type="dxa"/>
            <w:vAlign w:val="bottom"/>
          </w:tcPr>
          <w:p>
            <w:pPr>
              <w:spacing w:after="0"/>
              <w:rPr>
                <w:sz w:val="19"/>
                <w:szCs w:val="19"/>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w w:val="91"/>
              </w:rPr>
              <w:t>regarding the Base Call Option Transaction (Incorporated by reference to Exhibit 10.1 to the Company’s Form 8-K filed on June 15, 2011)</w:t>
            </w:r>
          </w:p>
        </w:tc>
      </w:tr>
      <w:tr>
        <w:trPr>
          <w:trHeight w:val="318"/>
        </w:trPr>
        <w:tc>
          <w:tcPr>
            <w:tcW w:w="1020" w:type="dxa"/>
            <w:vAlign w:val="bottom"/>
          </w:tcPr>
          <w:p>
            <w:pPr>
              <w:jc w:val="right"/>
              <w:ind w:right="352"/>
              <w:spacing w:after="0"/>
              <w:rPr>
                <w:sz w:val="20"/>
                <w:szCs w:val="20"/>
                <w:color w:val="auto"/>
              </w:rPr>
            </w:pPr>
            <w:r>
              <w:rPr>
                <w:rFonts w:ascii="Arial" w:cs="Arial" w:eastAsia="Arial" w:hAnsi="Arial"/>
                <w:sz w:val="18"/>
                <w:szCs w:val="18"/>
                <w:color w:val="auto"/>
              </w:rPr>
              <w:t>10.8</w:t>
            </w:r>
          </w:p>
        </w:tc>
        <w:tc>
          <w:tcPr>
            <w:tcW w:w="10400" w:type="dxa"/>
            <w:vAlign w:val="bottom"/>
          </w:tcPr>
          <w:p>
            <w:pPr>
              <w:ind w:left="360"/>
              <w:spacing w:after="0"/>
              <w:rPr>
                <w:sz w:val="20"/>
                <w:szCs w:val="20"/>
                <w:color w:val="auto"/>
              </w:rPr>
            </w:pPr>
            <w:r>
              <w:rPr>
                <w:rFonts w:ascii="Arial" w:cs="Arial" w:eastAsia="Arial" w:hAnsi="Arial"/>
                <w:sz w:val="18"/>
                <w:szCs w:val="18"/>
                <w:color w:val="auto"/>
                <w:w w:val="90"/>
              </w:rPr>
              <w:t>Letter Agreement, dated June 9, 2011, between Royal Bank of Canada and Integra LifeSciences Holdings Corporation, regarding the Base</w:t>
            </w:r>
          </w:p>
        </w:tc>
      </w:tr>
      <w:tr>
        <w:trPr>
          <w:trHeight w:val="222"/>
        </w:trPr>
        <w:tc>
          <w:tcPr>
            <w:tcW w:w="1020" w:type="dxa"/>
            <w:vAlign w:val="bottom"/>
          </w:tcPr>
          <w:p>
            <w:pPr>
              <w:spacing w:after="0"/>
              <w:rPr>
                <w:sz w:val="19"/>
                <w:szCs w:val="19"/>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rPr>
              <w:t>Call Option Transaction (Incorporated by reference to Exhibit 10.2 to the Company’s Form 8-K filed on June 15, 2011)</w:t>
            </w:r>
          </w:p>
        </w:tc>
      </w:tr>
      <w:tr>
        <w:trPr>
          <w:trHeight w:val="318"/>
        </w:trPr>
        <w:tc>
          <w:tcPr>
            <w:tcW w:w="1020" w:type="dxa"/>
            <w:vAlign w:val="bottom"/>
          </w:tcPr>
          <w:p>
            <w:pPr>
              <w:jc w:val="right"/>
              <w:ind w:right="352"/>
              <w:spacing w:after="0"/>
              <w:rPr>
                <w:sz w:val="20"/>
                <w:szCs w:val="20"/>
                <w:color w:val="auto"/>
              </w:rPr>
            </w:pPr>
            <w:r>
              <w:rPr>
                <w:rFonts w:ascii="Arial" w:cs="Arial" w:eastAsia="Arial" w:hAnsi="Arial"/>
                <w:sz w:val="18"/>
                <w:szCs w:val="18"/>
                <w:color w:val="auto"/>
              </w:rPr>
              <w:t>10.9</w:t>
            </w:r>
          </w:p>
        </w:tc>
        <w:tc>
          <w:tcPr>
            <w:tcW w:w="10400" w:type="dxa"/>
            <w:vAlign w:val="bottom"/>
          </w:tcPr>
          <w:p>
            <w:pPr>
              <w:ind w:left="360"/>
              <w:spacing w:after="0"/>
              <w:rPr>
                <w:sz w:val="20"/>
                <w:szCs w:val="20"/>
                <w:color w:val="auto"/>
              </w:rPr>
            </w:pPr>
            <w:r>
              <w:rPr>
                <w:rFonts w:ascii="Arial" w:cs="Arial" w:eastAsia="Arial" w:hAnsi="Arial"/>
                <w:sz w:val="18"/>
                <w:szCs w:val="18"/>
                <w:color w:val="auto"/>
                <w:w w:val="88"/>
              </w:rPr>
              <w:t>Letter Agreement, dated June 9, 2011, between The Royal Bank of Scotland plc and Integra LifeSciences Holdings Corporation, regarding the</w:t>
            </w:r>
          </w:p>
        </w:tc>
      </w:tr>
      <w:tr>
        <w:trPr>
          <w:trHeight w:val="222"/>
        </w:trPr>
        <w:tc>
          <w:tcPr>
            <w:tcW w:w="1020" w:type="dxa"/>
            <w:vAlign w:val="bottom"/>
          </w:tcPr>
          <w:p>
            <w:pPr>
              <w:spacing w:after="0"/>
              <w:rPr>
                <w:sz w:val="19"/>
                <w:szCs w:val="19"/>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rPr>
              <w:t>Base Call Option Transaction (Incorporated by reference to Exhibit 10.3 to the Company’s Form 8-K filed on June 15, 2011)</w:t>
            </w:r>
          </w:p>
        </w:tc>
      </w:tr>
      <w:tr>
        <w:trPr>
          <w:trHeight w:val="318"/>
        </w:trPr>
        <w:tc>
          <w:tcPr>
            <w:tcW w:w="1020" w:type="dxa"/>
            <w:vAlign w:val="bottom"/>
          </w:tcPr>
          <w:p>
            <w:pPr>
              <w:jc w:val="right"/>
              <w:ind w:right="272"/>
              <w:spacing w:after="0"/>
              <w:rPr>
                <w:sz w:val="20"/>
                <w:szCs w:val="20"/>
                <w:color w:val="auto"/>
              </w:rPr>
            </w:pPr>
            <w:r>
              <w:rPr>
                <w:rFonts w:ascii="Arial" w:cs="Arial" w:eastAsia="Arial" w:hAnsi="Arial"/>
                <w:sz w:val="18"/>
                <w:szCs w:val="18"/>
                <w:color w:val="auto"/>
              </w:rPr>
              <w:t>10.10</w:t>
            </w:r>
          </w:p>
        </w:tc>
        <w:tc>
          <w:tcPr>
            <w:tcW w:w="10400" w:type="dxa"/>
            <w:vAlign w:val="bottom"/>
          </w:tcPr>
          <w:p>
            <w:pPr>
              <w:ind w:left="360"/>
              <w:spacing w:after="0"/>
              <w:rPr>
                <w:sz w:val="20"/>
                <w:szCs w:val="20"/>
                <w:color w:val="auto"/>
              </w:rPr>
            </w:pPr>
            <w:r>
              <w:rPr>
                <w:rFonts w:ascii="Arial" w:cs="Arial" w:eastAsia="Arial" w:hAnsi="Arial"/>
                <w:sz w:val="18"/>
                <w:szCs w:val="18"/>
                <w:color w:val="auto"/>
                <w:w w:val="92"/>
              </w:rPr>
              <w:t>Letter Agreement, dated June 9, 2011, between Wells Fargo Bank, National Association and Integra LifeSciences Holdings Corporation,</w:t>
            </w:r>
          </w:p>
        </w:tc>
      </w:tr>
      <w:tr>
        <w:trPr>
          <w:trHeight w:val="222"/>
        </w:trPr>
        <w:tc>
          <w:tcPr>
            <w:tcW w:w="1020" w:type="dxa"/>
            <w:vAlign w:val="bottom"/>
          </w:tcPr>
          <w:p>
            <w:pPr>
              <w:spacing w:after="0"/>
              <w:rPr>
                <w:sz w:val="19"/>
                <w:szCs w:val="19"/>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w w:val="91"/>
              </w:rPr>
              <w:t>regarding the Base Call Option Transaction (Incorporated by reference to Exhibit 10.4 to the Company’s Form 8-K filed on June 15, 2011)</w:t>
            </w:r>
          </w:p>
        </w:tc>
      </w:tr>
      <w:tr>
        <w:trPr>
          <w:trHeight w:val="318"/>
        </w:trPr>
        <w:tc>
          <w:tcPr>
            <w:tcW w:w="1020" w:type="dxa"/>
            <w:vAlign w:val="bottom"/>
          </w:tcPr>
          <w:p>
            <w:pPr>
              <w:jc w:val="right"/>
              <w:ind w:right="272"/>
              <w:spacing w:after="0"/>
              <w:rPr>
                <w:sz w:val="20"/>
                <w:szCs w:val="20"/>
                <w:color w:val="auto"/>
              </w:rPr>
            </w:pPr>
            <w:r>
              <w:rPr>
                <w:rFonts w:ascii="Arial" w:cs="Arial" w:eastAsia="Arial" w:hAnsi="Arial"/>
                <w:sz w:val="18"/>
                <w:szCs w:val="18"/>
                <w:color w:val="auto"/>
              </w:rPr>
              <w:t>10.11</w:t>
            </w:r>
          </w:p>
        </w:tc>
        <w:tc>
          <w:tcPr>
            <w:tcW w:w="10400" w:type="dxa"/>
            <w:vAlign w:val="bottom"/>
          </w:tcPr>
          <w:p>
            <w:pPr>
              <w:ind w:left="360"/>
              <w:spacing w:after="0"/>
              <w:rPr>
                <w:sz w:val="20"/>
                <w:szCs w:val="20"/>
                <w:color w:val="auto"/>
              </w:rPr>
            </w:pPr>
            <w:r>
              <w:rPr>
                <w:rFonts w:ascii="Arial" w:cs="Arial" w:eastAsia="Arial" w:hAnsi="Arial"/>
                <w:sz w:val="18"/>
                <w:szCs w:val="18"/>
                <w:color w:val="auto"/>
                <w:w w:val="95"/>
              </w:rPr>
              <w:t>Letter Agreement, dated June 9, 2011, between Deutsche Bank AG, London Branch and Integra LifeSciences Holdings Corporation,</w:t>
            </w:r>
          </w:p>
        </w:tc>
      </w:tr>
      <w:tr>
        <w:trPr>
          <w:trHeight w:val="222"/>
        </w:trPr>
        <w:tc>
          <w:tcPr>
            <w:tcW w:w="1020" w:type="dxa"/>
            <w:vAlign w:val="bottom"/>
          </w:tcPr>
          <w:p>
            <w:pPr>
              <w:spacing w:after="0"/>
              <w:rPr>
                <w:sz w:val="19"/>
                <w:szCs w:val="19"/>
                <w:color w:val="auto"/>
              </w:rPr>
            </w:pPr>
          </w:p>
        </w:tc>
        <w:tc>
          <w:tcPr>
            <w:tcW w:w="10400" w:type="dxa"/>
            <w:vAlign w:val="bottom"/>
          </w:tcPr>
          <w:p>
            <w:pPr>
              <w:ind w:left="360"/>
              <w:spacing w:after="0"/>
              <w:rPr>
                <w:sz w:val="20"/>
                <w:szCs w:val="20"/>
                <w:color w:val="auto"/>
              </w:rPr>
            </w:pPr>
            <w:r>
              <w:rPr>
                <w:rFonts w:ascii="Arial" w:cs="Arial" w:eastAsia="Arial" w:hAnsi="Arial"/>
                <w:sz w:val="18"/>
                <w:szCs w:val="18"/>
                <w:color w:val="auto"/>
                <w:w w:val="93"/>
              </w:rPr>
              <w:t>regarding the Base Warrant Transaction (Incorporated by reference to Exhibit 10.5 to the Company’s Form 8-K filed on June 15, 2011)</w:t>
            </w:r>
          </w:p>
        </w:tc>
      </w:tr>
      <w:tr>
        <w:trPr>
          <w:trHeight w:val="365"/>
        </w:trPr>
        <w:tc>
          <w:tcPr>
            <w:tcW w:w="1020" w:type="dxa"/>
            <w:vAlign w:val="bottom"/>
          </w:tcPr>
          <w:p>
            <w:pPr>
              <w:spacing w:after="0"/>
              <w:rPr>
                <w:sz w:val="24"/>
                <w:szCs w:val="24"/>
                <w:color w:val="auto"/>
              </w:rPr>
            </w:pPr>
          </w:p>
        </w:tc>
        <w:tc>
          <w:tcPr>
            <w:tcW w:w="10400" w:type="dxa"/>
            <w:vAlign w:val="bottom"/>
          </w:tcPr>
          <w:p>
            <w:pPr>
              <w:ind w:left="4600"/>
              <w:spacing w:after="0"/>
              <w:rPr>
                <w:sz w:val="20"/>
                <w:szCs w:val="20"/>
                <w:color w:val="auto"/>
              </w:rPr>
            </w:pPr>
            <w:r>
              <w:rPr>
                <w:rFonts w:ascii="Arial" w:cs="Arial" w:eastAsia="Arial" w:hAnsi="Arial"/>
                <w:sz w:val="18"/>
                <w:szCs w:val="18"/>
                <w:color w:val="auto"/>
              </w:rPr>
              <w:t>33</w:t>
            </w:r>
          </w:p>
        </w:tc>
      </w:tr>
    </w:tbl>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jc w:val="right"/>
              <w:ind w:right="352"/>
              <w:spacing w:after="0"/>
              <w:rPr>
                <w:sz w:val="20"/>
                <w:szCs w:val="20"/>
                <w:color w:val="auto"/>
              </w:rPr>
            </w:pPr>
            <w:r>
              <w:rPr>
                <w:rFonts w:ascii="Arial" w:cs="Arial" w:eastAsia="Arial" w:hAnsi="Arial"/>
                <w:sz w:val="18"/>
                <w:szCs w:val="18"/>
                <w:color w:val="auto"/>
              </w:rPr>
              <w:t>10.12</w:t>
            </w:r>
          </w:p>
        </w:tc>
        <w:tc>
          <w:tcPr>
            <w:tcW w:w="10280" w:type="dxa"/>
            <w:vAlign w:val="bottom"/>
          </w:tcPr>
          <w:p>
            <w:pPr>
              <w:ind w:left="280"/>
              <w:spacing w:after="0"/>
              <w:rPr>
                <w:sz w:val="20"/>
                <w:szCs w:val="20"/>
                <w:color w:val="auto"/>
              </w:rPr>
            </w:pPr>
            <w:r>
              <w:rPr>
                <w:rFonts w:ascii="Arial" w:cs="Arial" w:eastAsia="Arial" w:hAnsi="Arial"/>
                <w:sz w:val="18"/>
                <w:szCs w:val="18"/>
                <w:color w:val="auto"/>
                <w:w w:val="90"/>
              </w:rPr>
              <w:t>Letter Agreement, dated June 9, 2011, between Royal Bank of Canada and Integra LifeSciences Holdings Corporation, regarding the Base</w:t>
            </w:r>
          </w:p>
        </w:tc>
      </w:tr>
      <w:tr>
        <w:trPr>
          <w:trHeight w:val="222"/>
        </w:trPr>
        <w:tc>
          <w:tcPr>
            <w:tcW w:w="1100" w:type="dxa"/>
            <w:vAlign w:val="bottom"/>
          </w:tcPr>
          <w:p>
            <w:pPr>
              <w:spacing w:after="0"/>
              <w:rPr>
                <w:sz w:val="19"/>
                <w:szCs w:val="19"/>
                <w:color w:val="auto"/>
              </w:rPr>
            </w:pPr>
          </w:p>
        </w:tc>
        <w:tc>
          <w:tcPr>
            <w:tcW w:w="10280" w:type="dxa"/>
            <w:vAlign w:val="bottom"/>
          </w:tcPr>
          <w:p>
            <w:pPr>
              <w:ind w:left="280"/>
              <w:spacing w:after="0"/>
              <w:rPr>
                <w:sz w:val="20"/>
                <w:szCs w:val="20"/>
                <w:color w:val="auto"/>
              </w:rPr>
            </w:pPr>
            <w:r>
              <w:rPr>
                <w:rFonts w:ascii="Arial" w:cs="Arial" w:eastAsia="Arial" w:hAnsi="Arial"/>
                <w:sz w:val="18"/>
                <w:szCs w:val="18"/>
                <w:color w:val="auto"/>
              </w:rPr>
              <w:t>Warrant Transaction (Incorporated by reference to Exhibit 10.6 to the Company’s Form 8-K filed on June 15, 2011)</w:t>
            </w:r>
          </w:p>
        </w:tc>
      </w:tr>
      <w:tr>
        <w:trPr>
          <w:trHeight w:val="318"/>
        </w:trPr>
        <w:tc>
          <w:tcPr>
            <w:tcW w:w="1100" w:type="dxa"/>
            <w:vAlign w:val="bottom"/>
          </w:tcPr>
          <w:p>
            <w:pPr>
              <w:jc w:val="right"/>
              <w:ind w:right="352"/>
              <w:spacing w:after="0"/>
              <w:rPr>
                <w:sz w:val="20"/>
                <w:szCs w:val="20"/>
                <w:color w:val="auto"/>
              </w:rPr>
            </w:pPr>
            <w:r>
              <w:rPr>
                <w:rFonts w:ascii="Arial" w:cs="Arial" w:eastAsia="Arial" w:hAnsi="Arial"/>
                <w:sz w:val="18"/>
                <w:szCs w:val="18"/>
                <w:color w:val="auto"/>
              </w:rPr>
              <w:t>10.13</w:t>
            </w:r>
          </w:p>
        </w:tc>
        <w:tc>
          <w:tcPr>
            <w:tcW w:w="10280" w:type="dxa"/>
            <w:vAlign w:val="bottom"/>
          </w:tcPr>
          <w:p>
            <w:pPr>
              <w:ind w:left="280"/>
              <w:spacing w:after="0"/>
              <w:rPr>
                <w:sz w:val="20"/>
                <w:szCs w:val="20"/>
                <w:color w:val="auto"/>
              </w:rPr>
            </w:pPr>
            <w:r>
              <w:rPr>
                <w:rFonts w:ascii="Arial" w:cs="Arial" w:eastAsia="Arial" w:hAnsi="Arial"/>
                <w:sz w:val="18"/>
                <w:szCs w:val="18"/>
                <w:color w:val="auto"/>
                <w:w w:val="88"/>
              </w:rPr>
              <w:t>Letter Agreement, dated June 9, 2011, between The Royal Bank of Scotland plc and Integra LifeSciences Holdings Corporation, regarding the</w:t>
            </w:r>
          </w:p>
        </w:tc>
      </w:tr>
      <w:tr>
        <w:trPr>
          <w:trHeight w:val="222"/>
        </w:trPr>
        <w:tc>
          <w:tcPr>
            <w:tcW w:w="1100" w:type="dxa"/>
            <w:vAlign w:val="bottom"/>
          </w:tcPr>
          <w:p>
            <w:pPr>
              <w:spacing w:after="0"/>
              <w:rPr>
                <w:sz w:val="19"/>
                <w:szCs w:val="19"/>
                <w:color w:val="auto"/>
              </w:rPr>
            </w:pPr>
          </w:p>
        </w:tc>
        <w:tc>
          <w:tcPr>
            <w:tcW w:w="10280" w:type="dxa"/>
            <w:vAlign w:val="bottom"/>
          </w:tcPr>
          <w:p>
            <w:pPr>
              <w:ind w:left="280"/>
              <w:spacing w:after="0"/>
              <w:rPr>
                <w:sz w:val="20"/>
                <w:szCs w:val="20"/>
                <w:color w:val="auto"/>
              </w:rPr>
            </w:pPr>
            <w:r>
              <w:rPr>
                <w:rFonts w:ascii="Arial" w:cs="Arial" w:eastAsia="Arial" w:hAnsi="Arial"/>
                <w:sz w:val="18"/>
                <w:szCs w:val="18"/>
                <w:color w:val="auto"/>
              </w:rPr>
              <w:t>Base Warrant Transaction (Incorporated by reference to Exhibit 10.7 to the Company’s Form 8-K filed on June 15, 2011)</w:t>
            </w:r>
          </w:p>
        </w:tc>
      </w:tr>
      <w:tr>
        <w:trPr>
          <w:trHeight w:val="318"/>
        </w:trPr>
        <w:tc>
          <w:tcPr>
            <w:tcW w:w="1100" w:type="dxa"/>
            <w:vAlign w:val="bottom"/>
          </w:tcPr>
          <w:p>
            <w:pPr>
              <w:jc w:val="right"/>
              <w:ind w:right="352"/>
              <w:spacing w:after="0"/>
              <w:rPr>
                <w:sz w:val="20"/>
                <w:szCs w:val="20"/>
                <w:color w:val="auto"/>
              </w:rPr>
            </w:pPr>
            <w:r>
              <w:rPr>
                <w:rFonts w:ascii="Arial" w:cs="Arial" w:eastAsia="Arial" w:hAnsi="Arial"/>
                <w:sz w:val="18"/>
                <w:szCs w:val="18"/>
                <w:color w:val="auto"/>
              </w:rPr>
              <w:t>10.14</w:t>
            </w:r>
          </w:p>
        </w:tc>
        <w:tc>
          <w:tcPr>
            <w:tcW w:w="10280" w:type="dxa"/>
            <w:vAlign w:val="bottom"/>
          </w:tcPr>
          <w:p>
            <w:pPr>
              <w:ind w:left="280"/>
              <w:spacing w:after="0"/>
              <w:rPr>
                <w:sz w:val="20"/>
                <w:szCs w:val="20"/>
                <w:color w:val="auto"/>
              </w:rPr>
            </w:pPr>
            <w:r>
              <w:rPr>
                <w:rFonts w:ascii="Arial" w:cs="Arial" w:eastAsia="Arial" w:hAnsi="Arial"/>
                <w:sz w:val="18"/>
                <w:szCs w:val="18"/>
                <w:color w:val="auto"/>
                <w:w w:val="92"/>
              </w:rPr>
              <w:t>Letter Agreement, dated June 9, 2011, between Wells Fargo Bank, National Association and Integra LifeSciences Holdings Corporation,</w:t>
            </w:r>
          </w:p>
        </w:tc>
      </w:tr>
      <w:tr>
        <w:trPr>
          <w:trHeight w:val="222"/>
        </w:trPr>
        <w:tc>
          <w:tcPr>
            <w:tcW w:w="1100" w:type="dxa"/>
            <w:vAlign w:val="bottom"/>
          </w:tcPr>
          <w:p>
            <w:pPr>
              <w:spacing w:after="0"/>
              <w:rPr>
                <w:sz w:val="19"/>
                <w:szCs w:val="19"/>
                <w:color w:val="auto"/>
              </w:rPr>
            </w:pPr>
          </w:p>
        </w:tc>
        <w:tc>
          <w:tcPr>
            <w:tcW w:w="10280" w:type="dxa"/>
            <w:vAlign w:val="bottom"/>
          </w:tcPr>
          <w:p>
            <w:pPr>
              <w:ind w:left="280"/>
              <w:spacing w:after="0"/>
              <w:rPr>
                <w:sz w:val="20"/>
                <w:szCs w:val="20"/>
                <w:color w:val="auto"/>
              </w:rPr>
            </w:pPr>
            <w:r>
              <w:rPr>
                <w:rFonts w:ascii="Arial" w:cs="Arial" w:eastAsia="Arial" w:hAnsi="Arial"/>
                <w:sz w:val="18"/>
                <w:szCs w:val="18"/>
                <w:color w:val="auto"/>
                <w:w w:val="93"/>
              </w:rPr>
              <w:t>regarding the Base Warrant Transaction (Incorporated by reference to Exhibit 10.8 to the Company’s Form 8-K filed on June 15, 2011)</w:t>
            </w:r>
          </w:p>
        </w:tc>
      </w:tr>
      <w:tr>
        <w:trPr>
          <w:trHeight w:val="318"/>
        </w:trPr>
        <w:tc>
          <w:tcPr>
            <w:tcW w:w="1100" w:type="dxa"/>
            <w:vAlign w:val="bottom"/>
          </w:tcPr>
          <w:p>
            <w:pPr>
              <w:jc w:val="right"/>
              <w:ind w:right="352"/>
              <w:spacing w:after="0"/>
              <w:rPr>
                <w:sz w:val="20"/>
                <w:szCs w:val="20"/>
                <w:color w:val="auto"/>
              </w:rPr>
            </w:pPr>
            <w:r>
              <w:rPr>
                <w:rFonts w:ascii="Arial" w:cs="Arial" w:eastAsia="Arial" w:hAnsi="Arial"/>
                <w:sz w:val="18"/>
                <w:szCs w:val="18"/>
                <w:color w:val="auto"/>
              </w:rPr>
              <w:t>10.15</w:t>
            </w:r>
          </w:p>
        </w:tc>
        <w:tc>
          <w:tcPr>
            <w:tcW w:w="10280" w:type="dxa"/>
            <w:vAlign w:val="bottom"/>
          </w:tcPr>
          <w:p>
            <w:pPr>
              <w:ind w:left="280"/>
              <w:spacing w:after="0"/>
              <w:rPr>
                <w:sz w:val="20"/>
                <w:szCs w:val="20"/>
                <w:color w:val="auto"/>
              </w:rPr>
            </w:pPr>
            <w:r>
              <w:rPr>
                <w:rFonts w:ascii="Arial" w:cs="Arial" w:eastAsia="Arial" w:hAnsi="Arial"/>
                <w:sz w:val="18"/>
                <w:szCs w:val="18"/>
                <w:color w:val="auto"/>
                <w:w w:val="93"/>
              </w:rPr>
              <w:t>Letter Agreement, dated June 14, 2011, between Deutsche Bank AG, London Branch and Integra LifeSciences Holdings Corporation,</w:t>
            </w:r>
          </w:p>
        </w:tc>
      </w:tr>
      <w:tr>
        <w:trPr>
          <w:trHeight w:val="216"/>
        </w:trPr>
        <w:tc>
          <w:tcPr>
            <w:tcW w:w="1100" w:type="dxa"/>
            <w:vAlign w:val="bottom"/>
          </w:tcPr>
          <w:p>
            <w:pPr>
              <w:spacing w:after="0"/>
              <w:rPr>
                <w:sz w:val="18"/>
                <w:szCs w:val="18"/>
                <w:color w:val="auto"/>
              </w:rPr>
            </w:pPr>
          </w:p>
        </w:tc>
        <w:tc>
          <w:tcPr>
            <w:tcW w:w="10280" w:type="dxa"/>
            <w:vAlign w:val="bottom"/>
          </w:tcPr>
          <w:p>
            <w:pPr>
              <w:ind w:left="280"/>
              <w:spacing w:after="0"/>
              <w:rPr>
                <w:sz w:val="20"/>
                <w:szCs w:val="20"/>
                <w:color w:val="auto"/>
              </w:rPr>
            </w:pPr>
            <w:r>
              <w:rPr>
                <w:rFonts w:ascii="Arial" w:cs="Arial" w:eastAsia="Arial" w:hAnsi="Arial"/>
                <w:sz w:val="18"/>
                <w:szCs w:val="18"/>
                <w:color w:val="auto"/>
                <w:w w:val="92"/>
              </w:rPr>
              <w:t>regarding the Additional Call Option Transaction (Incorporated by reference to Exhibit 10.9 to the Company’s Form 8-K filed on June 15,</w:t>
            </w:r>
          </w:p>
        </w:tc>
      </w:tr>
      <w:tr>
        <w:trPr>
          <w:trHeight w:val="222"/>
        </w:trPr>
        <w:tc>
          <w:tcPr>
            <w:tcW w:w="1100" w:type="dxa"/>
            <w:vAlign w:val="bottom"/>
          </w:tcPr>
          <w:p>
            <w:pPr>
              <w:spacing w:after="0"/>
              <w:rPr>
                <w:sz w:val="19"/>
                <w:szCs w:val="19"/>
                <w:color w:val="auto"/>
              </w:rPr>
            </w:pPr>
          </w:p>
        </w:tc>
        <w:tc>
          <w:tcPr>
            <w:tcW w:w="10280" w:type="dxa"/>
            <w:vAlign w:val="bottom"/>
          </w:tcPr>
          <w:p>
            <w:pPr>
              <w:ind w:left="280"/>
              <w:spacing w:after="0"/>
              <w:rPr>
                <w:sz w:val="20"/>
                <w:szCs w:val="20"/>
                <w:color w:val="auto"/>
              </w:rPr>
            </w:pPr>
            <w:r>
              <w:rPr>
                <w:rFonts w:ascii="Arial" w:cs="Arial" w:eastAsia="Arial" w:hAnsi="Arial"/>
                <w:sz w:val="18"/>
                <w:szCs w:val="18"/>
                <w:color w:val="auto"/>
              </w:rPr>
              <w:t>2011)</w:t>
            </w:r>
          </w:p>
        </w:tc>
      </w:tr>
      <w:tr>
        <w:trPr>
          <w:trHeight w:val="318"/>
        </w:trPr>
        <w:tc>
          <w:tcPr>
            <w:tcW w:w="1100" w:type="dxa"/>
            <w:vAlign w:val="bottom"/>
          </w:tcPr>
          <w:p>
            <w:pPr>
              <w:jc w:val="right"/>
              <w:ind w:right="352"/>
              <w:spacing w:after="0"/>
              <w:rPr>
                <w:sz w:val="20"/>
                <w:szCs w:val="20"/>
                <w:color w:val="auto"/>
              </w:rPr>
            </w:pPr>
            <w:r>
              <w:rPr>
                <w:rFonts w:ascii="Arial" w:cs="Arial" w:eastAsia="Arial" w:hAnsi="Arial"/>
                <w:sz w:val="18"/>
                <w:szCs w:val="18"/>
                <w:color w:val="auto"/>
              </w:rPr>
              <w:t>10.16</w:t>
            </w:r>
          </w:p>
        </w:tc>
        <w:tc>
          <w:tcPr>
            <w:tcW w:w="10280" w:type="dxa"/>
            <w:vAlign w:val="bottom"/>
          </w:tcPr>
          <w:p>
            <w:pPr>
              <w:ind w:left="280"/>
              <w:spacing w:after="0"/>
              <w:rPr>
                <w:sz w:val="20"/>
                <w:szCs w:val="20"/>
                <w:color w:val="auto"/>
              </w:rPr>
            </w:pPr>
            <w:r>
              <w:rPr>
                <w:rFonts w:ascii="Arial" w:cs="Arial" w:eastAsia="Arial" w:hAnsi="Arial"/>
                <w:sz w:val="18"/>
                <w:szCs w:val="18"/>
                <w:color w:val="auto"/>
                <w:w w:val="93"/>
              </w:rPr>
              <w:t>Letter Agreement, dated June 14, 2011, between Royal Bank of Canada and Integra LifeSciences Holdings Corporation, regarding the</w:t>
            </w:r>
          </w:p>
        </w:tc>
      </w:tr>
      <w:tr>
        <w:trPr>
          <w:trHeight w:val="222"/>
        </w:trPr>
        <w:tc>
          <w:tcPr>
            <w:tcW w:w="1100" w:type="dxa"/>
            <w:vAlign w:val="bottom"/>
          </w:tcPr>
          <w:p>
            <w:pPr>
              <w:spacing w:after="0"/>
              <w:rPr>
                <w:sz w:val="19"/>
                <w:szCs w:val="19"/>
                <w:color w:val="auto"/>
              </w:rPr>
            </w:pPr>
          </w:p>
        </w:tc>
        <w:tc>
          <w:tcPr>
            <w:tcW w:w="10280" w:type="dxa"/>
            <w:vAlign w:val="bottom"/>
          </w:tcPr>
          <w:p>
            <w:pPr>
              <w:ind w:left="280"/>
              <w:spacing w:after="0"/>
              <w:rPr>
                <w:sz w:val="20"/>
                <w:szCs w:val="20"/>
                <w:color w:val="auto"/>
              </w:rPr>
            </w:pPr>
            <w:r>
              <w:rPr>
                <w:rFonts w:ascii="Arial" w:cs="Arial" w:eastAsia="Arial" w:hAnsi="Arial"/>
                <w:sz w:val="18"/>
                <w:szCs w:val="18"/>
                <w:color w:val="auto"/>
                <w:w w:val="96"/>
              </w:rPr>
              <w:t>Additional Call Option Transaction (Incorporated by reference to Exhibit 10.10 to the Company’s Form 8-K filed on June 15, 2011)</w:t>
            </w:r>
          </w:p>
        </w:tc>
      </w:tr>
      <w:tr>
        <w:trPr>
          <w:trHeight w:val="318"/>
        </w:trPr>
        <w:tc>
          <w:tcPr>
            <w:tcW w:w="1100" w:type="dxa"/>
            <w:vAlign w:val="bottom"/>
          </w:tcPr>
          <w:p>
            <w:pPr>
              <w:jc w:val="right"/>
              <w:ind w:right="352"/>
              <w:spacing w:after="0"/>
              <w:rPr>
                <w:sz w:val="20"/>
                <w:szCs w:val="20"/>
                <w:color w:val="auto"/>
              </w:rPr>
            </w:pPr>
            <w:r>
              <w:rPr>
                <w:rFonts w:ascii="Arial" w:cs="Arial" w:eastAsia="Arial" w:hAnsi="Arial"/>
                <w:sz w:val="18"/>
                <w:szCs w:val="18"/>
                <w:color w:val="auto"/>
              </w:rPr>
              <w:t>10.17</w:t>
            </w:r>
          </w:p>
        </w:tc>
        <w:tc>
          <w:tcPr>
            <w:tcW w:w="10280" w:type="dxa"/>
            <w:vAlign w:val="bottom"/>
          </w:tcPr>
          <w:p>
            <w:pPr>
              <w:ind w:left="280"/>
              <w:spacing w:after="0"/>
              <w:rPr>
                <w:sz w:val="20"/>
                <w:szCs w:val="20"/>
                <w:color w:val="auto"/>
              </w:rPr>
            </w:pPr>
            <w:r>
              <w:rPr>
                <w:rFonts w:ascii="Arial" w:cs="Arial" w:eastAsia="Arial" w:hAnsi="Arial"/>
                <w:sz w:val="18"/>
                <w:szCs w:val="18"/>
                <w:color w:val="auto"/>
                <w:w w:val="89"/>
              </w:rPr>
              <w:t>Letter Agreement, dated June 14, 2011, between The Royal Bank of Scotland plc and Integra LifeSciences Holdings Corporation, regarding</w:t>
            </w:r>
          </w:p>
        </w:tc>
      </w:tr>
      <w:tr>
        <w:trPr>
          <w:trHeight w:val="222"/>
        </w:trPr>
        <w:tc>
          <w:tcPr>
            <w:tcW w:w="1100" w:type="dxa"/>
            <w:vAlign w:val="bottom"/>
          </w:tcPr>
          <w:p>
            <w:pPr>
              <w:spacing w:after="0"/>
              <w:rPr>
                <w:sz w:val="19"/>
                <w:szCs w:val="19"/>
                <w:color w:val="auto"/>
              </w:rPr>
            </w:pPr>
          </w:p>
        </w:tc>
        <w:tc>
          <w:tcPr>
            <w:tcW w:w="10280" w:type="dxa"/>
            <w:vAlign w:val="bottom"/>
          </w:tcPr>
          <w:p>
            <w:pPr>
              <w:ind w:left="280"/>
              <w:spacing w:after="0"/>
              <w:rPr>
                <w:sz w:val="20"/>
                <w:szCs w:val="20"/>
                <w:color w:val="auto"/>
              </w:rPr>
            </w:pPr>
            <w:r>
              <w:rPr>
                <w:rFonts w:ascii="Arial" w:cs="Arial" w:eastAsia="Arial" w:hAnsi="Arial"/>
                <w:sz w:val="18"/>
                <w:szCs w:val="18"/>
                <w:color w:val="auto"/>
                <w:w w:val="94"/>
              </w:rPr>
              <w:t>the Additional Call Option Transaction (Incorporated by reference to Exhibit 10.11 to the Company’s Form 8-K filed on June 15, 2011)</w:t>
            </w:r>
          </w:p>
        </w:tc>
      </w:tr>
      <w:tr>
        <w:trPr>
          <w:trHeight w:val="318"/>
        </w:trPr>
        <w:tc>
          <w:tcPr>
            <w:tcW w:w="1100" w:type="dxa"/>
            <w:vAlign w:val="bottom"/>
          </w:tcPr>
          <w:p>
            <w:pPr>
              <w:jc w:val="right"/>
              <w:ind w:right="352"/>
              <w:spacing w:after="0"/>
              <w:rPr>
                <w:sz w:val="20"/>
                <w:szCs w:val="20"/>
                <w:color w:val="auto"/>
              </w:rPr>
            </w:pPr>
            <w:r>
              <w:rPr>
                <w:rFonts w:ascii="Arial" w:cs="Arial" w:eastAsia="Arial" w:hAnsi="Arial"/>
                <w:sz w:val="18"/>
                <w:szCs w:val="18"/>
                <w:color w:val="auto"/>
              </w:rPr>
              <w:t>10.18</w:t>
            </w:r>
          </w:p>
        </w:tc>
        <w:tc>
          <w:tcPr>
            <w:tcW w:w="10280" w:type="dxa"/>
            <w:vAlign w:val="bottom"/>
          </w:tcPr>
          <w:p>
            <w:pPr>
              <w:ind w:left="280"/>
              <w:spacing w:after="0"/>
              <w:rPr>
                <w:sz w:val="20"/>
                <w:szCs w:val="20"/>
                <w:color w:val="auto"/>
              </w:rPr>
            </w:pPr>
            <w:r>
              <w:rPr>
                <w:rFonts w:ascii="Arial" w:cs="Arial" w:eastAsia="Arial" w:hAnsi="Arial"/>
                <w:sz w:val="18"/>
                <w:szCs w:val="18"/>
                <w:color w:val="auto"/>
                <w:w w:val="91"/>
              </w:rPr>
              <w:t>Letter Agreement, dated June 14, 2011, between Wells Fargo Bank, National Association and Integra LifeSciences Holdings Corporation,</w:t>
            </w:r>
          </w:p>
        </w:tc>
      </w:tr>
      <w:tr>
        <w:trPr>
          <w:trHeight w:val="216"/>
        </w:trPr>
        <w:tc>
          <w:tcPr>
            <w:tcW w:w="1100" w:type="dxa"/>
            <w:vAlign w:val="bottom"/>
          </w:tcPr>
          <w:p>
            <w:pPr>
              <w:spacing w:after="0"/>
              <w:rPr>
                <w:sz w:val="18"/>
                <w:szCs w:val="18"/>
                <w:color w:val="auto"/>
              </w:rPr>
            </w:pPr>
          </w:p>
        </w:tc>
        <w:tc>
          <w:tcPr>
            <w:tcW w:w="10280" w:type="dxa"/>
            <w:vAlign w:val="bottom"/>
          </w:tcPr>
          <w:p>
            <w:pPr>
              <w:ind w:left="280"/>
              <w:spacing w:after="0"/>
              <w:rPr>
                <w:sz w:val="20"/>
                <w:szCs w:val="20"/>
                <w:color w:val="auto"/>
              </w:rPr>
            </w:pPr>
            <w:r>
              <w:rPr>
                <w:rFonts w:ascii="Arial" w:cs="Arial" w:eastAsia="Arial" w:hAnsi="Arial"/>
                <w:sz w:val="18"/>
                <w:szCs w:val="18"/>
                <w:color w:val="auto"/>
                <w:w w:val="91"/>
              </w:rPr>
              <w:t>regarding the Additional Call Option Transaction (Incorporated by reference to Exhibit 10.12 to the Company’s Form 8-K filed on June 15,</w:t>
            </w:r>
          </w:p>
        </w:tc>
      </w:tr>
      <w:tr>
        <w:trPr>
          <w:trHeight w:val="222"/>
        </w:trPr>
        <w:tc>
          <w:tcPr>
            <w:tcW w:w="1100" w:type="dxa"/>
            <w:vAlign w:val="bottom"/>
          </w:tcPr>
          <w:p>
            <w:pPr>
              <w:spacing w:after="0"/>
              <w:rPr>
                <w:sz w:val="19"/>
                <w:szCs w:val="19"/>
                <w:color w:val="auto"/>
              </w:rPr>
            </w:pPr>
          </w:p>
        </w:tc>
        <w:tc>
          <w:tcPr>
            <w:tcW w:w="10280" w:type="dxa"/>
            <w:vAlign w:val="bottom"/>
          </w:tcPr>
          <w:p>
            <w:pPr>
              <w:ind w:left="280"/>
              <w:spacing w:after="0"/>
              <w:rPr>
                <w:sz w:val="20"/>
                <w:szCs w:val="20"/>
                <w:color w:val="auto"/>
              </w:rPr>
            </w:pPr>
            <w:r>
              <w:rPr>
                <w:rFonts w:ascii="Arial" w:cs="Arial" w:eastAsia="Arial" w:hAnsi="Arial"/>
                <w:sz w:val="18"/>
                <w:szCs w:val="18"/>
                <w:color w:val="auto"/>
              </w:rPr>
              <w:t>2011)</w:t>
            </w:r>
          </w:p>
        </w:tc>
      </w:tr>
      <w:tr>
        <w:trPr>
          <w:trHeight w:val="318"/>
        </w:trPr>
        <w:tc>
          <w:tcPr>
            <w:tcW w:w="1100" w:type="dxa"/>
            <w:vAlign w:val="bottom"/>
          </w:tcPr>
          <w:p>
            <w:pPr>
              <w:jc w:val="right"/>
              <w:ind w:right="352"/>
              <w:spacing w:after="0"/>
              <w:rPr>
                <w:sz w:val="20"/>
                <w:szCs w:val="20"/>
                <w:color w:val="auto"/>
              </w:rPr>
            </w:pPr>
            <w:r>
              <w:rPr>
                <w:rFonts w:ascii="Arial" w:cs="Arial" w:eastAsia="Arial" w:hAnsi="Arial"/>
                <w:sz w:val="18"/>
                <w:szCs w:val="18"/>
                <w:color w:val="auto"/>
              </w:rPr>
              <w:t>10.19</w:t>
            </w:r>
          </w:p>
        </w:tc>
        <w:tc>
          <w:tcPr>
            <w:tcW w:w="10280" w:type="dxa"/>
            <w:vAlign w:val="bottom"/>
          </w:tcPr>
          <w:p>
            <w:pPr>
              <w:ind w:left="280"/>
              <w:spacing w:after="0"/>
              <w:rPr>
                <w:sz w:val="20"/>
                <w:szCs w:val="20"/>
                <w:color w:val="auto"/>
              </w:rPr>
            </w:pPr>
            <w:r>
              <w:rPr>
                <w:rFonts w:ascii="Arial" w:cs="Arial" w:eastAsia="Arial" w:hAnsi="Arial"/>
                <w:sz w:val="18"/>
                <w:szCs w:val="18"/>
                <w:color w:val="auto"/>
                <w:w w:val="93"/>
              </w:rPr>
              <w:t>Letter Agreement, dated June 14, 2011, between Deutsche Bank AG, London Branch and Integra LifeSciences Holdings Corporation,</w:t>
            </w:r>
          </w:p>
        </w:tc>
      </w:tr>
      <w:tr>
        <w:trPr>
          <w:trHeight w:val="222"/>
        </w:trPr>
        <w:tc>
          <w:tcPr>
            <w:tcW w:w="1100" w:type="dxa"/>
            <w:vAlign w:val="bottom"/>
          </w:tcPr>
          <w:p>
            <w:pPr>
              <w:spacing w:after="0"/>
              <w:rPr>
                <w:sz w:val="19"/>
                <w:szCs w:val="19"/>
                <w:color w:val="auto"/>
              </w:rPr>
            </w:pPr>
          </w:p>
        </w:tc>
        <w:tc>
          <w:tcPr>
            <w:tcW w:w="10280" w:type="dxa"/>
            <w:vAlign w:val="bottom"/>
          </w:tcPr>
          <w:p>
            <w:pPr>
              <w:ind w:left="280"/>
              <w:spacing w:after="0"/>
              <w:rPr>
                <w:sz w:val="20"/>
                <w:szCs w:val="20"/>
                <w:color w:val="auto"/>
              </w:rPr>
            </w:pPr>
            <w:r>
              <w:rPr>
                <w:rFonts w:ascii="Arial" w:cs="Arial" w:eastAsia="Arial" w:hAnsi="Arial"/>
                <w:sz w:val="18"/>
                <w:szCs w:val="18"/>
                <w:color w:val="auto"/>
                <w:w w:val="89"/>
              </w:rPr>
              <w:t>regarding the Additional Warrant Transaction (Incorporated by reference to Exhibit 10.13 to the Company’s Form 8-K filed on June 15, 2011)</w:t>
            </w:r>
          </w:p>
        </w:tc>
      </w:tr>
      <w:tr>
        <w:trPr>
          <w:trHeight w:val="318"/>
        </w:trPr>
        <w:tc>
          <w:tcPr>
            <w:tcW w:w="1100" w:type="dxa"/>
            <w:vAlign w:val="bottom"/>
          </w:tcPr>
          <w:p>
            <w:pPr>
              <w:jc w:val="right"/>
              <w:ind w:right="352"/>
              <w:spacing w:after="0"/>
              <w:rPr>
                <w:sz w:val="20"/>
                <w:szCs w:val="20"/>
                <w:color w:val="auto"/>
              </w:rPr>
            </w:pPr>
            <w:r>
              <w:rPr>
                <w:rFonts w:ascii="Arial" w:cs="Arial" w:eastAsia="Arial" w:hAnsi="Arial"/>
                <w:sz w:val="18"/>
                <w:szCs w:val="18"/>
                <w:color w:val="auto"/>
              </w:rPr>
              <w:t>10.20</w:t>
            </w:r>
          </w:p>
        </w:tc>
        <w:tc>
          <w:tcPr>
            <w:tcW w:w="10280" w:type="dxa"/>
            <w:vAlign w:val="bottom"/>
          </w:tcPr>
          <w:p>
            <w:pPr>
              <w:ind w:left="280"/>
              <w:spacing w:after="0"/>
              <w:rPr>
                <w:sz w:val="20"/>
                <w:szCs w:val="20"/>
                <w:color w:val="auto"/>
              </w:rPr>
            </w:pPr>
            <w:r>
              <w:rPr>
                <w:rFonts w:ascii="Arial" w:cs="Arial" w:eastAsia="Arial" w:hAnsi="Arial"/>
                <w:sz w:val="18"/>
                <w:szCs w:val="18"/>
                <w:color w:val="auto"/>
                <w:w w:val="93"/>
              </w:rPr>
              <w:t>Letter Agreement, dated June 14, 2011, between Royal Bank of Canada and Integra LifeSciences Holdings Corporation, regarding the</w:t>
            </w:r>
          </w:p>
        </w:tc>
      </w:tr>
      <w:tr>
        <w:trPr>
          <w:trHeight w:val="222"/>
        </w:trPr>
        <w:tc>
          <w:tcPr>
            <w:tcW w:w="1100" w:type="dxa"/>
            <w:vAlign w:val="bottom"/>
          </w:tcPr>
          <w:p>
            <w:pPr>
              <w:spacing w:after="0"/>
              <w:rPr>
                <w:sz w:val="19"/>
                <w:szCs w:val="19"/>
                <w:color w:val="auto"/>
              </w:rPr>
            </w:pPr>
          </w:p>
        </w:tc>
        <w:tc>
          <w:tcPr>
            <w:tcW w:w="10280" w:type="dxa"/>
            <w:vAlign w:val="bottom"/>
          </w:tcPr>
          <w:p>
            <w:pPr>
              <w:ind w:left="280"/>
              <w:spacing w:after="0"/>
              <w:rPr>
                <w:sz w:val="20"/>
                <w:szCs w:val="20"/>
                <w:color w:val="auto"/>
              </w:rPr>
            </w:pPr>
            <w:r>
              <w:rPr>
                <w:rFonts w:ascii="Arial" w:cs="Arial" w:eastAsia="Arial" w:hAnsi="Arial"/>
                <w:sz w:val="18"/>
                <w:szCs w:val="18"/>
                <w:color w:val="auto"/>
                <w:w w:val="99"/>
              </w:rPr>
              <w:t>Additional Warrant Transaction (Incorporated by reference to Exhibit 10.14 to the Company’s Form 8-K filed on June 15, 2011)</w:t>
            </w:r>
          </w:p>
        </w:tc>
      </w:tr>
      <w:tr>
        <w:trPr>
          <w:trHeight w:val="318"/>
        </w:trPr>
        <w:tc>
          <w:tcPr>
            <w:tcW w:w="1100" w:type="dxa"/>
            <w:vAlign w:val="bottom"/>
          </w:tcPr>
          <w:p>
            <w:pPr>
              <w:jc w:val="right"/>
              <w:ind w:right="352"/>
              <w:spacing w:after="0"/>
              <w:rPr>
                <w:sz w:val="20"/>
                <w:szCs w:val="20"/>
                <w:color w:val="auto"/>
              </w:rPr>
            </w:pPr>
            <w:r>
              <w:rPr>
                <w:rFonts w:ascii="Arial" w:cs="Arial" w:eastAsia="Arial" w:hAnsi="Arial"/>
                <w:sz w:val="18"/>
                <w:szCs w:val="18"/>
                <w:color w:val="auto"/>
              </w:rPr>
              <w:t>10.21</w:t>
            </w:r>
          </w:p>
        </w:tc>
        <w:tc>
          <w:tcPr>
            <w:tcW w:w="10280" w:type="dxa"/>
            <w:vAlign w:val="bottom"/>
          </w:tcPr>
          <w:p>
            <w:pPr>
              <w:ind w:left="280"/>
              <w:spacing w:after="0"/>
              <w:rPr>
                <w:sz w:val="20"/>
                <w:szCs w:val="20"/>
                <w:color w:val="auto"/>
              </w:rPr>
            </w:pPr>
            <w:r>
              <w:rPr>
                <w:rFonts w:ascii="Arial" w:cs="Arial" w:eastAsia="Arial" w:hAnsi="Arial"/>
                <w:sz w:val="18"/>
                <w:szCs w:val="18"/>
                <w:color w:val="auto"/>
                <w:w w:val="89"/>
              </w:rPr>
              <w:t>Letter Agreement, dated June 14, 2011, between The Royal Bank of Scotland plc and Integra LifeSciences Holdings Corporation, regarding</w:t>
            </w:r>
          </w:p>
        </w:tc>
      </w:tr>
      <w:tr>
        <w:trPr>
          <w:trHeight w:val="222"/>
        </w:trPr>
        <w:tc>
          <w:tcPr>
            <w:tcW w:w="1100" w:type="dxa"/>
            <w:vAlign w:val="bottom"/>
          </w:tcPr>
          <w:p>
            <w:pPr>
              <w:spacing w:after="0"/>
              <w:rPr>
                <w:sz w:val="19"/>
                <w:szCs w:val="19"/>
                <w:color w:val="auto"/>
              </w:rPr>
            </w:pPr>
          </w:p>
        </w:tc>
        <w:tc>
          <w:tcPr>
            <w:tcW w:w="10280" w:type="dxa"/>
            <w:vAlign w:val="bottom"/>
          </w:tcPr>
          <w:p>
            <w:pPr>
              <w:ind w:left="280"/>
              <w:spacing w:after="0"/>
              <w:rPr>
                <w:sz w:val="20"/>
                <w:szCs w:val="20"/>
                <w:color w:val="auto"/>
              </w:rPr>
            </w:pPr>
            <w:r>
              <w:rPr>
                <w:rFonts w:ascii="Arial" w:cs="Arial" w:eastAsia="Arial" w:hAnsi="Arial"/>
                <w:sz w:val="18"/>
                <w:szCs w:val="18"/>
                <w:color w:val="auto"/>
                <w:w w:val="96"/>
              </w:rPr>
              <w:t>the Additional Warrant Transaction (Incorporated by reference to Exhibit 10.15 to the Company’s Form 8-K filed on June 15, 2011)</w:t>
            </w:r>
          </w:p>
        </w:tc>
      </w:tr>
      <w:tr>
        <w:trPr>
          <w:trHeight w:val="318"/>
        </w:trPr>
        <w:tc>
          <w:tcPr>
            <w:tcW w:w="1100" w:type="dxa"/>
            <w:vAlign w:val="bottom"/>
          </w:tcPr>
          <w:p>
            <w:pPr>
              <w:jc w:val="right"/>
              <w:ind w:right="352"/>
              <w:spacing w:after="0"/>
              <w:rPr>
                <w:sz w:val="20"/>
                <w:szCs w:val="20"/>
                <w:color w:val="auto"/>
              </w:rPr>
            </w:pPr>
            <w:r>
              <w:rPr>
                <w:rFonts w:ascii="Arial" w:cs="Arial" w:eastAsia="Arial" w:hAnsi="Arial"/>
                <w:sz w:val="18"/>
                <w:szCs w:val="18"/>
                <w:color w:val="auto"/>
              </w:rPr>
              <w:t>10.22</w:t>
            </w:r>
          </w:p>
        </w:tc>
        <w:tc>
          <w:tcPr>
            <w:tcW w:w="10280" w:type="dxa"/>
            <w:vAlign w:val="bottom"/>
          </w:tcPr>
          <w:p>
            <w:pPr>
              <w:ind w:left="280"/>
              <w:spacing w:after="0"/>
              <w:rPr>
                <w:sz w:val="20"/>
                <w:szCs w:val="20"/>
                <w:color w:val="auto"/>
              </w:rPr>
            </w:pPr>
            <w:r>
              <w:rPr>
                <w:rFonts w:ascii="Arial" w:cs="Arial" w:eastAsia="Arial" w:hAnsi="Arial"/>
                <w:sz w:val="18"/>
                <w:szCs w:val="18"/>
                <w:color w:val="auto"/>
                <w:w w:val="91"/>
              </w:rPr>
              <w:t>Letter Agreement, dated June 14, 2011, between Wells Fargo Bank, National Association and Integra LifeSciences Holdings Corporation,</w:t>
            </w:r>
          </w:p>
        </w:tc>
      </w:tr>
      <w:tr>
        <w:trPr>
          <w:trHeight w:val="222"/>
        </w:trPr>
        <w:tc>
          <w:tcPr>
            <w:tcW w:w="1100" w:type="dxa"/>
            <w:vAlign w:val="bottom"/>
          </w:tcPr>
          <w:p>
            <w:pPr>
              <w:spacing w:after="0"/>
              <w:rPr>
                <w:sz w:val="19"/>
                <w:szCs w:val="19"/>
                <w:color w:val="auto"/>
              </w:rPr>
            </w:pPr>
          </w:p>
        </w:tc>
        <w:tc>
          <w:tcPr>
            <w:tcW w:w="10280" w:type="dxa"/>
            <w:vAlign w:val="bottom"/>
          </w:tcPr>
          <w:p>
            <w:pPr>
              <w:ind w:left="280"/>
              <w:spacing w:after="0"/>
              <w:rPr>
                <w:sz w:val="20"/>
                <w:szCs w:val="20"/>
                <w:color w:val="auto"/>
              </w:rPr>
            </w:pPr>
            <w:r>
              <w:rPr>
                <w:rFonts w:ascii="Arial" w:cs="Arial" w:eastAsia="Arial" w:hAnsi="Arial"/>
                <w:sz w:val="18"/>
                <w:szCs w:val="18"/>
                <w:color w:val="auto"/>
                <w:w w:val="89"/>
              </w:rPr>
              <w:t>regarding the Additional Warrant Transaction (Incorporated by reference to Exhibit 10.16 to the Company’s Form 8-K filed on June 15, 2011)</w:t>
            </w:r>
          </w:p>
        </w:tc>
      </w:tr>
      <w:tr>
        <w:trPr>
          <w:trHeight w:val="324"/>
        </w:trPr>
        <w:tc>
          <w:tcPr>
            <w:tcW w:w="1100" w:type="dxa"/>
            <w:vAlign w:val="bottom"/>
          </w:tcPr>
          <w:p>
            <w:pPr>
              <w:jc w:val="right"/>
              <w:ind w:right="432"/>
              <w:spacing w:after="0"/>
              <w:rPr>
                <w:sz w:val="20"/>
                <w:szCs w:val="20"/>
                <w:color w:val="auto"/>
              </w:rPr>
            </w:pPr>
            <w:r>
              <w:rPr>
                <w:rFonts w:ascii="Arial" w:cs="Arial" w:eastAsia="Arial" w:hAnsi="Arial"/>
                <w:sz w:val="18"/>
                <w:szCs w:val="18"/>
                <w:color w:val="auto"/>
              </w:rPr>
              <w:t>*31.1</w:t>
            </w:r>
          </w:p>
        </w:tc>
        <w:tc>
          <w:tcPr>
            <w:tcW w:w="10280" w:type="dxa"/>
            <w:vAlign w:val="bottom"/>
          </w:tcPr>
          <w:p>
            <w:pPr>
              <w:ind w:left="28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324"/>
        </w:trPr>
        <w:tc>
          <w:tcPr>
            <w:tcW w:w="1100" w:type="dxa"/>
            <w:vAlign w:val="bottom"/>
          </w:tcPr>
          <w:p>
            <w:pPr>
              <w:jc w:val="right"/>
              <w:ind w:right="432"/>
              <w:spacing w:after="0"/>
              <w:rPr>
                <w:sz w:val="20"/>
                <w:szCs w:val="20"/>
                <w:color w:val="auto"/>
              </w:rPr>
            </w:pPr>
            <w:r>
              <w:rPr>
                <w:rFonts w:ascii="Arial" w:cs="Arial" w:eastAsia="Arial" w:hAnsi="Arial"/>
                <w:sz w:val="18"/>
                <w:szCs w:val="18"/>
                <w:color w:val="auto"/>
              </w:rPr>
              <w:t>*31.2</w:t>
            </w:r>
          </w:p>
        </w:tc>
        <w:tc>
          <w:tcPr>
            <w:tcW w:w="10280" w:type="dxa"/>
            <w:vAlign w:val="bottom"/>
          </w:tcPr>
          <w:p>
            <w:pPr>
              <w:ind w:left="28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324"/>
        </w:trPr>
        <w:tc>
          <w:tcPr>
            <w:tcW w:w="1100" w:type="dxa"/>
            <w:vAlign w:val="bottom"/>
          </w:tcPr>
          <w:p>
            <w:pPr>
              <w:jc w:val="right"/>
              <w:ind w:right="432"/>
              <w:spacing w:after="0"/>
              <w:rPr>
                <w:sz w:val="20"/>
                <w:szCs w:val="20"/>
                <w:color w:val="auto"/>
              </w:rPr>
            </w:pPr>
            <w:r>
              <w:rPr>
                <w:rFonts w:ascii="Arial" w:cs="Arial" w:eastAsia="Arial" w:hAnsi="Arial"/>
                <w:sz w:val="18"/>
                <w:szCs w:val="18"/>
                <w:color w:val="auto"/>
              </w:rPr>
              <w:t>*32.1</w:t>
            </w:r>
          </w:p>
        </w:tc>
        <w:tc>
          <w:tcPr>
            <w:tcW w:w="10280" w:type="dxa"/>
            <w:vAlign w:val="bottom"/>
          </w:tcPr>
          <w:p>
            <w:pPr>
              <w:ind w:left="280"/>
              <w:spacing w:after="0"/>
              <w:rPr>
                <w:sz w:val="20"/>
                <w:szCs w:val="20"/>
                <w:color w:val="auto"/>
              </w:rPr>
            </w:pPr>
            <w:r>
              <w:rPr>
                <w:rFonts w:ascii="Arial" w:cs="Arial" w:eastAsia="Arial" w:hAnsi="Arial"/>
                <w:sz w:val="18"/>
                <w:szCs w:val="18"/>
                <w:color w:val="auto"/>
              </w:rPr>
              <w:t>Certification of Principal Executive Officer Pursuant to Section 906 of the Sarbanes-Oxley Act of 2002</w:t>
            </w:r>
          </w:p>
        </w:tc>
      </w:tr>
      <w:tr>
        <w:trPr>
          <w:trHeight w:val="324"/>
        </w:trPr>
        <w:tc>
          <w:tcPr>
            <w:tcW w:w="1100" w:type="dxa"/>
            <w:vAlign w:val="bottom"/>
          </w:tcPr>
          <w:p>
            <w:pPr>
              <w:jc w:val="right"/>
              <w:ind w:right="432"/>
              <w:spacing w:after="0"/>
              <w:rPr>
                <w:sz w:val="20"/>
                <w:szCs w:val="20"/>
                <w:color w:val="auto"/>
              </w:rPr>
            </w:pPr>
            <w:r>
              <w:rPr>
                <w:rFonts w:ascii="Arial" w:cs="Arial" w:eastAsia="Arial" w:hAnsi="Arial"/>
                <w:sz w:val="18"/>
                <w:szCs w:val="18"/>
                <w:color w:val="auto"/>
              </w:rPr>
              <w:t>*32.2</w:t>
            </w:r>
          </w:p>
        </w:tc>
        <w:tc>
          <w:tcPr>
            <w:tcW w:w="10280" w:type="dxa"/>
            <w:vAlign w:val="bottom"/>
          </w:tcPr>
          <w:p>
            <w:pPr>
              <w:ind w:left="280"/>
              <w:spacing w:after="0"/>
              <w:rPr>
                <w:sz w:val="20"/>
                <w:szCs w:val="20"/>
                <w:color w:val="auto"/>
              </w:rPr>
            </w:pPr>
            <w:r>
              <w:rPr>
                <w:rFonts w:ascii="Arial" w:cs="Arial" w:eastAsia="Arial" w:hAnsi="Arial"/>
                <w:sz w:val="18"/>
                <w:szCs w:val="18"/>
                <w:color w:val="auto"/>
              </w:rPr>
              <w:t>Certification of Principal Financial Officer Pursuant to Section 906 of the Sarbanes-Oxley Act of 2002</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*†101.INS</w:t>
            </w:r>
          </w:p>
        </w:tc>
        <w:tc>
          <w:tcPr>
            <w:tcW w:w="10280" w:type="dxa"/>
            <w:vAlign w:val="bottom"/>
          </w:tcPr>
          <w:p>
            <w:pPr>
              <w:ind w:left="280"/>
              <w:spacing w:after="0"/>
              <w:rPr>
                <w:sz w:val="20"/>
                <w:szCs w:val="20"/>
                <w:color w:val="auto"/>
              </w:rPr>
            </w:pPr>
            <w:r>
              <w:rPr>
                <w:rFonts w:ascii="Arial" w:cs="Arial" w:eastAsia="Arial" w:hAnsi="Arial"/>
                <w:sz w:val="18"/>
                <w:szCs w:val="18"/>
                <w:color w:val="auto"/>
              </w:rPr>
              <w:t>XBRL Instance Document</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*†101.SCH</w:t>
            </w:r>
          </w:p>
        </w:tc>
        <w:tc>
          <w:tcPr>
            <w:tcW w:w="10280" w:type="dxa"/>
            <w:vAlign w:val="bottom"/>
          </w:tcPr>
          <w:p>
            <w:pPr>
              <w:ind w:left="280"/>
              <w:spacing w:after="0"/>
              <w:rPr>
                <w:sz w:val="20"/>
                <w:szCs w:val="20"/>
                <w:color w:val="auto"/>
              </w:rPr>
            </w:pPr>
            <w:r>
              <w:rPr>
                <w:rFonts w:ascii="Arial" w:cs="Arial" w:eastAsia="Arial" w:hAnsi="Arial"/>
                <w:sz w:val="18"/>
                <w:szCs w:val="18"/>
                <w:color w:val="auto"/>
              </w:rPr>
              <w:t>XBRL Taxonomy Extension Schema Document</w:t>
            </w:r>
          </w:p>
        </w:tc>
      </w:tr>
      <w:tr>
        <w:trPr>
          <w:trHeight w:val="365"/>
        </w:trPr>
        <w:tc>
          <w:tcPr>
            <w:tcW w:w="1100" w:type="dxa"/>
            <w:vAlign w:val="bottom"/>
          </w:tcPr>
          <w:p>
            <w:pPr>
              <w:spacing w:after="0"/>
              <w:rPr>
                <w:sz w:val="24"/>
                <w:szCs w:val="24"/>
                <w:color w:val="auto"/>
              </w:rPr>
            </w:pPr>
          </w:p>
        </w:tc>
        <w:tc>
          <w:tcPr>
            <w:tcW w:w="10280" w:type="dxa"/>
            <w:vAlign w:val="bottom"/>
          </w:tcPr>
          <w:p>
            <w:pPr>
              <w:ind w:left="4520"/>
              <w:spacing w:after="0"/>
              <w:rPr>
                <w:sz w:val="20"/>
                <w:szCs w:val="20"/>
                <w:color w:val="auto"/>
              </w:rPr>
            </w:pPr>
            <w:r>
              <w:rPr>
                <w:rFonts w:ascii="Arial" w:cs="Arial" w:eastAsia="Arial" w:hAnsi="Arial"/>
                <w:sz w:val="18"/>
                <w:szCs w:val="18"/>
                <w:color w:val="auto"/>
              </w:rPr>
              <w:t>34</w:t>
            </w:r>
          </w:p>
        </w:tc>
      </w:tr>
    </w:tbl>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00"/>
          </w:cols>
          <w:pgMar w:left="240" w:top="459" w:right="35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*†101.CAL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140" w:lineRule="exact"/>
        <w:rPr>
          <w:sz w:val="20"/>
          <w:szCs w:val="20"/>
          <w:color w:val="auto"/>
        </w:rPr>
      </w:pPr>
    </w:p>
    <w:p>
      <w:pPr>
        <w:sectPr>
          <w:pgSz w:w="11900" w:h="16838" w:orient="portrait"/>
          <w:cols w:equalWidth="0" w:num="2">
            <w:col w:w="840" w:space="540"/>
            <w:col w:w="9920"/>
          </w:cols>
          <w:pgMar w:left="240" w:top="459" w:right="359" w:bottom="1440" w:gutter="0" w:footer="0" w:header="0"/>
          <w:type w:val="continuous"/>
        </w:sectPr>
      </w:pPr>
    </w:p>
    <w:p>
      <w:pPr>
        <w:spacing w:after="0"/>
        <w:rPr>
          <w:sz w:val="20"/>
          <w:szCs w:val="20"/>
          <w:color w:val="auto"/>
        </w:rPr>
      </w:pPr>
      <w:r>
        <w:rPr>
          <w:rFonts w:ascii="Arial" w:cs="Arial" w:eastAsia="Arial" w:hAnsi="Arial"/>
          <w:sz w:val="16"/>
          <w:szCs w:val="16"/>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Definition Linkbase Document</w:t>
      </w:r>
    </w:p>
    <w:p>
      <w:pPr>
        <w:spacing w:after="0" w:line="140" w:lineRule="exact"/>
        <w:rPr>
          <w:sz w:val="20"/>
          <w:szCs w:val="20"/>
          <w:color w:val="auto"/>
        </w:rPr>
      </w:pPr>
    </w:p>
    <w:p>
      <w:pPr>
        <w:sectPr>
          <w:pgSz w:w="11900" w:h="16838" w:orient="portrait"/>
          <w:cols w:equalWidth="0" w:num="2">
            <w:col w:w="820" w:space="560"/>
            <w:col w:w="9920"/>
          </w:cols>
          <w:pgMar w:left="240" w:top="459" w:right="359" w:bottom="1440" w:gutter="0" w:footer="0" w:header="0"/>
          <w:type w:val="continuous"/>
        </w:sectPr>
      </w:pPr>
    </w:p>
    <w:p>
      <w:pPr>
        <w:spacing w:after="0"/>
        <w:rPr>
          <w:sz w:val="20"/>
          <w:szCs w:val="20"/>
          <w:color w:val="auto"/>
        </w:rPr>
      </w:pPr>
      <w:r>
        <w:rPr>
          <w:rFonts w:ascii="Arial" w:cs="Arial" w:eastAsia="Arial" w:hAnsi="Arial"/>
          <w:sz w:val="16"/>
          <w:szCs w:val="16"/>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Labels Linkbase Document</w:t>
      </w:r>
    </w:p>
    <w:p>
      <w:pPr>
        <w:spacing w:after="0" w:line="140" w:lineRule="exact"/>
        <w:rPr>
          <w:sz w:val="20"/>
          <w:szCs w:val="20"/>
          <w:color w:val="auto"/>
        </w:rPr>
      </w:pPr>
    </w:p>
    <w:p>
      <w:pPr>
        <w:sectPr>
          <w:pgSz w:w="11900" w:h="16838" w:orient="portrait"/>
          <w:cols w:equalWidth="0" w:num="2">
            <w:col w:w="840" w:space="540"/>
            <w:col w:w="9920"/>
          </w:cols>
          <w:pgMar w:left="240" w:top="459" w:right="359" w:bottom="1440" w:gutter="0" w:footer="0" w:header="0"/>
          <w:type w:val="continuous"/>
        </w:sectPr>
      </w:pPr>
    </w:p>
    <w:p>
      <w:pPr>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181" w:lineRule="exact"/>
        <w:rPr>
          <w:sz w:val="20"/>
          <w:szCs w:val="20"/>
          <w:color w:val="auto"/>
        </w:rPr>
      </w:pPr>
    </w:p>
    <w:p>
      <w:pPr>
        <w:sectPr>
          <w:pgSz w:w="11900" w:h="16838" w:orient="portrait"/>
          <w:cols w:equalWidth="0" w:num="2">
            <w:col w:w="820" w:space="560"/>
            <w:col w:w="9920"/>
          </w:cols>
          <w:pgMar w:left="240" w:top="459" w:right="359" w:bottom="1440" w:gutter="0" w:footer="0" w:header="0"/>
          <w:type w:val="continuous"/>
        </w:sectPr>
      </w:pPr>
    </w:p>
    <w:p>
      <w:pPr>
        <w:spacing w:after="0"/>
        <w:rPr>
          <w:sz w:val="20"/>
          <w:szCs w:val="20"/>
          <w:color w:val="auto"/>
        </w:rPr>
      </w:pPr>
      <w:r>
        <w:rPr>
          <w:rFonts w:ascii="Arial" w:cs="Arial" w:eastAsia="Arial" w:hAnsi="Arial"/>
          <w:sz w:val="18"/>
          <w:szCs w:val="18"/>
          <w:color w:val="auto"/>
        </w:rPr>
        <w:t>*  Filed herewith</w:t>
      </w:r>
    </w:p>
    <w:p>
      <w:pPr>
        <w:spacing w:after="0" w:line="15" w:lineRule="exact"/>
        <w:rPr>
          <w:sz w:val="20"/>
          <w:szCs w:val="20"/>
          <w:color w:val="auto"/>
        </w:rPr>
      </w:pPr>
    </w:p>
    <w:p>
      <w:pPr>
        <w:ind w:left="220" w:hanging="212"/>
        <w:spacing w:after="0" w:line="295" w:lineRule="auto"/>
        <w:tabs>
          <w:tab w:leader="none" w:pos="2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financial information of Integra LifeSciences Holdings Corporation Quarterly Report on Form 10-Q for the quarter ended June 30, 2011 filed on July 29, 2011 formatted in XBRL (Extensible Business Reporting Language): (i) the Condensed Consolidated Statements of Operations, (ii) the Condensed Consolidated Balance Sheets, (iii) Parenthetical Data to the Condensed Consolidated Balance Sheets, (iv) the Condensed Consolidated Statements of Cash Flows, and (v) Notes to Condensed Consolidated Financial Statements, is furnished electronically herewith.</w:t>
      </w: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00"/>
          </w:cols>
          <w:pgMar w:left="240" w:top="459" w:right="359" w:bottom="1440" w:gutter="0" w:footer="0" w:header="0"/>
          <w:type w:val="continuous"/>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4.3</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143510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169545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Published CUSIP Number: 45810CAA6</w:t>
      </w:r>
    </w:p>
    <w:p>
      <w:pPr>
        <w:spacing w:after="0" w:line="165"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SECOND AMENDED AND RESTATED CREDIT AGREEMENT</w:t>
      </w:r>
    </w:p>
    <w:p>
      <w:pPr>
        <w:spacing w:after="0" w:line="177"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Dated as of June 8, 2011</w:t>
      </w:r>
    </w:p>
    <w:p>
      <w:pPr>
        <w:spacing w:after="0" w:line="17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among</w:t>
      </w:r>
    </w:p>
    <w:p>
      <w:pPr>
        <w:spacing w:after="0" w:line="165"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 Delaware corporation,</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the Borrower,</w:t>
      </w:r>
    </w:p>
    <w:p>
      <w:pPr>
        <w:spacing w:after="0" w:line="15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BANK OF AMERICA, N.A.,</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Administrative Agent, Swing Line Lender</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 L/C Issuer,</w:t>
      </w:r>
    </w:p>
    <w:p>
      <w:pPr>
        <w:spacing w:after="0" w:line="16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JPMORGAN CHASE BANK, N.A.</w:t>
      </w:r>
    </w:p>
    <w:p>
      <w:pPr>
        <w:spacing w:after="0" w:line="21"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as Syndication Agent,</w:t>
      </w:r>
    </w:p>
    <w:p>
      <w:pPr>
        <w:spacing w:after="0" w:line="16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HSBC BANK USA, NA, ROYAL BANK OF CANADA, WELLS FARGO BANK, N.A.,</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FIFTH THIRD BANK</w:t>
      </w:r>
      <w:r>
        <w:rPr>
          <w:rFonts w:ascii="Arial" w:cs="Arial" w:eastAsia="Arial" w:hAnsi="Arial"/>
          <w:sz w:val="18"/>
          <w:szCs w:val="18"/>
          <w:color w:val="auto"/>
        </w:rPr>
        <w:t>,</w:t>
      </w:r>
      <w:r>
        <w:rPr>
          <w:rFonts w:ascii="Arial" w:cs="Arial" w:eastAsia="Arial" w:hAnsi="Arial"/>
          <w:sz w:val="18"/>
          <w:szCs w:val="18"/>
          <w:b w:val="1"/>
          <w:bCs w:val="1"/>
          <w:color w:val="auto"/>
        </w:rPr>
        <w:t xml:space="preserve"> DNB NOR BANK ASA </w:t>
      </w:r>
      <w:r>
        <w:rPr>
          <w:rFonts w:ascii="Arial" w:cs="Arial" w:eastAsia="Arial" w:hAnsi="Arial"/>
          <w:sz w:val="18"/>
          <w:szCs w:val="18"/>
          <w:color w:val="auto"/>
        </w:rPr>
        <w:t>and</w:t>
      </w:r>
      <w:r>
        <w:rPr>
          <w:rFonts w:ascii="Arial" w:cs="Arial" w:eastAsia="Arial" w:hAnsi="Arial"/>
          <w:sz w:val="18"/>
          <w:szCs w:val="18"/>
          <w:b w:val="1"/>
          <w:bCs w:val="1"/>
          <w:color w:val="auto"/>
        </w:rPr>
        <w:t xml:space="preserve"> TD BANK, N.A.</w:t>
      </w:r>
      <w:r>
        <w:rPr>
          <w:rFonts w:ascii="Arial" w:cs="Arial" w:eastAsia="Arial" w:hAnsi="Arial"/>
          <w:sz w:val="18"/>
          <w:szCs w:val="18"/>
          <w:color w:val="auto"/>
        </w:rPr>
        <w:t>,</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Co-Documentation Agents,</w:t>
      </w:r>
    </w:p>
    <w:p>
      <w:pPr>
        <w:spacing w:after="0" w:line="16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THE OTHER LENDERS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143510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MERRILL LYNCH, PIERCE, FENNER &amp; SMITH INCORPORATED</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J.P. MORGAN SECURITIES LLC,</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Joint Lead Arrangers and Joint Book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161290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20" w:type="dxa"/>
            <w:vAlign w:val="bottom"/>
          </w:tcPr>
          <w:p>
            <w:pPr>
              <w:ind w:left="416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Section</w:t>
            </w:r>
          </w:p>
        </w:tc>
        <w:tc>
          <w:tcPr>
            <w:tcW w:w="60" w:type="dxa"/>
            <w:vAlign w:val="bottom"/>
          </w:tcPr>
          <w:p>
            <w:pPr>
              <w:spacing w:after="0"/>
              <w:rPr>
                <w:sz w:val="24"/>
                <w:szCs w:val="24"/>
                <w:color w:val="auto"/>
              </w:rPr>
            </w:pPr>
          </w:p>
        </w:tc>
        <w:tc>
          <w:tcPr>
            <w:tcW w:w="104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20" w:type="dxa"/>
            <w:vAlign w:val="bottom"/>
            <w:vMerge w:val="restart"/>
          </w:tcPr>
          <w:p>
            <w:pPr>
              <w:jc w:val="center"/>
              <w:ind w:right="632"/>
              <w:spacing w:after="0"/>
              <w:rPr>
                <w:sz w:val="20"/>
                <w:szCs w:val="20"/>
                <w:color w:val="auto"/>
              </w:rPr>
            </w:pPr>
            <w:r>
              <w:rPr>
                <w:rFonts w:ascii="Arial" w:cs="Arial" w:eastAsia="Arial" w:hAnsi="Arial"/>
                <w:sz w:val="18"/>
                <w:szCs w:val="18"/>
                <w:color w:val="auto"/>
                <w:w w:val="95"/>
              </w:rPr>
              <w:t>ARTICLE I</w:t>
            </w: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20" w:type="dxa"/>
            <w:vAlign w:val="bottom"/>
          </w:tcPr>
          <w:p>
            <w:pPr>
              <w:jc w:val="center"/>
              <w:ind w:right="632"/>
              <w:spacing w:after="0"/>
              <w:rPr>
                <w:sz w:val="20"/>
                <w:szCs w:val="20"/>
                <w:color w:val="auto"/>
              </w:rPr>
            </w:pPr>
            <w:r>
              <w:rPr>
                <w:rFonts w:ascii="Arial" w:cs="Arial" w:eastAsia="Arial" w:hAnsi="Arial"/>
                <w:sz w:val="18"/>
                <w:szCs w:val="18"/>
                <w:color w:val="auto"/>
                <w:w w:val="95"/>
              </w:rPr>
              <w:t>DEFINITIONS AND ACCOUNTING TERMS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8"/>
                <w:szCs w:val="18"/>
                <w:color w:val="auto"/>
              </w:rPr>
              <w:t>Defined Terms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8"/>
                <w:szCs w:val="18"/>
                <w:color w:val="auto"/>
              </w:rPr>
              <w:t>Other Interpretive Provisions</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8"/>
                <w:szCs w:val="18"/>
                <w:color w:val="auto"/>
              </w:rPr>
              <w:t>Accounting Terms</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8"/>
                <w:szCs w:val="18"/>
                <w:color w:val="auto"/>
              </w:rPr>
              <w:t>Rounding</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8"/>
                <w:szCs w:val="18"/>
                <w:color w:val="auto"/>
              </w:rPr>
              <w:t>Times of Day</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8"/>
                <w:szCs w:val="18"/>
                <w:color w:val="auto"/>
              </w:rPr>
              <w:t>Letter of Credit Amounts</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1.07</w:t>
            </w:r>
          </w:p>
        </w:tc>
        <w:tc>
          <w:tcPr>
            <w:tcW w:w="6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8"/>
                <w:szCs w:val="18"/>
                <w:color w:val="auto"/>
              </w:rPr>
              <w:t>Amendment and Restatement</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20" w:type="dxa"/>
            <w:vAlign w:val="bottom"/>
          </w:tcPr>
          <w:p>
            <w:pPr>
              <w:jc w:val="center"/>
              <w:ind w:right="632"/>
              <w:spacing w:after="0"/>
              <w:rPr>
                <w:sz w:val="20"/>
                <w:szCs w:val="20"/>
                <w:color w:val="auto"/>
              </w:rPr>
            </w:pPr>
            <w:r>
              <w:rPr>
                <w:rFonts w:ascii="Arial" w:cs="Arial" w:eastAsia="Arial" w:hAnsi="Arial"/>
                <w:sz w:val="18"/>
                <w:szCs w:val="18"/>
                <w:color w:val="auto"/>
                <w:w w:val="98"/>
              </w:rPr>
              <w:t>ARTICLE 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20" w:type="dxa"/>
            <w:vAlign w:val="bottom"/>
          </w:tcPr>
          <w:p>
            <w:pPr>
              <w:jc w:val="center"/>
              <w:ind w:right="632"/>
              <w:spacing w:after="0"/>
              <w:rPr>
                <w:sz w:val="20"/>
                <w:szCs w:val="20"/>
                <w:color w:val="auto"/>
              </w:rPr>
            </w:pPr>
            <w:r>
              <w:rPr>
                <w:rFonts w:ascii="Arial" w:cs="Arial" w:eastAsia="Arial" w:hAnsi="Arial"/>
                <w:sz w:val="18"/>
                <w:szCs w:val="18"/>
                <w:color w:val="auto"/>
                <w:w w:val="95"/>
              </w:rPr>
              <w:t>COMMITMENTS AND CREDIT EXTENSIONS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2.01</w:t>
            </w:r>
          </w:p>
        </w:tc>
        <w:tc>
          <w:tcPr>
            <w:tcW w:w="6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8"/>
                <w:szCs w:val="18"/>
                <w:color w:val="auto"/>
              </w:rPr>
              <w:t>Loans</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2.02</w:t>
            </w:r>
          </w:p>
        </w:tc>
        <w:tc>
          <w:tcPr>
            <w:tcW w:w="6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8"/>
                <w:szCs w:val="18"/>
                <w:color w:val="auto"/>
              </w:rPr>
              <w:t>Borrowings, Conversions and Continuations of Loans</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2.03</w:t>
            </w:r>
          </w:p>
        </w:tc>
        <w:tc>
          <w:tcPr>
            <w:tcW w:w="6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8"/>
                <w:szCs w:val="18"/>
                <w:color w:val="auto"/>
              </w:rPr>
              <w:t>Letters of Credit</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2.04</w:t>
            </w:r>
          </w:p>
        </w:tc>
        <w:tc>
          <w:tcPr>
            <w:tcW w:w="6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8"/>
                <w:szCs w:val="18"/>
                <w:color w:val="auto"/>
              </w:rPr>
              <w:t>Swing Line Loans</w:t>
            </w: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2.05</w:t>
            </w:r>
          </w:p>
        </w:tc>
        <w:tc>
          <w:tcPr>
            <w:tcW w:w="6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8"/>
                <w:szCs w:val="18"/>
                <w:color w:val="auto"/>
              </w:rPr>
              <w:t>Prepayments</w:t>
            </w: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2.06</w:t>
            </w:r>
          </w:p>
        </w:tc>
        <w:tc>
          <w:tcPr>
            <w:tcW w:w="6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8"/>
                <w:szCs w:val="18"/>
                <w:color w:val="auto"/>
              </w:rPr>
              <w:t>Termination or Reduction of Commitments</w:t>
            </w: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2.07</w:t>
            </w:r>
          </w:p>
        </w:tc>
        <w:tc>
          <w:tcPr>
            <w:tcW w:w="6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8"/>
                <w:szCs w:val="18"/>
                <w:color w:val="auto"/>
              </w:rPr>
              <w:t>Repayment of Loans</w:t>
            </w:r>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2.08</w:t>
            </w:r>
          </w:p>
        </w:tc>
        <w:tc>
          <w:tcPr>
            <w:tcW w:w="6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8"/>
                <w:szCs w:val="18"/>
                <w:color w:val="auto"/>
              </w:rPr>
              <w:t>Interest</w:t>
            </w:r>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2.09</w:t>
            </w:r>
          </w:p>
        </w:tc>
        <w:tc>
          <w:tcPr>
            <w:tcW w:w="6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8"/>
                <w:szCs w:val="18"/>
                <w:color w:val="auto"/>
              </w:rPr>
              <w:t>Fees</w:t>
            </w:r>
          </w:p>
        </w:tc>
        <w:tc>
          <w:tcPr>
            <w:tcW w:w="2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2.10</w:t>
            </w:r>
          </w:p>
        </w:tc>
        <w:tc>
          <w:tcPr>
            <w:tcW w:w="6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8"/>
                <w:szCs w:val="18"/>
                <w:color w:val="auto"/>
              </w:rPr>
              <w:t>Computation of Interest and Fees; Retroactive Adjustments of Applicable Rate</w:t>
            </w:r>
          </w:p>
        </w:tc>
        <w:tc>
          <w:tcPr>
            <w:tcW w:w="2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2.11</w:t>
            </w:r>
          </w:p>
        </w:tc>
        <w:tc>
          <w:tcPr>
            <w:tcW w:w="6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8"/>
                <w:szCs w:val="18"/>
                <w:color w:val="auto"/>
              </w:rPr>
              <w:t>Evidence of Debt</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2.12</w:t>
            </w:r>
          </w:p>
        </w:tc>
        <w:tc>
          <w:tcPr>
            <w:tcW w:w="6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8"/>
                <w:szCs w:val="18"/>
                <w:color w:val="auto"/>
              </w:rPr>
              <w:t>Payments Generally; Administrative Agent’s Clawback</w:t>
            </w: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2.13</w:t>
            </w:r>
          </w:p>
        </w:tc>
        <w:tc>
          <w:tcPr>
            <w:tcW w:w="6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8"/>
                <w:szCs w:val="18"/>
                <w:color w:val="auto"/>
              </w:rPr>
              <w:t>Sharing of Payments by Lenders</w:t>
            </w: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2.14</w:t>
            </w:r>
          </w:p>
        </w:tc>
        <w:tc>
          <w:tcPr>
            <w:tcW w:w="6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8"/>
                <w:szCs w:val="18"/>
                <w:color w:val="auto"/>
              </w:rPr>
              <w:t>Cash Collateral</w:t>
            </w:r>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2.15</w:t>
            </w:r>
          </w:p>
        </w:tc>
        <w:tc>
          <w:tcPr>
            <w:tcW w:w="6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8"/>
                <w:szCs w:val="18"/>
                <w:color w:val="auto"/>
              </w:rPr>
              <w:t>Defaulting Lenders</w:t>
            </w:r>
          </w:p>
        </w:tc>
        <w:tc>
          <w:tcPr>
            <w:tcW w:w="28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2.16</w:t>
            </w:r>
          </w:p>
        </w:tc>
        <w:tc>
          <w:tcPr>
            <w:tcW w:w="6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8"/>
                <w:szCs w:val="18"/>
                <w:color w:val="auto"/>
              </w:rPr>
              <w:t>Increase in Commitments</w:t>
            </w:r>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20" w:type="dxa"/>
            <w:vAlign w:val="bottom"/>
          </w:tcPr>
          <w:p>
            <w:pPr>
              <w:jc w:val="center"/>
              <w:ind w:right="632"/>
              <w:spacing w:after="0"/>
              <w:rPr>
                <w:sz w:val="20"/>
                <w:szCs w:val="20"/>
                <w:color w:val="auto"/>
              </w:rPr>
            </w:pPr>
            <w:r>
              <w:rPr>
                <w:rFonts w:ascii="Arial" w:cs="Arial" w:eastAsia="Arial" w:hAnsi="Arial"/>
                <w:sz w:val="18"/>
                <w:szCs w:val="18"/>
                <w:color w:val="auto"/>
                <w:w w:val="97"/>
              </w:rPr>
              <w:t>ARTICLE III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20" w:type="dxa"/>
            <w:vAlign w:val="bottom"/>
          </w:tcPr>
          <w:p>
            <w:pPr>
              <w:jc w:val="center"/>
              <w:ind w:right="632"/>
              <w:spacing w:after="0"/>
              <w:rPr>
                <w:sz w:val="20"/>
                <w:szCs w:val="20"/>
                <w:color w:val="auto"/>
              </w:rPr>
            </w:pPr>
            <w:r>
              <w:rPr>
                <w:rFonts w:ascii="Arial" w:cs="Arial" w:eastAsia="Arial" w:hAnsi="Arial"/>
                <w:sz w:val="18"/>
                <w:szCs w:val="18"/>
                <w:color w:val="auto"/>
                <w:w w:val="97"/>
              </w:rPr>
              <w:t>TAXES, YIELD PROTECTION AND ILLEGALITY</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3.01</w:t>
            </w:r>
          </w:p>
        </w:tc>
        <w:tc>
          <w:tcPr>
            <w:tcW w:w="6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8"/>
                <w:szCs w:val="18"/>
                <w:color w:val="auto"/>
              </w:rPr>
              <w:t>Taxes</w:t>
            </w: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3.02</w:t>
            </w:r>
          </w:p>
        </w:tc>
        <w:tc>
          <w:tcPr>
            <w:tcW w:w="6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8"/>
                <w:szCs w:val="18"/>
                <w:color w:val="auto"/>
              </w:rPr>
              <w:t>Illegality</w:t>
            </w:r>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3.03</w:t>
            </w:r>
          </w:p>
        </w:tc>
        <w:tc>
          <w:tcPr>
            <w:tcW w:w="6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8"/>
                <w:szCs w:val="18"/>
                <w:color w:val="auto"/>
              </w:rPr>
              <w:t>Inability to Determine Rates</w:t>
            </w:r>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20" w:type="dxa"/>
            <w:vAlign w:val="bottom"/>
          </w:tcPr>
          <w:p>
            <w:pPr>
              <w:ind w:left="506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9" w:name="page40"/>
    <w:bookmarkEnd w:id="39"/>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20" w:type="dxa"/>
            <w:vAlign w:val="bottom"/>
          </w:tcPr>
          <w:p>
            <w:pPr>
              <w:ind w:left="416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r>
      <w:tr>
        <w:trPr>
          <w:trHeight w:val="380"/>
        </w:trPr>
        <w:tc>
          <w:tcPr>
            <w:tcW w:w="20" w:type="dxa"/>
            <w:vAlign w:val="bottom"/>
          </w:tcPr>
          <w:p>
            <w:pPr>
              <w:spacing w:after="0"/>
              <w:rPr>
                <w:sz w:val="24"/>
                <w:szCs w:val="2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Section</w:t>
            </w:r>
          </w:p>
        </w:tc>
        <w:tc>
          <w:tcPr>
            <w:tcW w:w="60" w:type="dxa"/>
            <w:vAlign w:val="bottom"/>
          </w:tcPr>
          <w:p>
            <w:pPr>
              <w:spacing w:after="0"/>
              <w:rPr>
                <w:sz w:val="24"/>
                <w:szCs w:val="24"/>
                <w:color w:val="auto"/>
              </w:rPr>
            </w:pPr>
          </w:p>
        </w:tc>
        <w:tc>
          <w:tcPr>
            <w:tcW w:w="104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21"/>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r>
        <w:trPr>
          <w:trHeight w:val="302"/>
        </w:trPr>
        <w:tc>
          <w:tcPr>
            <w:tcW w:w="560" w:type="dxa"/>
            <w:vAlign w:val="bottom"/>
            <w:gridSpan w:val="2"/>
          </w:tcPr>
          <w:p>
            <w:pPr>
              <w:spacing w:after="0"/>
              <w:rPr>
                <w:sz w:val="20"/>
                <w:szCs w:val="20"/>
                <w:color w:val="auto"/>
              </w:rPr>
            </w:pPr>
            <w:r>
              <w:rPr>
                <w:rFonts w:ascii="Arial" w:cs="Arial" w:eastAsia="Arial" w:hAnsi="Arial"/>
                <w:sz w:val="18"/>
                <w:szCs w:val="18"/>
                <w:color w:val="auto"/>
              </w:rPr>
              <w:t>3.04</w:t>
            </w:r>
          </w:p>
        </w:tc>
        <w:tc>
          <w:tcPr>
            <w:tcW w:w="6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8"/>
                <w:szCs w:val="18"/>
                <w:color w:val="auto"/>
              </w:rPr>
              <w:t>Increased Costs; Reserves on Eurodollar Rate Loans</w:t>
            </w:r>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3.05</w:t>
            </w:r>
          </w:p>
        </w:tc>
        <w:tc>
          <w:tcPr>
            <w:tcW w:w="6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8"/>
                <w:szCs w:val="18"/>
                <w:color w:val="auto"/>
              </w:rPr>
              <w:t>Compensation for Losses</w:t>
            </w:r>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3.06</w:t>
            </w:r>
          </w:p>
        </w:tc>
        <w:tc>
          <w:tcPr>
            <w:tcW w:w="6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8"/>
                <w:szCs w:val="18"/>
                <w:color w:val="auto"/>
              </w:rPr>
              <w:t>Mitigation Obligations; Replacement of Lenders</w:t>
            </w:r>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3.07</w:t>
            </w:r>
          </w:p>
        </w:tc>
        <w:tc>
          <w:tcPr>
            <w:tcW w:w="6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8"/>
                <w:szCs w:val="18"/>
                <w:color w:val="auto"/>
              </w:rPr>
              <w:t>Survival</w:t>
            </w:r>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426"/>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20" w:type="dxa"/>
            <w:vAlign w:val="bottom"/>
          </w:tcPr>
          <w:p>
            <w:pPr>
              <w:jc w:val="center"/>
              <w:ind w:right="612"/>
              <w:spacing w:after="0"/>
              <w:rPr>
                <w:sz w:val="20"/>
                <w:szCs w:val="20"/>
                <w:color w:val="auto"/>
              </w:rPr>
            </w:pPr>
            <w:r>
              <w:rPr>
                <w:rFonts w:ascii="Arial" w:cs="Arial" w:eastAsia="Arial" w:hAnsi="Arial"/>
                <w:sz w:val="18"/>
                <w:szCs w:val="18"/>
                <w:color w:val="auto"/>
                <w:w w:val="97"/>
              </w:rPr>
              <w:t>ARTICLE IV</w:t>
            </w:r>
          </w:p>
        </w:tc>
        <w:tc>
          <w:tcPr>
            <w:tcW w:w="28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20" w:type="dxa"/>
            <w:vAlign w:val="bottom"/>
          </w:tcPr>
          <w:p>
            <w:pPr>
              <w:jc w:val="center"/>
              <w:ind w:right="632"/>
              <w:spacing w:after="0"/>
              <w:rPr>
                <w:sz w:val="20"/>
                <w:szCs w:val="20"/>
                <w:color w:val="auto"/>
              </w:rPr>
            </w:pPr>
            <w:r>
              <w:rPr>
                <w:rFonts w:ascii="Arial" w:cs="Arial" w:eastAsia="Arial" w:hAnsi="Arial"/>
                <w:sz w:val="18"/>
                <w:szCs w:val="18"/>
                <w:color w:val="auto"/>
                <w:w w:val="93"/>
              </w:rPr>
              <w:t>CONDITIONS PRECEDENT TO CREDIT EXTENSIONS</w:t>
            </w:r>
          </w:p>
        </w:tc>
        <w:tc>
          <w:tcPr>
            <w:tcW w:w="280" w:type="dxa"/>
            <w:vAlign w:val="bottom"/>
          </w:tcPr>
          <w:p>
            <w:pPr>
              <w:spacing w:after="0"/>
              <w:rPr>
                <w:sz w:val="19"/>
                <w:szCs w:val="19"/>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4.01</w:t>
            </w:r>
          </w:p>
        </w:tc>
        <w:tc>
          <w:tcPr>
            <w:tcW w:w="6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8"/>
                <w:szCs w:val="18"/>
                <w:color w:val="auto"/>
              </w:rPr>
              <w:t>Conditions to 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4.02</w:t>
            </w:r>
          </w:p>
        </w:tc>
        <w:tc>
          <w:tcPr>
            <w:tcW w:w="6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8"/>
                <w:szCs w:val="18"/>
                <w:color w:val="auto"/>
              </w:rPr>
              <w:t>Conditions to all Credit Extensions</w:t>
            </w:r>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426"/>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20" w:type="dxa"/>
            <w:vAlign w:val="bottom"/>
          </w:tcPr>
          <w:p>
            <w:pPr>
              <w:jc w:val="center"/>
              <w:ind w:right="632"/>
              <w:spacing w:after="0"/>
              <w:rPr>
                <w:sz w:val="20"/>
                <w:szCs w:val="20"/>
                <w:color w:val="auto"/>
              </w:rPr>
            </w:pPr>
            <w:r>
              <w:rPr>
                <w:rFonts w:ascii="Arial" w:cs="Arial" w:eastAsia="Arial" w:hAnsi="Arial"/>
                <w:sz w:val="18"/>
                <w:szCs w:val="18"/>
                <w:color w:val="auto"/>
                <w:w w:val="96"/>
              </w:rPr>
              <w:t>ARTICLE V</w:t>
            </w:r>
          </w:p>
        </w:tc>
        <w:tc>
          <w:tcPr>
            <w:tcW w:w="28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20" w:type="dxa"/>
            <w:vAlign w:val="bottom"/>
          </w:tcPr>
          <w:p>
            <w:pPr>
              <w:jc w:val="center"/>
              <w:ind w:right="632"/>
              <w:spacing w:after="0"/>
              <w:rPr>
                <w:sz w:val="20"/>
                <w:szCs w:val="20"/>
                <w:color w:val="auto"/>
              </w:rPr>
            </w:pPr>
            <w:r>
              <w:rPr>
                <w:rFonts w:ascii="Arial" w:cs="Arial" w:eastAsia="Arial" w:hAnsi="Arial"/>
                <w:sz w:val="18"/>
                <w:szCs w:val="18"/>
                <w:color w:val="auto"/>
                <w:w w:val="92"/>
              </w:rPr>
              <w:t>REPRESENTATIONS AND WARRANTIES</w:t>
            </w:r>
          </w:p>
        </w:tc>
        <w:tc>
          <w:tcPr>
            <w:tcW w:w="280" w:type="dxa"/>
            <w:vAlign w:val="bottom"/>
          </w:tcPr>
          <w:p>
            <w:pPr>
              <w:spacing w:after="0"/>
              <w:rPr>
                <w:sz w:val="19"/>
                <w:szCs w:val="19"/>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5.01</w:t>
            </w:r>
          </w:p>
        </w:tc>
        <w:tc>
          <w:tcPr>
            <w:tcW w:w="6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8"/>
                <w:szCs w:val="18"/>
                <w:color w:val="auto"/>
              </w:rPr>
              <w:t>Existence, Qualification and Power</w:t>
            </w:r>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5.02</w:t>
            </w:r>
          </w:p>
        </w:tc>
        <w:tc>
          <w:tcPr>
            <w:tcW w:w="6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8"/>
                <w:szCs w:val="18"/>
                <w:color w:val="auto"/>
              </w:rPr>
              <w:t>Authorization; No Contravention</w:t>
            </w:r>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5.03</w:t>
            </w:r>
          </w:p>
        </w:tc>
        <w:tc>
          <w:tcPr>
            <w:tcW w:w="6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8"/>
                <w:szCs w:val="18"/>
                <w:color w:val="auto"/>
              </w:rPr>
              <w:t>Governmental Authorization; Other Consents</w:t>
            </w:r>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5.04</w:t>
            </w:r>
          </w:p>
        </w:tc>
        <w:tc>
          <w:tcPr>
            <w:tcW w:w="6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8"/>
                <w:szCs w:val="18"/>
                <w:color w:val="auto"/>
              </w:rPr>
              <w:t>Binding Effect</w:t>
            </w:r>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5.05</w:t>
            </w:r>
          </w:p>
        </w:tc>
        <w:tc>
          <w:tcPr>
            <w:tcW w:w="6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8"/>
                <w:szCs w:val="18"/>
                <w:color w:val="auto"/>
              </w:rPr>
              <w:t>Financial Statements; No Material Adverse Effect; No Internal Control Event</w:t>
            </w:r>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5.06</w:t>
            </w:r>
          </w:p>
        </w:tc>
        <w:tc>
          <w:tcPr>
            <w:tcW w:w="6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8"/>
                <w:szCs w:val="18"/>
                <w:color w:val="auto"/>
              </w:rPr>
              <w:t>Litigation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5.07</w:t>
            </w:r>
          </w:p>
        </w:tc>
        <w:tc>
          <w:tcPr>
            <w:tcW w:w="6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8"/>
                <w:szCs w:val="18"/>
                <w:color w:val="auto"/>
              </w:rPr>
              <w:t>No Default</w:t>
            </w:r>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5.08</w:t>
            </w:r>
          </w:p>
        </w:tc>
        <w:tc>
          <w:tcPr>
            <w:tcW w:w="6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8"/>
                <w:szCs w:val="18"/>
                <w:color w:val="auto"/>
              </w:rPr>
              <w:t>Subsidiaries and Equity Investments</w:t>
            </w:r>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5.09</w:t>
            </w:r>
          </w:p>
        </w:tc>
        <w:tc>
          <w:tcPr>
            <w:tcW w:w="6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8"/>
                <w:szCs w:val="18"/>
                <w:color w:val="auto"/>
              </w:rPr>
              <w:t>Ownership</w:t>
            </w:r>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5.10</w:t>
            </w:r>
          </w:p>
        </w:tc>
        <w:tc>
          <w:tcPr>
            <w:tcW w:w="6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8"/>
                <w:szCs w:val="18"/>
                <w:color w:val="auto"/>
              </w:rPr>
              <w:t>Ownership of Personal Property; Liens</w:t>
            </w:r>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5.11</w:t>
            </w:r>
          </w:p>
        </w:tc>
        <w:tc>
          <w:tcPr>
            <w:tcW w:w="6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8"/>
                <w:szCs w:val="18"/>
                <w:color w:val="auto"/>
              </w:rPr>
              <w:t>Intellectual Property; Licenses; Etc</w:t>
            </w:r>
          </w:p>
        </w:tc>
        <w:tc>
          <w:tcPr>
            <w:tcW w:w="2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5.12</w:t>
            </w:r>
          </w:p>
        </w:tc>
        <w:tc>
          <w:tcPr>
            <w:tcW w:w="6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8"/>
                <w:szCs w:val="18"/>
                <w:color w:val="auto"/>
              </w:rPr>
              <w:t>Real Estate; Lease</w:t>
            </w:r>
          </w:p>
        </w:tc>
        <w:tc>
          <w:tcPr>
            <w:tcW w:w="2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5.13</w:t>
            </w:r>
          </w:p>
        </w:tc>
        <w:tc>
          <w:tcPr>
            <w:tcW w:w="6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8"/>
                <w:szCs w:val="18"/>
                <w:color w:val="auto"/>
              </w:rPr>
              <w:t>Environmental Matters</w:t>
            </w:r>
          </w:p>
        </w:tc>
        <w:tc>
          <w:tcPr>
            <w:tcW w:w="2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5.14</w:t>
            </w:r>
          </w:p>
        </w:tc>
        <w:tc>
          <w:tcPr>
            <w:tcW w:w="6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8"/>
                <w:szCs w:val="18"/>
                <w:color w:val="auto"/>
              </w:rPr>
              <w:t>Security Documents</w:t>
            </w:r>
          </w:p>
        </w:tc>
        <w:tc>
          <w:tcPr>
            <w:tcW w:w="2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5.15</w:t>
            </w:r>
          </w:p>
        </w:tc>
        <w:tc>
          <w:tcPr>
            <w:tcW w:w="6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8"/>
                <w:szCs w:val="18"/>
                <w:color w:val="auto"/>
              </w:rPr>
              <w:t>Insurance</w:t>
            </w:r>
          </w:p>
        </w:tc>
        <w:tc>
          <w:tcPr>
            <w:tcW w:w="2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5.16</w:t>
            </w:r>
          </w:p>
        </w:tc>
        <w:tc>
          <w:tcPr>
            <w:tcW w:w="6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8"/>
                <w:szCs w:val="18"/>
                <w:color w:val="auto"/>
              </w:rPr>
              <w:t>Transactions with Affiliates</w:t>
            </w:r>
          </w:p>
        </w:tc>
        <w:tc>
          <w:tcPr>
            <w:tcW w:w="2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5.17</w:t>
            </w:r>
          </w:p>
        </w:tc>
        <w:tc>
          <w:tcPr>
            <w:tcW w:w="6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8"/>
                <w:szCs w:val="18"/>
                <w:color w:val="auto"/>
              </w:rPr>
              <w:t>Taxes</w:t>
            </w:r>
          </w:p>
        </w:tc>
        <w:tc>
          <w:tcPr>
            <w:tcW w:w="2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5.18</w:t>
            </w:r>
          </w:p>
        </w:tc>
        <w:tc>
          <w:tcPr>
            <w:tcW w:w="6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8"/>
                <w:szCs w:val="18"/>
                <w:color w:val="auto"/>
              </w:rPr>
              <w:t>ERISA Compliance</w:t>
            </w:r>
          </w:p>
        </w:tc>
        <w:tc>
          <w:tcPr>
            <w:tcW w:w="2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5.19</w:t>
            </w:r>
          </w:p>
        </w:tc>
        <w:tc>
          <w:tcPr>
            <w:tcW w:w="6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8"/>
                <w:szCs w:val="18"/>
                <w:color w:val="auto"/>
              </w:rPr>
              <w:t>Purpose of Loans and Letters of Credit</w:t>
            </w:r>
          </w:p>
        </w:tc>
        <w:tc>
          <w:tcPr>
            <w:tcW w:w="2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5.20</w:t>
            </w:r>
          </w:p>
        </w:tc>
        <w:tc>
          <w:tcPr>
            <w:tcW w:w="6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8"/>
                <w:szCs w:val="18"/>
                <w:color w:val="auto"/>
              </w:rPr>
              <w:t>Margin Regulations; Investment Company Act; Public Utility Holding Company Act</w:t>
            </w:r>
          </w:p>
        </w:tc>
        <w:tc>
          <w:tcPr>
            <w:tcW w:w="2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5.21</w:t>
            </w:r>
          </w:p>
        </w:tc>
        <w:tc>
          <w:tcPr>
            <w:tcW w:w="60" w:type="dxa"/>
            <w:vAlign w:val="bottom"/>
          </w:tcPr>
          <w:p>
            <w:pPr>
              <w:spacing w:after="0"/>
              <w:rPr>
                <w:sz w:val="24"/>
                <w:szCs w:val="24"/>
                <w:color w:val="auto"/>
              </w:rPr>
            </w:pPr>
          </w:p>
        </w:tc>
        <w:tc>
          <w:tcPr>
            <w:tcW w:w="10420" w:type="dxa"/>
            <w:vAlign w:val="bottom"/>
          </w:tcPr>
          <w:p>
            <w:pPr>
              <w:ind w:left="40"/>
              <w:spacing w:after="0"/>
              <w:rPr>
                <w:sz w:val="20"/>
                <w:szCs w:val="20"/>
                <w:color w:val="auto"/>
              </w:rPr>
            </w:pPr>
            <w:r>
              <w:rPr>
                <w:rFonts w:ascii="Arial" w:cs="Arial" w:eastAsia="Arial" w:hAnsi="Arial"/>
                <w:sz w:val="18"/>
                <w:szCs w:val="18"/>
                <w:color w:val="auto"/>
              </w:rPr>
              <w:t>Disclosure</w:t>
            </w:r>
          </w:p>
        </w:tc>
        <w:tc>
          <w:tcPr>
            <w:tcW w:w="2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6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20" w:type="dxa"/>
            <w:vAlign w:val="bottom"/>
          </w:tcPr>
          <w:p>
            <w:pPr>
              <w:ind w:left="5040"/>
              <w:spacing w:after="0"/>
              <w:rPr>
                <w:sz w:val="20"/>
                <w:szCs w:val="20"/>
                <w:color w:val="auto"/>
              </w:rPr>
            </w:pPr>
            <w:r>
              <w:rPr>
                <w:rFonts w:ascii="Arial" w:cs="Arial" w:eastAsia="Arial" w:hAnsi="Arial"/>
                <w:sz w:val="18"/>
                <w:szCs w:val="18"/>
                <w:color w:val="auto"/>
              </w:rPr>
              <w:t>ii</w:t>
            </w:r>
          </w:p>
        </w:tc>
        <w:tc>
          <w:tcPr>
            <w:tcW w:w="2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0" w:name="page41"/>
    <w:bookmarkEnd w:id="40"/>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380" w:type="dxa"/>
            <w:vAlign w:val="bottom"/>
          </w:tcPr>
          <w:p>
            <w:pPr>
              <w:ind w:left="416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19"/>
                <w:szCs w:val="19"/>
                <w:color w:val="auto"/>
              </w:rPr>
            </w:pPr>
          </w:p>
        </w:tc>
      </w:tr>
      <w:tr>
        <w:trPr>
          <w:trHeight w:val="286"/>
        </w:trPr>
        <w:tc>
          <w:tcPr>
            <w:tcW w:w="20" w:type="dxa"/>
            <w:vAlign w:val="bottom"/>
          </w:tcPr>
          <w:p>
            <w:pPr>
              <w:spacing w:after="0"/>
              <w:rPr>
                <w:sz w:val="24"/>
                <w:szCs w:val="2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Section</w:t>
            </w:r>
          </w:p>
        </w:tc>
        <w:tc>
          <w:tcPr>
            <w:tcW w:w="60" w:type="dxa"/>
            <w:vAlign w:val="bottom"/>
          </w:tcPr>
          <w:p>
            <w:pPr>
              <w:spacing w:after="0"/>
              <w:rPr>
                <w:sz w:val="24"/>
                <w:szCs w:val="24"/>
                <w:color w:val="auto"/>
              </w:rPr>
            </w:pPr>
          </w:p>
        </w:tc>
        <w:tc>
          <w:tcPr>
            <w:tcW w:w="103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1"/>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r>
        <w:trPr>
          <w:trHeight w:val="302"/>
        </w:trPr>
        <w:tc>
          <w:tcPr>
            <w:tcW w:w="560" w:type="dxa"/>
            <w:vAlign w:val="bottom"/>
            <w:gridSpan w:val="2"/>
          </w:tcPr>
          <w:p>
            <w:pPr>
              <w:spacing w:after="0"/>
              <w:rPr>
                <w:sz w:val="20"/>
                <w:szCs w:val="20"/>
                <w:color w:val="auto"/>
              </w:rPr>
            </w:pPr>
            <w:r>
              <w:rPr>
                <w:rFonts w:ascii="Arial" w:cs="Arial" w:eastAsia="Arial" w:hAnsi="Arial"/>
                <w:sz w:val="18"/>
                <w:szCs w:val="18"/>
                <w:color w:val="auto"/>
              </w:rPr>
              <w:t>5.22</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Compliance with Laws</w:t>
            </w:r>
          </w:p>
        </w:tc>
        <w:tc>
          <w:tcPr>
            <w:tcW w:w="3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5.23</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Labor Matters</w:t>
            </w:r>
          </w:p>
        </w:tc>
        <w:tc>
          <w:tcPr>
            <w:tcW w:w="3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5.24</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Solvency</w:t>
            </w:r>
          </w:p>
        </w:tc>
        <w:tc>
          <w:tcPr>
            <w:tcW w:w="3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5.25</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Material Contracts</w:t>
            </w:r>
          </w:p>
        </w:tc>
        <w:tc>
          <w:tcPr>
            <w:tcW w:w="3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5.26</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Nature of Business</w:t>
            </w:r>
          </w:p>
        </w:tc>
        <w:tc>
          <w:tcPr>
            <w:tcW w:w="3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426"/>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380" w:type="dxa"/>
            <w:vAlign w:val="bottom"/>
          </w:tcPr>
          <w:p>
            <w:pPr>
              <w:jc w:val="center"/>
              <w:ind w:right="612"/>
              <w:spacing w:after="0"/>
              <w:rPr>
                <w:sz w:val="20"/>
                <w:szCs w:val="20"/>
                <w:color w:val="auto"/>
              </w:rPr>
            </w:pPr>
            <w:r>
              <w:rPr>
                <w:rFonts w:ascii="Arial" w:cs="Arial" w:eastAsia="Arial" w:hAnsi="Arial"/>
                <w:sz w:val="18"/>
                <w:szCs w:val="18"/>
                <w:color w:val="auto"/>
                <w:w w:val="97"/>
              </w:rPr>
              <w:t>ARTICLE VI</w:t>
            </w:r>
          </w:p>
        </w:tc>
        <w:tc>
          <w:tcPr>
            <w:tcW w:w="32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380" w:type="dxa"/>
            <w:vAlign w:val="bottom"/>
          </w:tcPr>
          <w:p>
            <w:pPr>
              <w:jc w:val="center"/>
              <w:ind w:right="632"/>
              <w:spacing w:after="0"/>
              <w:rPr>
                <w:sz w:val="20"/>
                <w:szCs w:val="20"/>
                <w:color w:val="auto"/>
              </w:rPr>
            </w:pPr>
            <w:r>
              <w:rPr>
                <w:rFonts w:ascii="Arial" w:cs="Arial" w:eastAsia="Arial" w:hAnsi="Arial"/>
                <w:sz w:val="18"/>
                <w:szCs w:val="18"/>
                <w:color w:val="auto"/>
                <w:w w:val="95"/>
              </w:rPr>
              <w:t>AFFIRMATIVE COVENANTS</w:t>
            </w:r>
          </w:p>
        </w:tc>
        <w:tc>
          <w:tcPr>
            <w:tcW w:w="320" w:type="dxa"/>
            <w:vAlign w:val="bottom"/>
          </w:tcPr>
          <w:p>
            <w:pPr>
              <w:spacing w:after="0"/>
              <w:rPr>
                <w:sz w:val="19"/>
                <w:szCs w:val="19"/>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6.01</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Financial Statements</w:t>
            </w:r>
          </w:p>
        </w:tc>
        <w:tc>
          <w:tcPr>
            <w:tcW w:w="3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6.02</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Certificates; Other Information</w:t>
            </w:r>
          </w:p>
        </w:tc>
        <w:tc>
          <w:tcPr>
            <w:tcW w:w="3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6.03</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Notices</w:t>
            </w:r>
          </w:p>
        </w:tc>
        <w:tc>
          <w:tcPr>
            <w:tcW w:w="3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6.04</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Payment of Obligations</w:t>
            </w:r>
          </w:p>
        </w:tc>
        <w:tc>
          <w:tcPr>
            <w:tcW w:w="3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6.05</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Preservation of Existence, Etc</w:t>
            </w:r>
          </w:p>
        </w:tc>
        <w:tc>
          <w:tcPr>
            <w:tcW w:w="3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6.06</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Maintenance of Properties</w:t>
            </w:r>
          </w:p>
        </w:tc>
        <w:tc>
          <w:tcPr>
            <w:tcW w:w="3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6.07</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Maintenance of Insurance; Certain Proceeds</w:t>
            </w:r>
          </w:p>
        </w:tc>
        <w:tc>
          <w:tcPr>
            <w:tcW w:w="3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6.08</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Compliance with Laws</w:t>
            </w:r>
          </w:p>
        </w:tc>
        <w:tc>
          <w:tcPr>
            <w:tcW w:w="3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6.09</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Books and Records</w:t>
            </w:r>
          </w:p>
        </w:tc>
        <w:tc>
          <w:tcPr>
            <w:tcW w:w="3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6.10</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Inspection Rights</w:t>
            </w:r>
          </w:p>
        </w:tc>
        <w:tc>
          <w:tcPr>
            <w:tcW w:w="3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6.11</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Further Assurances with Respect to Additional Loan Parties</w:t>
            </w:r>
          </w:p>
        </w:tc>
        <w:tc>
          <w:tcPr>
            <w:tcW w:w="3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6.12</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Further Assurances with Respect to Additional Collateral</w:t>
            </w:r>
          </w:p>
        </w:tc>
        <w:tc>
          <w:tcPr>
            <w:tcW w:w="3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6.13</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Performance of Material Contracts, etc</w:t>
            </w:r>
          </w:p>
        </w:tc>
        <w:tc>
          <w:tcPr>
            <w:tcW w:w="3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6.14</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Use of Proceeds</w:t>
            </w:r>
          </w:p>
        </w:tc>
        <w:tc>
          <w:tcPr>
            <w:tcW w:w="3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6.15</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Environmental</w:t>
            </w:r>
          </w:p>
        </w:tc>
        <w:tc>
          <w:tcPr>
            <w:tcW w:w="3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426"/>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380" w:type="dxa"/>
            <w:vAlign w:val="bottom"/>
          </w:tcPr>
          <w:p>
            <w:pPr>
              <w:jc w:val="center"/>
              <w:ind w:right="632"/>
              <w:spacing w:after="0"/>
              <w:rPr>
                <w:sz w:val="20"/>
                <w:szCs w:val="20"/>
                <w:color w:val="auto"/>
              </w:rPr>
            </w:pPr>
            <w:r>
              <w:rPr>
                <w:rFonts w:ascii="Arial" w:cs="Arial" w:eastAsia="Arial" w:hAnsi="Arial"/>
                <w:sz w:val="18"/>
                <w:szCs w:val="18"/>
                <w:color w:val="auto"/>
                <w:w w:val="98"/>
              </w:rPr>
              <w:t>ARTICLE VII</w:t>
            </w:r>
          </w:p>
        </w:tc>
        <w:tc>
          <w:tcPr>
            <w:tcW w:w="32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380" w:type="dxa"/>
            <w:vAlign w:val="bottom"/>
          </w:tcPr>
          <w:p>
            <w:pPr>
              <w:jc w:val="center"/>
              <w:ind w:right="632"/>
              <w:spacing w:after="0"/>
              <w:rPr>
                <w:sz w:val="20"/>
                <w:szCs w:val="20"/>
                <w:color w:val="auto"/>
              </w:rPr>
            </w:pPr>
            <w:r>
              <w:rPr>
                <w:rFonts w:ascii="Arial" w:cs="Arial" w:eastAsia="Arial" w:hAnsi="Arial"/>
                <w:sz w:val="18"/>
                <w:szCs w:val="18"/>
                <w:color w:val="auto"/>
                <w:w w:val="95"/>
              </w:rPr>
              <w:t>NEGATIVE COVENANTS</w:t>
            </w:r>
          </w:p>
        </w:tc>
        <w:tc>
          <w:tcPr>
            <w:tcW w:w="320" w:type="dxa"/>
            <w:vAlign w:val="bottom"/>
          </w:tcPr>
          <w:p>
            <w:pPr>
              <w:spacing w:after="0"/>
              <w:rPr>
                <w:sz w:val="19"/>
                <w:szCs w:val="19"/>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7.01</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Liens</w:t>
            </w:r>
          </w:p>
        </w:tc>
        <w:tc>
          <w:tcPr>
            <w:tcW w:w="3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7.02</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3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7.03</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Indebtedness</w:t>
            </w:r>
          </w:p>
        </w:tc>
        <w:tc>
          <w:tcPr>
            <w:tcW w:w="3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7.04</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Fundamental Changes and Acquisitions</w:t>
            </w:r>
          </w:p>
        </w:tc>
        <w:tc>
          <w:tcPr>
            <w:tcW w:w="3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7.05</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Dispositions</w:t>
            </w:r>
          </w:p>
        </w:tc>
        <w:tc>
          <w:tcPr>
            <w:tcW w:w="3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7.06</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Restricted Payments</w:t>
            </w:r>
          </w:p>
        </w:tc>
        <w:tc>
          <w:tcPr>
            <w:tcW w:w="3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7.07</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8"/>
              </w:rPr>
              <w:t>Amendment, Etc. of Indebtedness; Other Material Contracts and Constitutive Documents and Payments in respect of Indebtedness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100</w:t>
            </w:r>
          </w:p>
        </w:tc>
      </w:tr>
      <w:tr>
        <w:trPr>
          <w:trHeight w:val="36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380" w:type="dxa"/>
            <w:vAlign w:val="bottom"/>
          </w:tcPr>
          <w:p>
            <w:pPr>
              <w:ind w:left="5020"/>
              <w:spacing w:after="0"/>
              <w:rPr>
                <w:sz w:val="20"/>
                <w:szCs w:val="20"/>
                <w:color w:val="auto"/>
              </w:rPr>
            </w:pPr>
            <w:r>
              <w:rPr>
                <w:rFonts w:ascii="Arial" w:cs="Arial" w:eastAsia="Arial" w:hAnsi="Arial"/>
                <w:sz w:val="18"/>
                <w:szCs w:val="18"/>
                <w:color w:val="auto"/>
              </w:rPr>
              <w:t>iii</w:t>
            </w:r>
          </w:p>
        </w:tc>
        <w:tc>
          <w:tcPr>
            <w:tcW w:w="3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1" w:name="page42"/>
    <w:bookmarkEnd w:id="41"/>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380" w:type="dxa"/>
            <w:vAlign w:val="bottom"/>
          </w:tcPr>
          <w:p>
            <w:pPr>
              <w:ind w:left="416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19"/>
                <w:szCs w:val="19"/>
                <w:color w:val="auto"/>
              </w:rPr>
            </w:pPr>
          </w:p>
        </w:tc>
      </w:tr>
      <w:tr>
        <w:trPr>
          <w:trHeight w:val="380"/>
        </w:trPr>
        <w:tc>
          <w:tcPr>
            <w:tcW w:w="20" w:type="dxa"/>
            <w:vAlign w:val="bottom"/>
          </w:tcPr>
          <w:p>
            <w:pPr>
              <w:spacing w:after="0"/>
              <w:rPr>
                <w:sz w:val="24"/>
                <w:szCs w:val="2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Section</w:t>
            </w:r>
          </w:p>
        </w:tc>
        <w:tc>
          <w:tcPr>
            <w:tcW w:w="60" w:type="dxa"/>
            <w:vAlign w:val="bottom"/>
          </w:tcPr>
          <w:p>
            <w:pPr>
              <w:spacing w:after="0"/>
              <w:rPr>
                <w:sz w:val="24"/>
                <w:szCs w:val="24"/>
                <w:color w:val="auto"/>
              </w:rPr>
            </w:pPr>
          </w:p>
        </w:tc>
        <w:tc>
          <w:tcPr>
            <w:tcW w:w="103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1"/>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r>
        <w:trPr>
          <w:trHeight w:val="302"/>
        </w:trPr>
        <w:tc>
          <w:tcPr>
            <w:tcW w:w="560" w:type="dxa"/>
            <w:vAlign w:val="bottom"/>
            <w:gridSpan w:val="2"/>
          </w:tcPr>
          <w:p>
            <w:pPr>
              <w:spacing w:after="0"/>
              <w:rPr>
                <w:sz w:val="20"/>
                <w:szCs w:val="20"/>
                <w:color w:val="auto"/>
              </w:rPr>
            </w:pPr>
            <w:r>
              <w:rPr>
                <w:rFonts w:ascii="Arial" w:cs="Arial" w:eastAsia="Arial" w:hAnsi="Arial"/>
                <w:sz w:val="18"/>
                <w:szCs w:val="18"/>
                <w:color w:val="auto"/>
              </w:rPr>
              <w:t>7.08</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Change in Nature of Business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101</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7.09</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Transactions with Affiliates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101</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7.10</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Limitations on Restricted Actions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101</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7.11</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Sale-Leasebacks; Off-Balance Sheet Obligation</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102</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7.12</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Use of Proceeds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102</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7.13</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Impairment of Security Interests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102</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7.14</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Ownership of Foreign Subsidiaries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102</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7.15</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Fiscal Year</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102</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7.16</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Partnerships, etc</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102</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7.17</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Financial Covenants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102</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7.18</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Consolidated Capital Expenditures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103</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7.19</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Independent Covenants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103</w:t>
            </w:r>
          </w:p>
        </w:tc>
      </w:tr>
      <w:tr>
        <w:trPr>
          <w:trHeight w:val="426"/>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380" w:type="dxa"/>
            <w:vAlign w:val="bottom"/>
          </w:tcPr>
          <w:p>
            <w:pPr>
              <w:jc w:val="center"/>
              <w:ind w:right="632"/>
              <w:spacing w:after="0"/>
              <w:rPr>
                <w:sz w:val="20"/>
                <w:szCs w:val="20"/>
                <w:color w:val="auto"/>
              </w:rPr>
            </w:pPr>
            <w:r>
              <w:rPr>
                <w:rFonts w:ascii="Arial" w:cs="Arial" w:eastAsia="Arial" w:hAnsi="Arial"/>
                <w:sz w:val="18"/>
                <w:szCs w:val="18"/>
                <w:color w:val="auto"/>
                <w:w w:val="98"/>
              </w:rPr>
              <w:t>ARTICLE VIII</w:t>
            </w:r>
          </w:p>
        </w:tc>
        <w:tc>
          <w:tcPr>
            <w:tcW w:w="32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380" w:type="dxa"/>
            <w:vAlign w:val="bottom"/>
          </w:tcPr>
          <w:p>
            <w:pPr>
              <w:jc w:val="center"/>
              <w:ind w:right="632"/>
              <w:spacing w:after="0"/>
              <w:rPr>
                <w:sz w:val="20"/>
                <w:szCs w:val="20"/>
                <w:color w:val="auto"/>
              </w:rPr>
            </w:pPr>
            <w:r>
              <w:rPr>
                <w:rFonts w:ascii="Arial" w:cs="Arial" w:eastAsia="Arial" w:hAnsi="Arial"/>
                <w:sz w:val="18"/>
                <w:szCs w:val="18"/>
                <w:color w:val="auto"/>
                <w:w w:val="93"/>
              </w:rPr>
              <w:t>EVENTS OF DEFAULT AND REMEDIES</w:t>
            </w:r>
          </w:p>
        </w:tc>
        <w:tc>
          <w:tcPr>
            <w:tcW w:w="320" w:type="dxa"/>
            <w:vAlign w:val="bottom"/>
          </w:tcPr>
          <w:p>
            <w:pPr>
              <w:spacing w:after="0"/>
              <w:rPr>
                <w:sz w:val="19"/>
                <w:szCs w:val="19"/>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8.01</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Events of Default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103</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8.02</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Remedies Upon Event of Default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106</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8.03</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Application of Funds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106</w:t>
            </w:r>
          </w:p>
        </w:tc>
      </w:tr>
      <w:tr>
        <w:trPr>
          <w:trHeight w:val="426"/>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380" w:type="dxa"/>
            <w:vAlign w:val="bottom"/>
          </w:tcPr>
          <w:p>
            <w:pPr>
              <w:jc w:val="center"/>
              <w:ind w:right="612"/>
              <w:spacing w:after="0"/>
              <w:rPr>
                <w:sz w:val="20"/>
                <w:szCs w:val="20"/>
                <w:color w:val="auto"/>
              </w:rPr>
            </w:pPr>
            <w:r>
              <w:rPr>
                <w:rFonts w:ascii="Arial" w:cs="Arial" w:eastAsia="Arial" w:hAnsi="Arial"/>
                <w:sz w:val="18"/>
                <w:szCs w:val="18"/>
                <w:color w:val="auto"/>
                <w:w w:val="97"/>
              </w:rPr>
              <w:t>ARTICLE IX</w:t>
            </w:r>
          </w:p>
        </w:tc>
        <w:tc>
          <w:tcPr>
            <w:tcW w:w="32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380" w:type="dxa"/>
            <w:vAlign w:val="bottom"/>
          </w:tcPr>
          <w:p>
            <w:pPr>
              <w:jc w:val="center"/>
              <w:ind w:right="612"/>
              <w:spacing w:after="0"/>
              <w:rPr>
                <w:sz w:val="20"/>
                <w:szCs w:val="20"/>
                <w:color w:val="auto"/>
              </w:rPr>
            </w:pPr>
            <w:r>
              <w:rPr>
                <w:rFonts w:ascii="Arial" w:cs="Arial" w:eastAsia="Arial" w:hAnsi="Arial"/>
                <w:sz w:val="18"/>
                <w:szCs w:val="18"/>
                <w:color w:val="auto"/>
                <w:w w:val="97"/>
              </w:rPr>
              <w:t>ADMINISTRATIVE AGENT</w:t>
            </w:r>
          </w:p>
        </w:tc>
        <w:tc>
          <w:tcPr>
            <w:tcW w:w="320" w:type="dxa"/>
            <w:vAlign w:val="bottom"/>
          </w:tcPr>
          <w:p>
            <w:pPr>
              <w:spacing w:after="0"/>
              <w:rPr>
                <w:sz w:val="19"/>
                <w:szCs w:val="19"/>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9.01</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Appointment and Authority</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108</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9.02</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Rights as a Lender</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108</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9.03</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Exculpatory Provisions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108</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9.04</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Reliance by Administrative Agent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109</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9.05</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Delegation of Duties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110</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9.06</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Resignation of Administrative Agent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110</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9.07</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Non-Reliance on Administrative Agent and Other Lenders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111</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9.08</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No Other Duties, Etc</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111</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9.09</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Administrative Agent May File Proofs of Claim</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111</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9.10</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Collateral and Guaranty Matters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112</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9.11</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Secured Cash Management Services Agreements and Secured Swap Contracts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113</w:t>
            </w:r>
          </w:p>
        </w:tc>
      </w:tr>
      <w:tr>
        <w:trPr>
          <w:trHeight w:val="36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380" w:type="dxa"/>
            <w:vAlign w:val="bottom"/>
          </w:tcPr>
          <w:p>
            <w:pPr>
              <w:ind w:left="5020"/>
              <w:spacing w:after="0"/>
              <w:rPr>
                <w:sz w:val="20"/>
                <w:szCs w:val="20"/>
                <w:color w:val="auto"/>
              </w:rPr>
            </w:pPr>
            <w:r>
              <w:rPr>
                <w:rFonts w:ascii="Arial" w:cs="Arial" w:eastAsia="Arial" w:hAnsi="Arial"/>
                <w:sz w:val="18"/>
                <w:szCs w:val="18"/>
                <w:color w:val="auto"/>
              </w:rPr>
              <w:t>iv</w:t>
            </w:r>
          </w:p>
        </w:tc>
        <w:tc>
          <w:tcPr>
            <w:tcW w:w="3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2" w:name="page43"/>
    <w:bookmarkEnd w:id="42"/>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380" w:type="dxa"/>
            <w:vAlign w:val="bottom"/>
          </w:tcPr>
          <w:p>
            <w:pPr>
              <w:ind w:left="416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Section</w:t>
            </w:r>
          </w:p>
        </w:tc>
        <w:tc>
          <w:tcPr>
            <w:tcW w:w="60" w:type="dxa"/>
            <w:vAlign w:val="bottom"/>
          </w:tcPr>
          <w:p>
            <w:pPr>
              <w:spacing w:after="0"/>
              <w:rPr>
                <w:sz w:val="24"/>
                <w:szCs w:val="24"/>
                <w:color w:val="auto"/>
              </w:rPr>
            </w:pPr>
          </w:p>
        </w:tc>
        <w:tc>
          <w:tcPr>
            <w:tcW w:w="103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380" w:type="dxa"/>
            <w:vAlign w:val="bottom"/>
            <w:vMerge w:val="restart"/>
          </w:tcPr>
          <w:p>
            <w:pPr>
              <w:ind w:left="4380"/>
              <w:spacing w:after="0"/>
              <w:rPr>
                <w:sz w:val="20"/>
                <w:szCs w:val="20"/>
                <w:color w:val="auto"/>
              </w:rPr>
            </w:pPr>
            <w:r>
              <w:rPr>
                <w:rFonts w:ascii="Arial" w:cs="Arial" w:eastAsia="Arial" w:hAnsi="Arial"/>
                <w:sz w:val="18"/>
                <w:szCs w:val="18"/>
                <w:color w:val="auto"/>
              </w:rPr>
              <w:t>ARTICLE X</w:t>
            </w: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3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380" w:type="dxa"/>
            <w:vAlign w:val="bottom"/>
          </w:tcPr>
          <w:p>
            <w:pPr>
              <w:ind w:left="4100"/>
              <w:spacing w:after="0"/>
              <w:rPr>
                <w:sz w:val="20"/>
                <w:szCs w:val="20"/>
                <w:color w:val="auto"/>
              </w:rPr>
            </w:pPr>
            <w:r>
              <w:rPr>
                <w:rFonts w:ascii="Arial" w:cs="Arial" w:eastAsia="Arial" w:hAnsi="Arial"/>
                <w:sz w:val="18"/>
                <w:szCs w:val="18"/>
                <w:color w:val="auto"/>
              </w:rPr>
              <w:t>MISCELLANEOUS</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10.01</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Amendments, Etc</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113</w:t>
            </w: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10.02</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Notices; Effectiveness; Electronic Communications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115</w:t>
            </w: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10.03</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No Waiver; Cumulative Remedies; Enforcement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117</w:t>
            </w: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10.04</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Expenses; Indemnity; Damage Waiver</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118</w:t>
            </w: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10.05</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Payments Set Aside</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120</w:t>
            </w: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10.06</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Successors and Assigns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120</w:t>
            </w: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10.07</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Treatment of Certain Information; Confidentiality</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125</w:t>
            </w: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10.08</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Right of Setoff</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126</w:t>
            </w: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10.09</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Interest Rate Limitation</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126</w:t>
            </w: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10.10</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Counterparts; Integration; Effectiveness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127</w:t>
            </w: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10.11</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Survival of Representations and Warranties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127</w:t>
            </w: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10.12</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Severability</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127</w:t>
            </w: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10.13</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Replacement of Lenders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128</w:t>
            </w: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10.14</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Governing Law; Jurisdiction; Etc</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128</w:t>
            </w: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10.15</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Waiver of Jury Trial</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129</w:t>
            </w: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10.16</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USA PATRIOT Act Notice</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130</w:t>
            </w: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10.17</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Time of the Essence</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130</w:t>
            </w: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10.18</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No Advisory or Fiduciary Responsibility</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130</w:t>
            </w: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10.19</w:t>
            </w:r>
          </w:p>
        </w:tc>
        <w:tc>
          <w:tcPr>
            <w:tcW w:w="6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Electronic Execution of Assignments and Certain Other Documents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130</w:t>
            </w:r>
          </w:p>
        </w:tc>
        <w:tc>
          <w:tcPr>
            <w:tcW w:w="0" w:type="dxa"/>
            <w:vAlign w:val="bottom"/>
          </w:tcPr>
          <w:p>
            <w:pPr>
              <w:spacing w:after="0"/>
              <w:rPr>
                <w:sz w:val="1"/>
                <w:szCs w:val="1"/>
                <w:color w:val="auto"/>
              </w:rPr>
            </w:pPr>
          </w:p>
        </w:tc>
      </w:tr>
      <w:tr>
        <w:trPr>
          <w:trHeight w:val="324"/>
        </w:trPr>
        <w:tc>
          <w:tcPr>
            <w:tcW w:w="11000" w:type="dxa"/>
            <w:vAlign w:val="bottom"/>
            <w:gridSpan w:val="4"/>
          </w:tcPr>
          <w:p>
            <w:pPr>
              <w:spacing w:after="0"/>
              <w:rPr>
                <w:sz w:val="20"/>
                <w:szCs w:val="20"/>
                <w:color w:val="auto"/>
              </w:rPr>
            </w:pPr>
            <w:r>
              <w:rPr>
                <w:rFonts w:ascii="Arial" w:cs="Arial" w:eastAsia="Arial" w:hAnsi="Arial"/>
                <w:sz w:val="18"/>
                <w:szCs w:val="18"/>
                <w:color w:val="auto"/>
              </w:rPr>
              <w:t>SIGNATURES</w:t>
            </w:r>
          </w:p>
        </w:tc>
        <w:tc>
          <w:tcPr>
            <w:tcW w:w="320" w:type="dxa"/>
            <w:vAlign w:val="bottom"/>
          </w:tcPr>
          <w:p>
            <w:pPr>
              <w:jc w:val="right"/>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380" w:type="dxa"/>
            <w:vAlign w:val="bottom"/>
          </w:tcPr>
          <w:p>
            <w:pPr>
              <w:ind w:left="5060"/>
              <w:spacing w:after="0"/>
              <w:rPr>
                <w:sz w:val="20"/>
                <w:szCs w:val="20"/>
                <w:color w:val="auto"/>
              </w:rPr>
            </w:pPr>
            <w:r>
              <w:rPr>
                <w:rFonts w:ascii="Arial" w:cs="Arial" w:eastAsia="Arial" w:hAnsi="Arial"/>
                <w:sz w:val="18"/>
                <w:szCs w:val="18"/>
                <w:color w:val="auto"/>
              </w:rPr>
              <w:t>v</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3" w:name="page44"/>
    <w:bookmarkEnd w:id="43"/>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SCHEDULES</w:t>
      </w:r>
    </w:p>
    <w:p>
      <w:pPr>
        <w:sectPr>
          <w:pgSz w:w="11900" w:h="16838" w:orient="portrait"/>
          <w:cols w:equalWidth="0" w:num="1">
            <w:col w:w="10219"/>
          </w:cols>
          <w:pgMar w:left="240" w:top="274" w:right="1440" w:bottom="1440" w:gutter="0" w:footer="0" w:header="0"/>
        </w:sectPr>
      </w:pP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Schedule 1.01</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Schedule 2.01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Schedule 5.03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Schedule 5.08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Schedule 5.09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Schedule 5.13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Schedule 5.16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Schedule 5.18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Schedule 5.23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Schedule 5.25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Schedule 7.01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Schedule 7.02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Schedule 7.03</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Schedule 10.02</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Excluded Subsidiaries and Subsidiary Guarantors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Commitments and Applicable Percentages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Approvals and Consents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Subsidiaries and Other Equity Investments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Certain Stock Arrangements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Environmental Matters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Transactions with Affiliates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Pension Plans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Labor Matters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Material Contracts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Existing Liens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Existing Investments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Existing Indebtedness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Agent’s Office, Certain Addresses for Notices</w:t>
      </w:r>
    </w:p>
    <w:p>
      <w:pPr>
        <w:spacing w:after="0" w:line="200" w:lineRule="exact"/>
        <w:rPr>
          <w:sz w:val="20"/>
          <w:szCs w:val="20"/>
          <w:color w:val="auto"/>
        </w:rPr>
      </w:pPr>
    </w:p>
    <w:p>
      <w:pPr>
        <w:sectPr>
          <w:pgSz w:w="11900" w:h="16838" w:orient="portrait"/>
          <w:cols w:equalWidth="0" w:num="2">
            <w:col w:w="1100" w:space="280"/>
            <w:col w:w="8839"/>
          </w:cols>
          <w:pgMar w:left="240" w:top="274" w:right="1440" w:bottom="1440" w:gutter="0" w:footer="0" w:header="0"/>
          <w:type w:val="continuous"/>
        </w:sectPr>
      </w:pP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9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Form of Loan Notice</w:t>
      </w:r>
    </w:p>
    <w:p>
      <w:pPr>
        <w:spacing w:after="0" w:line="1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Form of Swing Line Loan Notice</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6"/>
          <w:szCs w:val="16"/>
          <w:color w:val="auto"/>
        </w:rPr>
        <w:t>Form of Note</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6"/>
          <w:szCs w:val="16"/>
          <w:color w:val="auto"/>
        </w:rPr>
        <w:t>Form of Compliance Certificate</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E</w:t>
      </w:r>
      <w:r>
        <w:rPr>
          <w:sz w:val="20"/>
          <w:szCs w:val="20"/>
          <w:color w:val="auto"/>
        </w:rPr>
        <w:tab/>
      </w:r>
      <w:r>
        <w:rPr>
          <w:rFonts w:ascii="Arial" w:cs="Arial" w:eastAsia="Arial" w:hAnsi="Arial"/>
          <w:sz w:val="16"/>
          <w:szCs w:val="16"/>
          <w:color w:val="auto"/>
        </w:rPr>
        <w:t>Form of Assignment of Assumption</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F</w:t>
      </w:r>
      <w:r>
        <w:rPr>
          <w:sz w:val="20"/>
          <w:szCs w:val="20"/>
          <w:color w:val="auto"/>
        </w:rPr>
        <w:tab/>
      </w:r>
      <w:r>
        <w:rPr>
          <w:rFonts w:ascii="Arial" w:cs="Arial" w:eastAsia="Arial" w:hAnsi="Arial"/>
          <w:sz w:val="16"/>
          <w:szCs w:val="16"/>
          <w:color w:val="auto"/>
        </w:rPr>
        <w:t>Form of Subsidiary Guaranty Agreement</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G</w:t>
      </w:r>
      <w:r>
        <w:rPr>
          <w:sz w:val="20"/>
          <w:szCs w:val="20"/>
          <w:color w:val="auto"/>
        </w:rPr>
        <w:tab/>
      </w:r>
      <w:r>
        <w:rPr>
          <w:rFonts w:ascii="Arial" w:cs="Arial" w:eastAsia="Arial" w:hAnsi="Arial"/>
          <w:sz w:val="16"/>
          <w:szCs w:val="16"/>
          <w:color w:val="auto"/>
        </w:rPr>
        <w:t>Form of Joinder Agreement</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H</w:t>
      </w:r>
      <w:r>
        <w:rPr>
          <w:sz w:val="20"/>
          <w:szCs w:val="20"/>
          <w:color w:val="auto"/>
        </w:rPr>
        <w:tab/>
      </w:r>
      <w:r>
        <w:rPr>
          <w:rFonts w:ascii="Arial" w:cs="Arial" w:eastAsia="Arial" w:hAnsi="Arial"/>
          <w:sz w:val="16"/>
          <w:szCs w:val="16"/>
          <w:color w:val="auto"/>
        </w:rPr>
        <w:t>Opinion Matters</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I</w:t>
      </w:r>
      <w:r>
        <w:rPr>
          <w:sz w:val="20"/>
          <w:szCs w:val="20"/>
          <w:color w:val="auto"/>
        </w:rPr>
        <w:tab/>
      </w:r>
      <w:r>
        <w:rPr>
          <w:rFonts w:ascii="Arial" w:cs="Arial" w:eastAsia="Arial" w:hAnsi="Arial"/>
          <w:sz w:val="15"/>
          <w:szCs w:val="15"/>
          <w:color w:val="auto"/>
        </w:rPr>
        <w:t>Form of Pledge Agreement</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J</w:t>
      </w:r>
      <w:r>
        <w:rPr>
          <w:sz w:val="20"/>
          <w:szCs w:val="20"/>
          <w:color w:val="auto"/>
        </w:rPr>
        <w:tab/>
      </w:r>
      <w:r>
        <w:rPr>
          <w:rFonts w:ascii="Arial" w:cs="Arial" w:eastAsia="Arial" w:hAnsi="Arial"/>
          <w:sz w:val="16"/>
          <w:szCs w:val="16"/>
          <w:color w:val="auto"/>
        </w:rPr>
        <w:t>Form of Security Agreement</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K</w:t>
      </w:r>
      <w:r>
        <w:rPr>
          <w:sz w:val="20"/>
          <w:szCs w:val="20"/>
          <w:color w:val="auto"/>
        </w:rPr>
        <w:tab/>
      </w:r>
      <w:r>
        <w:rPr>
          <w:rFonts w:ascii="Arial" w:cs="Arial" w:eastAsia="Arial" w:hAnsi="Arial"/>
          <w:sz w:val="16"/>
          <w:szCs w:val="16"/>
          <w:color w:val="auto"/>
        </w:rPr>
        <w:t>Form of Permitted Acquisition Certificate</w:t>
      </w:r>
    </w:p>
    <w:p>
      <w:pPr>
        <w:spacing w:after="0" w:line="151" w:lineRule="exact"/>
        <w:rPr>
          <w:sz w:val="20"/>
          <w:szCs w:val="20"/>
          <w:color w:val="auto"/>
        </w:rPr>
      </w:pPr>
    </w:p>
    <w:p>
      <w:pPr>
        <w:jc w:val="right"/>
        <w:ind w:right="443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0219"/>
          </w:cols>
          <w:pgMar w:left="240" w:top="274" w:right="1440" w:bottom="1440" w:gutter="0" w:footer="0" w:header="0"/>
          <w:type w:val="continuous"/>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SECOND AMENDED AND RESTATED CREDIT AGREEMENT</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SECOND AMENDED AND RESTATED CREDIT AGREEMENT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is entered into as of June 8, 2011, among </w:t>
      </w:r>
      <w:r>
        <w:rPr>
          <w:rFonts w:ascii="Arial" w:cs="Arial" w:eastAsia="Arial" w:hAnsi="Arial"/>
          <w:sz w:val="18"/>
          <w:szCs w:val="18"/>
          <w:b w:val="1"/>
          <w:bCs w:val="1"/>
          <w:color w:val="auto"/>
        </w:rPr>
        <w:t>INTEGRA LIFESCIENCES</w:t>
      </w:r>
      <w:r>
        <w:rPr>
          <w:rFonts w:ascii="Arial" w:cs="Arial" w:eastAsia="Arial" w:hAnsi="Arial"/>
          <w:sz w:val="18"/>
          <w:szCs w:val="18"/>
          <w:color w:val="auto"/>
        </w:rPr>
        <w:t xml:space="preserve"> </w:t>
      </w:r>
      <w:r>
        <w:rPr>
          <w:rFonts w:ascii="Arial" w:cs="Arial" w:eastAsia="Arial" w:hAnsi="Arial"/>
          <w:sz w:val="18"/>
          <w:szCs w:val="18"/>
          <w:b w:val="1"/>
          <w:bCs w:val="1"/>
          <w:color w:val="auto"/>
        </w:rPr>
        <w:t>HOLDINGS CORPORATION</w:t>
      </w:r>
      <w:r>
        <w:rPr>
          <w:rFonts w:ascii="Arial" w:cs="Arial" w:eastAsia="Arial" w:hAnsi="Arial"/>
          <w:sz w:val="18"/>
          <w:szCs w:val="18"/>
          <w:color w:val="auto"/>
        </w:rPr>
        <w:t>,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each lender from time to time party hereto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and</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individually, a “</w:t>
      </w:r>
      <w:r>
        <w:rPr>
          <w:rFonts w:ascii="Arial" w:cs="Arial" w:eastAsia="Arial" w:hAnsi="Arial"/>
          <w:sz w:val="18"/>
          <w:szCs w:val="18"/>
          <w:u w:val="single" w:color="auto"/>
          <w:color w:val="auto"/>
        </w:rPr>
        <w:t>Lender</w:t>
      </w:r>
      <w:r>
        <w:rPr>
          <w:rFonts w:ascii="Arial" w:cs="Arial" w:eastAsia="Arial" w:hAnsi="Arial"/>
          <w:sz w:val="18"/>
          <w:szCs w:val="18"/>
          <w:color w:val="auto"/>
        </w:rPr>
        <w:t xml:space="preserve">”), </w:t>
      </w:r>
      <w:r>
        <w:rPr>
          <w:rFonts w:ascii="Arial" w:cs="Arial" w:eastAsia="Arial" w:hAnsi="Arial"/>
          <w:sz w:val="18"/>
          <w:szCs w:val="18"/>
          <w:b w:val="1"/>
          <w:bCs w:val="1"/>
          <w:color w:val="auto"/>
        </w:rPr>
        <w:t>BANK OF AMERICA, N.A.</w:t>
      </w:r>
      <w:r>
        <w:rPr>
          <w:rFonts w:ascii="Arial" w:cs="Arial" w:eastAsia="Arial" w:hAnsi="Arial"/>
          <w:sz w:val="18"/>
          <w:szCs w:val="18"/>
          <w:color w:val="auto"/>
        </w:rPr>
        <w:t>, as Administrative Agent, Swing Line Lender and L/C Issuer</w:t>
      </w:r>
      <w:r>
        <w:rPr>
          <w:rFonts w:ascii="Arial" w:cs="Arial" w:eastAsia="Arial" w:hAnsi="Arial"/>
          <w:sz w:val="18"/>
          <w:szCs w:val="18"/>
          <w:b w:val="1"/>
          <w:bCs w:val="1"/>
          <w:color w:val="auto"/>
        </w:rPr>
        <w:t>, JPMORGAN CHASE BANK</w:t>
      </w:r>
      <w:r>
        <w:rPr>
          <w:rFonts w:ascii="Arial" w:cs="Arial" w:eastAsia="Arial" w:hAnsi="Arial"/>
          <w:sz w:val="18"/>
          <w:szCs w:val="18"/>
          <w:color w:val="auto"/>
        </w:rPr>
        <w:t xml:space="preserve">, as Syndication Agent, and </w:t>
      </w:r>
      <w:r>
        <w:rPr>
          <w:rFonts w:ascii="Arial" w:cs="Arial" w:eastAsia="Arial" w:hAnsi="Arial"/>
          <w:sz w:val="18"/>
          <w:szCs w:val="18"/>
          <w:b w:val="1"/>
          <w:bCs w:val="1"/>
          <w:color w:val="auto"/>
        </w:rPr>
        <w:t>HSBC BANK USA, NA, RBC CAPITAL MARKETS, WELLS FARGO BANK, N.A., FIFTH THIRD BANK</w:t>
      </w:r>
      <w:r>
        <w:rPr>
          <w:rFonts w:ascii="Arial" w:cs="Arial" w:eastAsia="Arial" w:hAnsi="Arial"/>
          <w:sz w:val="18"/>
          <w:szCs w:val="18"/>
          <w:color w:val="auto"/>
        </w:rPr>
        <w:t xml:space="preserve">, </w:t>
      </w:r>
      <w:r>
        <w:rPr>
          <w:rFonts w:ascii="Arial" w:cs="Arial" w:eastAsia="Arial" w:hAnsi="Arial"/>
          <w:sz w:val="18"/>
          <w:szCs w:val="18"/>
          <w:b w:val="1"/>
          <w:bCs w:val="1"/>
          <w:color w:val="auto"/>
        </w:rPr>
        <w:t>DNB NOR BANK</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ASA </w:t>
      </w:r>
      <w:r>
        <w:rPr>
          <w:rFonts w:ascii="Arial" w:cs="Arial" w:eastAsia="Arial" w:hAnsi="Arial"/>
          <w:sz w:val="18"/>
          <w:szCs w:val="18"/>
          <w:color w:val="auto"/>
        </w:rPr>
        <w:t>and</w:t>
      </w:r>
      <w:r>
        <w:rPr>
          <w:rFonts w:ascii="Arial" w:cs="Arial" w:eastAsia="Arial" w:hAnsi="Arial"/>
          <w:sz w:val="18"/>
          <w:szCs w:val="18"/>
          <w:b w:val="1"/>
          <w:bCs w:val="1"/>
          <w:color w:val="auto"/>
        </w:rPr>
        <w:t xml:space="preserve"> TD BANK, N.A.</w:t>
      </w:r>
      <w:r>
        <w:rPr>
          <w:rFonts w:ascii="Arial" w:cs="Arial" w:eastAsia="Arial" w:hAnsi="Arial"/>
          <w:sz w:val="18"/>
          <w:szCs w:val="18"/>
          <w:color w:val="auto"/>
        </w:rPr>
        <w:t>, as Co-Documentation Agents.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171" w:lineRule="exact"/>
        <w:rPr>
          <w:sz w:val="20"/>
          <w:szCs w:val="20"/>
          <w:color w:val="auto"/>
        </w:rPr>
      </w:pPr>
    </w:p>
    <w:p>
      <w:pPr>
        <w:jc w:val="both"/>
        <w:ind w:firstLine="456"/>
        <w:spacing w:after="0" w:line="310"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Borrower, the Lenders party thereto (the “</w:t>
      </w:r>
      <w:r>
        <w:rPr>
          <w:rFonts w:ascii="Arial" w:cs="Arial" w:eastAsia="Arial" w:hAnsi="Arial"/>
          <w:sz w:val="16"/>
          <w:szCs w:val="16"/>
          <w:u w:val="single" w:color="auto"/>
          <w:color w:val="auto"/>
        </w:rPr>
        <w:t>Existing Lenders</w:t>
      </w:r>
      <w:r>
        <w:rPr>
          <w:rFonts w:ascii="Arial" w:cs="Arial" w:eastAsia="Arial" w:hAnsi="Arial"/>
          <w:sz w:val="16"/>
          <w:szCs w:val="16"/>
          <w:color w:val="auto"/>
        </w:rPr>
        <w:t>”), Bank of America and the other agents party thereto are parties to that</w:t>
      </w:r>
      <w:r>
        <w:rPr>
          <w:rFonts w:ascii="Arial" w:cs="Arial" w:eastAsia="Arial" w:hAnsi="Arial"/>
          <w:sz w:val="16"/>
          <w:szCs w:val="16"/>
          <w:b w:val="1"/>
          <w:bCs w:val="1"/>
          <w:color w:val="auto"/>
        </w:rPr>
        <w:t xml:space="preserve"> </w:t>
      </w:r>
      <w:r>
        <w:rPr>
          <w:rFonts w:ascii="Arial" w:cs="Arial" w:eastAsia="Arial" w:hAnsi="Arial"/>
          <w:sz w:val="16"/>
          <w:szCs w:val="16"/>
          <w:color w:val="auto"/>
        </w:rPr>
        <w:t>certain Amended and Restated Credit Agreement dated as of August 10, 2010 as amended, supplemented or modified from time to time prior to the date hereof, the “</w:t>
      </w:r>
      <w:r>
        <w:rPr>
          <w:rFonts w:ascii="Arial" w:cs="Arial" w:eastAsia="Arial" w:hAnsi="Arial"/>
          <w:sz w:val="16"/>
          <w:szCs w:val="16"/>
          <w:u w:val="single" w:color="auto"/>
          <w:color w:val="auto"/>
        </w:rPr>
        <w:t>Existing Credit Agreement</w:t>
      </w:r>
      <w:r>
        <w:rPr>
          <w:rFonts w:ascii="Arial" w:cs="Arial" w:eastAsia="Arial" w:hAnsi="Arial"/>
          <w:sz w:val="16"/>
          <w:szCs w:val="16"/>
          <w:color w:val="auto"/>
        </w:rPr>
        <w:t>”), which provided to the Borrower a revolving credit facility and a term loan facility.</w:t>
      </w:r>
    </w:p>
    <w:p>
      <w:pPr>
        <w:spacing w:after="0" w:line="97"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order to continue the existing indebtedness of the Borrower under the Existing Credit Agreement, to increase the Facility and to terminate</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loan facility, the Borrower has requested that the Existing Credit Agreement be amended and restated (the “</w:t>
      </w:r>
      <w:r>
        <w:rPr>
          <w:rFonts w:ascii="Arial" w:cs="Arial" w:eastAsia="Arial" w:hAnsi="Arial"/>
          <w:sz w:val="18"/>
          <w:szCs w:val="18"/>
          <w:u w:val="single" w:color="auto"/>
          <w:color w:val="auto"/>
        </w:rPr>
        <w:t>Amendment and Restatement</w:t>
      </w:r>
      <w:r>
        <w:rPr>
          <w:rFonts w:ascii="Arial" w:cs="Arial" w:eastAsia="Arial" w:hAnsi="Arial"/>
          <w:sz w:val="18"/>
          <w:szCs w:val="18"/>
          <w:color w:val="auto"/>
        </w:rPr>
        <w:t>”), and the Lenders are willing to do so on the terms and conditions set forth herein;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mutual covenants and agreements herein contained, the parties hereto covenant and agree as follows: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ACCOUNTING TERMS</w:t>
      </w:r>
    </w:p>
    <w:p>
      <w:pPr>
        <w:spacing w:after="0" w:line="15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1.01 Defined Terms</w:t>
      </w:r>
      <w:r>
        <w:rPr>
          <w:rFonts w:ascii="Arial" w:cs="Arial" w:eastAsia="Arial" w:hAnsi="Arial"/>
          <w:sz w:val="18"/>
          <w:szCs w:val="18"/>
          <w:color w:val="auto"/>
        </w:rPr>
        <w:t>. As used in this Agreement, the following terms shall have the meanings set forth below:</w:t>
      </w:r>
    </w:p>
    <w:p>
      <w:pPr>
        <w:spacing w:after="0" w:line="17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by any Person, means the purchase or acquisition in a single transaction or a series of transactions by any such Person, individually or together with its Affiliates, of (a) any Equity Interest of another Person (other than a Loan Party) sufficient to cause such Person to become a direct or indirect Subsidiary of the Borrower or (b) all or a substantial portion of the Property of another Person (other than a Loan Party), including, without limitation, all or a substantial portion of the Property comprising a division, business unit or line of business, whether involving a merger or consolidation with such other Person. “</w:t>
      </w:r>
      <w:r>
        <w:rPr>
          <w:rFonts w:ascii="Arial" w:cs="Arial" w:eastAsia="Arial" w:hAnsi="Arial"/>
          <w:sz w:val="18"/>
          <w:szCs w:val="18"/>
          <w:u w:val="single" w:color="auto"/>
          <w:color w:val="auto"/>
        </w:rPr>
        <w:t>Acquire</w:t>
      </w:r>
      <w:r>
        <w:rPr>
          <w:rFonts w:ascii="Arial" w:cs="Arial" w:eastAsia="Arial" w:hAnsi="Arial"/>
          <w:sz w:val="18"/>
          <w:szCs w:val="18"/>
          <w:color w:val="auto"/>
        </w:rPr>
        <w:t>” has a meaning correlative thereto.</w:t>
      </w:r>
    </w:p>
    <w:p>
      <w:pPr>
        <w:spacing w:after="0" w:line="14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xml:space="preserve">” means Bank of America in its capacity as administrative agent and collateral agent, as applicable, under any of the Loan Documents, or any successor administrative agent and collateral agent, as provided in </w:t>
      </w:r>
      <w:r>
        <w:rPr>
          <w:rFonts w:ascii="Arial" w:cs="Arial" w:eastAsia="Arial" w:hAnsi="Arial"/>
          <w:sz w:val="18"/>
          <w:szCs w:val="18"/>
          <w:u w:val="single" w:color="auto"/>
          <w:color w:val="auto"/>
        </w:rPr>
        <w:t>Section 9.06</w:t>
      </w:r>
      <w:r>
        <w:rPr>
          <w:rFonts w:ascii="Arial" w:cs="Arial" w:eastAsia="Arial" w:hAnsi="Arial"/>
          <w:sz w:val="18"/>
          <w:szCs w:val="18"/>
          <w:color w:val="auto"/>
        </w:rPr>
        <w: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45" w:name="page46"/>
    <w:bookmarkEnd w:id="45"/>
    <w:p>
      <w:pPr>
        <w:ind w:right="46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means the Administrative Agent’s address and, as appropriate, account as set forth on </w:t>
      </w:r>
      <w:r>
        <w:rPr>
          <w:rFonts w:ascii="Arial" w:cs="Arial" w:eastAsia="Arial" w:hAnsi="Arial"/>
          <w:sz w:val="18"/>
          <w:szCs w:val="18"/>
          <w:u w:val="single" w:color="auto"/>
          <w:color w:val="auto"/>
        </w:rPr>
        <w:t>Schedule 10.02</w:t>
      </w:r>
      <w:r>
        <w:rPr>
          <w:rFonts w:ascii="Arial" w:cs="Arial" w:eastAsia="Arial" w:hAnsi="Arial"/>
          <w:sz w:val="18"/>
          <w:szCs w:val="18"/>
          <w:color w:val="auto"/>
        </w:rPr>
        <w:t>, or such other address or account as the Administrative Agent may from time to time notify to the Borrower and the Lenders.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another Person that directly, or indirectly through one or more intermediaries, Controls or is Controlled by or is under common Control with the Person specified.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 Fee Letter</w:t>
      </w:r>
      <w:r>
        <w:rPr>
          <w:rFonts w:ascii="Arial" w:cs="Arial" w:eastAsia="Arial" w:hAnsi="Arial"/>
          <w:sz w:val="18"/>
          <w:szCs w:val="18"/>
          <w:color w:val="auto"/>
        </w:rPr>
        <w:t>” means that certain letter agreement, dated as of June 7, 2011, between the Borrower and Bank of America.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Commitments</w:t>
      </w:r>
      <w:r>
        <w:rPr>
          <w:rFonts w:ascii="Arial" w:cs="Arial" w:eastAsia="Arial" w:hAnsi="Arial"/>
          <w:sz w:val="18"/>
          <w:szCs w:val="18"/>
          <w:color w:val="auto"/>
        </w:rPr>
        <w:t>” means the Commitments of all the Lenders.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Credit Agreement, as amended, amended and restated, supplemented or otherwise modified from time to time.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and Restatement</w:t>
      </w:r>
      <w:r>
        <w:rPr>
          <w:rFonts w:ascii="Arial" w:cs="Arial" w:eastAsia="Arial" w:hAnsi="Arial"/>
          <w:sz w:val="18"/>
          <w:szCs w:val="18"/>
          <w:color w:val="auto"/>
        </w:rPr>
        <w:t>” has the meaning specified in the recitals hereto.</w:t>
      </w:r>
    </w:p>
    <w:p>
      <w:pPr>
        <w:spacing w:after="0" w:line="171" w:lineRule="exact"/>
        <w:rPr>
          <w:sz w:val="20"/>
          <w:szCs w:val="20"/>
          <w:color w:val="auto"/>
        </w:rPr>
      </w:pPr>
    </w:p>
    <w:p>
      <w:pPr>
        <w:jc w:val="both"/>
        <w:ind w:right="220" w:firstLine="447"/>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Percentage</w:t>
      </w:r>
      <w:r>
        <w:rPr>
          <w:rFonts w:ascii="Arial" w:cs="Arial" w:eastAsia="Arial" w:hAnsi="Arial"/>
          <w:sz w:val="16"/>
          <w:szCs w:val="16"/>
          <w:color w:val="auto"/>
        </w:rPr>
        <w:t xml:space="preserve">” means with respect to any Revolving Credit Lender at any time, the percentage (carried out to the ninth decimal place) of the Facility represented by such Revolving Credit Lender’s Commitment at such time, subject to adjustment as provided in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If the commitment of each Revolving Credit Lender to make Revolving Credit Loans and the obligation of the L/C Issuer to make L/C Credit Extensions have been terminated pursuant to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or if the Commitments have expired, then the Applicable Percentage of each Revolving Credit Lender in respect of the Facility shall be determined based on the Applicable Percentage of such Revolving Credit Lender in respect of the Facility most recently in effect, giving effect to any subsequent assignments. The initial Applicable Percentage of each Lender is set forth opposite the name of such Lender on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or in the Assignment and Assumption pursuant to which such Lender becomes a party hereto, as applicable.</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xml:space="preserve">” means, from time to time, the following percentages per annum, based upon the Consolidated Total Leverage Ratio as set forth in the most recent Compliance Certificate received by the Administrative Agent pursuant to </w:t>
      </w:r>
      <w:r>
        <w:rPr>
          <w:rFonts w:ascii="Arial" w:cs="Arial" w:eastAsia="Arial" w:hAnsi="Arial"/>
          <w:sz w:val="18"/>
          <w:szCs w:val="18"/>
          <w:u w:val="single" w:color="auto"/>
          <w:color w:val="auto"/>
        </w:rPr>
        <w:t>Section 6.02(b)</w:t>
      </w:r>
      <w:r>
        <w:rPr>
          <w:rFonts w:ascii="Arial" w:cs="Arial" w:eastAsia="Arial" w:hAnsi="Arial"/>
          <w:sz w:val="18"/>
          <w:szCs w:val="18"/>
          <w:color w:val="auto"/>
        </w:rPr>
        <w:t>:</w:t>
      </w:r>
    </w:p>
    <w:p>
      <w:pPr>
        <w:spacing w:after="0" w:line="166"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APPLICABLE RATE</w:t>
      </w:r>
    </w:p>
    <w:p>
      <w:pPr>
        <w:spacing w:after="0" w:line="21"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Loans, Swing Line Loans and Letters of Credit</w:t>
      </w:r>
    </w:p>
    <w:p>
      <w:pPr>
        <w:spacing w:after="0" w:line="14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8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5"/>
              </w:rPr>
              <w:t>Base Rate</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8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0"/>
              </w:rPr>
              <w:t>Eurodollar Rate</w:t>
            </w:r>
          </w:p>
        </w:tc>
        <w:tc>
          <w:tcPr>
            <w:tcW w:w="148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8"/>
              </w:rPr>
              <w:t>Loans and</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Pricing</w:t>
            </w:r>
          </w:p>
        </w:tc>
        <w:tc>
          <w:tcPr>
            <w:tcW w:w="620" w:type="dxa"/>
            <w:vAlign w:val="bottom"/>
          </w:tcPr>
          <w:p>
            <w:pPr>
              <w:spacing w:after="0"/>
              <w:rPr>
                <w:sz w:val="12"/>
                <w:szCs w:val="12"/>
                <w:color w:val="auto"/>
              </w:rPr>
            </w:pPr>
          </w:p>
        </w:tc>
        <w:tc>
          <w:tcPr>
            <w:tcW w:w="3480" w:type="dxa"/>
            <w:vAlign w:val="bottom"/>
            <w:vMerge w:val="restart"/>
          </w:tcPr>
          <w:p>
            <w:pPr>
              <w:jc w:val="center"/>
              <w:ind w:left="1006"/>
              <w:spacing w:after="0"/>
              <w:rPr>
                <w:sz w:val="20"/>
                <w:szCs w:val="20"/>
                <w:color w:val="auto"/>
              </w:rPr>
            </w:pPr>
            <w:r>
              <w:rPr>
                <w:rFonts w:ascii="Arial" w:cs="Arial" w:eastAsia="Arial" w:hAnsi="Arial"/>
                <w:sz w:val="14"/>
                <w:szCs w:val="14"/>
                <w:b w:val="1"/>
                <w:bCs w:val="1"/>
                <w:color w:val="auto"/>
                <w:w w:val="85"/>
              </w:rPr>
              <w:t>Consolidated Total</w:t>
            </w:r>
          </w:p>
        </w:tc>
        <w:tc>
          <w:tcPr>
            <w:tcW w:w="1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8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5"/>
              </w:rPr>
              <w:t>Loans and</w:t>
            </w:r>
          </w:p>
        </w:tc>
        <w:tc>
          <w:tcPr>
            <w:tcW w:w="148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2"/>
              </w:rPr>
              <w:t>Swing</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4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348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80" w:type="dxa"/>
            <w:vAlign w:val="bottom"/>
            <w:gridSpan w:val="2"/>
          </w:tcPr>
          <w:p>
            <w:pPr>
              <w:jc w:val="center"/>
              <w:ind w:right="820"/>
              <w:spacing w:after="0" w:line="135" w:lineRule="exact"/>
              <w:rPr>
                <w:sz w:val="20"/>
                <w:szCs w:val="20"/>
                <w:color w:val="auto"/>
              </w:rPr>
            </w:pPr>
            <w:r>
              <w:rPr>
                <w:rFonts w:ascii="Arial" w:cs="Arial" w:eastAsia="Arial" w:hAnsi="Arial"/>
                <w:sz w:val="14"/>
                <w:szCs w:val="14"/>
                <w:b w:val="1"/>
                <w:bCs w:val="1"/>
                <w:color w:val="auto"/>
                <w:w w:val="92"/>
              </w:rPr>
              <w:t>Letter</w:t>
            </w:r>
          </w:p>
        </w:tc>
        <w:tc>
          <w:tcPr>
            <w:tcW w:w="1480" w:type="dxa"/>
            <w:vAlign w:val="bottom"/>
            <w:gridSpan w:val="2"/>
          </w:tcPr>
          <w:p>
            <w:pPr>
              <w:jc w:val="center"/>
              <w:ind w:right="820"/>
              <w:spacing w:after="0" w:line="135" w:lineRule="exact"/>
              <w:rPr>
                <w:sz w:val="20"/>
                <w:szCs w:val="20"/>
                <w:color w:val="auto"/>
              </w:rPr>
            </w:pPr>
            <w:r>
              <w:rPr>
                <w:rFonts w:ascii="Arial" w:cs="Arial" w:eastAsia="Arial" w:hAnsi="Arial"/>
                <w:sz w:val="14"/>
                <w:szCs w:val="14"/>
                <w:b w:val="1"/>
                <w:bCs w:val="1"/>
                <w:color w:val="auto"/>
                <w:w w:val="90"/>
              </w:rPr>
              <w:t>Line</w:t>
            </w:r>
          </w:p>
        </w:tc>
        <w:tc>
          <w:tcPr>
            <w:tcW w:w="980" w:type="dxa"/>
            <w:vAlign w:val="bottom"/>
            <w:gridSpan w:val="2"/>
          </w:tcPr>
          <w:p>
            <w:pPr>
              <w:jc w:val="right"/>
              <w:ind w:right="200"/>
              <w:spacing w:after="0" w:line="135" w:lineRule="exact"/>
              <w:rPr>
                <w:sz w:val="20"/>
                <w:szCs w:val="20"/>
                <w:color w:val="auto"/>
              </w:rPr>
            </w:pPr>
            <w:r>
              <w:rPr>
                <w:rFonts w:ascii="Arial" w:cs="Arial" w:eastAsia="Arial" w:hAnsi="Arial"/>
                <w:sz w:val="14"/>
                <w:szCs w:val="14"/>
                <w:b w:val="1"/>
                <w:bCs w:val="1"/>
                <w:color w:val="auto"/>
                <w:w w:val="88"/>
              </w:rPr>
              <w:t>Commitment</w:t>
            </w:r>
          </w:p>
        </w:tc>
        <w:tc>
          <w:tcPr>
            <w:tcW w:w="0" w:type="dxa"/>
            <w:vAlign w:val="bottom"/>
          </w:tcPr>
          <w:p>
            <w:pPr>
              <w:spacing w:after="0"/>
              <w:rPr>
                <w:sz w:val="1"/>
                <w:szCs w:val="1"/>
                <w:color w:val="auto"/>
              </w:rPr>
            </w:pPr>
          </w:p>
        </w:tc>
      </w:tr>
      <w:tr>
        <w:trPr>
          <w:trHeight w:val="149"/>
        </w:trPr>
        <w:tc>
          <w:tcPr>
            <w:tcW w:w="4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Level</w:t>
            </w:r>
          </w:p>
        </w:tc>
        <w:tc>
          <w:tcPr>
            <w:tcW w:w="620" w:type="dxa"/>
            <w:vAlign w:val="bottom"/>
          </w:tcPr>
          <w:p>
            <w:pPr>
              <w:spacing w:after="0"/>
              <w:rPr>
                <w:sz w:val="12"/>
                <w:szCs w:val="12"/>
                <w:color w:val="auto"/>
              </w:rPr>
            </w:pPr>
          </w:p>
        </w:tc>
        <w:tc>
          <w:tcPr>
            <w:tcW w:w="3480" w:type="dxa"/>
            <w:vAlign w:val="bottom"/>
          </w:tcPr>
          <w:p>
            <w:pPr>
              <w:jc w:val="center"/>
              <w:ind w:left="1006"/>
              <w:spacing w:after="0" w:line="129" w:lineRule="exact"/>
              <w:rPr>
                <w:sz w:val="20"/>
                <w:szCs w:val="20"/>
                <w:color w:val="auto"/>
              </w:rPr>
            </w:pPr>
            <w:r>
              <w:rPr>
                <w:rFonts w:ascii="Arial" w:cs="Arial" w:eastAsia="Arial" w:hAnsi="Arial"/>
                <w:sz w:val="14"/>
                <w:szCs w:val="14"/>
                <w:b w:val="1"/>
                <w:bCs w:val="1"/>
                <w:color w:val="auto"/>
                <w:w w:val="87"/>
              </w:rPr>
              <w:t>Leverage Ratio</w:t>
            </w:r>
          </w:p>
        </w:tc>
        <w:tc>
          <w:tcPr>
            <w:tcW w:w="1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80" w:type="dxa"/>
            <w:vAlign w:val="bottom"/>
            <w:gridSpan w:val="2"/>
          </w:tcPr>
          <w:p>
            <w:pPr>
              <w:jc w:val="center"/>
              <w:ind w:right="840"/>
              <w:spacing w:after="0" w:line="129" w:lineRule="exact"/>
              <w:rPr>
                <w:sz w:val="20"/>
                <w:szCs w:val="20"/>
                <w:color w:val="auto"/>
              </w:rPr>
            </w:pPr>
            <w:r>
              <w:rPr>
                <w:rFonts w:ascii="Arial" w:cs="Arial" w:eastAsia="Arial" w:hAnsi="Arial"/>
                <w:sz w:val="14"/>
                <w:szCs w:val="14"/>
                <w:b w:val="1"/>
                <w:bCs w:val="1"/>
                <w:color w:val="auto"/>
                <w:w w:val="87"/>
              </w:rPr>
              <w:t>of Credit Fees</w:t>
            </w:r>
          </w:p>
        </w:tc>
        <w:tc>
          <w:tcPr>
            <w:tcW w:w="1480" w:type="dxa"/>
            <w:vAlign w:val="bottom"/>
            <w:gridSpan w:val="2"/>
          </w:tcPr>
          <w:p>
            <w:pPr>
              <w:jc w:val="center"/>
              <w:ind w:right="820"/>
              <w:spacing w:after="0" w:line="129" w:lineRule="exact"/>
              <w:rPr>
                <w:sz w:val="20"/>
                <w:szCs w:val="20"/>
                <w:color w:val="auto"/>
              </w:rPr>
            </w:pPr>
            <w:r>
              <w:rPr>
                <w:rFonts w:ascii="Arial" w:cs="Arial" w:eastAsia="Arial" w:hAnsi="Arial"/>
                <w:sz w:val="14"/>
                <w:szCs w:val="14"/>
                <w:b w:val="1"/>
                <w:bCs w:val="1"/>
                <w:color w:val="auto"/>
                <w:w w:val="82"/>
              </w:rPr>
              <w:t>Loans</w:t>
            </w:r>
          </w:p>
        </w:tc>
        <w:tc>
          <w:tcPr>
            <w:tcW w:w="980" w:type="dxa"/>
            <w:vAlign w:val="bottom"/>
            <w:gridSpan w:val="2"/>
          </w:tcPr>
          <w:p>
            <w:pPr>
              <w:jc w:val="right"/>
              <w:ind w:right="480"/>
              <w:spacing w:after="0" w:line="129" w:lineRule="exact"/>
              <w:rPr>
                <w:sz w:val="20"/>
                <w:szCs w:val="20"/>
                <w:color w:val="auto"/>
              </w:rPr>
            </w:pPr>
            <w:r>
              <w:rPr>
                <w:rFonts w:ascii="Arial" w:cs="Arial" w:eastAsia="Arial" w:hAnsi="Arial"/>
                <w:sz w:val="14"/>
                <w:szCs w:val="14"/>
                <w:b w:val="1"/>
                <w:bCs w:val="1"/>
                <w:color w:val="auto"/>
              </w:rPr>
              <w:t>Fee</w:t>
            </w:r>
          </w:p>
        </w:tc>
        <w:tc>
          <w:tcPr>
            <w:tcW w:w="0" w:type="dxa"/>
            <w:vAlign w:val="bottom"/>
          </w:tcPr>
          <w:p>
            <w:pPr>
              <w:spacing w:after="0"/>
              <w:rPr>
                <w:sz w:val="1"/>
                <w:szCs w:val="1"/>
                <w:color w:val="auto"/>
              </w:rPr>
            </w:pPr>
          </w:p>
        </w:tc>
      </w:tr>
      <w:tr>
        <w:trPr>
          <w:trHeight w:val="20"/>
        </w:trPr>
        <w:tc>
          <w:tcPr>
            <w:tcW w:w="4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rPr>
              <w:t>I</w:t>
            </w:r>
          </w:p>
        </w:tc>
        <w:tc>
          <w:tcPr>
            <w:tcW w:w="620" w:type="dxa"/>
            <w:vAlign w:val="bottom"/>
            <w:shd w:val="clear" w:color="auto" w:fill="CCEEFF"/>
          </w:tcPr>
          <w:p>
            <w:pPr>
              <w:spacing w:after="0"/>
              <w:rPr>
                <w:sz w:val="17"/>
                <w:szCs w:val="17"/>
                <w:color w:val="auto"/>
              </w:rPr>
            </w:pPr>
          </w:p>
        </w:tc>
        <w:tc>
          <w:tcPr>
            <w:tcW w:w="3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³ 3.00 to 1.0</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680"/>
              <w:spacing w:after="0" w:line="196" w:lineRule="exact"/>
              <w:rPr>
                <w:sz w:val="20"/>
                <w:szCs w:val="20"/>
                <w:color w:val="auto"/>
              </w:rPr>
            </w:pPr>
            <w:r>
              <w:rPr>
                <w:rFonts w:ascii="Arial" w:cs="Arial" w:eastAsia="Arial" w:hAnsi="Arial"/>
                <w:sz w:val="18"/>
                <w:szCs w:val="18"/>
                <w:color w:val="auto"/>
              </w:rPr>
              <w:t>1.75%</w:t>
            </w:r>
          </w:p>
        </w:tc>
        <w:tc>
          <w:tcPr>
            <w:tcW w:w="1480" w:type="dxa"/>
            <w:vAlign w:val="bottom"/>
            <w:gridSpan w:val="2"/>
            <w:shd w:val="clear" w:color="auto" w:fill="CCEEFF"/>
          </w:tcPr>
          <w:p>
            <w:pPr>
              <w:jc w:val="right"/>
              <w:ind w:right="680"/>
              <w:spacing w:after="0" w:line="196" w:lineRule="exact"/>
              <w:rPr>
                <w:sz w:val="20"/>
                <w:szCs w:val="20"/>
                <w:color w:val="auto"/>
              </w:rPr>
            </w:pPr>
            <w:r>
              <w:rPr>
                <w:rFonts w:ascii="Arial" w:cs="Arial" w:eastAsia="Arial" w:hAnsi="Arial"/>
                <w:sz w:val="18"/>
                <w:szCs w:val="18"/>
                <w:color w:val="auto"/>
              </w:rPr>
              <w:t>0.75%</w:t>
            </w:r>
          </w:p>
        </w:tc>
        <w:tc>
          <w:tcPr>
            <w:tcW w:w="9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0.300%</w:t>
            </w:r>
          </w:p>
        </w:tc>
        <w:tc>
          <w:tcPr>
            <w:tcW w:w="0" w:type="dxa"/>
            <w:vAlign w:val="bottom"/>
          </w:tcPr>
          <w:p>
            <w:pPr>
              <w:spacing w:after="0"/>
              <w:rPr>
                <w:sz w:val="1"/>
                <w:szCs w:val="1"/>
                <w:color w:val="auto"/>
              </w:rPr>
            </w:pPr>
          </w:p>
        </w:tc>
      </w:tr>
      <w:tr>
        <w:trPr>
          <w:trHeight w:val="216"/>
        </w:trPr>
        <w:tc>
          <w:tcPr>
            <w:tcW w:w="440" w:type="dxa"/>
            <w:vAlign w:val="bottom"/>
          </w:tcPr>
          <w:p>
            <w:pPr>
              <w:jc w:val="center"/>
              <w:spacing w:after="0"/>
              <w:rPr>
                <w:sz w:val="20"/>
                <w:szCs w:val="20"/>
                <w:color w:val="auto"/>
              </w:rPr>
            </w:pPr>
            <w:r>
              <w:rPr>
                <w:rFonts w:ascii="Arial" w:cs="Arial" w:eastAsia="Arial" w:hAnsi="Arial"/>
                <w:sz w:val="18"/>
                <w:szCs w:val="18"/>
                <w:color w:val="auto"/>
              </w:rPr>
              <w:t>II</w:t>
            </w:r>
          </w:p>
        </w:tc>
        <w:tc>
          <w:tcPr>
            <w:tcW w:w="4100" w:type="dxa"/>
            <w:vAlign w:val="bottom"/>
            <w:gridSpan w:val="2"/>
          </w:tcPr>
          <w:p>
            <w:pPr>
              <w:ind w:left="620"/>
              <w:spacing w:after="0"/>
              <w:rPr>
                <w:sz w:val="20"/>
                <w:szCs w:val="20"/>
                <w:color w:val="auto"/>
              </w:rPr>
            </w:pPr>
            <w:r>
              <w:rPr>
                <w:rFonts w:ascii="Arial" w:cs="Arial" w:eastAsia="Arial" w:hAnsi="Arial"/>
                <w:sz w:val="18"/>
                <w:szCs w:val="18"/>
                <w:color w:val="auto"/>
              </w:rPr>
              <w:t>&lt; 3.00 to 1.0 but ³ 2.00 to 1.0</w:t>
            </w:r>
          </w:p>
        </w:tc>
        <w:tc>
          <w:tcPr>
            <w:tcW w:w="3500" w:type="dxa"/>
            <w:vAlign w:val="bottom"/>
            <w:gridSpan w:val="4"/>
          </w:tcPr>
          <w:p>
            <w:pPr>
              <w:jc w:val="right"/>
              <w:ind w:right="680"/>
              <w:spacing w:after="0"/>
              <w:rPr>
                <w:sz w:val="20"/>
                <w:szCs w:val="20"/>
                <w:color w:val="auto"/>
              </w:rPr>
            </w:pPr>
            <w:r>
              <w:rPr>
                <w:rFonts w:ascii="Arial" w:cs="Arial" w:eastAsia="Arial" w:hAnsi="Arial"/>
                <w:sz w:val="18"/>
                <w:szCs w:val="18"/>
                <w:color w:val="auto"/>
              </w:rPr>
              <w:t>1.50%</w:t>
            </w: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0.50%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0.250%</w:t>
            </w: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III</w:t>
            </w:r>
          </w:p>
        </w:tc>
        <w:tc>
          <w:tcPr>
            <w:tcW w:w="41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&lt; 2.00 to 1.0 but ³ 1.25 to 1.0</w:t>
            </w:r>
          </w:p>
        </w:tc>
        <w:tc>
          <w:tcPr>
            <w:tcW w:w="35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1.25%</w:t>
            </w: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0.25%</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0.200%</w:t>
            </w:r>
          </w:p>
        </w:tc>
        <w:tc>
          <w:tcPr>
            <w:tcW w:w="0" w:type="dxa"/>
            <w:vAlign w:val="bottom"/>
          </w:tcPr>
          <w:p>
            <w:pPr>
              <w:spacing w:after="0"/>
              <w:rPr>
                <w:sz w:val="1"/>
                <w:szCs w:val="1"/>
                <w:color w:val="auto"/>
              </w:rPr>
            </w:pPr>
          </w:p>
        </w:tc>
      </w:tr>
      <w:tr>
        <w:trPr>
          <w:trHeight w:val="222"/>
        </w:trPr>
        <w:tc>
          <w:tcPr>
            <w:tcW w:w="440" w:type="dxa"/>
            <w:vAlign w:val="bottom"/>
          </w:tcPr>
          <w:p>
            <w:pPr>
              <w:jc w:val="center"/>
              <w:spacing w:after="0"/>
              <w:rPr>
                <w:sz w:val="20"/>
                <w:szCs w:val="20"/>
                <w:color w:val="auto"/>
              </w:rPr>
            </w:pPr>
            <w:r>
              <w:rPr>
                <w:rFonts w:ascii="Arial" w:cs="Arial" w:eastAsia="Arial" w:hAnsi="Arial"/>
                <w:sz w:val="18"/>
                <w:szCs w:val="18"/>
                <w:color w:val="auto"/>
              </w:rPr>
              <w:t>IV</w:t>
            </w:r>
          </w:p>
        </w:tc>
        <w:tc>
          <w:tcPr>
            <w:tcW w:w="4100" w:type="dxa"/>
            <w:vAlign w:val="bottom"/>
            <w:gridSpan w:val="2"/>
          </w:tcPr>
          <w:p>
            <w:pPr>
              <w:ind w:left="620"/>
              <w:spacing w:after="0"/>
              <w:rPr>
                <w:sz w:val="20"/>
                <w:szCs w:val="20"/>
                <w:color w:val="auto"/>
              </w:rPr>
            </w:pPr>
            <w:r>
              <w:rPr>
                <w:rFonts w:ascii="Arial" w:cs="Arial" w:eastAsia="Arial" w:hAnsi="Arial"/>
                <w:sz w:val="18"/>
                <w:szCs w:val="18"/>
                <w:color w:val="auto"/>
              </w:rPr>
              <w:t>&lt; 1.25 to 1.0</w:t>
            </w:r>
          </w:p>
        </w:tc>
        <w:tc>
          <w:tcPr>
            <w:tcW w:w="3500" w:type="dxa"/>
            <w:vAlign w:val="bottom"/>
            <w:gridSpan w:val="4"/>
          </w:tcPr>
          <w:p>
            <w:pPr>
              <w:jc w:val="right"/>
              <w:ind w:right="680"/>
              <w:spacing w:after="0"/>
              <w:rPr>
                <w:sz w:val="20"/>
                <w:szCs w:val="20"/>
                <w:color w:val="auto"/>
              </w:rPr>
            </w:pPr>
            <w:r>
              <w:rPr>
                <w:rFonts w:ascii="Arial" w:cs="Arial" w:eastAsia="Arial" w:hAnsi="Arial"/>
                <w:sz w:val="18"/>
                <w:szCs w:val="18"/>
                <w:color w:val="auto"/>
              </w:rPr>
              <w:t>1.00%</w:t>
            </w: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0.00%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0.150%</w:t>
            </w:r>
          </w:p>
        </w:tc>
        <w:tc>
          <w:tcPr>
            <w:tcW w:w="0" w:type="dxa"/>
            <w:vAlign w:val="bottom"/>
          </w:tcPr>
          <w:p>
            <w:pPr>
              <w:spacing w:after="0"/>
              <w:rPr>
                <w:sz w:val="1"/>
                <w:szCs w:val="1"/>
                <w:color w:val="auto"/>
              </w:rPr>
            </w:pPr>
          </w:p>
        </w:tc>
      </w:tr>
      <w:tr>
        <w:trPr>
          <w:trHeight w:val="356"/>
        </w:trPr>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080" w:type="dxa"/>
            <w:vAlign w:val="bottom"/>
          </w:tcPr>
          <w:p>
            <w:pPr>
              <w:jc w:val="right"/>
              <w:ind w:right="232"/>
              <w:spacing w:after="0"/>
              <w:rPr>
                <w:sz w:val="20"/>
                <w:szCs w:val="20"/>
                <w:color w:val="auto"/>
              </w:rPr>
            </w:pPr>
            <w:r>
              <w:rPr>
                <w:rFonts w:ascii="Arial" w:cs="Arial" w:eastAsia="Arial" w:hAnsi="Arial"/>
                <w:sz w:val="18"/>
                <w:szCs w:val="18"/>
                <w:color w:val="auto"/>
              </w:rPr>
              <w:t>2</w:t>
            </w: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46" w:name="page47"/>
    <w:bookmarkEnd w:id="46"/>
    <w:p>
      <w:pPr>
        <w:jc w:val="both"/>
        <w:ind w:firstLine="456"/>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Any increase or decrease in the Applicable Rate resulting from a change in the Consolidated Total Leverage Ratio shall become effective as of the first Business Day immediately following the date a Compliance Certificate is delivered pursuant to </w:t>
      </w:r>
      <w:r>
        <w:rPr>
          <w:rFonts w:ascii="Arial" w:cs="Arial" w:eastAsia="Arial" w:hAnsi="Arial"/>
          <w:sz w:val="18"/>
          <w:szCs w:val="18"/>
          <w:u w:val="single" w:color="auto"/>
          <w:color w:val="auto"/>
        </w:rPr>
        <w:t>Section 6.02(b)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a Compliance Certificate is not delivered within 5 Business Days of its becoming due in accordance with such </w:t>
      </w:r>
      <w:r>
        <w:rPr>
          <w:rFonts w:ascii="Arial" w:cs="Arial" w:eastAsia="Arial" w:hAnsi="Arial"/>
          <w:sz w:val="18"/>
          <w:szCs w:val="18"/>
          <w:u w:val="single" w:color="auto"/>
          <w:color w:val="auto"/>
        </w:rPr>
        <w:t>Section 6.02(b)</w:t>
      </w:r>
      <w:r>
        <w:rPr>
          <w:rFonts w:ascii="Arial" w:cs="Arial" w:eastAsia="Arial" w:hAnsi="Arial"/>
          <w:sz w:val="18"/>
          <w:szCs w:val="18"/>
          <w:color w:val="auto"/>
        </w:rPr>
        <w:t>, then Pricing Level I will be applicable as of the first Business Day after the date on which such Compliance Certificate was required to be delivered until the date five Business Days after the appropriate Compliance Certificate is delivered, whereupon the Applicable Rate shall be adjusted based on the information contained in the Compliance Certificate. The Applicable Rate in effect during the period from the Closing Date until the first Business Day immediately following the date that the quarterly Compliance Certificate is delivered for the period ending June 30, 2011 shall be determined based upon the Consolidated Total Leverage Ratio reported in the Compliance Certificate delivered at Closing.</w:t>
      </w:r>
    </w:p>
    <w:p>
      <w:pPr>
        <w:spacing w:after="0" w:line="14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 xml:space="preserve">Notwithstanding anything to the contrary contained in this definition, the determination of the Applicable Rate for any period shall be subject to the provisions of </w:t>
      </w:r>
      <w:r>
        <w:rPr>
          <w:rFonts w:ascii="Arial" w:cs="Arial" w:eastAsia="Arial" w:hAnsi="Arial"/>
          <w:sz w:val="18"/>
          <w:szCs w:val="18"/>
          <w:u w:val="single" w:color="auto"/>
          <w:color w:val="auto"/>
        </w:rPr>
        <w:t>Section 2.10(b)</w:t>
      </w:r>
      <w:r>
        <w:rPr>
          <w:rFonts w:ascii="Arial" w:cs="Arial" w:eastAsia="Arial" w:hAnsi="Arial"/>
          <w:sz w:val="18"/>
          <w:szCs w:val="18"/>
          <w:color w:val="auto"/>
        </w:rPr>
        <w:t>.</w:t>
      </w:r>
    </w:p>
    <w:p>
      <w:pPr>
        <w:spacing w:after="0" w:line="13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Revolving Credit Percentage</w:t>
      </w:r>
      <w:r>
        <w:rPr>
          <w:rFonts w:ascii="Arial" w:cs="Arial" w:eastAsia="Arial" w:hAnsi="Arial"/>
          <w:sz w:val="18"/>
          <w:szCs w:val="18"/>
          <w:color w:val="auto"/>
        </w:rPr>
        <w:t>” means with respect to any Revolving Credit Lender at any time, such Revolving Credit Lender’s Applicable Percentage in respect of the Facility at such time.</w:t>
      </w:r>
    </w:p>
    <w:p>
      <w:pPr>
        <w:spacing w:after="0" w:line="13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Appropriate Lender</w:t>
      </w:r>
      <w:r>
        <w:rPr>
          <w:rFonts w:ascii="Arial" w:cs="Arial" w:eastAsia="Arial" w:hAnsi="Arial"/>
          <w:sz w:val="16"/>
          <w:szCs w:val="16"/>
          <w:color w:val="auto"/>
        </w:rPr>
        <w:t xml:space="preserve">” means, at any time, (a) a Lender that has a Commitment or holds a Loan at such time, (b) with respect to the Letter of Credit Sublimit, (i) the L/C Issuer and (ii) if any Letters of Credit have been issued pursuant to </w:t>
      </w:r>
      <w:r>
        <w:rPr>
          <w:rFonts w:ascii="Arial" w:cs="Arial" w:eastAsia="Arial" w:hAnsi="Arial"/>
          <w:sz w:val="16"/>
          <w:szCs w:val="16"/>
          <w:u w:val="single" w:color="auto"/>
          <w:color w:val="auto"/>
        </w:rPr>
        <w:t>Section 2.03(a)</w:t>
      </w:r>
      <w:r>
        <w:rPr>
          <w:rFonts w:ascii="Arial" w:cs="Arial" w:eastAsia="Arial" w:hAnsi="Arial"/>
          <w:sz w:val="16"/>
          <w:szCs w:val="16"/>
          <w:color w:val="auto"/>
        </w:rPr>
        <w:t xml:space="preserve">, the Revolving Credit Lenders and (c) with respect to the Swing Line Sublimit, (i) the Swing Line Lender and (ii) if any Swing Line Loans are outstanding pursuant to </w:t>
      </w:r>
      <w:r>
        <w:rPr>
          <w:rFonts w:ascii="Arial" w:cs="Arial" w:eastAsia="Arial" w:hAnsi="Arial"/>
          <w:sz w:val="16"/>
          <w:szCs w:val="16"/>
          <w:u w:val="single" w:color="auto"/>
          <w:color w:val="auto"/>
        </w:rPr>
        <w:t>Section 2.04(a)</w:t>
      </w:r>
      <w:r>
        <w:rPr>
          <w:rFonts w:ascii="Arial" w:cs="Arial" w:eastAsia="Arial" w:hAnsi="Arial"/>
          <w:sz w:val="16"/>
          <w:szCs w:val="16"/>
          <w:color w:val="auto"/>
        </w:rPr>
        <w:t>, the Revolving Credit Lenders.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Bank</w:t>
      </w:r>
      <w:r>
        <w:rPr>
          <w:rFonts w:ascii="Arial" w:cs="Arial" w:eastAsia="Arial" w:hAnsi="Arial"/>
          <w:sz w:val="18"/>
          <w:szCs w:val="18"/>
          <w:color w:val="auto"/>
        </w:rPr>
        <w:t>” has the meaning specified in the definition of “</w:t>
      </w:r>
      <w:r>
        <w:rPr>
          <w:rFonts w:ascii="Arial" w:cs="Arial" w:eastAsia="Arial" w:hAnsi="Arial"/>
          <w:sz w:val="18"/>
          <w:szCs w:val="18"/>
          <w:u w:val="single" w:color="auto"/>
          <w:color w:val="auto"/>
        </w:rPr>
        <w:t>Cash Equivalents</w:t>
      </w:r>
      <w:r>
        <w:rPr>
          <w:rFonts w:ascii="Arial" w:cs="Arial" w:eastAsia="Arial" w:hAnsi="Arial"/>
          <w:sz w:val="18"/>
          <w:szCs w:val="18"/>
          <w:color w:val="auto"/>
        </w:rPr>
        <w:t>”.</w:t>
      </w:r>
    </w:p>
    <w:p>
      <w:pPr>
        <w:spacing w:after="0" w:line="171"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administered or managed by (a) a Lender, (b) an Affiliate of a Lender or (c) an entity or an Affiliate of an entity that administers or manages a Lender.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 Fee Letters</w:t>
      </w:r>
      <w:r>
        <w:rPr>
          <w:rFonts w:ascii="Arial" w:cs="Arial" w:eastAsia="Arial" w:hAnsi="Arial"/>
          <w:sz w:val="18"/>
          <w:szCs w:val="18"/>
          <w:color w:val="auto"/>
        </w:rPr>
        <w:t>” means collectively, the MLPFS Arranger Fee Letter and the JPM Arranger Fee Letter.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Arrangers</w:t>
      </w:r>
      <w:r>
        <w:rPr>
          <w:rFonts w:ascii="Arial" w:cs="Arial" w:eastAsia="Arial" w:hAnsi="Arial"/>
          <w:sz w:val="18"/>
          <w:szCs w:val="18"/>
          <w:color w:val="auto"/>
        </w:rPr>
        <w:t>” means MLPFS and J.P. Morgan Securities, each in its capacity as a joint lead arranger and a joint book manager.</w:t>
      </w:r>
    </w:p>
    <w:p>
      <w:pPr>
        <w:spacing w:after="0" w:line="17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 Group</w:t>
      </w:r>
      <w:r>
        <w:rPr>
          <w:rFonts w:ascii="Arial" w:cs="Arial" w:eastAsia="Arial" w:hAnsi="Arial"/>
          <w:sz w:val="18"/>
          <w:szCs w:val="18"/>
          <w:color w:val="auto"/>
        </w:rPr>
        <w:t>” means two or more Eligible Assignees that are Affiliates of one another or two or more Approved Funds managed by the same investment advisor.</w:t>
      </w:r>
    </w:p>
    <w:p>
      <w:pPr>
        <w:spacing w:after="0" w:line="132"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entered into by a Lender and an Eligible Assignee (with the consent of any party whose consent is required by </w:t>
      </w:r>
      <w:r>
        <w:rPr>
          <w:rFonts w:ascii="Arial" w:cs="Arial" w:eastAsia="Arial" w:hAnsi="Arial"/>
          <w:sz w:val="18"/>
          <w:szCs w:val="18"/>
          <w:u w:val="single" w:color="auto"/>
          <w:color w:val="auto"/>
        </w:rPr>
        <w:t>Section 10.06(b))</w:t>
      </w:r>
      <w:r>
        <w:rPr>
          <w:rFonts w:ascii="Arial" w:cs="Arial" w:eastAsia="Arial" w:hAnsi="Arial"/>
          <w:sz w:val="18"/>
          <w:szCs w:val="18"/>
          <w:color w:val="auto"/>
        </w:rPr>
        <w:t xml:space="preserve">, and accepted by the Administrative Agent, in substantially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or any other form approved by the Administrative Agent.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47" w:name="page48"/>
    <w:bookmarkEnd w:id="47"/>
    <w:p>
      <w:pPr>
        <w:jc w:val="both"/>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Attributable Indebtedness</w:t>
      </w:r>
      <w:r>
        <w:rPr>
          <w:rFonts w:ascii="Arial" w:cs="Arial" w:eastAsia="Arial" w:hAnsi="Arial"/>
          <w:sz w:val="18"/>
          <w:szCs w:val="18"/>
          <w:color w:val="auto"/>
        </w:rPr>
        <w:t>” means, on any date, (a) in respect of any Capitalized Lease of any Person, the capitalized amount thereof that would appear on a balance sheet of such Person prepared as of such date in accordance with GAAP, and (b) in respect of any Off-Balance Sheet Obligation, the capitalized amount of the remaining lease payments under the relevant lease that would appear on a balance sheet of such Person prepared as of such date in accordance with GAAP if such lease were accounted for as a Capitalized Lease.</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means (a) the audited consolidated balance sheets of the Borrower and its Consolidated Subsidiaries for the fiscal year ended December 31, 2010, and (b) the related consolidated statements of income or operations, shareholders’ equity and cash flows for such fiscal year of the Borrower and its Consolidated Subsidiaries, including the notes thereto.</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xml:space="preserve">” means the period from and including the Closing Date to the earliest of (a) the Maturity Date, (b) the date of termination of all of the Commitments pursuant to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and (c) the date of termination of the Commitment of each Revolving Credit Lender to make Revolving Credit Loans and of the obligation of the L/C Issuer to make L/C Credit Extensions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of America</w:t>
      </w:r>
      <w:r>
        <w:rPr>
          <w:rFonts w:ascii="Arial" w:cs="Arial" w:eastAsia="Arial" w:hAnsi="Arial"/>
          <w:sz w:val="18"/>
          <w:szCs w:val="18"/>
          <w:color w:val="auto"/>
        </w:rPr>
        <w:t>” means Bank of America, N.A. and its successors.</w:t>
      </w:r>
    </w:p>
    <w:p>
      <w:pPr>
        <w:spacing w:after="0" w:line="171"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Rate</w:t>
      </w:r>
      <w:r>
        <w:rPr>
          <w:rFonts w:ascii="Arial" w:cs="Arial" w:eastAsia="Arial" w:hAnsi="Arial"/>
          <w:sz w:val="16"/>
          <w:szCs w:val="16"/>
          <w:color w:val="auto"/>
        </w:rPr>
        <w:t xml:space="preserve">” means for any day a fluctuating rate per annum equal to the highest of (a) the Federal Funds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1/2 of 1%, (b) the rate of interest in effect for such day as publicly announced from time to time by Bank of America as its “prime rate,” or (c) the Eurodollar Rate plus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a Revolving Credit Loan that bears interest based on the Base Rate.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specified in the introductory paragraph 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Revolving Credit Borrowing or a Swing Line Borrowing, as the context may require.</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other day on which commercial banks are authorized to close under the Laws of, or are in fact closed in, the state where the Administrative Agent’s Office is located or the State of New York and, if such day relates to any Eurodollar Rate Loan, means any such day that is also a London Banking Day.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5.13(a)</w:t>
      </w:r>
      <w:r>
        <w:rPr>
          <w:rFonts w:ascii="Arial" w:cs="Arial" w:eastAsia="Arial" w:hAnsi="Arial"/>
          <w:sz w:val="18"/>
          <w:szCs w:val="18"/>
          <w:color w:val="auto"/>
        </w:rPr>
        <w:t>.</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Assets</w:t>
      </w:r>
      <w:r>
        <w:rPr>
          <w:rFonts w:ascii="Arial" w:cs="Arial" w:eastAsia="Arial" w:hAnsi="Arial"/>
          <w:sz w:val="18"/>
          <w:szCs w:val="18"/>
          <w:color w:val="auto"/>
        </w:rPr>
        <w:t>” means, with respect to any Person, all equipment, fixed assets and real property or improvements of such Person, or replacements or substitutions therefor or additions thereto, that, in accordance with GAAP, have been or should be reflected as additions to property, plant or equipment on the balance sheet of such Person.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48" w:name="page49"/>
    <w:bookmarkEnd w:id="48"/>
    <w:p>
      <w:pPr>
        <w:jc w:val="both"/>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Capitalized Lease</w:t>
      </w:r>
      <w:r>
        <w:rPr>
          <w:rFonts w:ascii="Arial" w:cs="Arial" w:eastAsia="Arial" w:hAnsi="Arial"/>
          <w:sz w:val="18"/>
          <w:szCs w:val="18"/>
          <w:color w:val="auto"/>
        </w:rPr>
        <w:t>” means, as applied to any Person, any lease of any Property (whether real, personal or mixed) by that Person as lessee which, in accordance with GAAP, is or should be accounted for as a capital lease on the balance sheet of such Person.</w:t>
      </w:r>
    </w:p>
    <w:p>
      <w:pPr>
        <w:spacing w:after="0" w:line="132"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Collateralize</w:t>
      </w:r>
      <w:r>
        <w:rPr>
          <w:rFonts w:ascii="Arial" w:cs="Arial" w:eastAsia="Arial" w:hAnsi="Arial"/>
          <w:sz w:val="16"/>
          <w:szCs w:val="16"/>
          <w:color w:val="auto"/>
        </w:rPr>
        <w:t>” means to pledge and deposit with or deliver to the Administrative Agent, for the benefit of the Administrative Agent, L/C Issuer or Swing Line Lender (as applicable) and the Revolving Credit Lenders, as collateral for the L/C Obligations, Obligations in respect of Swing Line Loans, or obligations of Revolving Credit Lenders to fund participations in respect of either thereof (as the context may require), cash or deposit account balances or, if the L/C Issuer or Swing Line Lender benefitting from such collateral shall agree in its sole discretion, other credit support, in each case pursuant to documentation in form and substance satisfactory to (a) the Administrative Agent and (b) the L/C Issuer or the Swing Line Lender (as applicable). “Cash Collateral” shall have a meaning correlative to the foregoing and shall include the proceeds of such cash collateral and other credit support.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w:t>
      </w:r>
    </w:p>
    <w:p>
      <w:pPr>
        <w:spacing w:after="0" w:line="90" w:lineRule="exact"/>
        <w:rPr>
          <w:sz w:val="20"/>
          <w:szCs w:val="20"/>
          <w:color w:val="auto"/>
        </w:rPr>
      </w:pPr>
    </w:p>
    <w:p>
      <w:pPr>
        <w:jc w:val="both"/>
        <w:ind w:left="460" w:firstLine="443"/>
        <w:spacing w:after="0" w:line="259" w:lineRule="auto"/>
        <w:tabs>
          <w:tab w:leader="none" w:pos="1147" w:val="left"/>
        </w:tabs>
        <w:numPr>
          <w:ilvl w:val="1"/>
          <w:numId w:val="18"/>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of America or any agency or instrumentality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full faith and credit of the United States of America is pledged in support thereof) having maturities of not more than thirty-six (36) months from the date of acquisition;</w:t>
      </w:r>
    </w:p>
    <w:p>
      <w:pPr>
        <w:spacing w:after="0" w:line="59" w:lineRule="exact"/>
        <w:rPr>
          <w:rFonts w:ascii="Arial" w:cs="Arial" w:eastAsia="Arial" w:hAnsi="Arial"/>
          <w:sz w:val="18"/>
          <w:szCs w:val="18"/>
          <w:color w:val="auto"/>
        </w:rPr>
      </w:pPr>
    </w:p>
    <w:p>
      <w:pPr>
        <w:ind w:left="460" w:firstLine="443"/>
        <w:spacing w:after="0" w:line="332" w:lineRule="auto"/>
        <w:tabs>
          <w:tab w:leader="none" w:pos="1150" w:val="left"/>
        </w:tabs>
        <w:numPr>
          <w:ilvl w:val="1"/>
          <w:numId w:val="18"/>
        </w:numPr>
        <w:rPr>
          <w:rFonts w:ascii="Arial" w:cs="Arial" w:eastAsia="Arial" w:hAnsi="Arial"/>
          <w:sz w:val="16"/>
          <w:szCs w:val="16"/>
          <w:color w:val="auto"/>
        </w:rPr>
      </w:pPr>
      <w:r>
        <w:rPr>
          <w:rFonts w:ascii="Arial" w:cs="Arial" w:eastAsia="Arial" w:hAnsi="Arial"/>
          <w:sz w:val="16"/>
          <w:szCs w:val="16"/>
          <w:color w:val="auto"/>
        </w:rPr>
        <w:t>marketable obligations issued by any state or commonwealth of the United States of America rated (at the time of acquisition of such security) at least “</w:t>
      </w:r>
      <w:r>
        <w:rPr>
          <w:rFonts w:ascii="Arial" w:cs="Arial" w:eastAsia="Arial" w:hAnsi="Arial"/>
          <w:sz w:val="16"/>
          <w:szCs w:val="16"/>
          <w:i w:val="1"/>
          <w:iCs w:val="1"/>
          <w:color w:val="auto"/>
        </w:rPr>
        <w:t>AA</w:t>
      </w:r>
      <w:r>
        <w:rPr>
          <w:rFonts w:ascii="Arial" w:cs="Arial" w:eastAsia="Arial" w:hAnsi="Arial"/>
          <w:sz w:val="16"/>
          <w:szCs w:val="16"/>
          <w:color w:val="auto"/>
        </w:rPr>
        <w:t>” by S&amp;P, or the equivalent thereof by Moody’s, having maturities of not more than thirty-six (36) months from the date of acquisition;</w:t>
      </w:r>
    </w:p>
    <w:p>
      <w:pPr>
        <w:spacing w:after="0" w:line="4" w:lineRule="exact"/>
        <w:rPr>
          <w:rFonts w:ascii="Arial" w:cs="Arial" w:eastAsia="Arial" w:hAnsi="Arial"/>
          <w:sz w:val="16"/>
          <w:szCs w:val="16"/>
          <w:color w:val="auto"/>
        </w:rPr>
      </w:pPr>
    </w:p>
    <w:p>
      <w:pPr>
        <w:ind w:left="1140" w:hanging="237"/>
        <w:spacing w:after="0"/>
        <w:tabs>
          <w:tab w:leader="none" w:pos="1140" w:val="left"/>
        </w:tabs>
        <w:numPr>
          <w:ilvl w:val="1"/>
          <w:numId w:val="18"/>
        </w:numPr>
        <w:rPr>
          <w:rFonts w:ascii="Arial" w:cs="Arial" w:eastAsia="Arial" w:hAnsi="Arial"/>
          <w:sz w:val="16"/>
          <w:szCs w:val="16"/>
          <w:color w:val="auto"/>
        </w:rPr>
      </w:pPr>
      <w:r>
        <w:rPr>
          <w:rFonts w:ascii="Arial" w:cs="Arial" w:eastAsia="Arial" w:hAnsi="Arial"/>
          <w:sz w:val="16"/>
          <w:szCs w:val="16"/>
          <w:color w:val="auto"/>
        </w:rPr>
        <w:t>time deposits (including eurodollar time deposits), certificates of deposit (including eurodollar certificates of deposit) and bankers’ acceptances of</w:t>
      </w:r>
    </w:p>
    <w:p>
      <w:pPr>
        <w:spacing w:after="0" w:line="38" w:lineRule="exact"/>
        <w:rPr>
          <w:rFonts w:ascii="Arial" w:cs="Arial" w:eastAsia="Arial" w:hAnsi="Arial"/>
          <w:sz w:val="16"/>
          <w:szCs w:val="16"/>
          <w:color w:val="auto"/>
        </w:rPr>
      </w:pPr>
    </w:p>
    <w:p>
      <w:pPr>
        <w:jc w:val="both"/>
        <w:ind w:left="460" w:firstLine="4"/>
        <w:spacing w:after="0" w:line="254" w:lineRule="auto"/>
        <w:tabs>
          <w:tab w:leader="none" w:pos="673"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Lender or any Affiliate of any Lender, (ii) any commercial bank of recognized standing either organized under the laws of the United States (or any State or territory thereof) having capital and surplus in excess of $1,000,000,000 or (iii) any bank whose short term commercial paper rating (at the time of acquisition of such security) by S&amp;P is at least “</w:t>
      </w:r>
      <w:r>
        <w:rPr>
          <w:rFonts w:ascii="Arial" w:cs="Arial" w:eastAsia="Arial" w:hAnsi="Arial"/>
          <w:sz w:val="18"/>
          <w:szCs w:val="18"/>
          <w:i w:val="1"/>
          <w:iCs w:val="1"/>
          <w:color w:val="auto"/>
        </w:rPr>
        <w:t>A-1</w:t>
      </w:r>
      <w:r>
        <w:rPr>
          <w:rFonts w:ascii="Arial" w:cs="Arial" w:eastAsia="Arial" w:hAnsi="Arial"/>
          <w:sz w:val="18"/>
          <w:szCs w:val="18"/>
          <w:color w:val="auto"/>
        </w:rPr>
        <w:t>” or the equivalent thereof (any such bank, an “</w:t>
      </w:r>
      <w:r>
        <w:rPr>
          <w:rFonts w:ascii="Arial" w:cs="Arial" w:eastAsia="Arial" w:hAnsi="Arial"/>
          <w:sz w:val="18"/>
          <w:szCs w:val="18"/>
          <w:u w:val="single" w:color="auto"/>
          <w:color w:val="auto"/>
        </w:rPr>
        <w:t>Approved Bank</w:t>
      </w:r>
      <w:r>
        <w:rPr>
          <w:rFonts w:ascii="Arial" w:cs="Arial" w:eastAsia="Arial" w:hAnsi="Arial"/>
          <w:sz w:val="18"/>
          <w:szCs w:val="18"/>
          <w:color w:val="auto"/>
        </w:rPr>
        <w:t>”), in each case with maturities of not more than six months from the date of acquisition; and</w:t>
      </w:r>
    </w:p>
    <w:p>
      <w:pPr>
        <w:spacing w:after="0" w:line="62" w:lineRule="exact"/>
        <w:rPr>
          <w:rFonts w:ascii="Arial" w:cs="Arial" w:eastAsia="Arial" w:hAnsi="Arial"/>
          <w:sz w:val="18"/>
          <w:szCs w:val="18"/>
          <w:color w:val="auto"/>
        </w:rPr>
      </w:pPr>
    </w:p>
    <w:p>
      <w:pPr>
        <w:jc w:val="both"/>
        <w:ind w:left="460" w:firstLine="443"/>
        <w:spacing w:after="0" w:line="294" w:lineRule="auto"/>
        <w:tabs>
          <w:tab w:leader="none" w:pos="1150" w:val="left"/>
        </w:tabs>
        <w:numPr>
          <w:ilvl w:val="1"/>
          <w:numId w:val="19"/>
        </w:numPr>
        <w:rPr>
          <w:rFonts w:ascii="Arial" w:cs="Arial" w:eastAsia="Arial" w:hAnsi="Arial"/>
          <w:sz w:val="16"/>
          <w:szCs w:val="16"/>
          <w:color w:val="auto"/>
        </w:rPr>
      </w:pPr>
      <w:r>
        <w:rPr>
          <w:rFonts w:ascii="Arial" w:cs="Arial" w:eastAsia="Arial" w:hAnsi="Arial"/>
          <w:sz w:val="16"/>
          <w:szCs w:val="16"/>
          <w:color w:val="auto"/>
        </w:rPr>
        <w:t>commercial paper and variable or fixed rate notes issued by any Lender or Approved Bank or by the parent company of any Lender or Approved Bank and commercial paper and variable rate notes issued by, or guaranteed by, any industrial or financial company organized under the laws of the United States of America or any state or commonwealth thereof or the District of Columbia with a short term commercial paper rating (at the time of acquisition of such security) of at least “</w:t>
      </w:r>
      <w:r>
        <w:rPr>
          <w:rFonts w:ascii="Arial" w:cs="Arial" w:eastAsia="Arial" w:hAnsi="Arial"/>
          <w:sz w:val="16"/>
          <w:szCs w:val="16"/>
          <w:i w:val="1"/>
          <w:iCs w:val="1"/>
          <w:color w:val="auto"/>
        </w:rPr>
        <w:t>A-1</w:t>
      </w:r>
      <w:r>
        <w:rPr>
          <w:rFonts w:ascii="Arial" w:cs="Arial" w:eastAsia="Arial" w:hAnsi="Arial"/>
          <w:sz w:val="16"/>
          <w:szCs w:val="16"/>
          <w:color w:val="auto"/>
        </w:rPr>
        <w:t>” or the equivalent thereof by S&amp;P or at least “</w:t>
      </w:r>
      <w:r>
        <w:rPr>
          <w:rFonts w:ascii="Arial" w:cs="Arial" w:eastAsia="Arial" w:hAnsi="Arial"/>
          <w:sz w:val="16"/>
          <w:szCs w:val="16"/>
          <w:i w:val="1"/>
          <w:iCs w:val="1"/>
          <w:color w:val="auto"/>
        </w:rPr>
        <w:t>P-1</w:t>
      </w:r>
      <w:r>
        <w:rPr>
          <w:rFonts w:ascii="Arial" w:cs="Arial" w:eastAsia="Arial" w:hAnsi="Arial"/>
          <w:sz w:val="16"/>
          <w:szCs w:val="16"/>
          <w:color w:val="auto"/>
        </w:rPr>
        <w:t>” or the equivalent thereof by Moody’s, or guaranteed by any industrial company organized under the laws of the United States of America or any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49" w:name="page50"/>
    <w:bookmarkEnd w:id="49"/>
    <w:p>
      <w:pPr>
        <w:ind w:left="4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 or commonwealth thereof or the District of Columbia with a long term unsecured debt rating (at the time of acquisition of such security) of at least “</w:t>
      </w:r>
      <w:r>
        <w:rPr>
          <w:rFonts w:ascii="Arial" w:cs="Arial" w:eastAsia="Arial" w:hAnsi="Arial"/>
          <w:sz w:val="16"/>
          <w:szCs w:val="16"/>
          <w:i w:val="1"/>
          <w:iCs w:val="1"/>
          <w:color w:val="auto"/>
        </w:rPr>
        <w:t>Aa</w:t>
      </w:r>
      <w:r>
        <w:rPr>
          <w:rFonts w:ascii="Arial" w:cs="Arial" w:eastAsia="Arial" w:hAnsi="Arial"/>
          <w:sz w:val="16"/>
          <w:szCs w:val="16"/>
          <w:color w:val="auto"/>
        </w:rPr>
        <w:t>” or the equivalent thereof by Moody’s, and in each case with maturities of not more than 180 days from the date of acquisition thereof.</w:t>
      </w:r>
    </w:p>
    <w:p>
      <w:pPr>
        <w:spacing w:after="0" w:line="85"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Management Bank</w:t>
      </w:r>
      <w:r>
        <w:rPr>
          <w:rFonts w:ascii="Arial" w:cs="Arial" w:eastAsia="Arial" w:hAnsi="Arial"/>
          <w:sz w:val="16"/>
          <w:szCs w:val="16"/>
          <w:color w:val="auto"/>
        </w:rPr>
        <w:t>” means any party to a Cash Management Services Agreement with the Borrower or any of its Subsidiaries which party was a Lender or an Affiliate of a Lender under this Agreement at the time it entered into such Cash Management Services Agreement.</w:t>
      </w:r>
    </w:p>
    <w:p>
      <w:pPr>
        <w:spacing w:after="0" w:line="8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Services Agreement</w:t>
      </w:r>
      <w:r>
        <w:rPr>
          <w:rFonts w:ascii="Arial" w:cs="Arial" w:eastAsia="Arial" w:hAnsi="Arial"/>
          <w:sz w:val="18"/>
          <w:szCs w:val="18"/>
          <w:color w:val="auto"/>
        </w:rPr>
        <w:t>” means any agreement to provide management services, including treasury, depository, overdraft, credit or debit card, electronic funds transfer and other cash management services.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Casualty</w:t>
      </w:r>
      <w:r>
        <w:rPr>
          <w:rFonts w:ascii="Arial" w:cs="Arial" w:eastAsia="Arial" w:hAnsi="Arial"/>
          <w:sz w:val="18"/>
          <w:szCs w:val="18"/>
          <w:color w:val="auto"/>
        </w:rPr>
        <w:t>” means any casualty or other loss, damage or destruction.</w:t>
      </w:r>
    </w:p>
    <w:p>
      <w:pPr>
        <w:spacing w:after="0" w:line="171"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Law</w:t>
      </w:r>
      <w:r>
        <w:rPr>
          <w:rFonts w:ascii="Arial" w:cs="Arial" w:eastAsia="Arial" w:hAnsi="Arial"/>
          <w:sz w:val="16"/>
          <w:szCs w:val="16"/>
          <w:color w:val="auto"/>
        </w:rPr>
        <w:t>” means (a) any change arising from the enactment or enforcement of the Dodd-Frank Wall Street Reform and Consumer Protection Act of 2010, as amended, or any rules, regulations, interpretations, guidelines or directives promulgated thereunder, (b) the occurrence, after the date of this Agreement, of any of the following: (i) the adoption or taking effect of any law, rule, regulation or treaty, (ii) any change in any law, rule, regulation or treaty or in the administration, interpretation or application thereof by any Governmental Authority or (iii) the making or issuance of any request, guideline or directive (whether or not having the force of law) by any Governmental Authority; and (c) all requests, rules, regulations, guidelines, interpretations or directives promulgated by the Bank for International Settlements, the Basel Committee on Banking Supervision (or any successor or similar authority) or the United States or foreign regulatory authorities (whether or not having the force of Law), in each case pursuant to Basel III, shall in each case be deemed to be a Change in Law regardless of the date enacted, adopted, issued, promulgated or implemented.</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an event or series of events by which:</w:t>
      </w:r>
    </w:p>
    <w:p>
      <w:pPr>
        <w:spacing w:after="0" w:line="90" w:lineRule="exact"/>
        <w:rPr>
          <w:sz w:val="20"/>
          <w:szCs w:val="20"/>
          <w:color w:val="auto"/>
        </w:rPr>
      </w:pPr>
    </w:p>
    <w:p>
      <w:pPr>
        <w:jc w:val="both"/>
        <w:ind w:left="460" w:firstLine="443"/>
        <w:spacing w:after="0" w:line="288" w:lineRule="auto"/>
        <w:tabs>
          <w:tab w:leader="none" w:pos="1159" w:val="left"/>
        </w:tabs>
        <w:numPr>
          <w:ilvl w:val="0"/>
          <w:numId w:val="20"/>
        </w:numPr>
        <w:rPr>
          <w:rFonts w:ascii="Arial" w:cs="Arial" w:eastAsia="Arial" w:hAnsi="Arial"/>
          <w:sz w:val="16"/>
          <w:szCs w:val="16"/>
          <w:color w:val="auto"/>
        </w:rPr>
      </w:pPr>
      <w:r>
        <w:rPr>
          <w:rFonts w:ascii="Arial" w:cs="Arial" w:eastAsia="Arial" w:hAnsi="Arial"/>
          <w:sz w:val="16"/>
          <w:szCs w:val="16"/>
          <w:color w:val="auto"/>
        </w:rPr>
        <w:t>during any period of 24 consecutive months, a majority of the members of the board of directors or other equivalent governing body of the Borrower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 (excluding, in the case of both clause (ii) and clause (iii), any individual whose initial nomination for, or assumption of office as, a member of that board or equivalent governing body occurs as a result of an actual or threatened solicitation of proxies or consents for the election or removal of one or more directors by any Person or group other than a solicitation for the election of one or more directors by or on behalf of the board of directors); or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50" w:name="page51"/>
    <w:bookmarkEnd w:id="50"/>
    <w:p>
      <w:pPr>
        <w:jc w:val="both"/>
        <w:ind w:left="460" w:firstLine="443"/>
        <w:spacing w:after="0" w:line="255" w:lineRule="auto"/>
        <w:tabs>
          <w:tab w:leader="none" w:pos="1172" w:val="left"/>
        </w:tabs>
        <w:numPr>
          <w:ilvl w:val="0"/>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Person or two or more Persons acting in concert, shall have acquired by contract or otherwise, or shall have entered into a contract or arrangement that, upon consummation thereof, will result in its or their acquisition of the power to exercise, directly or indirectly, a controlling influence over the management or policies of the Borrower, or control over Voting Securities of the Borrower on a fully-diluted basis assuming the conversion and/or exercise of all outstanding Equity Interests of the Borrower owned by such Person or Persons representing 30% or more of the combined voting power of such Voting Securities.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w:t>
      </w:r>
      <w:r>
        <w:rPr>
          <w:rFonts w:ascii="Arial" w:cs="Arial" w:eastAsia="Arial" w:hAnsi="Arial"/>
          <w:sz w:val="16"/>
          <w:szCs w:val="16"/>
          <w:color w:val="auto"/>
        </w:rPr>
        <w:t xml:space="preserve">” means the first date all of the conditions precedent in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are satisfied or waived in accordance with </w:t>
      </w:r>
      <w:r>
        <w:rPr>
          <w:rFonts w:ascii="Arial" w:cs="Arial" w:eastAsia="Arial" w:hAnsi="Arial"/>
          <w:sz w:val="16"/>
          <w:szCs w:val="16"/>
          <w:u w:val="single" w:color="auto"/>
          <w:color w:val="auto"/>
        </w:rPr>
        <w:t>Section 10.01</w:t>
      </w:r>
      <w:r>
        <w:rPr>
          <w:rFonts w:ascii="Arial" w:cs="Arial" w:eastAsia="Arial" w:hAnsi="Arial"/>
          <w:sz w:val="16"/>
          <w:szCs w:val="16"/>
          <w:color w:val="auto"/>
        </w:rPr>
        <w: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71"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w:t>
      </w:r>
      <w:r>
        <w:rPr>
          <w:rFonts w:ascii="Arial" w:cs="Arial" w:eastAsia="Arial" w:hAnsi="Arial"/>
          <w:sz w:val="16"/>
          <w:szCs w:val="16"/>
          <w:color w:val="auto"/>
        </w:rPr>
        <w:t xml:space="preserve">” means all the “Collateral” referred to in the Collateral Documents and any other assets and property that are or are intended under the terms of the Collateral Documents to be subject to Liens in favor of the Administrative Agent for the benefit of the Secured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the parties acknowledge that assets and property acquired after the Closing Date, as permitted herein or otherwise, of the type described in the Collateral Documents are and shall be pledged to the Administrative Agent for the benefit of the Secured Parties as contemplated by </w:t>
      </w:r>
      <w:r>
        <w:rPr>
          <w:rFonts w:ascii="Arial" w:cs="Arial" w:eastAsia="Arial" w:hAnsi="Arial"/>
          <w:sz w:val="16"/>
          <w:szCs w:val="16"/>
          <w:u w:val="single" w:color="auto"/>
          <w:color w:val="auto"/>
        </w:rPr>
        <w:t>Sections 6.11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6.12</w:t>
      </w:r>
      <w:r>
        <w:rPr>
          <w:rFonts w:ascii="Arial" w:cs="Arial" w:eastAsia="Arial" w:hAnsi="Arial"/>
          <w:sz w:val="16"/>
          <w:szCs w:val="16"/>
          <w:color w:val="auto"/>
        </w:rPr>
        <w:t>.</w:t>
      </w:r>
    </w:p>
    <w:p>
      <w:pPr>
        <w:spacing w:after="0" w:line="11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 Documents</w:t>
      </w:r>
      <w:r>
        <w:rPr>
          <w:rFonts w:ascii="Arial" w:cs="Arial" w:eastAsia="Arial" w:hAnsi="Arial"/>
          <w:sz w:val="16"/>
          <w:szCs w:val="16"/>
          <w:color w:val="auto"/>
        </w:rPr>
        <w:t xml:space="preserve">” means, collectively, the Security Agreement, the Pledge Agreement and any other security agreements, pledge agreements or similar instruments delivered to the Administrative Agent as collateral agent from time to time pursuant to </w:t>
      </w:r>
      <w:r>
        <w:rPr>
          <w:rFonts w:ascii="Arial" w:cs="Arial" w:eastAsia="Arial" w:hAnsi="Arial"/>
          <w:sz w:val="16"/>
          <w:szCs w:val="16"/>
          <w:u w:val="single" w:color="auto"/>
          <w:color w:val="auto"/>
        </w:rPr>
        <w:t>Sections 6.11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6.12</w:t>
      </w:r>
      <w:r>
        <w:rPr>
          <w:rFonts w:ascii="Arial" w:cs="Arial" w:eastAsia="Arial" w:hAnsi="Arial"/>
          <w:sz w:val="16"/>
          <w:szCs w:val="16"/>
          <w:color w:val="auto"/>
        </w:rPr>
        <w:t>, and each other agreement, instrument or document that creates or purports to create a Lien in favor of the Administrative Agent for the benefit of the Secured Parties.</w:t>
      </w:r>
    </w:p>
    <w:p>
      <w:pPr>
        <w:spacing w:after="0" w:line="107" w:lineRule="exact"/>
        <w:rPr>
          <w:sz w:val="20"/>
          <w:szCs w:val="20"/>
          <w:color w:val="auto"/>
        </w:rPr>
      </w:pPr>
    </w:p>
    <w:p>
      <w:pPr>
        <w:jc w:val="both"/>
        <w:ind w:right="240" w:firstLine="447"/>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Commitment</w:t>
      </w:r>
      <w:r>
        <w:rPr>
          <w:rFonts w:ascii="Arial" w:cs="Arial" w:eastAsia="Arial" w:hAnsi="Arial"/>
          <w:sz w:val="16"/>
          <w:szCs w:val="16"/>
          <w:color w:val="auto"/>
        </w:rPr>
        <w:t xml:space="preserve">” means, as to each Revolving Credit Lender, its obligation to (a) make Revolving Credit Loans to the Borrower pursuant to </w:t>
      </w:r>
      <w:r>
        <w:rPr>
          <w:rFonts w:ascii="Arial" w:cs="Arial" w:eastAsia="Arial" w:hAnsi="Arial"/>
          <w:sz w:val="16"/>
          <w:szCs w:val="16"/>
          <w:u w:val="single" w:color="auto"/>
          <w:color w:val="auto"/>
        </w:rPr>
        <w:t>Section 2.01(b)</w:t>
      </w:r>
      <w:r>
        <w:rPr>
          <w:rFonts w:ascii="Arial" w:cs="Arial" w:eastAsia="Arial" w:hAnsi="Arial"/>
          <w:sz w:val="16"/>
          <w:szCs w:val="16"/>
          <w:color w:val="auto"/>
        </w:rPr>
        <w:t xml:space="preserve">, (b) purchase participations in L/C Obligations, and (c) purchase participations in Swing Line Loans, in an aggregate principal amount at any one time outstanding not to exceed the amount set forth opposite such Lender’s name on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under the caption “Commitment” or opposite such caption in the Assignment and Assumption pursuant to which such Lender becomes a party hereto, as applicable, as such amount may be adjusted from time to time in accordance with this Agreement and “</w:t>
      </w:r>
      <w:r>
        <w:rPr>
          <w:rFonts w:ascii="Arial" w:cs="Arial" w:eastAsia="Arial" w:hAnsi="Arial"/>
          <w:sz w:val="16"/>
          <w:szCs w:val="16"/>
          <w:u w:val="single" w:color="auto"/>
          <w:color w:val="auto"/>
        </w:rPr>
        <w:t>Commitments</w:t>
      </w:r>
      <w:r>
        <w:rPr>
          <w:rFonts w:ascii="Arial" w:cs="Arial" w:eastAsia="Arial" w:hAnsi="Arial"/>
          <w:sz w:val="16"/>
          <w:szCs w:val="16"/>
          <w:color w:val="auto"/>
        </w:rPr>
        <w:t>” means the Commitments of all the Revolving Credit Lenders.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Fee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2.09(a)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Condemnation</w:t>
      </w:r>
      <w:r>
        <w:rPr>
          <w:rFonts w:ascii="Arial" w:cs="Arial" w:eastAsia="Arial" w:hAnsi="Arial"/>
          <w:sz w:val="18"/>
          <w:szCs w:val="18"/>
          <w:color w:val="auto"/>
        </w:rPr>
        <w:t>” means any taking of Property, or any part thereof or interest therein, for public or quasi-public use under the power of eminent domain, by reason of any public improvement or condemnation proceeding, or in any other manner.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Condemnation Award</w:t>
      </w:r>
      <w:r>
        <w:rPr>
          <w:rFonts w:ascii="Arial" w:cs="Arial" w:eastAsia="Arial" w:hAnsi="Arial"/>
          <w:sz w:val="18"/>
          <w:szCs w:val="18"/>
          <w:color w:val="auto"/>
        </w:rPr>
        <w:t>” means all proceeds of any Condemnation or transfer in lieu thereof.</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51" w:name="page52"/>
    <w:bookmarkEnd w:id="51"/>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Consolidated Capital Expenditures</w:t>
      </w:r>
      <w:r>
        <w:rPr>
          <w:rFonts w:ascii="Arial" w:cs="Arial" w:eastAsia="Arial" w:hAnsi="Arial"/>
          <w:sz w:val="16"/>
          <w:szCs w:val="16"/>
          <w:color w:val="auto"/>
        </w:rPr>
        <w:t>” means, for any period for any Person and its Subsidiaries determined on a consolidated basis, without duplication</w:t>
      </w:r>
    </w:p>
    <w:p>
      <w:pPr>
        <w:spacing w:after="0" w:line="38" w:lineRule="exact"/>
        <w:rPr>
          <w:sz w:val="20"/>
          <w:szCs w:val="20"/>
          <w:color w:val="auto"/>
        </w:rPr>
      </w:pPr>
    </w:p>
    <w:p>
      <w:pPr>
        <w:jc w:val="both"/>
        <w:ind w:firstLine="8"/>
        <w:spacing w:after="0" w:line="287" w:lineRule="auto"/>
        <w:tabs>
          <w:tab w:leader="none" w:pos="253" w:val="left"/>
        </w:tabs>
        <w:numPr>
          <w:ilvl w:val="0"/>
          <w:numId w:val="22"/>
        </w:numPr>
        <w:rPr>
          <w:rFonts w:ascii="Arial" w:cs="Arial" w:eastAsia="Arial" w:hAnsi="Arial"/>
          <w:sz w:val="16"/>
          <w:szCs w:val="16"/>
          <w:color w:val="auto"/>
        </w:rPr>
      </w:pPr>
      <w:r>
        <w:rPr>
          <w:rFonts w:ascii="Arial" w:cs="Arial" w:eastAsia="Arial" w:hAnsi="Arial"/>
          <w:sz w:val="16"/>
          <w:szCs w:val="16"/>
          <w:color w:val="auto"/>
        </w:rPr>
        <w:t>all expenditures made directly or indirectly during such period for Capital Assets (whether paid in cash or other consideration or accrued as a liability and including, without limitation, all expenditures for maintenance and repairs which are required, in accordance with GAAP, to be capitalized on the books of such Person) and (b) solely to the extent not otherwise included in clause (a) of this definition, the aggregate principal amount of all Indebtedness (including, without limitation, obligations in respect of Capitalized Leases) assumed or incurred during such period in connection with any such expenditures for Capital Assets. For purposes of this definition, (i) Permitted Acquisitions shall not be included in Consolidated Capital Expenditures, and (ii) the purchase price of equipment that is purchased simultaneously with the trade-in of existing equipment or with Insurance Proceeds shall be included in Consolidated Capital Expenditures only to the extent of the gross amount by which such purchase price exceeds the credit granted by the seller of such equipment for the equipment being traded in at such time or the amount of such Insurance Proceeds, as the case may be.</w:t>
      </w:r>
    </w:p>
    <w:p>
      <w:pPr>
        <w:spacing w:after="0" w:line="12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Cash Interest Charges</w:t>
      </w:r>
      <w:r>
        <w:rPr>
          <w:rFonts w:ascii="Arial" w:cs="Arial" w:eastAsia="Arial" w:hAnsi="Arial"/>
          <w:sz w:val="18"/>
          <w:szCs w:val="18"/>
          <w:color w:val="auto"/>
        </w:rPr>
        <w:t xml:space="preserve">” means for any period, for any Person and its Subsidiaries determined on a consolidated basis, Consolidated Interest Charges for such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non-cash interest expense shall be excluded.</w:t>
      </w:r>
    </w:p>
    <w:p>
      <w:pPr>
        <w:spacing w:after="0" w:line="132"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Cash Taxes</w:t>
      </w:r>
      <w:r>
        <w:rPr>
          <w:rFonts w:ascii="Arial" w:cs="Arial" w:eastAsia="Arial" w:hAnsi="Arial"/>
          <w:sz w:val="18"/>
          <w:szCs w:val="18"/>
          <w:color w:val="auto"/>
        </w:rPr>
        <w:t xml:space="preserve">” means, for any period, for any Person and its Subsidiaries determined on a consolidated basis, (a) the aggregate amount of all income taxes of such Person, determined on a consolidated basis to the extent the same are paid in cash by such Person during such period,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to the extent included in the calculation of taxes under the foregoing clause (a), the aggregate amount of all tax recapture expenses arising from the redemption or repayment of Convertible Indebtedness issued after the Closing Date to the extent the same are actually paid in cash by such Person during such period, in an amount, together with all such tax recapture payments deducted from Consolidated Cash Taxes under this clause (b) at any time and from time to time, not to exceed $20,000,000 in the aggregate.</w:t>
      </w:r>
    </w:p>
    <w:p>
      <w:pPr>
        <w:spacing w:after="0" w:line="144"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EBITDA</w:t>
      </w:r>
      <w:r>
        <w:rPr>
          <w:rFonts w:ascii="Arial" w:cs="Arial" w:eastAsia="Arial" w:hAnsi="Arial"/>
          <w:sz w:val="16"/>
          <w:szCs w:val="16"/>
          <w:color w:val="auto"/>
        </w:rPr>
        <w:t xml:space="preserve">” means, for any period, for any Person and its Subsidiaries determined on a consolidated basis, an amount equal to Consolidated Net Income for such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 the following to the extent deducted in calculating such Consolidated Net Income during such period: (i) Consolidated Interest Charges for such period; (ii) the provision for federal, state, local and foreign income taxes payable for such period; (iii) depreciation and amortization expense; (iv) other expenses and all equity compensation charges reducing Consolidated Net Income which do not represent a cash item in such period or any future period; and (v) enterprise resource planning costs for such period, not to exceed (A) an aggregate amount of $15,000,000 during the fiscal year ending December 31, 2011, (B) an aggregate amount of $5,000,000 during the fiscal year ending December 31, 2012, (C) an aggregate amount of $3,000,000 during the fiscal year ending December 31, 2013, or (D) zero for any fiscal year thereafter;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Permitted Cost Savings, and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(c) the following to the extent included in calculating such Consolidated Net Income: (i) Federal, state, local and foreign income tax credits of the Borrower and its Subsidiaries for such period and (ii) all non-cash items increasing Consolidated Net Income for such period. Consolidated EBITDA is subject to calculation on a Pro Forma Basis in accordance with the provisions in </w:t>
      </w:r>
      <w:r>
        <w:rPr>
          <w:rFonts w:ascii="Arial" w:cs="Arial" w:eastAsia="Arial" w:hAnsi="Arial"/>
          <w:sz w:val="16"/>
          <w:szCs w:val="16"/>
          <w:u w:val="single" w:color="auto"/>
          <w:color w:val="auto"/>
        </w:rPr>
        <w:t>Section 1.03</w:t>
      </w:r>
      <w:r>
        <w:rPr>
          <w:rFonts w:ascii="Arial" w:cs="Arial" w:eastAsia="Arial" w:hAnsi="Arial"/>
          <w:sz w:val="16"/>
          <w:szCs w:val="16"/>
          <w:color w:val="auto"/>
        </w:rPr>
        <w: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52" w:name="page53"/>
    <w:bookmarkEnd w:id="52"/>
    <w:p>
      <w:pPr>
        <w:jc w:val="both"/>
        <w:ind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Consolidated EBITDAR</w:t>
      </w:r>
      <w:r>
        <w:rPr>
          <w:rFonts w:ascii="Arial" w:cs="Arial" w:eastAsia="Arial" w:hAnsi="Arial"/>
          <w:sz w:val="16"/>
          <w:szCs w:val="16"/>
          <w:color w:val="auto"/>
        </w:rPr>
        <w:t xml:space="preserve">” means, for any period, for any Person and its Subsidiaries determined on a consolidated basis, an amount equal to Consolidated EBITDA for such period, </w:t>
      </w:r>
      <w:r>
        <w:rPr>
          <w:rFonts w:ascii="Arial" w:cs="Arial" w:eastAsia="Arial" w:hAnsi="Arial"/>
          <w:sz w:val="16"/>
          <w:szCs w:val="16"/>
          <w:u w:val="single" w:color="auto"/>
          <w:color w:val="auto"/>
        </w:rPr>
        <w:t>plus</w:t>
      </w:r>
      <w:r>
        <w:rPr>
          <w:rFonts w:ascii="Arial" w:cs="Arial" w:eastAsia="Arial" w:hAnsi="Arial"/>
          <w:sz w:val="16"/>
          <w:szCs w:val="16"/>
          <w:color w:val="auto"/>
        </w:rPr>
        <w:t>, to the extent deducted in calculating Consolidated Net Income for such period, Rental Expense for such period.</w:t>
      </w:r>
    </w:p>
    <w:p>
      <w:pPr>
        <w:spacing w:after="0" w:line="8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Fixed Charge Coverage Ratio</w:t>
      </w:r>
      <w:r>
        <w:rPr>
          <w:rFonts w:ascii="Arial" w:cs="Arial" w:eastAsia="Arial" w:hAnsi="Arial"/>
          <w:sz w:val="18"/>
          <w:szCs w:val="18"/>
          <w:color w:val="auto"/>
        </w:rPr>
        <w:t xml:space="preserve">” means, for any period, the ratio of (a) Consolidated EBITDAR for such period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Consolidated Capital Expenditures in excess of $40,000,000 for such period, </w:t>
      </w:r>
      <w:r>
        <w:rPr>
          <w:rFonts w:ascii="Arial" w:cs="Arial" w:eastAsia="Arial" w:hAnsi="Arial"/>
          <w:sz w:val="18"/>
          <w:szCs w:val="18"/>
          <w:u w:val="single" w:color="auto"/>
          <w:color w:val="auto"/>
        </w:rPr>
        <w:t>to</w:t>
      </w:r>
      <w:r>
        <w:rPr>
          <w:rFonts w:ascii="Arial" w:cs="Arial" w:eastAsia="Arial" w:hAnsi="Arial"/>
          <w:sz w:val="18"/>
          <w:szCs w:val="18"/>
          <w:color w:val="auto"/>
        </w:rPr>
        <w:t xml:space="preserve"> (b) Consolidated Fixed Charges for such period.</w:t>
      </w:r>
    </w:p>
    <w:p>
      <w:pPr>
        <w:spacing w:after="0" w:line="13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Fixed Charges</w:t>
      </w:r>
      <w:r>
        <w:rPr>
          <w:rFonts w:ascii="Arial" w:cs="Arial" w:eastAsia="Arial" w:hAnsi="Arial"/>
          <w:sz w:val="16"/>
          <w:szCs w:val="16"/>
          <w:color w:val="auto"/>
        </w:rPr>
        <w:t xml:space="preserve">” means, for any period for any Person and its Subsidiaries on a consolidated basis, the sum of (a) Consolidated Cash Interest Charges for such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Consolidated Scheduled Debt Payments for such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(c) Consolidated Cash Taxes for such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(d) Rental Expense for such period. Consolidated Fixed Charges are subject to calculation on a Pro Forma Basis in accordance with the provisions of </w:t>
      </w:r>
      <w:r>
        <w:rPr>
          <w:rFonts w:ascii="Arial" w:cs="Arial" w:eastAsia="Arial" w:hAnsi="Arial"/>
          <w:sz w:val="16"/>
          <w:szCs w:val="16"/>
          <w:u w:val="single" w:color="auto"/>
          <w:color w:val="auto"/>
        </w:rPr>
        <w:t>Section 1.03</w:t>
      </w:r>
      <w:r>
        <w:rPr>
          <w:rFonts w:ascii="Arial" w:cs="Arial" w:eastAsia="Arial" w:hAnsi="Arial"/>
          <w:sz w:val="16"/>
          <w:szCs w:val="16"/>
          <w:color w:val="auto"/>
        </w:rPr>
        <w:t>.</w:t>
      </w:r>
    </w:p>
    <w:p>
      <w:pPr>
        <w:spacing w:after="0" w:line="107" w:lineRule="exact"/>
        <w:rPr>
          <w:sz w:val="20"/>
          <w:szCs w:val="20"/>
          <w:color w:val="auto"/>
        </w:rPr>
      </w:pPr>
    </w:p>
    <w:p>
      <w:pPr>
        <w:jc w:val="both"/>
        <w:ind w:firstLine="456"/>
        <w:spacing w:after="0" w:line="30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Consolidated Funded Indebtedness</w:t>
      </w:r>
      <w:r>
        <w:rPr>
          <w:rFonts w:ascii="Arial" w:cs="Arial" w:eastAsia="Arial" w:hAnsi="Arial"/>
          <w:sz w:val="15"/>
          <w:szCs w:val="15"/>
          <w:color w:val="auto"/>
        </w:rPr>
        <w:t>” means, for any Person and its Subsidiaries determined on a consolidated basis, as of any date of determination, the sum of (a) the outstanding principal amount of all obligations, whether current or long-term, for borrowed money (including Obligations hereunder) and all obligations evidenced by bonds, debentures, notes, loan agreements or other similar instruments, (b) all purchase money Indebtedness (except as provided in clause (d) below), (c) all direct obligations arising under letters of credit (including standby and commercial), bankers’ acceptances, bank guaranties, surety bonds and similar instruments, (d) all obligations in respect of the deferred purchase price of property or services (other than trade accounts payable in the ordinary course of business but including earn-outs that are earned and determinable but not yet due and payable), (e) Attributable Indebtedness in respect of Capitalized Leases and Off-Balance Sheet Obligations, (f) without duplication all Guarantees with respect to outstanding Indebtedness of the types specified in clauses</w:t>
      </w:r>
    </w:p>
    <w:p>
      <w:pPr>
        <w:spacing w:after="0" w:line="5" w:lineRule="exact"/>
        <w:rPr>
          <w:sz w:val="20"/>
          <w:szCs w:val="20"/>
          <w:color w:val="auto"/>
        </w:rPr>
      </w:pPr>
    </w:p>
    <w:p>
      <w:pPr>
        <w:jc w:val="both"/>
        <w:ind w:firstLine="8"/>
        <w:spacing w:after="0" w:line="288" w:lineRule="auto"/>
        <w:tabs>
          <w:tab w:leader="none" w:pos="257"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through (e) above, and (g) all Indebtedness of the types referred to in clauses (a) through (f) above of any partnership or joint venture (other than a joint venture that is itself a corporation or limited liability company) in which such Person is a general partner or joint venturer, unless such Indebtedness is expressly made non-recourse (except for customary exceptions to non-recourse provisions such as fraud, misappropriation of funds and environmental liabilities) to such Person or any such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 for the purposes of </w:t>
      </w:r>
      <w:r>
        <w:rPr>
          <w:rFonts w:ascii="Arial" w:cs="Arial" w:eastAsia="Arial" w:hAnsi="Arial"/>
          <w:sz w:val="16"/>
          <w:szCs w:val="16"/>
          <w:u w:val="single" w:color="auto"/>
          <w:color w:val="auto"/>
        </w:rPr>
        <w:t>Section 7.17(a</w:t>
      </w:r>
      <w:r>
        <w:rPr>
          <w:rFonts w:ascii="Arial" w:cs="Arial" w:eastAsia="Arial" w:hAnsi="Arial"/>
          <w:sz w:val="16"/>
          <w:szCs w:val="16"/>
          <w:color w:val="auto"/>
        </w:rPr>
        <w:t xml:space="preserve">) only, Consolidated Funded Indebtedness shall be calculated net of available, unrestricted cash as set forth on the most recent balance sheet of the Borrower and its Consolidated Subsidiaries delivered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in excess of $40,000,000, and (ii) for purposes of the definition of “Consolidated Funded Indebtedness” the Indebtedness in respect of convertible debt securities shall be deemed to be the aggregate principal amount thereof outstanding as of such date of determination.</w:t>
      </w:r>
    </w:p>
    <w:p>
      <w:pPr>
        <w:spacing w:after="0" w:line="12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Charges</w:t>
      </w:r>
      <w:r>
        <w:rPr>
          <w:rFonts w:ascii="Arial" w:cs="Arial" w:eastAsia="Arial" w:hAnsi="Arial"/>
          <w:sz w:val="18"/>
          <w:szCs w:val="18"/>
          <w:color w:val="auto"/>
        </w:rPr>
        <w:t>” means, for any period, for any Person and its Subsidiaries determined on a consolidated basis, the sum of (a) all interest, premium payments, debt discount, loan fees, charges and related expenses in connection with Indebtedness (including capitalized interest), in each case to the extent treated as interest in accordance with GAAP, and (b) the portion of rent expense with respect to such period under Capitalized Leases that is treated as interest in accordance with GAAP.</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53" w:name="page54"/>
    <w:bookmarkEnd w:id="53"/>
    <w:p>
      <w:pPr>
        <w:jc w:val="both"/>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means, for any period, for any Person and its Subsidiaries determined on a consolidated basis, the net income (excluding extraordinary gains but including extraordinary cash losses other than losses related to the Permitted Swap Termination and fees related to the Convertible Note Exchange) of such Person for that period.</w:t>
      </w:r>
    </w:p>
    <w:p>
      <w:pPr>
        <w:spacing w:after="0" w:line="14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Scheduled Debt Payments</w:t>
      </w:r>
      <w:r>
        <w:rPr>
          <w:rFonts w:ascii="Arial" w:cs="Arial" w:eastAsia="Arial" w:hAnsi="Arial"/>
          <w:sz w:val="16"/>
          <w:szCs w:val="16"/>
          <w:color w:val="auto"/>
        </w:rPr>
        <w:t xml:space="preserve">” means, for any period for any Person and its Subsidiaries determined on a consolidated basis, the sum of all scheduled payments of principal on Consolidated Funded Indebtedness for such period (including, without limitation, the principal component of Capitalized Leases paid or payable during such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Consolidated Scheduled Debt Payments for any period shall not include (i) voluntary prepayments of Consolidated Funded Indebtedness, (ii) mandatory prepayments of Consolidated Funded Indebtedness, or (iii) any balloon, bullet or similar final payment (including payments under the Loan Documents that are due on the Maturity Date).</w:t>
      </w:r>
    </w:p>
    <w:p>
      <w:pPr>
        <w:spacing w:after="0" w:line="116"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Subsidiary</w:t>
      </w:r>
      <w:r>
        <w:rPr>
          <w:rFonts w:ascii="Arial" w:cs="Arial" w:eastAsia="Arial" w:hAnsi="Arial"/>
          <w:sz w:val="16"/>
          <w:szCs w:val="16"/>
          <w:color w:val="auto"/>
        </w:rPr>
        <w:t>” means with respect to any Person at any date any Subsidiary of such Person or other entity the accounts of which would be consolidated with those of such Person in its consolidated financial statements if such statements were prepared as of such date in accordance with GAAP.</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Leverage Ratio</w:t>
      </w:r>
      <w:r>
        <w:rPr>
          <w:rFonts w:ascii="Arial" w:cs="Arial" w:eastAsia="Arial" w:hAnsi="Arial"/>
          <w:sz w:val="18"/>
          <w:szCs w:val="18"/>
          <w:color w:val="auto"/>
        </w:rPr>
        <w:t>” means, as of any date of determination, the ratio of (a) Consolidated Funded Indebtedness as of such date to (b) Consolidated EBITDA for the period of the four consecutive fiscal quarters most recently ended.</w:t>
      </w:r>
    </w:p>
    <w:p>
      <w:pPr>
        <w:spacing w:after="0" w:line="13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32"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6"/>
          <w:szCs w:val="16"/>
          <w:u w:val="single" w:color="auto"/>
          <w:color w:val="auto"/>
        </w:rPr>
        <w:t>Controlling</w:t>
      </w:r>
      <w:r>
        <w:rPr>
          <w:rFonts w:ascii="Arial" w:cs="Arial" w:eastAsia="Arial" w:hAnsi="Arial"/>
          <w:sz w:val="16"/>
          <w:szCs w:val="16"/>
          <w:color w:val="auto"/>
        </w:rPr>
        <w:t>” and “</w:t>
      </w:r>
      <w:r>
        <w:rPr>
          <w:rFonts w:ascii="Arial" w:cs="Arial" w:eastAsia="Arial" w:hAnsi="Arial"/>
          <w:sz w:val="16"/>
          <w:szCs w:val="16"/>
          <w:u w:val="single" w:color="auto"/>
          <w:color w:val="auto"/>
        </w:rPr>
        <w:t>Controlled</w:t>
      </w:r>
      <w:r>
        <w:rPr>
          <w:rFonts w:ascii="Arial" w:cs="Arial" w:eastAsia="Arial" w:hAnsi="Arial"/>
          <w:sz w:val="16"/>
          <w:szCs w:val="16"/>
          <w:color w:val="auto"/>
        </w:rPr>
        <w:t>” have meanings correlative thereto.</w:t>
      </w:r>
    </w:p>
    <w:p>
      <w:pPr>
        <w:spacing w:after="0" w:line="85"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5"/>
          <w:szCs w:val="15"/>
          <w:i w:val="1"/>
          <w:iCs w:val="1"/>
          <w:color w:val="auto"/>
        </w:rPr>
        <w:t>“</w:t>
      </w:r>
      <w:r>
        <w:rPr>
          <w:rFonts w:ascii="Arial" w:cs="Arial" w:eastAsia="Arial" w:hAnsi="Arial"/>
          <w:sz w:val="15"/>
          <w:szCs w:val="15"/>
          <w:u w:val="single" w:color="auto"/>
          <w:color w:val="auto"/>
        </w:rPr>
        <w:t>Convertible Indebtedness”</w:t>
      </w:r>
      <w:r>
        <w:rPr>
          <w:rFonts w:ascii="Arial" w:cs="Arial" w:eastAsia="Arial" w:hAnsi="Arial"/>
          <w:sz w:val="15"/>
          <w:szCs w:val="15"/>
          <w:i w:val="1"/>
          <w:iCs w:val="1"/>
          <w:color w:val="auto"/>
        </w:rPr>
        <w:t xml:space="preserve"> </w:t>
      </w:r>
      <w:r>
        <w:rPr>
          <w:rFonts w:ascii="Arial" w:cs="Arial" w:eastAsia="Arial" w:hAnsi="Arial"/>
          <w:sz w:val="15"/>
          <w:szCs w:val="15"/>
          <w:color w:val="auto"/>
        </w:rPr>
        <w:t>means (a) all Indebtedness issued under the Convertible Notes (2012) and (b) any other Indebtedness of any Loan Party (which</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may be guaranteed by any other Loan Party) permitted to be incurred pursuant to </w:t>
      </w:r>
      <w:r>
        <w:rPr>
          <w:rFonts w:ascii="Arial" w:cs="Arial" w:eastAsia="Arial" w:hAnsi="Arial"/>
          <w:sz w:val="15"/>
          <w:szCs w:val="15"/>
          <w:u w:val="single" w:color="auto"/>
          <w:color w:val="auto"/>
        </w:rPr>
        <w:t>Section 7.03(f)</w:t>
      </w:r>
      <w:r>
        <w:rPr>
          <w:rFonts w:ascii="Arial" w:cs="Arial" w:eastAsia="Arial" w:hAnsi="Arial"/>
          <w:sz w:val="15"/>
          <w:szCs w:val="15"/>
          <w:color w:val="auto"/>
        </w:rPr>
        <w:t xml:space="preserve">, </w:t>
      </w:r>
      <w:r>
        <w:rPr>
          <w:rFonts w:ascii="Arial" w:cs="Arial" w:eastAsia="Arial" w:hAnsi="Arial"/>
          <w:sz w:val="15"/>
          <w:szCs w:val="15"/>
          <w:u w:val="single" w:color="auto"/>
          <w:color w:val="auto"/>
        </w:rPr>
        <w:t>(h)</w:t>
      </w:r>
      <w:r>
        <w:rPr>
          <w:rFonts w:ascii="Arial" w:cs="Arial" w:eastAsia="Arial" w:hAnsi="Arial"/>
          <w:sz w:val="15"/>
          <w:szCs w:val="15"/>
          <w:color w:val="auto"/>
        </w:rPr>
        <w:t xml:space="preserve">, </w:t>
      </w:r>
      <w:r>
        <w:rPr>
          <w:rFonts w:ascii="Arial" w:cs="Arial" w:eastAsia="Arial" w:hAnsi="Arial"/>
          <w:sz w:val="15"/>
          <w:szCs w:val="15"/>
          <w:u w:val="single" w:color="auto"/>
          <w:color w:val="auto"/>
        </w:rPr>
        <w:t>(k)</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(l)</w:t>
      </w:r>
      <w:r>
        <w:rPr>
          <w:rFonts w:ascii="Arial" w:cs="Arial" w:eastAsia="Arial" w:hAnsi="Arial"/>
          <w:sz w:val="15"/>
          <w:szCs w:val="15"/>
          <w:color w:val="auto"/>
        </w:rPr>
        <w:t xml:space="preserve"> of this Agreement that (i) contains customary conversion rights for similar forms of Indebtedness as of the date of issuance in the reasonable determination of the Borrower and (ii) is either (x) convertible into common stock of the Borrower (and cash in lieu of fractional shares) and/or cash (in an amount determined by reference to the price of such common stock) or</w:t>
      </w:r>
    </w:p>
    <w:p>
      <w:pPr>
        <w:spacing w:after="0" w:line="3" w:lineRule="exact"/>
        <w:rPr>
          <w:sz w:val="20"/>
          <w:szCs w:val="20"/>
          <w:color w:val="auto"/>
        </w:rPr>
      </w:pPr>
    </w:p>
    <w:p>
      <w:pPr>
        <w:jc w:val="both"/>
        <w:ind w:firstLine="8"/>
        <w:spacing w:after="0" w:line="255" w:lineRule="auto"/>
        <w:tabs>
          <w:tab w:leader="none" w:pos="253"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sold as units with call options, warrants or rights to purchase (or substantially equivalent derivative transactions) that are exercisable for common stock of the Borrower and/or cash (in an amount determined by reference to the price of such common stock); </w:t>
      </w:r>
      <w:r>
        <w:rPr>
          <w:rFonts w:ascii="Arial" w:cs="Arial" w:eastAsia="Arial" w:hAnsi="Arial"/>
          <w:sz w:val="18"/>
          <w:szCs w:val="18"/>
          <w:u w:val="single" w:color="auto"/>
          <w:color w:val="auto"/>
        </w:rPr>
        <w:t>provided</w:t>
      </w:r>
      <w:r>
        <w:rPr>
          <w:rFonts w:ascii="Arial" w:cs="Arial" w:eastAsia="Arial" w:hAnsi="Arial"/>
          <w:sz w:val="18"/>
          <w:szCs w:val="18"/>
          <w:color w:val="auto"/>
        </w:rPr>
        <w:t>, that any such Indebtedness issued in accordance with clause (b) of this definition shall not be convertible at the option of the issuer of such Indebtedness.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54" w:name="page55"/>
    <w:bookmarkEnd w:id="54"/>
    <w:p>
      <w:pPr>
        <w:jc w:val="both"/>
        <w:ind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Convertible Note Exchange</w:t>
      </w:r>
      <w:r>
        <w:rPr>
          <w:rFonts w:ascii="Arial" w:cs="Arial" w:eastAsia="Arial" w:hAnsi="Arial"/>
          <w:sz w:val="16"/>
          <w:szCs w:val="16"/>
          <w:color w:val="auto"/>
        </w:rPr>
        <w:t>” means an exchange offer or other transaction exchanging the Convertible Notes (2012) or any other notes constituting Convertible Indebtedness for substantially similar securities (i) providing for conversion into common stock of the Borrower and/or cash (in an amount determined by reference to the price of such common stock), (ii) in an aggregate principal amount no greater than that of the Convertible Notes (2012) or such other notes constituting Convertible Indebtedness as of the date of exchange, and (iii) containing only those incentives to induce holders thereof to participate in such exchange as are commercially reasonable, as determined in good faith by the Borrower.</w:t>
      </w:r>
    </w:p>
    <w:p>
      <w:pPr>
        <w:spacing w:after="0" w:line="11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Convertible Note Indenture (2012 Maturity)</w:t>
      </w:r>
      <w:r>
        <w:rPr>
          <w:rFonts w:ascii="Arial" w:cs="Arial" w:eastAsia="Arial" w:hAnsi="Arial"/>
          <w:sz w:val="18"/>
          <w:szCs w:val="18"/>
          <w:color w:val="auto"/>
        </w:rPr>
        <w:t>” means that certain Indenture, dated as of June 11, 2007, between the Borrower and Wells Fargo Bank, N.A., as Trustee.</w:t>
      </w:r>
    </w:p>
    <w:p>
      <w:pPr>
        <w:spacing w:after="0" w:line="132"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Convertible Notes (2012)</w:t>
      </w:r>
      <w:r>
        <w:rPr>
          <w:rFonts w:ascii="Arial" w:cs="Arial" w:eastAsia="Arial" w:hAnsi="Arial"/>
          <w:sz w:val="16"/>
          <w:szCs w:val="16"/>
          <w:color w:val="auto"/>
        </w:rPr>
        <w:t>” means those certain 2.375% Senior Convertible Notes due 2012, issued by the Borrower pursuant to Convertible Note Indenture (2012 Maturity), in the principal amount of $165,000,000, and any securities issued in exchange therefor in accordance with this Agreement.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Extension</w:t>
      </w:r>
      <w:r>
        <w:rPr>
          <w:rFonts w:ascii="Arial" w:cs="Arial" w:eastAsia="Arial" w:hAnsi="Arial"/>
          <w:sz w:val="18"/>
          <w:szCs w:val="18"/>
          <w:color w:val="auto"/>
        </w:rPr>
        <w:t>” means each of the following: (a) a Borrowing and (b) an L/C Credit Extension.</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4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that constitutes an Event of Default or that, with the giving of any notice, the passage of time, or both, would be an Event of Default.</w:t>
      </w:r>
    </w:p>
    <w:p>
      <w:pPr>
        <w:spacing w:after="0" w:line="13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xml:space="preserve">” means an interest rate equal to (a) in the case of Eurodollar Rate Loans, the sum of (i) the Eurodollar Rate for such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Applicable Rate applicable to such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2% per annum, (b) in the case of the Letter of Credit Fees, a rate equal to (i) the Applicable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 per annum, (c) in the case of Base Rate Loans and for all other Obligations, the sum of (i)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Applicable Rate applicable to Base Rate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2% per annum.</w:t>
      </w:r>
    </w:p>
    <w:p>
      <w:pPr>
        <w:spacing w:after="0" w:line="143" w:lineRule="exact"/>
        <w:rPr>
          <w:sz w:val="20"/>
          <w:szCs w:val="20"/>
          <w:color w:val="auto"/>
        </w:rPr>
      </w:pPr>
    </w:p>
    <w:p>
      <w:pPr>
        <w:jc w:val="both"/>
        <w:ind w:firstLine="456"/>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xml:space="preserve">” means, subject to </w:t>
      </w:r>
      <w:r>
        <w:rPr>
          <w:rFonts w:ascii="Arial" w:cs="Arial" w:eastAsia="Arial" w:hAnsi="Arial"/>
          <w:sz w:val="16"/>
          <w:szCs w:val="16"/>
          <w:u w:val="single" w:color="auto"/>
          <w:color w:val="auto"/>
        </w:rPr>
        <w:t>Section 2.15(b)</w:t>
      </w:r>
      <w:r>
        <w:rPr>
          <w:rFonts w:ascii="Arial" w:cs="Arial" w:eastAsia="Arial" w:hAnsi="Arial"/>
          <w:sz w:val="16"/>
          <w:szCs w:val="16"/>
          <w:color w:val="auto"/>
        </w:rPr>
        <w:t>, any Lender that, as determined by the Administrative Agent, (a) has failed to perform any of its funding obligations hereunder, including in respect of its Loans or its participations in respect of Letters of Credit or Swing Line Loans, within one Business Day of the date required to be funded by it hereunder, unless such obligation is the subject of a good faith dispute</w:t>
      </w:r>
      <w:r>
        <w:rPr>
          <w:rFonts w:ascii="Arial" w:cs="Arial" w:eastAsia="Arial" w:hAnsi="Arial"/>
          <w:sz w:val="16"/>
          <w:szCs w:val="16"/>
          <w:b w:val="1"/>
          <w:bCs w:val="1"/>
          <w:color w:val="auto"/>
        </w:rPr>
        <w:t>,</w:t>
      </w:r>
      <w:r>
        <w:rPr>
          <w:rFonts w:ascii="Arial" w:cs="Arial" w:eastAsia="Arial" w:hAnsi="Arial"/>
          <w:sz w:val="16"/>
          <w:szCs w:val="16"/>
          <w:color w:val="auto"/>
        </w:rPr>
        <w:t xml:space="preserve"> (b) has notified the Borrower, or the Administrative Agent that it does not intend to comply with its funding obligations or has made a public statement to that effect with respect to its funding obligations hereunder or under other agreements in which it commits to extend credit, (c) has failed, within three Business Days after request by the Administrative Agent, to confirm in a manner satisfactory to the Administrative Agent that it will comply with its funding obligations, or (d) has, or has a direct or indirect parent company that has,</w:t>
      </w:r>
    </w:p>
    <w:p>
      <w:pPr>
        <w:spacing w:after="0" w:line="1" w:lineRule="exact"/>
        <w:rPr>
          <w:sz w:val="20"/>
          <w:szCs w:val="20"/>
          <w:color w:val="auto"/>
        </w:rPr>
      </w:pPr>
    </w:p>
    <w:p>
      <w:pPr>
        <w:ind w:firstLine="8"/>
        <w:spacing w:after="0" w:line="261" w:lineRule="auto"/>
        <w:tabs>
          <w:tab w:leader="none" w:pos="212"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become the subject of a proceeding under any Debtor Relief Law, (ii) had a receiver, conservator, trustee, administrator, assignee for the benefit of creditors or similar Person charged with reorganization or liquidation of its business or a custodian appointed for it,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55" w:name="page56"/>
    <w:bookmarkEnd w:id="55"/>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(iii) taken any action in furtherance of, or indicated its consent to, approval of or acquiescence in any such proceeding or appointment; provided that a Lender shall not be a Defaulting Lender solely by virtue of the ownership of, or acquisition by, a Governmental Authority, of any equity interest in that Lender or any direct or indirect parent company thereof.</w:t>
      </w:r>
    </w:p>
    <w:p>
      <w:pPr>
        <w:spacing w:after="0" w:line="14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or “</w:t>
      </w:r>
      <w:r>
        <w:rPr>
          <w:rFonts w:ascii="Arial" w:cs="Arial" w:eastAsia="Arial" w:hAnsi="Arial"/>
          <w:sz w:val="18"/>
          <w:szCs w:val="18"/>
          <w:u w:val="single" w:color="auto"/>
          <w:color w:val="auto"/>
        </w:rPr>
        <w:t>Dispose</w:t>
      </w:r>
      <w:r>
        <w:rPr>
          <w:rFonts w:ascii="Arial" w:cs="Arial" w:eastAsia="Arial" w:hAnsi="Arial"/>
          <w:sz w:val="18"/>
          <w:szCs w:val="18"/>
          <w:color w:val="auto"/>
        </w:rPr>
        <w:t xml:space="preserve">” means the sale, transfer, license, lease, Casualty or Condemnation or other disposition (including any Sale and Leaseback Transaction or any sale of any Equity Interest of any Subsidiary) of any property by any Person, including any sale, assignment, transfer or other disposal, with or without recourse, of any notes issued by any other Person or accounts receivable or any rights and claims associated therewith or any capital stock of, or other Equity Interests in, any other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be deemed to imply that any such disposition is permitted under this Agreement. The term “Disposition” shall not include any Equity Issuance.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lawful money of the United States.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 Subsidiary that is organized under the Laws of a political subdivision of the United States.</w:t>
      </w:r>
    </w:p>
    <w:p>
      <w:pPr>
        <w:spacing w:after="0" w:line="171"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means any Person that meets the requirements to be an assignee under </w:t>
      </w:r>
      <w:r>
        <w:rPr>
          <w:rFonts w:ascii="Arial" w:cs="Arial" w:eastAsia="Arial" w:hAnsi="Arial"/>
          <w:sz w:val="18"/>
          <w:szCs w:val="18"/>
          <w:u w:val="single" w:color="auto"/>
          <w:color w:val="auto"/>
        </w:rPr>
        <w:t>Section 10.06(b)(iii)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w:t>
      </w:r>
      <w:r>
        <w:rPr>
          <w:rFonts w:ascii="Arial" w:cs="Arial" w:eastAsia="Arial" w:hAnsi="Arial"/>
          <w:sz w:val="18"/>
          <w:szCs w:val="18"/>
          <w:color w:val="auto"/>
        </w:rPr>
        <w:t xml:space="preserve"> (subject to such consents, if any, as may be required under </w:t>
      </w:r>
      <w:r>
        <w:rPr>
          <w:rFonts w:ascii="Arial" w:cs="Arial" w:eastAsia="Arial" w:hAnsi="Arial"/>
          <w:sz w:val="18"/>
          <w:szCs w:val="18"/>
          <w:u w:val="single" w:color="auto"/>
          <w:color w:val="auto"/>
        </w:rPr>
        <w:t>Section 10.06(b)(iii)</w:t>
      </w:r>
      <w:r>
        <w:rPr>
          <w:rFonts w:ascii="Arial" w:cs="Arial" w:eastAsia="Arial" w:hAnsi="Arial"/>
          <w:sz w:val="18"/>
          <w:szCs w:val="18"/>
          <w:color w:val="auto"/>
        </w:rPr>
        <w: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Engagement Letter</w:t>
      </w:r>
      <w:r>
        <w:rPr>
          <w:rFonts w:ascii="Arial" w:cs="Arial" w:eastAsia="Arial" w:hAnsi="Arial"/>
          <w:sz w:val="18"/>
          <w:szCs w:val="18"/>
          <w:color w:val="auto"/>
        </w:rPr>
        <w:t>” means the engagement letter agreement dated June 7, 2011, among the Borrower and the MLPFS, as an Arranger.</w:t>
      </w:r>
    </w:p>
    <w:p>
      <w:pPr>
        <w:spacing w:after="0" w:line="171"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Environmental Laws</w:t>
      </w:r>
      <w:r>
        <w:rPr>
          <w:rFonts w:ascii="Arial" w:cs="Arial" w:eastAsia="Arial" w:hAnsi="Arial"/>
          <w:sz w:val="15"/>
          <w:szCs w:val="15"/>
          <w:color w:val="auto"/>
        </w:rPr>
        <w:t>”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spacing w:after="0" w:line="88"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Liability</w:t>
      </w:r>
      <w:r>
        <w:rPr>
          <w:rFonts w:ascii="Arial" w:cs="Arial" w:eastAsia="Arial" w:hAnsi="Arial"/>
          <w:sz w:val="16"/>
          <w:szCs w:val="16"/>
          <w:color w:val="auto"/>
        </w:rPr>
        <w:t>” means any liability, contingent or otherwise (including any liability for damages, costs of environmental remediation, fines, penalties or indemnities), of the Borrower or any of its Subsidiaries directly or indirectly resulting from or based upon (a) violation of any Environmental Law,</w:t>
      </w:r>
    </w:p>
    <w:p>
      <w:pPr>
        <w:jc w:val="both"/>
        <w:ind w:right="20" w:firstLine="8"/>
        <w:spacing w:after="0" w:line="255" w:lineRule="auto"/>
        <w:tabs>
          <w:tab w:leader="none" w:pos="269"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44"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Interests</w:t>
      </w:r>
      <w:r>
        <w:rPr>
          <w:rFonts w:ascii="Arial" w:cs="Arial" w:eastAsia="Arial" w:hAnsi="Arial"/>
          <w:sz w:val="16"/>
          <w:szCs w:val="16"/>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56" w:name="page57"/>
    <w:bookmarkEnd w:id="56"/>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and all of the other ownership or profit interests in such Person (including partnership, member or trust interests therein), whether voting or nonvoting, and whether or not such shares, warrants, options, rights or other interests are outstanding on any date of determination;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Convertible Indebtedness shall not be or be deemed to be an Equity Interest.</w:t>
      </w:r>
    </w:p>
    <w:p>
      <w:pPr>
        <w:spacing w:after="0" w:line="14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Issuance</w:t>
      </w:r>
      <w:r>
        <w:rPr>
          <w:rFonts w:ascii="Arial" w:cs="Arial" w:eastAsia="Arial" w:hAnsi="Arial"/>
          <w:sz w:val="18"/>
          <w:szCs w:val="18"/>
          <w:color w:val="auto"/>
        </w:rPr>
        <w:t xml:space="preserve">” means any issuance by the Borrower or any of its Subsidiaries of any capital stock or other Equity Interests to any Person or receipt by the Borrower or any of its Subsidiaries of a capital contribution from any Person, including the issuance of Equity Interests pursuant to the exercise of options or warrants and the conversion of any Indebtedness to equity;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be deemed to imply that any such issuance is permitted under this Agreement.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w:t>
      </w:r>
    </w:p>
    <w:p>
      <w:pPr>
        <w:spacing w:after="0" w:line="171"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Affiliate</w:t>
      </w:r>
      <w:r>
        <w:rPr>
          <w:rFonts w:ascii="Arial" w:cs="Arial" w:eastAsia="Arial" w:hAnsi="Arial"/>
          <w:sz w:val="16"/>
          <w:szCs w:val="16"/>
          <w:color w:val="auto"/>
        </w:rPr>
        <w:t>” means any trade or business (whether or not incorporated) under common control with the Borrower or any of its Subsidiaries within the meaning of Section 414(b) or (c) of the Code (and Sections 414(m) and (o) of the Code for purposes of provisions relating to Section 412 of the Code).</w:t>
      </w:r>
    </w:p>
    <w:p>
      <w:pPr>
        <w:spacing w:after="0" w:line="85" w:lineRule="exact"/>
        <w:rPr>
          <w:sz w:val="20"/>
          <w:szCs w:val="20"/>
          <w:color w:val="auto"/>
        </w:rPr>
      </w:pPr>
    </w:p>
    <w:p>
      <w:pPr>
        <w:jc w:val="both"/>
        <w:ind w:firstLine="456"/>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(a) a Reportable Event with respect to a Pension Plan; (b) the withdrawal of the Borrower or any of its Subsidiaries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(within the meaning of Sections 4203 and 4205 of ERISA) by the Borrower or any of its Subsidiaries or any ERISA Affiliate from a Multiemployer Plan resulting in withdrawal liability to the Borrower or any of its Subsidiaries or any ERISA Affiliate under Section 4201 of ERISA, or notification to the Borrower or any of its Subsidiaries or any ERISA Affiliate that a Multiemployer Plan is in reorganization within the meaning of Section 4241 of ERISA; (d) the filing of a notice of intent to terminate a Pension Plan or the treatment of a Pension Plan amendment as a termination under Section 4041 or 4041A of ERISA;</w:t>
      </w:r>
    </w:p>
    <w:p>
      <w:pPr>
        <w:jc w:val="both"/>
        <w:ind w:firstLine="8"/>
        <w:spacing w:after="0" w:line="253" w:lineRule="auto"/>
        <w:tabs>
          <w:tab w:leader="none" w:pos="239"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or (h) the imposition of any liability under Title IV of ERISA, other than for PBGC premiums due but not delinquent under Section 4007 of ERISA, upon the Borrower or any ERISA Affiliate.</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w:t>
      </w:r>
      <w:r>
        <w:rPr>
          <w:rFonts w:ascii="Arial" w:cs="Arial" w:eastAsia="Arial" w:hAnsi="Arial"/>
          <w:sz w:val="18"/>
          <w:szCs w:val="18"/>
          <w:color w:val="auto"/>
        </w:rPr>
        <w:t>” means:</w:t>
      </w:r>
    </w:p>
    <w:p>
      <w:pPr>
        <w:spacing w:after="0" w:line="171" w:lineRule="exact"/>
        <w:rPr>
          <w:sz w:val="20"/>
          <w:szCs w:val="20"/>
          <w:color w:val="auto"/>
        </w:rPr>
      </w:pPr>
    </w:p>
    <w:p>
      <w:pPr>
        <w:jc w:val="both"/>
        <w:ind w:firstLine="464"/>
        <w:spacing w:after="0" w:line="256" w:lineRule="auto"/>
        <w:tabs>
          <w:tab w:leader="none" w:pos="711"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any Interest Period with respect to a Eurodollar Rate Loan, the rate per annum equal to (i) the British Bankers Association LIBOR Rate (“</w:t>
      </w:r>
      <w:r>
        <w:rPr>
          <w:rFonts w:ascii="Arial" w:cs="Arial" w:eastAsia="Arial" w:hAnsi="Arial"/>
          <w:sz w:val="18"/>
          <w:szCs w:val="18"/>
          <w:u w:val="single" w:color="auto"/>
          <w:color w:val="auto"/>
        </w:rPr>
        <w:t>BBA</w:t>
      </w:r>
      <w:r>
        <w:rPr>
          <w:rFonts w:ascii="Arial" w:cs="Arial" w:eastAsia="Arial" w:hAnsi="Arial"/>
          <w:sz w:val="18"/>
          <w:szCs w:val="18"/>
          <w:color w:val="auto"/>
        </w:rPr>
        <w:t xml:space="preserve"> </w:t>
      </w:r>
      <w:r>
        <w:rPr>
          <w:rFonts w:ascii="Arial" w:cs="Arial" w:eastAsia="Arial" w:hAnsi="Arial"/>
          <w:sz w:val="18"/>
          <w:szCs w:val="18"/>
          <w:u w:val="single" w:color="auto"/>
          <w:color w:val="auto"/>
        </w:rPr>
        <w:t>LIBOR</w:t>
      </w:r>
      <w:r>
        <w:rPr>
          <w:rFonts w:ascii="Arial" w:cs="Arial" w:eastAsia="Arial" w:hAnsi="Arial"/>
          <w:sz w:val="18"/>
          <w:szCs w:val="18"/>
          <w:color w:val="auto"/>
        </w:rPr>
        <w:t>”), as published by Reuters (or such other commercially available source providing quotations of BBA LIBOR as may be designated by the Administrative Agent from time to time) at approximately 11:00 a.m., London time, two London Banking Days prior to the commencement of such Interest Period, for Dollar deposits (for delivery on the first day of such Interest Period) with a term equivalent to</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57" w:name="page58"/>
    <w:bookmarkEnd w:id="57"/>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Interest Period or, (ii) if such rate is not available at such time for any reason, the rate per annum determined by the Administrative Agent to be the rate at which deposits in Dollars for delivery on the first day of such Interest Period in same day funds in the approximate amount of the Eurodollar Rate Loan being made, continued or converted and with a term equivalent to such Interest Period would be offered by Bank of America’s London Branch to major banks in the London interbank eurodollar market at their request at approximately 11:00 a.m. (London time) two London Banking Days prior to the commencement of such Interest Period; and</w:t>
      </w:r>
    </w:p>
    <w:p>
      <w:pPr>
        <w:spacing w:after="0" w:line="143" w:lineRule="exact"/>
        <w:rPr>
          <w:sz w:val="20"/>
          <w:szCs w:val="20"/>
          <w:color w:val="auto"/>
        </w:rPr>
      </w:pPr>
    </w:p>
    <w:p>
      <w:pPr>
        <w:jc w:val="both"/>
        <w:ind w:firstLine="464"/>
        <w:spacing w:after="0" w:line="291" w:lineRule="auto"/>
        <w:tabs>
          <w:tab w:leader="none" w:pos="718" w:val="left"/>
        </w:tabs>
        <w:numPr>
          <w:ilvl w:val="0"/>
          <w:numId w:val="29"/>
        </w:numPr>
        <w:rPr>
          <w:rFonts w:ascii="Arial" w:cs="Arial" w:eastAsia="Arial" w:hAnsi="Arial"/>
          <w:sz w:val="16"/>
          <w:szCs w:val="16"/>
          <w:color w:val="auto"/>
        </w:rPr>
      </w:pPr>
      <w:r>
        <w:rPr>
          <w:rFonts w:ascii="Arial" w:cs="Arial" w:eastAsia="Arial" w:hAnsi="Arial"/>
          <w:sz w:val="16"/>
          <w:szCs w:val="16"/>
          <w:color w:val="auto"/>
        </w:rPr>
        <w:t>for any interest calculation with respect to a Base Rate Loan on any date, the rate per annum equal to (i) BBA LIBOR, at approximately 11:00 a.m., London time determined two London Banking Days prior to such date for Dollar deposits being delivered in the London interbank market for a term of one month commencing that day or (ii) if such published rate is not available at such time for any reason, the rate per annum determined by the Administrative Agent to be the rate at which deposits in Dollars for delivery on the date of determination in same day funds in the approximate amount of the Base Rate Loan being made or maintained and with a term equal to one month would be offered by Bank of America’s London Branch to major banks in the London interbank Eurodollar market at their request at the date and time of determination.</w:t>
      </w:r>
    </w:p>
    <w:p>
      <w:pPr>
        <w:spacing w:after="0" w:line="120" w:lineRule="exact"/>
        <w:rPr>
          <w:sz w:val="20"/>
          <w:szCs w:val="20"/>
          <w:color w:val="auto"/>
        </w:rPr>
      </w:pPr>
    </w:p>
    <w:p>
      <w:pPr>
        <w:ind w:left="460" w:right="1000"/>
        <w:spacing w:after="0" w:line="4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 Loan</w:t>
      </w:r>
      <w:r>
        <w:rPr>
          <w:rFonts w:ascii="Arial" w:cs="Arial" w:eastAsia="Arial" w:hAnsi="Arial"/>
          <w:sz w:val="18"/>
          <w:szCs w:val="18"/>
          <w:color w:val="auto"/>
        </w:rPr>
        <w:t>” means a Revolving Credit Loan that bears interest at a rate based on clause (a) of the definition of “Eurodollar Rate.” “</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1"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Subsidiaries</w:t>
      </w:r>
      <w:r>
        <w:rPr>
          <w:rFonts w:ascii="Arial" w:cs="Arial" w:eastAsia="Arial" w:hAnsi="Arial"/>
          <w:sz w:val="16"/>
          <w:szCs w:val="16"/>
          <w:color w:val="auto"/>
        </w:rPr>
        <w:t xml:space="preserve">” means (a) all Foreign Subsidiaries and (b) each Domestic Subsidiary that (i) either (x) does not directly own a majority of the Equity Interests in any Foreign Subsidiary or (y) the Equity Interests and related “Collateral” (as defined in the Pledge Agreement) of such Domestic Subsidiary are pledged pursuant to the Pledge Agreement, and (ii) is designated by the Borrower as an “Excluded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as of any date of determination, the Consolidated EBITDA during the four consecutive fiscal quarters most recently ended of all Domestic Subsidiaries that are designated as Excluded Subsidiaries shall not exceed five percent (5.0%) of the Consolidated EBITDA during such period of the Borrower and its consolidated Domestic Subsidiaries. As of the Closing Date, each of the Domestic Subsidiaries listed in part A of </w:t>
      </w:r>
      <w:r>
        <w:rPr>
          <w:rFonts w:ascii="Arial" w:cs="Arial" w:eastAsia="Arial" w:hAnsi="Arial"/>
          <w:sz w:val="16"/>
          <w:szCs w:val="16"/>
          <w:u w:val="single" w:color="auto"/>
          <w:color w:val="auto"/>
        </w:rPr>
        <w:t>Schedule 1.01</w:t>
      </w:r>
      <w:r>
        <w:rPr>
          <w:rFonts w:ascii="Arial" w:cs="Arial" w:eastAsia="Arial" w:hAnsi="Arial"/>
          <w:sz w:val="16"/>
          <w:szCs w:val="16"/>
          <w:color w:val="auto"/>
        </w:rPr>
        <w:t xml:space="preserve"> is designated as an Excluded Subsidiary in accordance with (and, for the avoidance of doubt, not as an exception to) clause (b) of this definition.</w:t>
      </w:r>
    </w:p>
    <w:p>
      <w:pPr>
        <w:spacing w:after="0" w:line="118"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xml:space="preserve">” means, with respect to the Administrative Agent, any Lender, the L/C Issuer or any other recipient of any payment to be made by or on account of any obligation of the Borrower hereunder, (a) taxes imposed on or measured by its overall net income (however denominated), and franchise taxes imposed on it (in lieu of net income taxes), by the jurisdiction (or any political subdivision thereof) under the Laws of which such recipient is organized or in which its principal office is located or, in the case of any Lender, in which its applicable Lending Office is located, (b) any branch profits taxes imposed by the United States or any similar tax imposed by any other jurisdiction in which the Borrower is located, (c) any backup withholding tax that is required by applicable Law to be withheld from amounts payable to a Lender that has failed to comply with clause (A) of </w:t>
      </w:r>
      <w:r>
        <w:rPr>
          <w:rFonts w:ascii="Arial" w:cs="Arial" w:eastAsia="Arial" w:hAnsi="Arial"/>
          <w:sz w:val="16"/>
          <w:szCs w:val="16"/>
          <w:u w:val="single" w:color="auto"/>
          <w:color w:val="auto"/>
        </w:rPr>
        <w:t>Section 3.01(e)(ii)</w:t>
      </w:r>
      <w:r>
        <w:rPr>
          <w:rFonts w:ascii="Arial" w:cs="Arial" w:eastAsia="Arial" w:hAnsi="Arial"/>
          <w:sz w:val="16"/>
          <w:szCs w:val="16"/>
          <w:color w:val="auto"/>
        </w:rPr>
        <w:t>, and (d) in the case of a Foreign Lender,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58" w:name="page59"/>
    <w:bookmarkEnd w:id="58"/>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any United States withholding tax that (i) is required to be imposed on amounts payable to such Foreign Lender pursuant to the Laws in force at the time such Foreign Lender becomes a party hereto (or designates a new Lending Office) or (ii) is attributable to such Foreign Lender’s failure or inability (other than as a result of a Change in Law) to comply with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except to the extent that such Foreign Lender (or its assignor, if any) was entitled, at the time of designation of a new Lending Office (or assignment), to receive additional amounts from the Borrower with respect to such withholding tax pursuant to </w:t>
      </w:r>
      <w:r>
        <w:rPr>
          <w:rFonts w:ascii="Arial" w:cs="Arial" w:eastAsia="Arial" w:hAnsi="Arial"/>
          <w:sz w:val="18"/>
          <w:szCs w:val="18"/>
          <w:u w:val="single" w:color="auto"/>
          <w:color w:val="auto"/>
        </w:rPr>
        <w:t>Section 3.01(a)(ii)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3.01(c)</w:t>
      </w:r>
      <w:r>
        <w:rPr>
          <w:rFonts w:ascii="Arial" w:cs="Arial" w:eastAsia="Arial" w:hAnsi="Arial"/>
          <w:sz w:val="18"/>
          <w:szCs w:val="18"/>
          <w:color w:val="auto"/>
        </w:rPr>
        <w:t>.</w:t>
      </w:r>
    </w:p>
    <w:p>
      <w:pPr>
        <w:spacing w:after="0" w:line="143"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Executive Officer</w:t>
      </w:r>
      <w:r>
        <w:rPr>
          <w:rFonts w:ascii="Arial" w:cs="Arial" w:eastAsia="Arial" w:hAnsi="Arial"/>
          <w:sz w:val="16"/>
          <w:szCs w:val="16"/>
          <w:color w:val="auto"/>
        </w:rPr>
        <w:t>” means (i) with respect to the Borrower, those officers with titles of president, chief executive officer, executive vice-president and senior vice-president, and (ii) with respect to any other Loan Party, those officers with titles of president, chief executive officer and vice president.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has the meaning specified in the recitals 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means, at any time, the aggregate amount of the Revolving Credit Lenders’ Commitments at such time.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FASB ASC</w:t>
      </w:r>
      <w:r>
        <w:rPr>
          <w:rFonts w:ascii="Arial" w:cs="Arial" w:eastAsia="Arial" w:hAnsi="Arial"/>
          <w:sz w:val="18"/>
          <w:szCs w:val="18"/>
          <w:color w:val="auto"/>
        </w:rPr>
        <w:t>” means the Accounting Standards Codification of the Financial Accounting Standards Board.</w:t>
      </w:r>
    </w:p>
    <w:p>
      <w:pPr>
        <w:spacing w:after="0" w:line="171"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Rate</w:t>
      </w:r>
      <w:r>
        <w:rPr>
          <w:rFonts w:ascii="Arial" w:cs="Arial" w:eastAsia="Arial" w:hAnsi="Arial"/>
          <w:sz w:val="16"/>
          <w:szCs w:val="16"/>
          <w:color w:val="auto"/>
        </w:rPr>
        <w:t xml:space="preserve">” means,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Letters</w:t>
      </w:r>
      <w:r>
        <w:rPr>
          <w:rFonts w:ascii="Arial" w:cs="Arial" w:eastAsia="Arial" w:hAnsi="Arial"/>
          <w:sz w:val="18"/>
          <w:szCs w:val="18"/>
          <w:color w:val="auto"/>
        </w:rPr>
        <w:t>” means, collectively, the Arranger Fee Letters and the Agent Fee Letter.</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any Lender that is organized under the Laws of a jurisdiction other than that in which the Borrower is resident for tax purposes (including such a Lender when acting in the capacity of the L/C Issuer). For purposes of this definition, the United States, each State thereof and the District of Columbia shall be deemed to constitute a single jurisdiction.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Subsidiary</w:t>
      </w:r>
      <w:r>
        <w:rPr>
          <w:rFonts w:ascii="Arial" w:cs="Arial" w:eastAsia="Arial" w:hAnsi="Arial"/>
          <w:sz w:val="16"/>
          <w:szCs w:val="16"/>
          <w:color w:val="auto"/>
        </w:rPr>
        <w:t>” means a Subsidiary that is not organized under the Laws of a political subdivision of the United States or a state thereof.</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FRB</w:t>
      </w:r>
      <w:r>
        <w:rPr>
          <w:rFonts w:ascii="Arial" w:cs="Arial" w:eastAsia="Arial" w:hAnsi="Arial"/>
          <w:sz w:val="18"/>
          <w:szCs w:val="18"/>
          <w:color w:val="auto"/>
        </w:rPr>
        <w:t>” means the Board of Governors of the Federal Reserve System of the United States.</w:t>
      </w:r>
    </w:p>
    <w:p>
      <w:pPr>
        <w:spacing w:after="0" w:line="17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Fronting Exposure</w:t>
      </w:r>
      <w:r>
        <w:rPr>
          <w:rFonts w:ascii="Arial" w:cs="Arial" w:eastAsia="Arial" w:hAnsi="Arial"/>
          <w:sz w:val="18"/>
          <w:szCs w:val="18"/>
          <w:color w:val="auto"/>
        </w:rPr>
        <w:t>” means, at any time there is a Defaulting Lender, (a) with respect to the L/C Issuer, such Defaulting Lender’s Applicable Percentage of the outstanding L/C Obligations other than L/C Obligations as to which such Defaulting Lender’s participation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59" w:name="page60"/>
    <w:bookmarkEnd w:id="59"/>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obligation has been reallocated to other Revolving Credit Lenders or Cash Collateralized in accordance with the terms hereof, and (b) with respect to the Swing Line Lender, such Defaulting Lender’s Applicable Percentage of Swing Line Loans other than Swing Line Loans as to which such Defaulting Lender’s participation obligation has been reallocated to other Revolving Credit Lenders or Cash Collateralized in accordance with the terms hereof.</w:t>
      </w:r>
    </w:p>
    <w:p>
      <w:pPr>
        <w:spacing w:after="0" w:line="10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3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43"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financial accounting or regulatory capital rules or standards (including, without limitation, the Financial Accounting Standards Board, the Bank for International Settlements or the Basel Committee on Banking Supervision or any successor or similar authority to any of the foregoing).</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Granting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10.06(g)</w:t>
      </w:r>
      <w:r>
        <w:rPr>
          <w:rFonts w:ascii="Arial" w:cs="Arial" w:eastAsia="Arial" w:hAnsi="Arial"/>
          <w:sz w:val="18"/>
          <w:szCs w:val="18"/>
          <w:color w:val="auto"/>
        </w:rPr>
        <w:t>.</w:t>
      </w:r>
    </w:p>
    <w:p>
      <w:pPr>
        <w:spacing w:after="0" w:line="171"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w:t>
      </w:r>
      <w:r>
        <w:rPr>
          <w:rFonts w:ascii="Arial" w:cs="Arial" w:eastAsia="Arial" w:hAnsi="Arial"/>
          <w:sz w:val="16"/>
          <w:szCs w:val="16"/>
          <w:color w:val="auto"/>
        </w:rPr>
        <w:t xml:space="preserve">” means, as to any Person,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the term Guarantee shall not include (i) endorsements of instruments for collection in the ordinary course, (ii) customary exceptions to non-recourse provisions such as fraud, misappropriation 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60" w:name="page61"/>
    <w:bookmarkEnd w:id="60"/>
    <w:p>
      <w:pPr>
        <w:jc w:val="both"/>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funds and environmental liabilities or (iii) assurances relating to environmental matters.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Honor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2.03(c)(i)</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Increase Effective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2.16</w:t>
      </w:r>
      <w:r>
        <w:rPr>
          <w:rFonts w:ascii="Arial" w:cs="Arial" w:eastAsia="Arial" w:hAnsi="Arial"/>
          <w:sz w:val="18"/>
          <w:szCs w:val="18"/>
          <w:color w:val="auto"/>
        </w:rPr>
        <w:t>.</w:t>
      </w:r>
    </w:p>
    <w:p>
      <w:pPr>
        <w:spacing w:after="0" w:line="171"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as to any Person at a particular time, without duplication, all of the following, whether or not included as indebtedness or liabilities in accordance with GAAP:</w:t>
      </w:r>
    </w:p>
    <w:p>
      <w:pPr>
        <w:spacing w:after="0" w:line="51" w:lineRule="exact"/>
        <w:rPr>
          <w:sz w:val="20"/>
          <w:szCs w:val="20"/>
          <w:color w:val="auto"/>
        </w:rPr>
      </w:pPr>
    </w:p>
    <w:p>
      <w:pPr>
        <w:ind w:left="460" w:firstLine="443"/>
        <w:spacing w:after="0" w:line="268" w:lineRule="auto"/>
        <w:tabs>
          <w:tab w:leader="none" w:pos="1142"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obligations of such Person for borrowed money and all obligations of such Person evidenced by bonds, debentures, notes, loan agreements or other similar instruments;</w:t>
      </w:r>
    </w:p>
    <w:p>
      <w:pPr>
        <w:spacing w:after="0" w:line="50" w:lineRule="exact"/>
        <w:rPr>
          <w:rFonts w:ascii="Arial" w:cs="Arial" w:eastAsia="Arial" w:hAnsi="Arial"/>
          <w:sz w:val="18"/>
          <w:szCs w:val="18"/>
          <w:color w:val="auto"/>
        </w:rPr>
      </w:pPr>
    </w:p>
    <w:p>
      <w:pPr>
        <w:ind w:left="460" w:firstLine="443"/>
        <w:spacing w:after="0" w:line="268" w:lineRule="auto"/>
        <w:tabs>
          <w:tab w:leader="none" w:pos="1161"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maximum amount of all direct or contingent obligations of such Person arising under letters of credit (including standby and commercial), bankers’ acceptances, bank guaranties, surety bonds and similar instruments;</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net payment obligations of such Person under any Swap Contract;</w:t>
      </w:r>
    </w:p>
    <w:p>
      <w:pPr>
        <w:spacing w:after="0" w:line="90" w:lineRule="exact"/>
        <w:rPr>
          <w:rFonts w:ascii="Arial" w:cs="Arial" w:eastAsia="Arial" w:hAnsi="Arial"/>
          <w:sz w:val="18"/>
          <w:szCs w:val="18"/>
          <w:color w:val="auto"/>
        </w:rPr>
      </w:pPr>
    </w:p>
    <w:p>
      <w:pPr>
        <w:ind w:left="460" w:firstLine="443"/>
        <w:spacing w:after="0" w:line="268" w:lineRule="auto"/>
        <w:tabs>
          <w:tab w:leader="none" w:pos="1151"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obligations of such Person to pay the deferred purchase price of property or services (other than trade accounts payable in the ordinary course of business);</w:t>
      </w:r>
    </w:p>
    <w:p>
      <w:pPr>
        <w:spacing w:after="0" w:line="50" w:lineRule="exact"/>
        <w:rPr>
          <w:rFonts w:ascii="Arial" w:cs="Arial" w:eastAsia="Arial" w:hAnsi="Arial"/>
          <w:sz w:val="18"/>
          <w:szCs w:val="18"/>
          <w:color w:val="auto"/>
        </w:rPr>
      </w:pPr>
    </w:p>
    <w:p>
      <w:pPr>
        <w:jc w:val="both"/>
        <w:ind w:left="460" w:firstLine="443"/>
        <w:spacing w:after="0" w:line="259" w:lineRule="auto"/>
        <w:tabs>
          <w:tab w:leader="none" w:pos="118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59" w:lineRule="exact"/>
        <w:rPr>
          <w:rFonts w:ascii="Arial" w:cs="Arial" w:eastAsia="Arial" w:hAnsi="Arial"/>
          <w:sz w:val="18"/>
          <w:szCs w:val="18"/>
          <w:color w:val="auto"/>
        </w:rPr>
      </w:pPr>
    </w:p>
    <w:p>
      <w:pPr>
        <w:ind w:left="1120" w:hanging="217"/>
        <w:spacing w:after="0"/>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Capitalized Leases and Off-Balance Sheet Obligations of such Person;</w:t>
      </w:r>
    </w:p>
    <w:p>
      <w:pPr>
        <w:spacing w:after="0" w:line="90" w:lineRule="exact"/>
        <w:rPr>
          <w:rFonts w:ascii="Arial" w:cs="Arial" w:eastAsia="Arial" w:hAnsi="Arial"/>
          <w:sz w:val="18"/>
          <w:szCs w:val="18"/>
          <w:color w:val="auto"/>
        </w:rPr>
      </w:pPr>
    </w:p>
    <w:p>
      <w:pPr>
        <w:jc w:val="both"/>
        <w:ind w:left="460" w:firstLine="443"/>
        <w:spacing w:after="0" w:line="259" w:lineRule="auto"/>
        <w:tabs>
          <w:tab w:leader="none" w:pos="1147"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obligations of such Person to purchase, redeem, retire, defease or otherwise make any payment in respect of any Equity Interest in such Person or any other Person, valued, in the case of a redeemable preferred interest, at the greater of its voluntary or involuntary liquidation preference plus accrued and unpaid dividends;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61" w:name="page62"/>
    <w:bookmarkEnd w:id="61"/>
    <w:p>
      <w:pPr>
        <w:jc w:val="both"/>
        <w:ind w:left="460" w:firstLine="443"/>
        <w:spacing w:after="0" w:line="259" w:lineRule="auto"/>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Indebtedness in respect of any of the foregoing of another Person secured by (or for which the holder of such Indebtedness has an existing right, contingent or otherwise, to be secured by) any Lien on the property, including, without limitation, accounts and contract rights owned by such Person, even though such Person has not assumed or become liable for such Indebtedness; and</w:t>
      </w:r>
    </w:p>
    <w:p>
      <w:pPr>
        <w:spacing w:after="0" w:line="59" w:lineRule="exact"/>
        <w:rPr>
          <w:rFonts w:ascii="Arial" w:cs="Arial" w:eastAsia="Arial" w:hAnsi="Arial"/>
          <w:sz w:val="18"/>
          <w:szCs w:val="18"/>
          <w:color w:val="auto"/>
        </w:rPr>
      </w:pPr>
    </w:p>
    <w:p>
      <w:pPr>
        <w:ind w:left="1120" w:hanging="217"/>
        <w:spacing w:after="0"/>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Guarantees of such Person in respect of any of the foregoing.</w:t>
      </w:r>
    </w:p>
    <w:p>
      <w:pPr>
        <w:spacing w:after="0" w:line="171"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in an amount proportionate to such Person’s interest therein, unless such Indebtedness is expressly made non-recourse to such Person (subject to customary exceptions to non-recourse provisions such as fraud, misappropriation of funds and environmental liabilities) or except to the extent such Indebtedness is owed by such partnership or joint venture to such Person. The amount of any net obligation under any Swap Contract on any date shall be deemed to be the Swap Termination Value thereof as of such date. The amount of any Capitalized Lease or Off-Balance Sheet Obligation as of any date shall be deemed to be the amount of Attributable Indebtedness in respect thereof as of such date.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Taxes other than Excluded Taxes.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10.04(b)</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10.07</w:t>
      </w:r>
      <w:r>
        <w:rPr>
          <w:rFonts w:ascii="Arial" w:cs="Arial" w:eastAsia="Arial" w:hAnsi="Arial"/>
          <w:sz w:val="18"/>
          <w:szCs w:val="18"/>
          <w:color w:val="auto"/>
        </w:rPr>
        <w:t>.</w:t>
      </w:r>
    </w:p>
    <w:p>
      <w:pPr>
        <w:spacing w:after="0" w:line="17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Insurance Proceeds</w:t>
      </w:r>
      <w:r>
        <w:rPr>
          <w:rFonts w:ascii="Arial" w:cs="Arial" w:eastAsia="Arial" w:hAnsi="Arial"/>
          <w:sz w:val="18"/>
          <w:szCs w:val="18"/>
          <w:color w:val="auto"/>
        </w:rPr>
        <w:t>” means all insurance proceeds (other than business interruption insurance proceeds), damages, awards, claims and rights of action with respect to any Casualty.</w:t>
      </w:r>
    </w:p>
    <w:p>
      <w:pPr>
        <w:spacing w:after="0" w:line="13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Intercompany Notes</w:t>
      </w:r>
      <w:r>
        <w:rPr>
          <w:rFonts w:ascii="Arial" w:cs="Arial" w:eastAsia="Arial" w:hAnsi="Arial"/>
          <w:sz w:val="18"/>
          <w:szCs w:val="18"/>
          <w:color w:val="auto"/>
        </w:rPr>
        <w:t xml:space="preserve">” means the promissory notes issued as contemplated by </w:t>
      </w:r>
      <w:r>
        <w:rPr>
          <w:rFonts w:ascii="Arial" w:cs="Arial" w:eastAsia="Arial" w:hAnsi="Arial"/>
          <w:sz w:val="18"/>
          <w:szCs w:val="18"/>
          <w:u w:val="single" w:color="auto"/>
          <w:color w:val="auto"/>
        </w:rPr>
        <w:t>Section 7.02(d)</w:t>
      </w:r>
      <w:r>
        <w:rPr>
          <w:rFonts w:ascii="Arial" w:cs="Arial" w:eastAsia="Arial" w:hAnsi="Arial"/>
          <w:sz w:val="18"/>
          <w:szCs w:val="18"/>
          <w:color w:val="auto"/>
        </w:rPr>
        <w:t>, substantially in the form of Exhibit A to the Pledge Agreement or any intercompany loan agreement in form and substance reasonably satisfactory to the Administrative Agent.</w:t>
      </w:r>
    </w:p>
    <w:p>
      <w:pPr>
        <w:spacing w:after="0" w:line="132"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xml:space="preserve">” means (a) as to any Eurodollar Rate Loan, the last day of each Interest Period applicable to such Loan and the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Interest Period for a Eurodollar Rate Loan exceeds three months, the respective dates that fall every three months after the beginning of such Interest Period shall also be Interest Payment Dates, and (b) as to any Base Rate Loan (including a Swing Line Loan), the last Business Day of each March, June, September and December and the Maturity Date (with Swing Line Loans being deemed made under the Facility for purposes of this definition).</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means, as to each Eurodollar Rate Loan, the period commencing on the date such Eurodollar Rate Loan is disbursed or converted to or continued as a Eurodollar Rate Loan and ending on the date one, two, three or six months thereafter, as selected by the Borrower in the Loan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59" w:lineRule="exact"/>
        <w:rPr>
          <w:sz w:val="20"/>
          <w:szCs w:val="20"/>
          <w:color w:val="auto"/>
        </w:rPr>
      </w:pPr>
    </w:p>
    <w:p>
      <w:pPr>
        <w:jc w:val="both"/>
        <w:ind w:left="460" w:firstLine="443"/>
        <w:spacing w:after="0" w:line="259" w:lineRule="auto"/>
        <w:tabs>
          <w:tab w:leader="none" w:pos="1111"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Interest Period that would otherwise end on a day that is not a Business Day shall be extended to the next succeeding Business Day unless, in the case of a Eurodollar Rate Loan, such Business Day falls in another calendar month, in which case such Interest Period shall end on the immediately preceding Business Day;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62" w:name="page63"/>
    <w:bookmarkEnd w:id="62"/>
    <w:p>
      <w:pPr>
        <w:jc w:val="both"/>
        <w:ind w:left="460" w:firstLine="443"/>
        <w:spacing w:after="0" w:line="259" w:lineRule="auto"/>
        <w:tabs>
          <w:tab w:leader="none" w:pos="1151"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Interest Period pertaining to a Eurodollar Rate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59" w:lineRule="exact"/>
        <w:rPr>
          <w:rFonts w:ascii="Arial" w:cs="Arial" w:eastAsia="Arial" w:hAnsi="Arial"/>
          <w:sz w:val="18"/>
          <w:szCs w:val="18"/>
          <w:color w:val="auto"/>
        </w:rPr>
      </w:pPr>
    </w:p>
    <w:p>
      <w:pPr>
        <w:ind w:left="1120" w:hanging="217"/>
        <w:spacing w:after="0"/>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 Interest Period shall extend beyond the Maturity Date.</w:t>
      </w:r>
    </w:p>
    <w:p>
      <w:pPr>
        <w:spacing w:after="0" w:line="17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Internal Control Event</w:t>
      </w:r>
      <w:r>
        <w:rPr>
          <w:rFonts w:ascii="Arial" w:cs="Arial" w:eastAsia="Arial" w:hAnsi="Arial"/>
          <w:sz w:val="18"/>
          <w:szCs w:val="18"/>
          <w:color w:val="auto"/>
        </w:rPr>
        <w:t>” means a material weakness in, or fraud that involves officers who have a significant role in and involving, the Borrower’s internal control over financial reporting, in each case as described in the Securities Laws.</w:t>
      </w:r>
    </w:p>
    <w:p>
      <w:pPr>
        <w:spacing w:after="0" w:line="132"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w:t>
      </w:r>
      <w:r>
        <w:rPr>
          <w:rFonts w:ascii="Arial" w:cs="Arial" w:eastAsia="Arial" w:hAnsi="Arial"/>
          <w:sz w:val="16"/>
          <w:szCs w:val="16"/>
          <w:color w:val="auto"/>
        </w:rPr>
        <w:t>” means, as to any Person, any direct or indirect acquisition or investment by such Person, whether by means of (a) the purchase or other acquisition of Equity Interests of another Person,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Guarantees Indebtedness of such other Person, or (c) the purchase or other acquisition (in one transaction or a series of transactions) of assets of another Person that constitute a division, business unit or line of business. For purposes of covenant compliance, the amount of any Investment shall be the amount actually invested, without adjustment for subsequent increases or decreases in the value of such Investment.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 Rights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5.11</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17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32"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Issuer Documents</w:t>
      </w:r>
      <w:r>
        <w:rPr>
          <w:rFonts w:ascii="Arial" w:cs="Arial" w:eastAsia="Arial" w:hAnsi="Arial"/>
          <w:sz w:val="16"/>
          <w:szCs w:val="16"/>
          <w:color w:val="auto"/>
        </w:rPr>
        <w:t>” means with respect to any Letter of Credit, the Letter of Credit Application and any other document, agreement and instrument entered into by the L/C Issuer and the Borrower (or any Subsidiary) or in favor of the L/C Issuer and relating to any such Letter of Credit.</w:t>
      </w:r>
    </w:p>
    <w:p>
      <w:pPr>
        <w:spacing w:after="0" w:line="8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Joinder Agreement</w:t>
      </w:r>
      <w:r>
        <w:rPr>
          <w:rFonts w:ascii="Arial" w:cs="Arial" w:eastAsia="Arial" w:hAnsi="Arial"/>
          <w:sz w:val="18"/>
          <w:szCs w:val="18"/>
          <w:color w:val="auto"/>
        </w:rPr>
        <w:t xml:space="preserve">” means a joinder agreement executed and delivered in accordance with the provisions of Section 6.11, substantially in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hereto.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JPMorgan Securities</w:t>
      </w:r>
      <w:r>
        <w:rPr>
          <w:rFonts w:ascii="Arial" w:cs="Arial" w:eastAsia="Arial" w:hAnsi="Arial"/>
          <w:sz w:val="18"/>
          <w:szCs w:val="18"/>
          <w:color w:val="auto"/>
        </w:rPr>
        <w:t>” means J.P. Morgan Securities LLC and its successors.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JPM Arranger Fee Letter</w:t>
      </w:r>
      <w:r>
        <w:rPr>
          <w:rFonts w:ascii="Arial" w:cs="Arial" w:eastAsia="Arial" w:hAnsi="Arial"/>
          <w:sz w:val="18"/>
          <w:szCs w:val="18"/>
          <w:color w:val="auto"/>
        </w:rPr>
        <w:t>” means that certain letter agreement, dated June 7, 2011, among the Borrower and JPMorgan Securities.</w:t>
      </w:r>
    </w:p>
    <w:p>
      <w:pPr>
        <w:spacing w:after="0" w:line="17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Laws</w:t>
      </w:r>
      <w:r>
        <w:rPr>
          <w:rFonts w:ascii="Arial" w:cs="Arial" w:eastAsia="Arial" w:hAnsi="Arial"/>
          <w:sz w:val="18"/>
          <w:szCs w:val="18"/>
          <w:color w:val="auto"/>
        </w:rPr>
        <w:t>” means, collectively, all international, foreign, Federal, state and local statutes, treaties, rules, guidelines, regulations, ordinances, codes, administrative or judicial precedents or authorities and executive orders, including the interpretation or administration thereof by any Governmental Authority charged with the enforcement, interpretation or administration thereof, and all applicable administrative orders, directed duties, requests, licenses, authorizations and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63" w:name="page64"/>
    <w:bookmarkEnd w:id="63"/>
    <w:p>
      <w:pPr>
        <w:jc w:val="both"/>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permits of, and agreements with, any Governmental Authority, in each case whether or not having the force of law (including, without limitation, under the Federal Food, Drug and Cosmetic Act, the Safe Medical Devices Act of 1990, the FDA Modernization Act of 1997, and additional laws and regulations relating to medical devices promulgated by various governments and governmental agencies, the International Standards Organization’s regulations and registration requirements and the European Medical Device Directives).</w:t>
      </w:r>
    </w:p>
    <w:p>
      <w:pPr>
        <w:spacing w:after="0" w:line="143"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Advance</w:t>
      </w:r>
      <w:r>
        <w:rPr>
          <w:rFonts w:ascii="Arial" w:cs="Arial" w:eastAsia="Arial" w:hAnsi="Arial"/>
          <w:sz w:val="18"/>
          <w:szCs w:val="18"/>
          <w:color w:val="auto"/>
        </w:rPr>
        <w:t>” means, with respect to each Revolving Credit Lender, such Lender’s funding of its participation in any L/C Borrowing in accordance with its Applicable Revolving Credit Percentage.</w:t>
      </w:r>
    </w:p>
    <w:p>
      <w:pPr>
        <w:spacing w:after="0" w:line="132"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Borrowing</w:t>
      </w:r>
      <w:r>
        <w:rPr>
          <w:rFonts w:ascii="Arial" w:cs="Arial" w:eastAsia="Arial" w:hAnsi="Arial"/>
          <w:sz w:val="18"/>
          <w:szCs w:val="18"/>
          <w:color w:val="auto"/>
        </w:rPr>
        <w:t>” means an extension of credit resulting from a drawing under any Letter of Credit which has not been reimbursed by the Borrower on the Honor Date or refinanced as a Revolving Credit Borrowing.</w:t>
      </w:r>
    </w:p>
    <w:p>
      <w:pPr>
        <w:spacing w:after="0" w:line="13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Credit Extension</w:t>
      </w:r>
      <w:r>
        <w:rPr>
          <w:rFonts w:ascii="Arial" w:cs="Arial" w:eastAsia="Arial" w:hAnsi="Arial"/>
          <w:sz w:val="18"/>
          <w:szCs w:val="18"/>
          <w:color w:val="auto"/>
        </w:rPr>
        <w:t>” means, with respect to any Letter of Credit, the issuance thereof or extension of the expiry date thereof, or the renewal or increase of the amount thereof.</w:t>
      </w:r>
    </w:p>
    <w:p>
      <w:pPr>
        <w:spacing w:after="0" w:line="13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Issuer</w:t>
      </w:r>
      <w:r>
        <w:rPr>
          <w:rFonts w:ascii="Arial" w:cs="Arial" w:eastAsia="Arial" w:hAnsi="Arial"/>
          <w:sz w:val="18"/>
          <w:szCs w:val="18"/>
          <w:color w:val="auto"/>
        </w:rPr>
        <w:t>” means, individually or collectively as the context may indicate, (a) Bank of America in its capacity as issuer of Letters of Credit hereunder or any successor to Bank of America in its capacity as an issuer of Letters of Credit hereunder and (b) any other Revolving Credit Lender, selected by the Borrower (with the consent of the Administrative Agent) to be an issuer of Letters of Credit hereunder, or any successor to such Lender in its capacity as an issuer of Letters of Credit hereunder.</w:t>
      </w:r>
    </w:p>
    <w:p>
      <w:pPr>
        <w:spacing w:after="0" w:line="143"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Obligations</w:t>
      </w:r>
      <w:r>
        <w:rPr>
          <w:rFonts w:ascii="Arial" w:cs="Arial" w:eastAsia="Arial" w:hAnsi="Arial"/>
          <w:sz w:val="18"/>
          <w:szCs w:val="18"/>
          <w:color w:val="auto"/>
        </w:rPr>
        <w:t xml:space="preserve">” means, as at any date of determination, the aggregate amount available to be drawn under all outstanding Letters of Credit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Arial" w:cs="Arial" w:eastAsia="Arial" w:hAnsi="Arial"/>
          <w:sz w:val="18"/>
          <w:szCs w:val="18"/>
          <w:u w:val="single" w:color="auto"/>
          <w:color w:val="auto"/>
        </w:rPr>
        <w:t>Section 1.06</w:t>
      </w:r>
      <w:r>
        <w:rPr>
          <w:rFonts w:ascii="Arial" w:cs="Arial" w:eastAsia="Arial" w:hAnsi="Arial"/>
          <w:sz w:val="18"/>
          <w:szCs w:val="18"/>
          <w:color w:val="auto"/>
        </w:rPr>
        <w:t>. For purposes of this Agreement, if on any date of determination a Letter of Credit has expired by its terms but any amount may still be drawn thereunder by reason of the operation of Rule 3.14 of the ISP, such Letter of Credit shall be deemed to be “outstanding” in the amount remaining to be drawn.</w:t>
      </w:r>
    </w:p>
    <w:p>
      <w:pPr>
        <w:spacing w:after="0" w:line="14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w:t>
      </w:r>
      <w:r>
        <w:rPr>
          <w:rFonts w:ascii="Arial" w:cs="Arial" w:eastAsia="Arial" w:hAnsi="Arial"/>
          <w:sz w:val="16"/>
          <w:szCs w:val="16"/>
          <w:color w:val="auto"/>
        </w:rPr>
        <w:t xml:space="preserve">” has the meaning specified in the introductory paragraph hereto and, as the context requires, includes each Lender with a commitment to make Loans as designated in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or in an Assignment and Assumption pursuant to which such Lender becomes a party 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references to “Lenders” shall include Bank of America in its capacity as the Swing Line Lender; for purposes of clarification only, to the extent that the Swing Line Lender may have rights and obligations in addition to those of the other Lenders due to its status as Swing Line Lender, its status as such will be specifically referenced.</w:t>
      </w:r>
    </w:p>
    <w:p>
      <w:pPr>
        <w:spacing w:after="0" w:line="11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Office</w:t>
      </w:r>
      <w:r>
        <w:rPr>
          <w:rFonts w:ascii="Arial" w:cs="Arial" w:eastAsia="Arial" w:hAnsi="Arial"/>
          <w:sz w:val="18"/>
          <w:szCs w:val="18"/>
          <w:color w:val="auto"/>
        </w:rPr>
        <w:t>” means, as to any Lender, the office or offices of such Lender described as such in such Lender’s Administrative Questionnaire, or such other office or offices as to which a Lender may from time to time notify the Borrower and the Administrative Agent.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standby letter of credit issued hereunder.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64" w:name="page65"/>
    <w:bookmarkEnd w:id="64"/>
    <w:p>
      <w:pPr>
        <w:jc w:val="both"/>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Letter of Credit Application</w:t>
      </w:r>
      <w:r>
        <w:rPr>
          <w:rFonts w:ascii="Arial" w:cs="Arial" w:eastAsia="Arial" w:hAnsi="Arial"/>
          <w:sz w:val="18"/>
          <w:szCs w:val="18"/>
          <w:color w:val="auto"/>
        </w:rPr>
        <w:t>” means an application and agreement for the issuance or amendment of a Letter of Credit in the form from time to time in use by the L/C Issuer (modified to the extent that the terms thereof conflict with the terms hereof).</w:t>
      </w:r>
    </w:p>
    <w:p>
      <w:pPr>
        <w:spacing w:after="0" w:line="132"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Expiration Date</w:t>
      </w:r>
      <w:r>
        <w:rPr>
          <w:rFonts w:ascii="Arial" w:cs="Arial" w:eastAsia="Arial" w:hAnsi="Arial"/>
          <w:sz w:val="18"/>
          <w:szCs w:val="18"/>
          <w:color w:val="auto"/>
        </w:rPr>
        <w:t>” means the day that is thirty days prior to the Maturity Date then in effect (or, if such day is not a Business Day, the immediately preceding Business Day).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Fee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2.03(h)</w:t>
      </w:r>
      <w:r>
        <w:rPr>
          <w:rFonts w:ascii="Arial" w:cs="Arial" w:eastAsia="Arial" w:hAnsi="Arial"/>
          <w:sz w:val="18"/>
          <w:szCs w:val="18"/>
          <w:color w:val="auto"/>
        </w:rPr>
        <w:t>.</w:t>
      </w:r>
    </w:p>
    <w:p>
      <w:pPr>
        <w:spacing w:after="0" w:line="17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Sublimit</w:t>
      </w:r>
      <w:r>
        <w:rPr>
          <w:rFonts w:ascii="Arial" w:cs="Arial" w:eastAsia="Arial" w:hAnsi="Arial"/>
          <w:sz w:val="18"/>
          <w:szCs w:val="18"/>
          <w:color w:val="auto"/>
        </w:rPr>
        <w:t>” means an amount equal to the lesser of (a) $60,000,000 and (b) the Commitments. The Letter of Credit Sublimit is part of, and not in addition to, the Facility.</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w:t>
      </w:r>
      <w:r>
        <w:rPr>
          <w:rFonts w:ascii="Arial" w:cs="Arial" w:eastAsia="Arial" w:hAnsi="Arial"/>
          <w:sz w:val="18"/>
          <w:szCs w:val="18"/>
          <w:color w:val="auto"/>
        </w:rPr>
        <w:t>” means any license, certification, accreditation, consent, permit or other authorization or approval which is required to be obtained from any Governmental Authority in connection with the operation of the Borrower and its Subsidiaries, including the development, testing, marketing, manufacturing and pricing and sale of medical devices.</w:t>
      </w:r>
    </w:p>
    <w:p>
      <w:pPr>
        <w:spacing w:after="0" w:line="14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hypothecation, assignment, deposit arrangement, encumbrance, lien (statutory or other), charge, or preference, priority or other security interest or preferential arrangement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Liened Property</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6.11</w:t>
      </w:r>
      <w:r>
        <w:rPr>
          <w:rFonts w:ascii="Arial" w:cs="Arial" w:eastAsia="Arial" w:hAnsi="Arial"/>
          <w:sz w:val="18"/>
          <w:szCs w:val="18"/>
          <w:color w:val="auto"/>
        </w:rPr>
        <w:t>.</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Liquidity</w:t>
      </w:r>
      <w:r>
        <w:rPr>
          <w:rFonts w:ascii="Arial" w:cs="Arial" w:eastAsia="Arial" w:hAnsi="Arial"/>
          <w:sz w:val="18"/>
          <w:szCs w:val="18"/>
          <w:color w:val="auto"/>
        </w:rPr>
        <w:t xml:space="preserve">” means, as of any date, an amount which equals the sum of the aggregate amount of cash and Cash Equivalents as of such date of the Borrower and its Subsidiaries that is not subject to any restriction regarding the use or investment thereof (except as provided in customary investment account agreements), and (b) the Commitments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Total Outstandings as of such date.</w:t>
      </w:r>
    </w:p>
    <w:p>
      <w:pPr>
        <w:spacing w:after="0" w:line="14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xml:space="preserve">” means an extension of credit by a Lender to the Borrower under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in the form of a Revolving Credit Loan, a Swing Line Loan or L/C Advance. Each Loan may be divided into tranches which are Base Rate Loans or Eurodollar Rate Loans (each a “</w:t>
      </w:r>
      <w:r>
        <w:rPr>
          <w:rFonts w:ascii="Arial" w:cs="Arial" w:eastAsia="Arial" w:hAnsi="Arial"/>
          <w:sz w:val="18"/>
          <w:szCs w:val="18"/>
          <w:u w:val="single" w:color="auto"/>
          <w:color w:val="auto"/>
        </w:rPr>
        <w:t>Type</w:t>
      </w:r>
      <w:r>
        <w:rPr>
          <w:rFonts w:ascii="Arial" w:cs="Arial" w:eastAsia="Arial" w:hAnsi="Arial"/>
          <w:sz w:val="18"/>
          <w:szCs w:val="18"/>
          <w:color w:val="auto"/>
        </w:rPr>
        <w:t>” of Loan).</w:t>
      </w:r>
    </w:p>
    <w:p>
      <w:pPr>
        <w:spacing w:after="0" w:line="13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xml:space="preserve">” means this Agreement, the Notes, each Issuer Document, each Secured Swap Contract, each Secured Cash Management Services Agreement, the Fee Letters, the Subsidiary Guaranty, the Collateral Documents, and any agreement creating or perfecting rights in Cash Collateral pursuant to the provisions of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and all other documents delivered to the Administrative Agent, the L/C Issuer or any Lender in connection herewith or therewith relating specifically to the Obligations.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65" w:name="page66"/>
    <w:bookmarkEnd w:id="65"/>
    <w:p>
      <w:pPr>
        <w:jc w:val="both"/>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Loan Notice</w:t>
      </w:r>
      <w:r>
        <w:rPr>
          <w:rFonts w:ascii="Arial" w:cs="Arial" w:eastAsia="Arial" w:hAnsi="Arial"/>
          <w:sz w:val="18"/>
          <w:szCs w:val="18"/>
          <w:color w:val="auto"/>
        </w:rPr>
        <w:t xml:space="preserve">” means a notice of (a) a Borrowing, (b) a conversion of Loans from one Type to the other, or (c) a continuation of Eurodollar Rate Loans, pursuant to </w:t>
      </w:r>
      <w:r>
        <w:rPr>
          <w:rFonts w:ascii="Arial" w:cs="Arial" w:eastAsia="Arial" w:hAnsi="Arial"/>
          <w:sz w:val="18"/>
          <w:szCs w:val="18"/>
          <w:u w:val="single" w:color="auto"/>
          <w:color w:val="auto"/>
        </w:rPr>
        <w:t>Section 2.02(a)</w:t>
      </w:r>
      <w:r>
        <w:rPr>
          <w:rFonts w:ascii="Arial" w:cs="Arial" w:eastAsia="Arial" w:hAnsi="Arial"/>
          <w:sz w:val="18"/>
          <w:szCs w:val="18"/>
          <w:color w:val="auto"/>
        </w:rPr>
        <w:t xml:space="preserve">, which, in each case, if in writing, shall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Party</w:t>
      </w:r>
      <w:r>
        <w:rPr>
          <w:rFonts w:ascii="Arial" w:cs="Arial" w:eastAsia="Arial" w:hAnsi="Arial"/>
          <w:sz w:val="18"/>
          <w:szCs w:val="18"/>
          <w:color w:val="auto"/>
        </w:rPr>
        <w:t>” means, the Borrower and each Subsidiary Guarantor, and “</w:t>
      </w:r>
      <w:r>
        <w:rPr>
          <w:rFonts w:ascii="Arial" w:cs="Arial" w:eastAsia="Arial" w:hAnsi="Arial"/>
          <w:sz w:val="18"/>
          <w:szCs w:val="18"/>
          <w:u w:val="single" w:color="auto"/>
          <w:color w:val="auto"/>
        </w:rPr>
        <w:t>Loan Parties</w:t>
      </w:r>
      <w:r>
        <w:rPr>
          <w:rFonts w:ascii="Arial" w:cs="Arial" w:eastAsia="Arial" w:hAnsi="Arial"/>
          <w:sz w:val="18"/>
          <w:szCs w:val="18"/>
          <w:color w:val="auto"/>
        </w:rPr>
        <w:t>” means any combination of the foregoing.</w:t>
      </w:r>
    </w:p>
    <w:p>
      <w:pPr>
        <w:spacing w:after="0" w:line="17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London Banking Day</w:t>
      </w:r>
      <w:r>
        <w:rPr>
          <w:rFonts w:ascii="Arial" w:cs="Arial" w:eastAsia="Arial" w:hAnsi="Arial"/>
          <w:sz w:val="18"/>
          <w:szCs w:val="18"/>
          <w:color w:val="auto"/>
        </w:rPr>
        <w:t>” means any day on which dealings in Dollar deposits are conducted by and between banks in the London interbank eurodollar market.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Master Agreement</w:t>
      </w:r>
      <w:r>
        <w:rPr>
          <w:rFonts w:ascii="Arial" w:cs="Arial" w:eastAsia="Arial" w:hAnsi="Arial"/>
          <w:sz w:val="18"/>
          <w:szCs w:val="18"/>
          <w:color w:val="auto"/>
        </w:rPr>
        <w:t>” has the meaning specified in the definition of “</w:t>
      </w:r>
      <w:r>
        <w:rPr>
          <w:rFonts w:ascii="Arial" w:cs="Arial" w:eastAsia="Arial" w:hAnsi="Arial"/>
          <w:sz w:val="18"/>
          <w:szCs w:val="18"/>
          <w:u w:val="single" w:color="auto"/>
          <w:color w:val="auto"/>
        </w:rPr>
        <w:t>Swap Contract</w:t>
      </w:r>
      <w:r>
        <w:rPr>
          <w:rFonts w:ascii="Arial" w:cs="Arial" w:eastAsia="Arial" w:hAnsi="Arial"/>
          <w:sz w:val="18"/>
          <w:szCs w:val="18"/>
          <w:color w:val="auto"/>
        </w:rPr>
        <w:t>”.</w:t>
      </w:r>
    </w:p>
    <w:p>
      <w:pPr>
        <w:spacing w:after="0" w:line="171"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a material adverse effect upon, the operations, business, properties, liabilities (actual or contingent) or financial condition of the Borrower and its Subsidiaries taken as a whole, (b) a material adverse effect on the ability of any Loan Party to perform its obligations under any Loan Document to which it is a party, (c) a material adverse effect upon the legality, validity or binding effect of any Loan Document, or (d) a material adverse effect upon the Lien of any Collateral Document or a material adverse effect on the rights, powers, or remedies of the Administrative Agent or any Lender under any Loan Document. Solely for purposes of this definition, “Loan Documents” shall be deemed to exclude Secured Cash Management Services Agreements and Secured Swap Contracts.</w:t>
      </w:r>
    </w:p>
    <w:p>
      <w:pPr>
        <w:spacing w:after="0" w:line="144"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w:t>
      </w:r>
      <w:r>
        <w:rPr>
          <w:rFonts w:ascii="Arial" w:cs="Arial" w:eastAsia="Arial" w:hAnsi="Arial"/>
          <w:sz w:val="18"/>
          <w:szCs w:val="18"/>
          <w:color w:val="auto"/>
        </w:rPr>
        <w:t>” means, with respect to any Loan Party, (a) each credit agreement, capital lease or other agreement related to any Indebtedness of any Loan Party in a face amount greater than $15,000,000 (other than the Loan Documents), (b) each Swap Contract to which any Loan Party is a party where the notional amount of such Swap Contract exceeds $15,000,000, and (c) any voting or shareholder’s agreement related to the Equity Interest in any Person to which any Loan Party is a party.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means June 8, 2016.</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MLPFS</w:t>
      </w:r>
      <w:r>
        <w:rPr>
          <w:rFonts w:ascii="Arial" w:cs="Arial" w:eastAsia="Arial" w:hAnsi="Arial"/>
          <w:sz w:val="18"/>
          <w:szCs w:val="18"/>
          <w:color w:val="auto"/>
        </w:rPr>
        <w:t>” means Merrill Lynch, Pierce, Fenner &amp; Smith Incorporated.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MLPFS Arranger Fee Letter</w:t>
      </w:r>
      <w:r>
        <w:rPr>
          <w:rFonts w:ascii="Arial" w:cs="Arial" w:eastAsia="Arial" w:hAnsi="Arial"/>
          <w:sz w:val="18"/>
          <w:szCs w:val="18"/>
          <w:color w:val="auto"/>
        </w:rPr>
        <w:t>” means that certain letter agreement, dated June 7, 2011, among the Borrower and MLPFS.</w:t>
      </w:r>
    </w:p>
    <w:p>
      <w:pPr>
        <w:spacing w:after="0" w:line="17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Minority Equity Interests</w:t>
      </w:r>
      <w:r>
        <w:rPr>
          <w:rFonts w:ascii="Arial" w:cs="Arial" w:eastAsia="Arial" w:hAnsi="Arial"/>
          <w:sz w:val="18"/>
          <w:szCs w:val="18"/>
          <w:color w:val="auto"/>
        </w:rPr>
        <w:t>” means Equity Interests in a Person that is not a Subsidiary of the Borrower (or any of its Subsidiaries) owned by any Loan Party as of the Closing Date or otherwise acquired by any Loan Party after the Closing Date as a result of a Permitted Acquisition.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in interest.</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any employee benefit plan of the type described in Section 4001(a)(3) of ERISA, to which the Borrower or any of its Subsidiaries or any ERISA Affiliate makes or is obligated to make contributions, or during the preceding five plan years, has made or has been obligated to make contributions.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66" w:name="page67"/>
    <w:bookmarkEnd w:id="66"/>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Multiple Employer Plan</w:t>
      </w:r>
      <w:r>
        <w:rPr>
          <w:rFonts w:ascii="Arial" w:cs="Arial" w:eastAsia="Arial" w:hAnsi="Arial"/>
          <w:sz w:val="18"/>
          <w:szCs w:val="18"/>
          <w:color w:val="auto"/>
        </w:rPr>
        <w:t>” means a Plan which has two or more contributing sponsors (including the Borrower or any ERISA Affiliate) at least two of whom are not under common control, as such a plan is described in Section 4064 of ERISA.</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Cash Proceeds</w:t>
      </w:r>
      <w:r>
        <w:rPr>
          <w:rFonts w:ascii="Arial" w:cs="Arial" w:eastAsia="Arial" w:hAnsi="Arial"/>
          <w:sz w:val="18"/>
          <w:szCs w:val="18"/>
          <w:color w:val="auto"/>
        </w:rPr>
        <w:t>” means:</w:t>
      </w:r>
    </w:p>
    <w:p>
      <w:pPr>
        <w:spacing w:after="0" w:line="90" w:lineRule="exact"/>
        <w:rPr>
          <w:sz w:val="20"/>
          <w:szCs w:val="20"/>
          <w:color w:val="auto"/>
        </w:rPr>
      </w:pPr>
    </w:p>
    <w:p>
      <w:pPr>
        <w:jc w:val="both"/>
        <w:ind w:left="460" w:firstLine="443"/>
        <w:spacing w:after="0" w:line="289" w:lineRule="auto"/>
        <w:tabs>
          <w:tab w:leader="none" w:pos="1219" w:val="left"/>
        </w:tabs>
        <w:numPr>
          <w:ilvl w:val="0"/>
          <w:numId w:val="34"/>
        </w:numPr>
        <w:rPr>
          <w:rFonts w:ascii="Arial" w:cs="Arial" w:eastAsia="Arial" w:hAnsi="Arial"/>
          <w:sz w:val="16"/>
          <w:szCs w:val="16"/>
          <w:color w:val="auto"/>
        </w:rPr>
      </w:pPr>
      <w:r>
        <w:rPr>
          <w:rFonts w:ascii="Arial" w:cs="Arial" w:eastAsia="Arial" w:hAnsi="Arial"/>
          <w:sz w:val="16"/>
          <w:szCs w:val="16"/>
          <w:color w:val="auto"/>
        </w:rPr>
        <w:t>with respect to any Disposition by the Borrower or any of its Subsidiaries, the excess, if any, of (i) the sum of cash and Cash Equivalents received in connection with such transaction (including any cash or Cash Equivalents received by way of deferred payment pursuant to, or by monetization of, a note receivable or otherwise, but only as and when so received) over (ii) the sum of (A) the principal amount of any Indebtedness that is secured by the applicable asset and that is required to be repaid in connection with such transaction (other than Indebtedness under the Loan Documents), (B) the reasonable and customary out-of-pocket expenses incurred by the Borrower or such Subsidiary in connection with such transaction and (C) income taxes reasonably estimated to be actually payable within two years of the date of the relevant transaction as a result of any gain recognized in connection therewith; provided that, if the amount of any estimated taxes pursuant to subclause (C) exceeds the amount of taxes actually required to be paid in cash in respect of such Disposition, the aggregate amount of such excess shall constitute Net Cash Proceeds; and</w:t>
      </w:r>
    </w:p>
    <w:p>
      <w:pPr>
        <w:spacing w:after="0" w:line="37" w:lineRule="exact"/>
        <w:rPr>
          <w:rFonts w:ascii="Arial" w:cs="Arial" w:eastAsia="Arial" w:hAnsi="Arial"/>
          <w:sz w:val="16"/>
          <w:szCs w:val="16"/>
          <w:color w:val="auto"/>
        </w:rPr>
      </w:pPr>
    </w:p>
    <w:p>
      <w:pPr>
        <w:jc w:val="both"/>
        <w:ind w:left="460" w:firstLine="443"/>
        <w:spacing w:after="0" w:line="259" w:lineRule="auto"/>
        <w:tabs>
          <w:tab w:leader="none" w:pos="1148"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 respect to the incurrence or issuance of any Indebtedness by the Borrower or any of its Subsidiaries, the excess of (i) the sum of the cash and Cash Equivalents received in connection with such transaction over (ii) the underwriting discounts and commissions, and other reasonable and customary out-of-pocket expenses, incurred by the Borrower or such Subsidiary in connection therewith.</w:t>
      </w:r>
    </w:p>
    <w:p>
      <w:pPr>
        <w:spacing w:after="0" w:line="140"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Note</w:t>
      </w:r>
      <w:r>
        <w:rPr>
          <w:rFonts w:ascii="Arial" w:cs="Arial" w:eastAsia="Arial" w:hAnsi="Arial"/>
          <w:sz w:val="16"/>
          <w:szCs w:val="16"/>
          <w:color w:val="auto"/>
        </w:rPr>
        <w:t xml:space="preserve">” means an amended and restated “Revolving Credit Note” made by the Borrower in favor of a Revolving Credit Lender evidencing Revolving Credit Loans or Swing Line Loans, as the case may be, made by such Revolving Credit Lender, substantially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w:t>
      </w:r>
    </w:p>
    <w:p>
      <w:pPr>
        <w:spacing w:after="0" w:line="85"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means all advances to, and debts, liabilities, obligations, indemnities, covenants and duties of, any Loan Party arising under any Loan Document (including any Secured Swap Contract and any Secured Cash Management Services Agreement entered into after the date of this Agreement) or otherwise with respect to any Loan or Letter of Credit,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Without limiting the generality of the foregoing, the Obligations of any Loan Party under the Loan Documents include (a) the obligation to pay principal, interest, Letter of Credit commissions, charges, expenses, fees, attorney fees and disbursements, indemnities and other amounts payable by any Loan Party under any Loan Document and (b) the obligations of any Loan Party to reimburse any amount in respect of any of the foregoing that any Lender, in its sole discretion, may elect to pay or advance on behalf of any Loan Party. If applicable, the Obligations shall be “Designated Senior Indebtedness” (or substantially similar designation) pursuant to and for purposes of the Convertible Note Indenture (2012 Maturity) and any other Convertible Indebtedness.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67" w:name="page68"/>
    <w:bookmarkEnd w:id="67"/>
    <w:p>
      <w:pPr>
        <w:ind w:right="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Off-Balance Sheet Obligation</w:t>
      </w:r>
      <w:r>
        <w:rPr>
          <w:rFonts w:ascii="Arial" w:cs="Arial" w:eastAsia="Arial" w:hAnsi="Arial"/>
          <w:sz w:val="18"/>
          <w:szCs w:val="18"/>
          <w:color w:val="auto"/>
        </w:rPr>
        <w:t>” means any transaction, agreement or other contractual arrangement to which an entity unconsolidated with the Borrower is a party, under which the Borrower has:</w:t>
      </w:r>
    </w:p>
    <w:p>
      <w:pPr>
        <w:spacing w:after="0" w:line="132" w:lineRule="exact"/>
        <w:rPr>
          <w:sz w:val="20"/>
          <w:szCs w:val="20"/>
          <w:color w:val="auto"/>
        </w:rPr>
      </w:pPr>
    </w:p>
    <w:p>
      <w:pPr>
        <w:ind w:left="1140" w:hanging="237"/>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obligation under a guarantee contract that has any of the characteristics identified in FASB ASC 460-10-15-4;</w:t>
      </w:r>
    </w:p>
    <w:p>
      <w:pPr>
        <w:spacing w:after="0" w:line="90" w:lineRule="exact"/>
        <w:rPr>
          <w:rFonts w:ascii="Arial" w:cs="Arial" w:eastAsia="Arial" w:hAnsi="Arial"/>
          <w:sz w:val="18"/>
          <w:szCs w:val="18"/>
          <w:color w:val="auto"/>
        </w:rPr>
      </w:pPr>
    </w:p>
    <w:p>
      <w:pPr>
        <w:ind w:left="460" w:firstLine="443"/>
        <w:spacing w:after="0" w:line="268" w:lineRule="auto"/>
        <w:tabs>
          <w:tab w:leader="none" w:pos="11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retained or contingent interest in assets transferred to an unconsolidated entity or similar arrangement that serves as credit, liquidity or market risk support to such entity for such assets;</w:t>
      </w:r>
    </w:p>
    <w:p>
      <w:pPr>
        <w:spacing w:after="0" w:line="50" w:lineRule="exact"/>
        <w:rPr>
          <w:rFonts w:ascii="Arial" w:cs="Arial" w:eastAsia="Arial" w:hAnsi="Arial"/>
          <w:sz w:val="18"/>
          <w:szCs w:val="18"/>
          <w:color w:val="auto"/>
        </w:rPr>
      </w:pPr>
    </w:p>
    <w:p>
      <w:pPr>
        <w:jc w:val="both"/>
        <w:ind w:left="460" w:firstLine="443"/>
        <w:spacing w:after="0" w:line="259" w:lineRule="auto"/>
        <w:tabs>
          <w:tab w:leader="none" w:pos="1148"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obligation, including a contingent obligation, under a contract that would be accounted for as a derivative instrument, except that it is both indexed to the Borrower’s own stock and classified in stockholders’ equity in the Borrower’s statement of financial position, as described in FASB ASC 815-10-15-74; or</w:t>
      </w:r>
    </w:p>
    <w:p>
      <w:pPr>
        <w:spacing w:after="0" w:line="59" w:lineRule="exact"/>
        <w:rPr>
          <w:rFonts w:ascii="Arial" w:cs="Arial" w:eastAsia="Arial" w:hAnsi="Arial"/>
          <w:sz w:val="18"/>
          <w:szCs w:val="18"/>
          <w:color w:val="auto"/>
        </w:rPr>
      </w:pPr>
    </w:p>
    <w:p>
      <w:pPr>
        <w:jc w:val="both"/>
        <w:ind w:left="460" w:firstLine="443"/>
        <w:spacing w:after="0" w:line="259" w:lineRule="auto"/>
        <w:tabs>
          <w:tab w:leader="none" w:pos="1181"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obligation, including a contingent obligation, arising out of a variable interest (as defined in the FASB ASC Master Glossary) in an unconsolidated entity that is held by, and material to, the Borrower, where such entity provides financing, liquidity, market risk or credit risk support to, or engages in leasing, hedging or research and development services with, the Borrower or its Subsidiaries.</w:t>
      </w:r>
    </w:p>
    <w:p>
      <w:pPr>
        <w:spacing w:after="0" w:line="14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Operating Lease</w:t>
      </w:r>
      <w:r>
        <w:rPr>
          <w:rFonts w:ascii="Arial" w:cs="Arial" w:eastAsia="Arial" w:hAnsi="Arial"/>
          <w:sz w:val="18"/>
          <w:szCs w:val="18"/>
          <w:color w:val="auto"/>
        </w:rPr>
        <w:t>” means, as applied to any Person, any lease (including, without limitation, leases that may be terminated by the lessee at any time) of any Property that is not a Capitalized Lease other than any such lease in which that Person is the lessor.</w:t>
      </w:r>
    </w:p>
    <w:p>
      <w:pPr>
        <w:spacing w:after="0" w:line="132"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Organization Documents</w:t>
      </w:r>
      <w:r>
        <w:rPr>
          <w:rFonts w:ascii="Arial" w:cs="Arial" w:eastAsia="Arial" w:hAnsi="Arial"/>
          <w:sz w:val="16"/>
          <w:szCs w:val="16"/>
          <w:color w:val="auto"/>
        </w:rPr>
        <w:t>” means (a) with respect to any corporation, the certificate or articles of incorporation and the bylaws,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all present or future stamp or documentary taxes or any other excise or property taxes, charges or similar levies arising from any payment made hereunder or under any other Loan Document or from the execution, delivery or enforcement of, or otherwise with respect to, this Agreement or any other Loan Document.</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 Amount</w:t>
      </w:r>
      <w:r>
        <w:rPr>
          <w:rFonts w:ascii="Arial" w:cs="Arial" w:eastAsia="Arial" w:hAnsi="Arial"/>
          <w:sz w:val="18"/>
          <w:szCs w:val="18"/>
          <w:color w:val="auto"/>
        </w:rPr>
        <w:t>” means (a) with respect to Revolving Credit Loans and Swing Line Loans on any date, the aggregate outstanding principal amount thereof after giving effect to any borrowings and prepayments or repayments of Revolving Credit Loans and Swing Line Loans, as the case may be, occurring on such date, and (b) with respect to any L/C Obligations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68" w:name="page69"/>
    <w:bookmarkEnd w:id="68"/>
    <w:p>
      <w:pPr>
        <w:jc w:val="both"/>
        <w:ind w:right="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any date, the amount of such L/C Obligations on such date after giving effect to any L/C Credit Extension occurring on such date and any other changes in the aggregate amount of the L/C Obligations as of such date, including as a result of any reimbursements by the Borrower of Unreimbursed Amounts.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10.06(d)</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Act</w:t>
      </w:r>
      <w:r>
        <w:rPr>
          <w:rFonts w:ascii="Arial" w:cs="Arial" w:eastAsia="Arial" w:hAnsi="Arial"/>
          <w:sz w:val="18"/>
          <w:szCs w:val="18"/>
          <w:color w:val="auto"/>
        </w:rPr>
        <w:t>” means the Pension Protection Act of 2006.</w:t>
      </w:r>
    </w:p>
    <w:p>
      <w:pPr>
        <w:spacing w:after="0" w:line="17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Pension Funding Rules</w:t>
      </w:r>
      <w:r>
        <w:rPr>
          <w:rFonts w:ascii="Arial" w:cs="Arial" w:eastAsia="Arial" w:hAnsi="Arial"/>
          <w:sz w:val="16"/>
          <w:szCs w:val="16"/>
          <w:color w:val="auto"/>
        </w:rPr>
        <w:t>”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 412, 430, 431, 432 and 436 of the Code and Sections 302, 303, 304 and 305 of ERISA.</w:t>
      </w:r>
    </w:p>
    <w:p>
      <w:pPr>
        <w:spacing w:after="0" w:line="10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any employee pension benefit plan (including a Multiple Employer Plan or a Multiemployer Plan) that is maintained or is contributed to by the Borrower and any ERISA Affiliate and is either covered by Title IV of ERISA or is subject to the minimum funding standards under Section 412 of the Code.</w:t>
      </w:r>
    </w:p>
    <w:p>
      <w:pPr>
        <w:spacing w:after="0" w:line="14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Acquisitions</w:t>
      </w:r>
      <w:r>
        <w:rPr>
          <w:rFonts w:ascii="Arial" w:cs="Arial" w:eastAsia="Arial" w:hAnsi="Arial"/>
          <w:sz w:val="16"/>
          <w:szCs w:val="16"/>
          <w:color w:val="auto"/>
        </w:rPr>
        <w:t xml:space="preserve">” means any Acquisition;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Property acquired (or the Property of the Person acquired) in such Acquisition shall be used or useful in the same or similar line of business as the Loan Parties on the Closing Date, including activities ancillary, related or complementary thereto,</w:t>
      </w:r>
    </w:p>
    <w:p>
      <w:pPr>
        <w:jc w:val="both"/>
        <w:ind w:firstLine="8"/>
        <w:spacing w:after="0" w:line="300" w:lineRule="auto"/>
        <w:tabs>
          <w:tab w:leader="none" w:pos="249" w:val="left"/>
        </w:tabs>
        <w:numPr>
          <w:ilvl w:val="0"/>
          <w:numId w:val="36"/>
        </w:numPr>
        <w:rPr>
          <w:rFonts w:ascii="Arial" w:cs="Arial" w:eastAsia="Arial" w:hAnsi="Arial"/>
          <w:sz w:val="15"/>
          <w:szCs w:val="15"/>
          <w:color w:val="auto"/>
        </w:rPr>
      </w:pPr>
      <w:r>
        <w:rPr>
          <w:rFonts w:ascii="Arial" w:cs="Arial" w:eastAsia="Arial" w:hAnsi="Arial"/>
          <w:sz w:val="15"/>
          <w:szCs w:val="15"/>
          <w:color w:val="auto"/>
        </w:rPr>
        <w:t xml:space="preserve">after giving effect to any Acquisition on a Pro Forma Basis, the total equity and debt investments of the Borrower and its Domestic Subsidiaries in the Foreign Subsidiaries does not exceed fifty percent (50%) of the aggregate book value of the total assets of the Borrower and its Domestic Subsidiaries, all as determined in accordance with GAAP, (c) in the case of an Acquisition of the Equity Interests of another Person, the board of directors (or other comparable governing body) of such other Person shall have duly approved such Acquisition, (d) no Event of Default has occurred and is continuing or would result therefrom, (e) the Borrower and its Consolidated Subsidiaries shall be in compliance with </w:t>
      </w:r>
      <w:r>
        <w:rPr>
          <w:rFonts w:ascii="Arial" w:cs="Arial" w:eastAsia="Arial" w:hAnsi="Arial"/>
          <w:sz w:val="15"/>
          <w:szCs w:val="15"/>
          <w:u w:val="single" w:color="auto"/>
          <w:color w:val="auto"/>
        </w:rPr>
        <w:t>Section 7.17</w:t>
      </w:r>
      <w:r>
        <w:rPr>
          <w:rFonts w:ascii="Arial" w:cs="Arial" w:eastAsia="Arial" w:hAnsi="Arial"/>
          <w:sz w:val="15"/>
          <w:szCs w:val="15"/>
          <w:color w:val="auto"/>
        </w:rPr>
        <w:t xml:space="preserve"> on a Pro Forma Basis after giving effect to such Acquisition, (f) the Acquisition shall not involve an interest in a general partnership or joint venture or have a requirement that any Loan Party be a general or joint venture partner other than in compliance with </w:t>
      </w:r>
      <w:r>
        <w:rPr>
          <w:rFonts w:ascii="Arial" w:cs="Arial" w:eastAsia="Arial" w:hAnsi="Arial"/>
          <w:sz w:val="15"/>
          <w:szCs w:val="15"/>
          <w:u w:val="single" w:color="auto"/>
          <w:color w:val="auto"/>
        </w:rPr>
        <w:t>Section 7.16</w:t>
      </w:r>
      <w:r>
        <w:rPr>
          <w:rFonts w:ascii="Arial" w:cs="Arial" w:eastAsia="Arial" w:hAnsi="Arial"/>
          <w:sz w:val="15"/>
          <w:szCs w:val="15"/>
          <w:color w:val="auto"/>
        </w:rPr>
        <w:t xml:space="preserve">, (g) the Loan Parties shall, and shall cause the party that is the subject of the Acquisition to, execute and deliver such joinder and pledge agreements, security agreements and intercompany notes and take such other actions as may be necessary for compliance with the provisions of </w:t>
      </w:r>
      <w:r>
        <w:rPr>
          <w:rFonts w:ascii="Arial" w:cs="Arial" w:eastAsia="Arial" w:hAnsi="Arial"/>
          <w:sz w:val="15"/>
          <w:szCs w:val="15"/>
          <w:u w:val="single" w:color="auto"/>
          <w:color w:val="auto"/>
        </w:rPr>
        <w:t>Sections 6.11</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6.12</w:t>
      </w:r>
      <w:r>
        <w:rPr>
          <w:rFonts w:ascii="Arial" w:cs="Arial" w:eastAsia="Arial" w:hAnsi="Arial"/>
          <w:sz w:val="15"/>
          <w:szCs w:val="15"/>
          <w:color w:val="auto"/>
        </w:rPr>
        <w:t xml:space="preserve">, (h) the aggregate consideration (including cash and non-cash consideration (other than non-cash consideration in the form of Qualified Equity Interests issued by the Borrower in accordance with </w:t>
      </w:r>
      <w:r>
        <w:rPr>
          <w:rFonts w:ascii="Arial" w:cs="Arial" w:eastAsia="Arial" w:hAnsi="Arial"/>
          <w:sz w:val="15"/>
          <w:szCs w:val="15"/>
          <w:u w:val="single" w:color="auto"/>
          <w:color w:val="auto"/>
        </w:rPr>
        <w:t>Section 7.02(l)</w:t>
      </w:r>
      <w:r>
        <w:rPr>
          <w:rFonts w:ascii="Arial" w:cs="Arial" w:eastAsia="Arial" w:hAnsi="Arial"/>
          <w:sz w:val="15"/>
          <w:szCs w:val="15"/>
          <w:color w:val="auto"/>
        </w:rPr>
        <w:t xml:space="preserve"> but including the maximum amount of any earn-out or similar deferred payment that will or could become due as a result of such Acquisition)) for each Acquisition (or a series of related Acquisitions) is less than or equal to $250,000,000, and</w:t>
      </w:r>
    </w:p>
    <w:p>
      <w:pPr>
        <w:spacing w:after="0" w:line="5" w:lineRule="exact"/>
        <w:rPr>
          <w:rFonts w:ascii="Arial" w:cs="Arial" w:eastAsia="Arial" w:hAnsi="Arial"/>
          <w:sz w:val="15"/>
          <w:szCs w:val="15"/>
          <w:color w:val="auto"/>
        </w:rPr>
      </w:pPr>
    </w:p>
    <w:p>
      <w:pPr>
        <w:ind w:firstLine="8"/>
        <w:spacing w:after="0" w:line="261" w:lineRule="auto"/>
        <w:tabs>
          <w:tab w:leader="none" w:pos="233"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Borrower shall have delivered to the Administrative Agent (1) with respect to any Acquisition in excess of $50,000,000, (x) a Permitted Acquisition Certificate signed by a Responsible Officer of the Borrower demonstrating compliance with the financial</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69" w:name="page70"/>
    <w:bookmarkEnd w:id="69"/>
    <w:p>
      <w:pPr>
        <w:jc w:val="both"/>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covenants hereunder after giving effect to the subject Acquisition on a Pro Forma Basis, and reaffirming that the representations are true and correct in all material respects as of such date, except those representations and warranties made as of a date certain, which shall remain true and correct in all material respects as of such date, and (y) within 5 Business Days following the closing of such Acquisition, a certificate of a Responsible Officer of the Borrower describing the Person to be acquired, including, without limitation, the location and type of operations and key management, (2) with respect to any Acquisition, a Permitted Acquisition Certificate executed by a Responsible Officer of the Borrower certifying compliance with clause (h) of this definition and (3) with respect to any Acquisition in excess of $100 million (i) that is an Acquisition of Equity Interests, all financial statements for the full fiscal year preceding acquisition, as well as the most recent interim statements of the party that is subject to the Acquisition or (ii) that is an Acquisition of assets, all material financial information for the full fiscal year preceding such Acquisition obtained by the Borrower or its Subsidiaries with respect to the assets subject to the Acquisition.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 Certificate</w:t>
      </w:r>
      <w:r>
        <w:rPr>
          <w:rFonts w:ascii="Arial" w:cs="Arial" w:eastAsia="Arial" w:hAnsi="Arial"/>
          <w:sz w:val="18"/>
          <w:szCs w:val="18"/>
          <w:color w:val="auto"/>
        </w:rPr>
        <w:t xml:space="preserve">” means a certificate of the Borrower substantially in the form of </w:t>
      </w:r>
      <w:r>
        <w:rPr>
          <w:rFonts w:ascii="Arial" w:cs="Arial" w:eastAsia="Arial" w:hAnsi="Arial"/>
          <w:sz w:val="18"/>
          <w:szCs w:val="18"/>
          <w:u w:val="single" w:color="auto"/>
          <w:color w:val="auto"/>
        </w:rPr>
        <w:t>Exhibit K</w:t>
      </w:r>
      <w:r>
        <w:rPr>
          <w:rFonts w:ascii="Arial" w:cs="Arial" w:eastAsia="Arial" w:hAnsi="Arial"/>
          <w:sz w:val="18"/>
          <w:szCs w:val="18"/>
          <w:color w:val="auto"/>
        </w:rPr>
        <w:t>.</w:t>
      </w:r>
    </w:p>
    <w:p>
      <w:pPr>
        <w:spacing w:after="0" w:line="171"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Bond Hedge Transaction</w:t>
      </w:r>
      <w:r>
        <w:rPr>
          <w:rFonts w:ascii="Arial" w:cs="Arial" w:eastAsia="Arial" w:hAnsi="Arial"/>
          <w:sz w:val="18"/>
          <w:szCs w:val="18"/>
          <w:color w:val="auto"/>
        </w:rPr>
        <w:t xml:space="preserve">” means any call or capped call option (or substantively equivalent derivative transaction) on the Borrower’s common stock (whether settled in cash and/or common stock) purchased by the Borrower in connection with the issuance of any Convertible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purchase price for such Permitted Bond Hedge Transaction, less the proceeds received by the Borrower from the sale of any related Permitted Warrant Transaction, does not exceed the net cash proceeds received by the Borrower or any other Loan Party from the sale of such Convertible Indebtedness issued in connection with the Permitted Bond Hedge Transaction.</w:t>
      </w:r>
    </w:p>
    <w:p>
      <w:pPr>
        <w:spacing w:after="0" w:line="143"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Cost Savings</w:t>
      </w:r>
      <w:r>
        <w:rPr>
          <w:rFonts w:ascii="Arial" w:cs="Arial" w:eastAsia="Arial" w:hAnsi="Arial"/>
          <w:sz w:val="15"/>
          <w:szCs w:val="15"/>
          <w:color w:val="auto"/>
        </w:rPr>
        <w:t>” means, for any period, projected or anticipated future synergies, cost savings and restructuring charges expected to arise from any Permitted Acquisition for such period so long as and only to the extent that such future synergies, cost savings and restructuring charges either (a) are permitted to be included as pro forma adjustments under Regulation S-K or Regulation S-X whether or not the pro forma reporting is required under applicable law or (b) are certified in writing by the Borrower, so long as (i) such synergies, cost savings and restructuring charges are reasonably expected to be realized within twelve</w:t>
      </w:r>
    </w:p>
    <w:p>
      <w:pPr>
        <w:spacing w:after="0" w:line="3" w:lineRule="exact"/>
        <w:rPr>
          <w:sz w:val="20"/>
          <w:szCs w:val="20"/>
          <w:color w:val="auto"/>
        </w:rPr>
      </w:pPr>
    </w:p>
    <w:p>
      <w:pPr>
        <w:jc w:val="both"/>
        <w:ind w:firstLine="8"/>
        <w:spacing w:after="0" w:line="253" w:lineRule="auto"/>
        <w:tabs>
          <w:tab w:leader="none" w:pos="361" w:val="left"/>
        </w:tabs>
        <w:numPr>
          <w:ilvl w:val="0"/>
          <w:numId w:val="38"/>
        </w:numPr>
        <w:rPr>
          <w:rFonts w:ascii="Arial" w:cs="Arial" w:eastAsia="Arial" w:hAnsi="Arial"/>
          <w:sz w:val="18"/>
          <w:szCs w:val="18"/>
          <w:color w:val="auto"/>
        </w:rPr>
      </w:pPr>
      <w:r>
        <w:rPr>
          <w:rFonts w:ascii="Arial" w:cs="Arial" w:eastAsia="Arial" w:hAnsi="Arial"/>
          <w:sz w:val="18"/>
          <w:szCs w:val="18"/>
          <w:color w:val="auto"/>
        </w:rPr>
        <w:t>months after such Permitted Acquisition, (ii) the aggregate amount of all synergies, cost savings and restructuring charges added back to Consolidated EBITDA of the Borrower and its consolidated Subsidiaries during such period does not exceed $15,000,000 and (iii) the aggregate amount of such cost savings or synergies with respect to such Permitted Acquisition does not exceed the greater of (A) 25% of the Consolidated EBITDA (excluding clause (b) of the definition thereof) of any and all Persons acquired or, in the case of an asset Acquisition, that is fairly attributable to the assets acquired as a result of such Permitted Acquisition, and (B) $5,000,000.</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70" w:name="page71"/>
    <w:bookmarkEnd w:id="70"/>
    <w:p>
      <w:pPr>
        <w:jc w:val="both"/>
        <w:ind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Permitted Warrant Transaction”</w:t>
      </w:r>
      <w:r>
        <w:rPr>
          <w:rFonts w:ascii="Arial" w:cs="Arial" w:eastAsia="Arial" w:hAnsi="Arial"/>
          <w:sz w:val="16"/>
          <w:szCs w:val="16"/>
          <w:color w:val="auto"/>
        </w:rPr>
        <w:t xml:space="preserve"> means any call option, warrant or right to purchase (or substantively equivalent derivative transaction) on the Borrower’s common stock (whether settled in cash and/or common stock) sold by the Borrower in connection with and substantially concurrently with any purchase by the Borrower of a related Permitted Bond Hedge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purchase price for such Permitted Bond Hedge Transaction, less the proceeds received by the Borrower from the sale of such related Permitted Warrant Transaction, does not exceed the net cash proceeds received by the Borrower or any other Loan Party from the sale of the Convertible Indebtedness issued in connection with the Permitted Warrant Transaction.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Swap Termination</w:t>
      </w:r>
      <w:r>
        <w:rPr>
          <w:rFonts w:ascii="Arial" w:cs="Arial" w:eastAsia="Arial" w:hAnsi="Arial"/>
          <w:sz w:val="18"/>
          <w:szCs w:val="18"/>
          <w:color w:val="auto"/>
        </w:rPr>
        <w:t>” means the termination of the Swap Contract to which Borrower is a party on the Closing Date.</w:t>
      </w:r>
    </w:p>
    <w:p>
      <w:pPr>
        <w:spacing w:after="0" w:line="17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3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(i) any “employee benefit plan” within the meaning of Section 3(3) of ERISA other than a Multiemployer Plan, maintained for employees of the Borrower or any Subsidiary (or, with respect to any “employee benefit plan” that is a Pension Plan, maintained for employees of the Borrower or any ERISA Affiliate) or (ii) any such “employee benefit plan” to which the Borrower or any Subsidiary (or, with respect to a Pension Plan, any ERISA Affiliate) is required to contribute on behalf of any of its employees.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171"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Pledge Agreement</w:t>
      </w:r>
      <w:r>
        <w:rPr>
          <w:rFonts w:ascii="Arial" w:cs="Arial" w:eastAsia="Arial" w:hAnsi="Arial"/>
          <w:sz w:val="16"/>
          <w:szCs w:val="16"/>
          <w:color w:val="auto"/>
        </w:rPr>
        <w:t xml:space="preserve">” means the Amended and Restated Pledge Agreement executed by the Borrower, the Subsidiary Guarantors and the Administrative Agent in accordance with the provisions of this Agreement, as amended, which Pledge Agreement shall be substantially in the form of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hereto.</w:t>
      </w:r>
    </w:p>
    <w:p>
      <w:pPr>
        <w:spacing w:after="0" w:line="85"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 Forma Basis</w:t>
      </w:r>
      <w:r>
        <w:rPr>
          <w:rFonts w:ascii="Arial" w:cs="Arial" w:eastAsia="Arial" w:hAnsi="Arial"/>
          <w:sz w:val="16"/>
          <w:szCs w:val="16"/>
          <w:color w:val="auto"/>
        </w:rPr>
        <w:t xml:space="preserve">” means for purposes of calculating any financial ratio for any Reference Period for the purpose specified in </w:t>
      </w:r>
      <w:r>
        <w:rPr>
          <w:rFonts w:ascii="Arial" w:cs="Arial" w:eastAsia="Arial" w:hAnsi="Arial"/>
          <w:sz w:val="16"/>
          <w:szCs w:val="16"/>
          <w:u w:val="single" w:color="auto"/>
          <w:color w:val="auto"/>
        </w:rPr>
        <w:t>Section 1.03(c)</w:t>
      </w:r>
      <w:r>
        <w:rPr>
          <w:rFonts w:ascii="Arial" w:cs="Arial" w:eastAsia="Arial" w:hAnsi="Arial"/>
          <w:sz w:val="16"/>
          <w:szCs w:val="16"/>
          <w:color w:val="auto"/>
        </w:rPr>
        <w:t>, and each such transaction actually consummated in such Reference Period, that such financial ratio or financial amount shall be calculated on a pro forma basis based on the following assumptions: (A) each such transaction shall be deemed to have occurred on the first day of such Reference Period; (B) any funds to be used by any Person in consummating any such transaction will be assumed to have been used for that purpose as of the first day of such Reference Period; (C) any Indebtedness to be incurred or repaid by any Person in connection with the consummation of any such transaction will be assumed to have been incurred or repaid on the first day of such Reference Period; (D) the gross interest expenses, determined in accordance with GAAP, with respect to such Indebtedness assumed to have been incurred on the first day of such Reference Period that bears interest at a floating rate shall be calculated at the current rate (as of the date of such calculation) under the agreement governing such Indebtedness (including this Agreement if the Indebtedness is incurred hereunder); and (E) any gross interest expense, determined in accordance with GAAP, with respect to Indebtedness outstanding during such Reference Period that was or is to be refinanced with proceeds of a transaction assumed to have been incurred as of the first day of the Reference Period will be excluded from such calculations.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Property</w:t>
      </w:r>
      <w:r>
        <w:rPr>
          <w:rFonts w:ascii="Arial" w:cs="Arial" w:eastAsia="Arial" w:hAnsi="Arial"/>
          <w:sz w:val="18"/>
          <w:szCs w:val="18"/>
          <w:color w:val="auto"/>
        </w:rPr>
        <w:t>” means any interest in any kind of property or asset, whether real, personal or mixed, or tangible or intangible.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71" w:name="page72"/>
    <w:bookmarkEnd w:id="7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Public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171"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Qualified Equity Interest</w:t>
      </w:r>
      <w:r>
        <w:rPr>
          <w:rFonts w:ascii="Arial" w:cs="Arial" w:eastAsia="Arial" w:hAnsi="Arial"/>
          <w:sz w:val="16"/>
          <w:szCs w:val="16"/>
          <w:color w:val="auto"/>
        </w:rPr>
        <w:t xml:space="preserve">” means (i) with respect to the Borrower, any Equity Interest other than Equity Interests (x) that constitute Indebtedness or are convertible or exchangeable into, or are redeemable for, Equity Interests that constitute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the foregoing shall not exclude Equity Interests that accrue dividends that are not payable until the indefeasible payment in cash in full of all Obligations and the termination of all Commitments hereunder or (y) that otherwise, by its terms (or by the terms of any security into which it is convertible or for which it is exchangeable or exercisable), upon the happening of any event or otherwise (A) matures or is mandatorily redeemable or subject to any mandatory repurchase requirement, pursuant to a sinking fund obligation or otherwise (other than by virtue of a liquidation preference that would be entitled to payments or distributions only after Obligations have been indefeasibly repaid in full in cash and all Commitments have been terminated), (B) is convertible into or exchangeable or exercisable for Indebtedness or any other Equity Interest that is not a Qualified Equity Interest, or (C) is redeemable or subject to any mandatory repurchase requirement at the option of the holder thereof, in whole or in part, other than redemption or repurchase after the Obligations have been indefeasibly repaid in full in cash and all Commitments have been terminated and (ii) with respect to any Subsidiary of the Borrower, common stock or other common Equity Interests.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 Assets</w:t>
      </w:r>
      <w:r>
        <w:rPr>
          <w:rFonts w:ascii="Arial" w:cs="Arial" w:eastAsia="Arial" w:hAnsi="Arial"/>
          <w:sz w:val="18"/>
          <w:szCs w:val="18"/>
          <w:color w:val="auto"/>
        </w:rPr>
        <w:t>” means all interest (including leasehold interests) of the Borrower or any of its Subsidiaries in any real property.</w:t>
      </w:r>
    </w:p>
    <w:p>
      <w:pPr>
        <w:spacing w:after="0" w:line="171"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Reference Period</w:t>
      </w:r>
      <w:r>
        <w:rPr>
          <w:rFonts w:ascii="Arial" w:cs="Arial" w:eastAsia="Arial" w:hAnsi="Arial"/>
          <w:sz w:val="16"/>
          <w:szCs w:val="16"/>
          <w:color w:val="auto"/>
        </w:rPr>
        <w:t>” means (a) for purposes of calculating compliance with any financial covenant or test on any date on which a Compliance Certificate is required to be delivered hereunder, the four consecutive fiscal quarters most recently ended prior to such date and (b) for purposes of determining whether the conditions precedent have been satisfied for a proposed transaction, the four consecutive fiscal quarters most recently ended prior to date of such proposed transaction for which annual or quarterly financial statements and a Compliance Certificate shall have been delivered in accordance with the provisions hereof.</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10.06(c)</w:t>
      </w:r>
      <w:r>
        <w:rPr>
          <w:rFonts w:ascii="Arial" w:cs="Arial" w:eastAsia="Arial" w:hAnsi="Arial"/>
          <w:sz w:val="18"/>
          <w:szCs w:val="18"/>
          <w:color w:val="auto"/>
        </w:rPr>
        <w:t>.</w:t>
      </w:r>
    </w:p>
    <w:p>
      <w:pPr>
        <w:spacing w:after="0" w:line="17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Public Accounting Firm</w:t>
      </w:r>
      <w:r>
        <w:rPr>
          <w:rFonts w:ascii="Arial" w:cs="Arial" w:eastAsia="Arial" w:hAnsi="Arial"/>
          <w:sz w:val="18"/>
          <w:szCs w:val="18"/>
          <w:color w:val="auto"/>
        </w:rPr>
        <w:t>” has the meaning specified in the Securities Laws and shall be independent of the Borrower as prescribed by the Securities Laws.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S-K</w:t>
      </w:r>
      <w:r>
        <w:rPr>
          <w:rFonts w:ascii="Arial" w:cs="Arial" w:eastAsia="Arial" w:hAnsi="Arial"/>
          <w:sz w:val="18"/>
          <w:szCs w:val="18"/>
          <w:color w:val="auto"/>
        </w:rPr>
        <w:t>” means Regulation S-K under the U.S. Securities Act of 1933, as amended.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S-X</w:t>
      </w:r>
      <w:r>
        <w:rPr>
          <w:rFonts w:ascii="Arial" w:cs="Arial" w:eastAsia="Arial" w:hAnsi="Arial"/>
          <w:sz w:val="18"/>
          <w:szCs w:val="18"/>
          <w:color w:val="auto"/>
        </w:rPr>
        <w:t>” means Regulation S-X under the U.S. Securities Act of 1933, as amended.</w:t>
      </w:r>
    </w:p>
    <w:p>
      <w:pPr>
        <w:spacing w:after="0" w:line="17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trustees and advisors of such Person and of such Person’s Affiliates.</w:t>
      </w:r>
    </w:p>
    <w:p>
      <w:pPr>
        <w:spacing w:after="0" w:line="13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Rental Expense</w:t>
      </w:r>
      <w:r>
        <w:rPr>
          <w:rFonts w:ascii="Arial" w:cs="Arial" w:eastAsia="Arial" w:hAnsi="Arial"/>
          <w:sz w:val="18"/>
          <w:szCs w:val="18"/>
          <w:color w:val="auto"/>
        </w:rPr>
        <w:t>” means, for any period, for any Person and its Subsidiaries determined on a consolidated basis, the gross rental expenses for Operating Leases.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72" w:name="page73"/>
    <w:bookmarkEnd w:id="72"/>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Reportable Event</w:t>
      </w:r>
      <w:r>
        <w:rPr>
          <w:rFonts w:ascii="Arial" w:cs="Arial" w:eastAsia="Arial" w:hAnsi="Arial"/>
          <w:sz w:val="16"/>
          <w:szCs w:val="16"/>
          <w:color w:val="auto"/>
        </w:rPr>
        <w:t>” means any of the events set forth in Section 4043(c) of ERISA, other than events for which the 30 day notice period has been waived.</w:t>
      </w:r>
    </w:p>
    <w:p>
      <w:pPr>
        <w:spacing w:after="0" w:line="194"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Request for Credit Extension</w:t>
      </w:r>
      <w:r>
        <w:rPr>
          <w:rFonts w:ascii="Arial" w:cs="Arial" w:eastAsia="Arial" w:hAnsi="Arial"/>
          <w:sz w:val="16"/>
          <w:szCs w:val="16"/>
          <w:color w:val="auto"/>
        </w:rPr>
        <w:t>” means (a) with respect to a Borrowing, conversion or continuation of Revolving Credit Loans, a Loan Notice, (b) with respect to an L/C Credit Extension, a Letter of Credit Application and (c) with respect to a Swing Line Loan, a Swing Line Loan Notice.</w:t>
      </w:r>
    </w:p>
    <w:p>
      <w:pPr>
        <w:spacing w:after="0" w:line="85"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Lenders</w:t>
      </w:r>
      <w:r>
        <w:rPr>
          <w:rFonts w:ascii="Arial" w:cs="Arial" w:eastAsia="Arial" w:hAnsi="Arial"/>
          <w:sz w:val="16"/>
          <w:szCs w:val="16"/>
          <w:color w:val="auto"/>
        </w:rPr>
        <w:t xml:space="preserve">” means, as of any date of determination, Lenders having more than 50% of the sum of (a) the Total Outstandings (with the aggregate amount of each Revolving Credit Lender’s risk participation and funded participation in L/C Obligations and Swing Line Loans being deemed “held” by such Revolving Credit Lender for purposes of this definition) and (b) the aggregate unused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unused Commitment of, and the portion of the Total Outstandings held or deemed held by, any Defaulting Lender shall be excluded for purposes of making a determination of Required Lenders.</w:t>
      </w:r>
    </w:p>
    <w:p>
      <w:pPr>
        <w:spacing w:after="0" w:line="113"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Responsible Officer</w:t>
      </w:r>
      <w:r>
        <w:rPr>
          <w:rFonts w:ascii="Arial" w:cs="Arial" w:eastAsia="Arial" w:hAnsi="Arial"/>
          <w:sz w:val="16"/>
          <w:szCs w:val="16"/>
          <w:color w:val="auto"/>
        </w:rPr>
        <w:t xml:space="preserve">” means the chief executive officer, president, chief financial officer, treasurer or assistant treasurer, corporate controller, any vice president or executive vice president of any Loan Party to the extent each such officer shall have been duly authorized by all necessary corporate, partnership or other action on the part of such Person to act on behalf of such Person and solely for purposes of the delivery of incumbency certificates pursuant to </w:t>
      </w:r>
      <w:r>
        <w:rPr>
          <w:rFonts w:ascii="Arial" w:cs="Arial" w:eastAsia="Arial" w:hAnsi="Arial"/>
          <w:sz w:val="16"/>
          <w:szCs w:val="16"/>
          <w:u w:val="single" w:color="auto"/>
          <w:color w:val="auto"/>
        </w:rPr>
        <w:t>Section 4.01</w:t>
      </w:r>
      <w:r>
        <w:rPr>
          <w:rFonts w:ascii="Arial" w:cs="Arial" w:eastAsia="Arial" w:hAnsi="Arial"/>
          <w:sz w:val="16"/>
          <w:szCs w:val="16"/>
          <w:color w:val="auto"/>
        </w:rPr>
        <w:t>, the secretary or any assistant secretary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2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Payment</w:t>
      </w:r>
      <w:r>
        <w:rPr>
          <w:rFonts w:ascii="Arial" w:cs="Arial" w:eastAsia="Arial" w:hAnsi="Arial"/>
          <w:sz w:val="16"/>
          <w:szCs w:val="16"/>
          <w:color w:val="auto"/>
        </w:rPr>
        <w:t>” means any dividend or other distribution (whether in cash, securities or other property) with respect to any Equity Interest of the Borrower or any of its Subsidiaries (including, without limitation, any payment in connection with any dissolution, merger, consolidation or disposition involving Subsidiaries), or any payment (whether in cash, securities or other property), including any sinking fund or similar deposit, on account of the purchase, redemption, retirement, acquisition, cancellation or termination of any such Equity Interest or of any option, warrant or other right to acquire any such Equity Interest or on account of any return of capital to the Borrower’s or such Subsidiary’s stockholders, partners or members (or the equivalent of any thereof) or the issuance of any Equity Interest or acceptance of any capital contributions or any option, warrant or right to acquire any such dividend, distribution or payment.</w:t>
      </w:r>
    </w:p>
    <w:p>
      <w:pPr>
        <w:spacing w:after="0" w:line="12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Borrowing</w:t>
      </w:r>
      <w:r>
        <w:rPr>
          <w:rFonts w:ascii="Arial" w:cs="Arial" w:eastAsia="Arial" w:hAnsi="Arial"/>
          <w:sz w:val="18"/>
          <w:szCs w:val="18"/>
          <w:color w:val="auto"/>
        </w:rPr>
        <w:t xml:space="preserve">” means a borrowing consisting of simultaneous Revolving Credit Loans of the same Type and, in the case of Eurodollar Rate Loans, having the same Interest Period made by each of the Revolving Credit Lenders pursuant to </w:t>
      </w:r>
      <w:r>
        <w:rPr>
          <w:rFonts w:ascii="Arial" w:cs="Arial" w:eastAsia="Arial" w:hAnsi="Arial"/>
          <w:sz w:val="18"/>
          <w:szCs w:val="18"/>
          <w:u w:val="single" w:color="auto"/>
          <w:color w:val="auto"/>
        </w:rPr>
        <w:t>Section 2.01(b)</w:t>
      </w:r>
      <w:r>
        <w:rPr>
          <w:rFonts w:ascii="Arial" w:cs="Arial" w:eastAsia="Arial" w:hAnsi="Arial"/>
          <w:sz w:val="18"/>
          <w:szCs w:val="18"/>
          <w:color w:val="auto"/>
        </w:rPr>
        <w:t>.</w:t>
      </w:r>
    </w:p>
    <w:p>
      <w:pPr>
        <w:spacing w:after="0" w:line="132"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Credit Lender</w:t>
      </w:r>
      <w:r>
        <w:rPr>
          <w:rFonts w:ascii="Arial" w:cs="Arial" w:eastAsia="Arial" w:hAnsi="Arial"/>
          <w:sz w:val="16"/>
          <w:szCs w:val="16"/>
          <w:color w:val="auto"/>
        </w:rPr>
        <w:t>” means, at any time, (a) so long as any Commitment is in effect, any Lender that has a Commitment at such time or (b) if the Commitments have terminated or expired, any Lender that has a Revolving Credit Loan or a participation in L/C Obligations or Swing Line Loans at such time.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73" w:name="page74"/>
    <w:bookmarkEnd w:id="7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Revolving Credit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2.01(b)</w:t>
      </w:r>
      <w:r>
        <w:rPr>
          <w:rFonts w:ascii="Arial" w:cs="Arial" w:eastAsia="Arial" w:hAnsi="Arial"/>
          <w:sz w:val="18"/>
          <w:szCs w:val="18"/>
          <w:color w:val="auto"/>
        </w:rPr>
        <w:t>.</w:t>
      </w:r>
    </w:p>
    <w:p>
      <w:pPr>
        <w:spacing w:after="0" w:line="171"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RLL Maintenance Period</w:t>
      </w:r>
      <w:r>
        <w:rPr>
          <w:rFonts w:ascii="Arial" w:cs="Arial" w:eastAsia="Arial" w:hAnsi="Arial"/>
          <w:sz w:val="16"/>
          <w:szCs w:val="16"/>
          <w:color w:val="auto"/>
        </w:rPr>
        <w:t>” means the period beginning on the date that is three months prior to the stated maturity date of the Convertible Notes (2012) or any other Convertible Indebtedness to and including the stated maturity date of such Convertible Notes (2012) or such other Convertible Indebtedness.</w:t>
      </w:r>
    </w:p>
    <w:p>
      <w:pPr>
        <w:spacing w:after="0" w:line="85" w:lineRule="exact"/>
        <w:rPr>
          <w:sz w:val="20"/>
          <w:szCs w:val="20"/>
          <w:color w:val="auto"/>
        </w:rPr>
      </w:pPr>
    </w:p>
    <w:p>
      <w:pPr>
        <w:jc w:val="both"/>
        <w:ind w:firstLine="456"/>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Sale and Leaseback Transaction</w:t>
      </w:r>
      <w:r>
        <w:rPr>
          <w:rFonts w:ascii="Arial" w:cs="Arial" w:eastAsia="Arial" w:hAnsi="Arial"/>
          <w:sz w:val="16"/>
          <w:szCs w:val="16"/>
          <w:color w:val="auto"/>
        </w:rPr>
        <w:t>” means any arrangement pursuant to which the Borrower or any of its Subsidiaries, directly or indirectly, becomes liable as lessee, guarantor or other surety with respect to any lease, whether an Operating Lease or a Capitalized Lease, of any Property that the Borrower or any of its Subsidiaries (a) has sold or transferred (or is to sell or transfer) to, or arranged the purchase by, a Person other than the Borrower or any of its Subsidiaries or</w:t>
      </w:r>
    </w:p>
    <w:p>
      <w:pPr>
        <w:spacing w:after="0" w:line="1" w:lineRule="exact"/>
        <w:rPr>
          <w:sz w:val="20"/>
          <w:szCs w:val="20"/>
          <w:color w:val="auto"/>
        </w:rPr>
      </w:pPr>
    </w:p>
    <w:p>
      <w:pPr>
        <w:ind w:right="20" w:firstLine="8"/>
        <w:spacing w:after="0" w:line="261" w:lineRule="auto"/>
        <w:tabs>
          <w:tab w:leader="none" w:pos="252"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intends to use for substantially the same purpose as any other Property that has been sold or is transferred (or is to be sold or transferred) by the Borrowers or such Subsidiary to a Person other than the Borrower or any of its Subsidiaries in connection with such lease.</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Services, a division of The McGraw-Hill Companies, Inc., and any successor in interest.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Sarbanes-Oxley</w:t>
      </w:r>
      <w:r>
        <w:rPr>
          <w:rFonts w:ascii="Arial" w:cs="Arial" w:eastAsia="Arial" w:hAnsi="Arial"/>
          <w:sz w:val="18"/>
          <w:szCs w:val="18"/>
          <w:color w:val="auto"/>
        </w:rPr>
        <w:t>” means the Sarbanes-Oxley Act of 2002.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17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Cash Management Services Agreement</w:t>
      </w:r>
      <w:r>
        <w:rPr>
          <w:rFonts w:ascii="Arial" w:cs="Arial" w:eastAsia="Arial" w:hAnsi="Arial"/>
          <w:sz w:val="18"/>
          <w:szCs w:val="18"/>
          <w:color w:val="auto"/>
        </w:rPr>
        <w:t>” means any Cash Management Services Agreement that is entered into by and between the Borrower or any of its Subsidiaries and any Cash Management Bank.</w:t>
      </w:r>
    </w:p>
    <w:p>
      <w:pPr>
        <w:spacing w:after="0" w:line="126"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Party</w:t>
      </w:r>
      <w:r>
        <w:rPr>
          <w:rFonts w:ascii="Arial" w:cs="Arial" w:eastAsia="Arial" w:hAnsi="Arial"/>
          <w:sz w:val="18"/>
          <w:szCs w:val="18"/>
          <w:color w:val="auto"/>
        </w:rPr>
        <w:t>” means the Administrative Agent, each Lender, the L/C Issuer, each Swap Bank, each Cash Management Bank</w:t>
      </w:r>
      <w:r>
        <w:rPr>
          <w:rFonts w:ascii="Arial" w:cs="Arial" w:eastAsia="Arial" w:hAnsi="Arial"/>
          <w:sz w:val="18"/>
          <w:szCs w:val="18"/>
          <w:b w:val="1"/>
          <w:bCs w:val="1"/>
          <w:color w:val="auto"/>
        </w:rPr>
        <w:t>,</w:t>
      </w:r>
      <w:r>
        <w:rPr>
          <w:rFonts w:ascii="Arial" w:cs="Arial" w:eastAsia="Arial" w:hAnsi="Arial"/>
          <w:sz w:val="18"/>
          <w:szCs w:val="18"/>
          <w:color w:val="auto"/>
        </w:rPr>
        <w:t xml:space="preserve"> each co-agent or sub-agent appointed by the Administrative Agent from time to time pursuant to </w:t>
      </w:r>
      <w:r>
        <w:rPr>
          <w:rFonts w:ascii="Arial" w:cs="Arial" w:eastAsia="Arial" w:hAnsi="Arial"/>
          <w:sz w:val="18"/>
          <w:szCs w:val="18"/>
          <w:u w:val="single" w:color="auto"/>
          <w:color w:val="auto"/>
        </w:rPr>
        <w:t>Section 9.05</w:t>
      </w:r>
      <w:r>
        <w:rPr>
          <w:rFonts w:ascii="Arial" w:cs="Arial" w:eastAsia="Arial" w:hAnsi="Arial"/>
          <w:sz w:val="18"/>
          <w:szCs w:val="18"/>
          <w:color w:val="auto"/>
        </w:rPr>
        <w:t>, and the other Persons the Obligations owing to which are or are purported to be secured by the Collateral under the terms of the Collateral Documents.</w:t>
      </w:r>
    </w:p>
    <w:p>
      <w:pPr>
        <w:spacing w:after="0" w:line="138"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Swap Contract</w:t>
      </w:r>
      <w:r>
        <w:rPr>
          <w:rFonts w:ascii="Arial" w:cs="Arial" w:eastAsia="Arial" w:hAnsi="Arial"/>
          <w:sz w:val="18"/>
          <w:szCs w:val="18"/>
          <w:color w:val="auto"/>
        </w:rPr>
        <w:t>” means any interest rate or foreign exchange rate Swap Contract that is entered into by and between the Borrower or any of its Subsidiaries and any Swap Bank.</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Laws</w:t>
      </w:r>
      <w:r>
        <w:rPr>
          <w:rFonts w:ascii="Arial" w:cs="Arial" w:eastAsia="Arial" w:hAnsi="Arial"/>
          <w:sz w:val="18"/>
          <w:szCs w:val="18"/>
          <w:color w:val="auto"/>
        </w:rPr>
        <w:t>” means the Securities Act of 1933, the Securities Exchange Act of 1934, Sarbanes-Oxley and the applicable accounting and auditing principles, rules, standards and practices promulgated, approved or incorporated by the SEC or the Public Company Accounting Oversight Board, as each of the foregoing may be amended and in effect on any applicable date hereunder.</w:t>
      </w:r>
    </w:p>
    <w:p>
      <w:pPr>
        <w:spacing w:after="0" w:line="14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w:t>
      </w:r>
      <w:r>
        <w:rPr>
          <w:rFonts w:ascii="Arial" w:cs="Arial" w:eastAsia="Arial" w:hAnsi="Arial"/>
          <w:sz w:val="18"/>
          <w:szCs w:val="18"/>
          <w:color w:val="auto"/>
        </w:rPr>
        <w:t xml:space="preserve">” means the Amended and Restated Security Agreement executed by the Borrower, the Subsidiary Guarantors and the Administrative Agent substantially in the form of </w:t>
      </w:r>
      <w:r>
        <w:rPr>
          <w:rFonts w:ascii="Arial" w:cs="Arial" w:eastAsia="Arial" w:hAnsi="Arial"/>
          <w:sz w:val="18"/>
          <w:szCs w:val="18"/>
          <w:u w:val="single" w:color="auto"/>
          <w:color w:val="auto"/>
        </w:rPr>
        <w:t>Exhibit J</w:t>
      </w:r>
      <w:r>
        <w:rPr>
          <w:rFonts w:ascii="Arial" w:cs="Arial" w:eastAsia="Arial" w:hAnsi="Arial"/>
          <w:sz w:val="18"/>
          <w:szCs w:val="18"/>
          <w:color w:val="auto"/>
        </w:rPr>
        <w:t xml:space="preserve"> hereto.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74" w:name="page75"/>
    <w:bookmarkEnd w:id="74"/>
    <w:p>
      <w:pPr>
        <w:jc w:val="both"/>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Shareholders’ Equity</w:t>
      </w:r>
      <w:r>
        <w:rPr>
          <w:rFonts w:ascii="Arial" w:cs="Arial" w:eastAsia="Arial" w:hAnsi="Arial"/>
          <w:sz w:val="18"/>
          <w:szCs w:val="18"/>
          <w:color w:val="auto"/>
        </w:rPr>
        <w:t>” means, as of the date of determination, consolidated shareholders’ equity of any Person and its Subsidiaries on a consolidated basis as of that date determined in accordance with GAAP.</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SPC</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10.06(g)</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Subject Properties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5.13(a)</w:t>
      </w:r>
      <w:r>
        <w:rPr>
          <w:rFonts w:ascii="Arial" w:cs="Arial" w:eastAsia="Arial" w:hAnsi="Arial"/>
          <w:sz w:val="18"/>
          <w:szCs w:val="18"/>
          <w:color w:val="auto"/>
        </w:rPr>
        <w:t>.</w:t>
      </w:r>
    </w:p>
    <w:p>
      <w:pPr>
        <w:spacing w:after="0" w:line="171"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w:t>
      </w:r>
      <w:r>
        <w:rPr>
          <w:rFonts w:ascii="Arial" w:cs="Arial" w:eastAsia="Arial" w:hAnsi="Arial"/>
          <w:sz w:val="18"/>
          <w:szCs w:val="18"/>
          <w:u w:val="single" w:color="auto"/>
          <w:color w:val="auto"/>
        </w:rPr>
        <w:t>Subsidiary</w:t>
      </w:r>
      <w:r>
        <w:rPr>
          <w:rFonts w:ascii="Arial" w:cs="Arial" w:eastAsia="Arial" w:hAnsi="Arial"/>
          <w:sz w:val="18"/>
          <w:szCs w:val="18"/>
          <w:color w:val="auto"/>
        </w:rPr>
        <w:t>” or to “</w:t>
      </w:r>
      <w:r>
        <w:rPr>
          <w:rFonts w:ascii="Arial" w:cs="Arial" w:eastAsia="Arial" w:hAnsi="Arial"/>
          <w:sz w:val="18"/>
          <w:szCs w:val="18"/>
          <w:u w:val="single" w:color="auto"/>
          <w:color w:val="auto"/>
        </w:rPr>
        <w:t>Subsidiaries</w:t>
      </w:r>
      <w:r>
        <w:rPr>
          <w:rFonts w:ascii="Arial" w:cs="Arial" w:eastAsia="Arial" w:hAnsi="Arial"/>
          <w:sz w:val="18"/>
          <w:szCs w:val="18"/>
          <w:color w:val="auto"/>
        </w:rPr>
        <w:t>” shall refer to a Subsidiary or Subsidiaries of the Borrower.</w:t>
      </w:r>
    </w:p>
    <w:p>
      <w:pPr>
        <w:spacing w:after="0" w:line="14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 Guarantor</w:t>
      </w:r>
      <w:r>
        <w:rPr>
          <w:rFonts w:ascii="Arial" w:cs="Arial" w:eastAsia="Arial" w:hAnsi="Arial"/>
          <w:sz w:val="16"/>
          <w:szCs w:val="16"/>
          <w:color w:val="auto"/>
        </w:rPr>
        <w:t xml:space="preserve">” means each Domestic Subsidiary of the Borrower on the Closing Date and each other Subsidiary of the Borrower that joins as a Subsidiary Guarantor pursuant to </w:t>
      </w:r>
      <w:r>
        <w:rPr>
          <w:rFonts w:ascii="Arial" w:cs="Arial" w:eastAsia="Arial" w:hAnsi="Arial"/>
          <w:sz w:val="16"/>
          <w:szCs w:val="16"/>
          <w:u w:val="single" w:color="auto"/>
          <w:color w:val="auto"/>
        </w:rPr>
        <w:t>Section 6.11</w:t>
      </w:r>
      <w:r>
        <w:rPr>
          <w:rFonts w:ascii="Arial" w:cs="Arial" w:eastAsia="Arial" w:hAnsi="Arial"/>
          <w:sz w:val="16"/>
          <w:szCs w:val="16"/>
          <w:color w:val="auto"/>
        </w:rPr>
        <w:t xml:space="preserve">, together with their successors and permitted assigns, in each case, other than the Excluded Subsidiaries. As of the Closing Date, the Domestic Subsidiaries listed on part B of </w:t>
      </w:r>
      <w:r>
        <w:rPr>
          <w:rFonts w:ascii="Arial" w:cs="Arial" w:eastAsia="Arial" w:hAnsi="Arial"/>
          <w:sz w:val="16"/>
          <w:szCs w:val="16"/>
          <w:u w:val="single" w:color="auto"/>
          <w:color w:val="auto"/>
        </w:rPr>
        <w:t>Schedule 1.01</w:t>
      </w:r>
      <w:r>
        <w:rPr>
          <w:rFonts w:ascii="Arial" w:cs="Arial" w:eastAsia="Arial" w:hAnsi="Arial"/>
          <w:sz w:val="16"/>
          <w:szCs w:val="16"/>
          <w:color w:val="auto"/>
        </w:rPr>
        <w:t xml:space="preserve"> hereto are Subsidiary Guarantors.</w:t>
      </w:r>
    </w:p>
    <w:p>
      <w:pPr>
        <w:spacing w:after="0" w:line="10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Guaranty</w:t>
      </w:r>
      <w:r>
        <w:rPr>
          <w:rFonts w:ascii="Arial" w:cs="Arial" w:eastAsia="Arial" w:hAnsi="Arial"/>
          <w:sz w:val="18"/>
          <w:szCs w:val="18"/>
          <w:color w:val="auto"/>
        </w:rPr>
        <w:t xml:space="preserve">” means the Amended and Restated Subsidiary Guaranty Agreement duly executed by each Subsidiary Guarantor and the Administrative Agent, substantially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hereto.</w:t>
      </w:r>
    </w:p>
    <w:p>
      <w:pPr>
        <w:spacing w:after="0" w:line="13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Bank</w:t>
      </w:r>
      <w:r>
        <w:rPr>
          <w:rFonts w:ascii="Arial" w:cs="Arial" w:eastAsia="Arial" w:hAnsi="Arial"/>
          <w:sz w:val="18"/>
          <w:szCs w:val="18"/>
          <w:color w:val="auto"/>
        </w:rPr>
        <w:t>” means any Lender or an Affiliate of a Lender in its capacity as a party to a Swap Contract in effect under the Existing Credit Agreement on the Closing Date or otherwise entered into on or after the Closing Date.</w:t>
      </w:r>
    </w:p>
    <w:p>
      <w:pPr>
        <w:spacing w:after="0" w:line="132"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Contract</w:t>
      </w:r>
      <w:r>
        <w:rPr>
          <w:rFonts w:ascii="Arial" w:cs="Arial" w:eastAsia="Arial" w:hAnsi="Arial"/>
          <w:sz w:val="16"/>
          <w:szCs w:val="16"/>
          <w:color w:val="auto"/>
        </w:rPr>
        <w:t>” means (a) any and all rate swap transactions, basis swaps, credit derivative transactions, forward rate transactions, commodity swaps, commodity options, forward commodity contracts, equity or equity index swaps or options (excluding, for the avoidance of doubt, any option imbedded in any Convertible Indebtedness),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6"/>
          <w:szCs w:val="16"/>
          <w:u w:val="single" w:color="auto"/>
          <w:color w:val="auto"/>
        </w:rPr>
        <w:t>Master Agreement</w:t>
      </w:r>
      <w:r>
        <w:rPr>
          <w:rFonts w:ascii="Arial" w:cs="Arial" w:eastAsia="Arial" w:hAnsi="Arial"/>
          <w:sz w:val="16"/>
          <w:szCs w:val="16"/>
          <w:color w:val="auto"/>
        </w:rPr>
        <w:t>”), including any such obligations or liabilities under any Master Agreement.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75" w:name="page76"/>
    <w:bookmarkEnd w:id="75"/>
    <w:p>
      <w:pPr>
        <w:jc w:val="both"/>
        <w:ind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Swap Termination Value</w:t>
      </w:r>
      <w:r>
        <w:rPr>
          <w:rFonts w:ascii="Arial" w:cs="Arial" w:eastAsia="Arial" w:hAnsi="Arial"/>
          <w:sz w:val="16"/>
          <w:szCs w:val="16"/>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w:t>
      </w:r>
      <w:r>
        <w:rPr>
          <w:rFonts w:ascii="Arial" w:cs="Arial" w:eastAsia="Arial" w:hAnsi="Arial"/>
          <w:sz w:val="18"/>
          <w:szCs w:val="18"/>
          <w:color w:val="auto"/>
        </w:rPr>
        <w:t xml:space="preserve">” means the Facility made available by the Swing Line Lender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Borrowing</w:t>
      </w:r>
      <w:r>
        <w:rPr>
          <w:rFonts w:ascii="Arial" w:cs="Arial" w:eastAsia="Arial" w:hAnsi="Arial"/>
          <w:sz w:val="18"/>
          <w:szCs w:val="18"/>
          <w:color w:val="auto"/>
        </w:rPr>
        <w:t xml:space="preserve">” means a borrowing of a Swing Line Loan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Swing Line Lender</w:t>
      </w:r>
      <w:r>
        <w:rPr>
          <w:rFonts w:ascii="Arial" w:cs="Arial" w:eastAsia="Arial" w:hAnsi="Arial"/>
          <w:sz w:val="16"/>
          <w:szCs w:val="16"/>
          <w:color w:val="auto"/>
        </w:rPr>
        <w:t>” means Bank of America in its capacity as provider of Swing Line Loans, or any successor swing line lender hereunder.</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2.04(a)</w:t>
      </w:r>
      <w:r>
        <w:rPr>
          <w:rFonts w:ascii="Arial" w:cs="Arial" w:eastAsia="Arial" w:hAnsi="Arial"/>
          <w:sz w:val="18"/>
          <w:szCs w:val="18"/>
          <w:color w:val="auto"/>
        </w:rPr>
        <w:t>.</w:t>
      </w:r>
    </w:p>
    <w:p>
      <w:pPr>
        <w:spacing w:after="0" w:line="17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 Notice</w:t>
      </w:r>
      <w:r>
        <w:rPr>
          <w:rFonts w:ascii="Arial" w:cs="Arial" w:eastAsia="Arial" w:hAnsi="Arial"/>
          <w:sz w:val="18"/>
          <w:szCs w:val="18"/>
          <w:color w:val="auto"/>
        </w:rPr>
        <w:t xml:space="preserve">” means a notice of a Swing Line Borrowing pursuant to </w:t>
      </w:r>
      <w:r>
        <w:rPr>
          <w:rFonts w:ascii="Arial" w:cs="Arial" w:eastAsia="Arial" w:hAnsi="Arial"/>
          <w:sz w:val="18"/>
          <w:szCs w:val="18"/>
          <w:u w:val="single" w:color="auto"/>
          <w:color w:val="auto"/>
        </w:rPr>
        <w:t>Section 2.04(b)</w:t>
      </w:r>
      <w:r>
        <w:rPr>
          <w:rFonts w:ascii="Arial" w:cs="Arial" w:eastAsia="Arial" w:hAnsi="Arial"/>
          <w:sz w:val="18"/>
          <w:szCs w:val="18"/>
          <w:color w:val="auto"/>
        </w:rPr>
        <w:t xml:space="preserve">, which, if in writing, shall be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w:t>
      </w:r>
    </w:p>
    <w:p>
      <w:pPr>
        <w:spacing w:after="0" w:line="13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Sublimit</w:t>
      </w:r>
      <w:r>
        <w:rPr>
          <w:rFonts w:ascii="Arial" w:cs="Arial" w:eastAsia="Arial" w:hAnsi="Arial"/>
          <w:sz w:val="18"/>
          <w:szCs w:val="18"/>
          <w:color w:val="auto"/>
        </w:rPr>
        <w:t>” means an amount equal to the lesser of (a) $60,000,000 and (b) the Facility. The Swing Line Sublimit is part of, and not in addition to, the Facility.</w:t>
      </w:r>
    </w:p>
    <w:p>
      <w:pPr>
        <w:spacing w:after="0" w:line="13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Threshold Amount</w:t>
      </w:r>
      <w:r>
        <w:rPr>
          <w:rFonts w:ascii="Arial" w:cs="Arial" w:eastAsia="Arial" w:hAnsi="Arial"/>
          <w:sz w:val="18"/>
          <w:szCs w:val="18"/>
          <w:color w:val="auto"/>
        </w:rPr>
        <w:t>” means $25,000,000.</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Outstandings</w:t>
      </w:r>
      <w:r>
        <w:rPr>
          <w:rFonts w:ascii="Arial" w:cs="Arial" w:eastAsia="Arial" w:hAnsi="Arial"/>
          <w:sz w:val="18"/>
          <w:szCs w:val="18"/>
          <w:color w:val="auto"/>
        </w:rPr>
        <w:t>” means the aggregate Outstanding Amount of all Revolving Credit Loans, Swing Line Loans and L/C Obligations.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has the meaning specified in the definition of “Loan”.</w:t>
      </w:r>
    </w:p>
    <w:p>
      <w:pPr>
        <w:spacing w:after="0" w:line="17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xml:space="preserve">” means the Uniform Commercial Code as in effect in the State of New York;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perfection or the effect of perfection or non-perfection or the priority of any security interest in any Collateral is governed by the Uniform Commercial Code as in effect in a jurisdiction other than the State of New York, “</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from time to time in such other jurisdiction for purposes of the provisions hereof relating to such perfection, effect of perfection or non-perfection or priority.</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Unaudited Financial Statements</w:t>
      </w:r>
      <w:r>
        <w:rPr>
          <w:rFonts w:ascii="Arial" w:cs="Arial" w:eastAsia="Arial" w:hAnsi="Arial"/>
          <w:sz w:val="18"/>
          <w:szCs w:val="18"/>
          <w:color w:val="auto"/>
        </w:rPr>
        <w:t>” means (a) the unaudited consolidated financial statements of the Borrower and its Consolidated Subsidiaries for the fiscal quarter ended March 31, 2011 and (b) the related consolidated statements of income or operations, shareholders’ equity and cash flows for the fiscal quarter ended on that date, subject to normal year-end adjustments.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76" w:name="page77"/>
    <w:bookmarkEnd w:id="7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United States</w:t>
      </w:r>
      <w:r>
        <w:rPr>
          <w:rFonts w:ascii="Arial" w:cs="Arial" w:eastAsia="Arial" w:hAnsi="Arial"/>
          <w:sz w:val="18"/>
          <w:szCs w:val="18"/>
          <w:color w:val="auto"/>
        </w:rPr>
        <w:t>” and “</w:t>
      </w:r>
      <w:r>
        <w:rPr>
          <w:rFonts w:ascii="Arial" w:cs="Arial" w:eastAsia="Arial" w:hAnsi="Arial"/>
          <w:sz w:val="18"/>
          <w:szCs w:val="18"/>
          <w:u w:val="single" w:color="auto"/>
          <w:color w:val="auto"/>
        </w:rPr>
        <w:t>U.S.</w:t>
      </w:r>
      <w:r>
        <w:rPr>
          <w:rFonts w:ascii="Arial" w:cs="Arial" w:eastAsia="Arial" w:hAnsi="Arial"/>
          <w:sz w:val="18"/>
          <w:szCs w:val="18"/>
          <w:color w:val="auto"/>
        </w:rPr>
        <w:t>” mean the United States of America.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Unreimbursed Amount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2.03(c)(i)</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Voluntary Convertible Note Repurchase</w:t>
      </w:r>
      <w:r>
        <w:rPr>
          <w:rFonts w:ascii="Arial" w:cs="Arial" w:eastAsia="Arial" w:hAnsi="Arial"/>
          <w:sz w:val="16"/>
          <w:szCs w:val="16"/>
          <w:color w:val="auto"/>
        </w:rPr>
        <w:t>” means the voluntary repurchase at any time and from time to time of any Convertible Indebtedness by any Loan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Party.</w:t>
      </w:r>
    </w:p>
    <w:p>
      <w:pPr>
        <w:spacing w:after="0" w:line="16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Voting Securities</w:t>
      </w:r>
      <w:r>
        <w:rPr>
          <w:rFonts w:ascii="Arial" w:cs="Arial" w:eastAsia="Arial" w:hAnsi="Arial"/>
          <w:sz w:val="16"/>
          <w:szCs w:val="16"/>
          <w:color w:val="auto"/>
        </w:rPr>
        <w:t>” means, with respect to any Person, securities or other ownership interests having by the terms thereof ordinary voting power to elect the board of directors or other persons performing similar functions of such Person (irrespective of whether or not at the time securities or other ownership interests of any other class or classes of such Person shall have or might have voting power by reason of the happening of any contingency).</w:t>
      </w:r>
    </w:p>
    <w:p>
      <w:pPr>
        <w:spacing w:after="0" w:line="107"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Wholly-Owned Subsidiary</w:t>
      </w:r>
      <w:r>
        <w:rPr>
          <w:rFonts w:ascii="Arial" w:cs="Arial" w:eastAsia="Arial" w:hAnsi="Arial"/>
          <w:sz w:val="18"/>
          <w:szCs w:val="18"/>
          <w:color w:val="auto"/>
        </w:rPr>
        <w:t>” means (a) with respect to any Domestic Subsidiary of any Person, a Domestic Subsidiary of such Person that is wholly-owned by such Person and (b) with respect to any Foreign Subsidiary of any Person, either (i) a Foreign Subsidiary of such Person that is wholly-owned by such Person or (ii) if any Law applicable to such Foreign Subsidiary requires that directors of such Foreign Subsidiary own any amount of common Equity Interests in such Foreign Subsidiary, such Foreign Subsidiary of such Person so long as (i) the amount of common Equity Interests in such Foreign Subsidiary owned by such director or directors is the minimum amount required by applicable Law, (ii) ownership of such common Equity Interests does not give such director or directors, individually or in combination, the right or ability to control, directly or indirectly through one or more intermediaries, the management of such Foreign Subsidiary, and (iii) such Person, directly or indirectly, owns all the other Equity Interests in such Foreign Subsidiary other than the Equity Interest held by such director or directors.</w:t>
      </w:r>
    </w:p>
    <w:p>
      <w:pPr>
        <w:spacing w:after="0" w:line="139" w:lineRule="exact"/>
        <w:rPr>
          <w:sz w:val="20"/>
          <w:szCs w:val="20"/>
          <w:color w:val="auto"/>
        </w:rPr>
      </w:pPr>
    </w:p>
    <w:p>
      <w:pPr>
        <w:jc w:val="both"/>
        <w:ind w:right="20" w:firstLine="913"/>
        <w:spacing w:after="0" w:line="275" w:lineRule="auto"/>
        <w:rPr>
          <w:sz w:val="20"/>
          <w:szCs w:val="20"/>
          <w:color w:val="auto"/>
        </w:rPr>
      </w:pPr>
      <w:r>
        <w:rPr>
          <w:rFonts w:ascii="Arial" w:cs="Arial" w:eastAsia="Arial" w:hAnsi="Arial"/>
          <w:sz w:val="18"/>
          <w:szCs w:val="18"/>
          <w:b w:val="1"/>
          <w:bCs w:val="1"/>
          <w:color w:val="auto"/>
        </w:rPr>
        <w:t xml:space="preserve">1.02 Other Interpretive Provisions. </w:t>
      </w:r>
      <w:r>
        <w:rPr>
          <w:rFonts w:ascii="Arial" w:cs="Arial" w:eastAsia="Arial" w:hAnsi="Arial"/>
          <w:sz w:val="18"/>
          <w:szCs w:val="18"/>
          <w:color w:val="auto"/>
        </w:rPr>
        <w:t>With reference to this Agreement and each other Loan Document, unless otherwise specified herein or in such</w:t>
      </w:r>
      <w:r>
        <w:rPr>
          <w:rFonts w:ascii="Arial" w:cs="Arial" w:eastAsia="Arial" w:hAnsi="Arial"/>
          <w:sz w:val="18"/>
          <w:szCs w:val="18"/>
          <w:b w:val="1"/>
          <w:bCs w:val="1"/>
          <w:color w:val="auto"/>
        </w:rPr>
        <w:t xml:space="preserve"> </w:t>
      </w:r>
      <w:r>
        <w:rPr>
          <w:rFonts w:ascii="Arial" w:cs="Arial" w:eastAsia="Arial" w:hAnsi="Arial"/>
          <w:sz w:val="18"/>
          <w:szCs w:val="18"/>
          <w:color w:val="auto"/>
        </w:rPr>
        <w:t>other Loan Document:</w:t>
      </w:r>
    </w:p>
    <w:p>
      <w:pPr>
        <w:spacing w:after="0" w:line="45" w:lineRule="exact"/>
        <w:rPr>
          <w:sz w:val="20"/>
          <w:szCs w:val="20"/>
          <w:color w:val="auto"/>
        </w:rPr>
      </w:pPr>
    </w:p>
    <w:p>
      <w:pPr>
        <w:jc w:val="both"/>
        <w:ind w:left="460" w:firstLine="443"/>
        <w:spacing w:after="0" w:line="289" w:lineRule="auto"/>
        <w:tabs>
          <w:tab w:leader="none" w:pos="1144"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Arial" w:cs="Arial" w:eastAsia="Arial" w:hAnsi="Arial"/>
          <w:sz w:val="16"/>
          <w:szCs w:val="16"/>
          <w:u w:val="single" w:color="auto"/>
          <w:color w:val="auto"/>
        </w:rPr>
        <w:t>include</w:t>
      </w:r>
      <w:r>
        <w:rPr>
          <w:rFonts w:ascii="Arial" w:cs="Arial" w:eastAsia="Arial" w:hAnsi="Arial"/>
          <w:sz w:val="16"/>
          <w:szCs w:val="16"/>
          <w:color w:val="auto"/>
        </w:rPr>
        <w:t>,” “</w:t>
      </w:r>
      <w:r>
        <w:rPr>
          <w:rFonts w:ascii="Arial" w:cs="Arial" w:eastAsia="Arial" w:hAnsi="Arial"/>
          <w:sz w:val="16"/>
          <w:szCs w:val="16"/>
          <w:u w:val="single" w:color="auto"/>
          <w:color w:val="auto"/>
        </w:rPr>
        <w:t>includes</w:t>
      </w:r>
      <w:r>
        <w:rPr>
          <w:rFonts w:ascii="Arial" w:cs="Arial" w:eastAsia="Arial" w:hAnsi="Arial"/>
          <w:sz w:val="16"/>
          <w:szCs w:val="16"/>
          <w:color w:val="auto"/>
        </w:rPr>
        <w:t>” and “</w:t>
      </w:r>
      <w:r>
        <w:rPr>
          <w:rFonts w:ascii="Arial" w:cs="Arial" w:eastAsia="Arial" w:hAnsi="Arial"/>
          <w:sz w:val="16"/>
          <w:szCs w:val="16"/>
          <w:u w:val="single" w:color="auto"/>
          <w:color w:val="auto"/>
        </w:rPr>
        <w:t>including</w:t>
      </w:r>
      <w:r>
        <w:rPr>
          <w:rFonts w:ascii="Arial" w:cs="Arial" w:eastAsia="Arial" w:hAnsi="Arial"/>
          <w:sz w:val="16"/>
          <w:szCs w:val="16"/>
          <w:color w:val="auto"/>
        </w:rPr>
        <w:t>” shall be deemed to be followed by the phrase “</w:t>
      </w:r>
      <w:r>
        <w:rPr>
          <w:rFonts w:ascii="Arial" w:cs="Arial" w:eastAsia="Arial" w:hAnsi="Arial"/>
          <w:sz w:val="16"/>
          <w:szCs w:val="16"/>
          <w:u w:val="single" w:color="auto"/>
          <w:color w:val="auto"/>
        </w:rPr>
        <w:t>without limitation</w:t>
      </w:r>
      <w:r>
        <w:rPr>
          <w:rFonts w:ascii="Arial" w:cs="Arial" w:eastAsia="Arial" w:hAnsi="Arial"/>
          <w:sz w:val="16"/>
          <w:szCs w:val="16"/>
          <w:color w:val="auto"/>
        </w:rPr>
        <w:t>.” The word “</w:t>
      </w:r>
      <w:r>
        <w:rPr>
          <w:rFonts w:ascii="Arial" w:cs="Arial" w:eastAsia="Arial" w:hAnsi="Arial"/>
          <w:sz w:val="16"/>
          <w:szCs w:val="16"/>
          <w:u w:val="single" w:color="auto"/>
          <w:color w:val="auto"/>
        </w:rPr>
        <w:t>will</w:t>
      </w:r>
      <w:r>
        <w:rPr>
          <w:rFonts w:ascii="Arial" w:cs="Arial" w:eastAsia="Arial" w:hAnsi="Arial"/>
          <w:sz w:val="16"/>
          <w:szCs w:val="16"/>
          <w:color w:val="auto"/>
        </w:rPr>
        <w:t>” shall be construed to have the same meaning and effect as the word “</w:t>
      </w:r>
      <w:r>
        <w:rPr>
          <w:rFonts w:ascii="Arial" w:cs="Arial" w:eastAsia="Arial" w:hAnsi="Arial"/>
          <w:sz w:val="16"/>
          <w:szCs w:val="16"/>
          <w:u w:val="single" w:color="auto"/>
          <w:color w:val="auto"/>
        </w:rPr>
        <w:t>shall</w:t>
      </w:r>
      <w:r>
        <w:rPr>
          <w:rFonts w:ascii="Arial" w:cs="Arial" w:eastAsia="Arial" w:hAnsi="Arial"/>
          <w:sz w:val="16"/>
          <w:szCs w:val="16"/>
          <w:color w:val="auto"/>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w:t>
      </w:r>
      <w:r>
        <w:rPr>
          <w:rFonts w:ascii="Arial" w:cs="Arial" w:eastAsia="Arial" w:hAnsi="Arial"/>
          <w:sz w:val="16"/>
          <w:szCs w:val="16"/>
          <w:u w:val="single" w:color="auto"/>
          <w:color w:val="auto"/>
        </w:rPr>
        <w:t>hereto</w:t>
      </w:r>
      <w:r>
        <w:rPr>
          <w:rFonts w:ascii="Arial" w:cs="Arial" w:eastAsia="Arial" w:hAnsi="Arial"/>
          <w:sz w:val="16"/>
          <w:szCs w:val="16"/>
          <w:color w:val="auto"/>
        </w:rPr>
        <w:t>,” “</w:t>
      </w:r>
      <w:r>
        <w:rPr>
          <w:rFonts w:ascii="Arial" w:cs="Arial" w:eastAsia="Arial" w:hAnsi="Arial"/>
          <w:sz w:val="16"/>
          <w:szCs w:val="16"/>
          <w:u w:val="single" w:color="auto"/>
          <w:color w:val="auto"/>
        </w:rPr>
        <w:t>herein</w:t>
      </w:r>
      <w:r>
        <w:rPr>
          <w:rFonts w:ascii="Arial" w:cs="Arial" w:eastAsia="Arial" w:hAnsi="Arial"/>
          <w:sz w:val="16"/>
          <w:szCs w:val="16"/>
          <w:color w:val="auto"/>
        </w:rPr>
        <w:t>,” “</w:t>
      </w:r>
      <w:r>
        <w:rPr>
          <w:rFonts w:ascii="Arial" w:cs="Arial" w:eastAsia="Arial" w:hAnsi="Arial"/>
          <w:sz w:val="16"/>
          <w:szCs w:val="16"/>
          <w:u w:val="single" w:color="auto"/>
          <w:color w:val="auto"/>
        </w:rPr>
        <w:t>hereof</w:t>
      </w:r>
      <w:r>
        <w:rPr>
          <w:rFonts w:ascii="Arial" w:cs="Arial" w:eastAsia="Arial" w:hAnsi="Arial"/>
          <w:sz w:val="16"/>
          <w:szCs w:val="16"/>
          <w:color w:val="auto"/>
        </w:rPr>
        <w:t>” and “</w:t>
      </w:r>
      <w:r>
        <w:rPr>
          <w:rFonts w:ascii="Arial" w:cs="Arial" w:eastAsia="Arial" w:hAnsi="Arial"/>
          <w:sz w:val="16"/>
          <w:szCs w:val="16"/>
          <w:u w:val="single" w:color="auto"/>
          <w:color w:val="auto"/>
        </w:rPr>
        <w:t>hereunder</w:t>
      </w:r>
      <w:r>
        <w:rPr>
          <w:rFonts w:ascii="Arial" w:cs="Arial" w:eastAsia="Arial" w:hAnsi="Arial"/>
          <w:sz w:val="16"/>
          <w:szCs w:val="16"/>
          <w:color w:val="auto"/>
        </w:rPr>
        <w:t>,” and words of similar import when used in any Loan Document, shall be construed to refer to such Loan Document in its entirety and not to any particular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77" w:name="page78"/>
    <w:bookmarkEnd w:id="77"/>
    <w:p>
      <w:pPr>
        <w:jc w:val="both"/>
        <w:ind w:left="4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provision thereof, (iv) 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Arial" w:cs="Arial" w:eastAsia="Arial" w:hAnsi="Arial"/>
          <w:sz w:val="16"/>
          <w:szCs w:val="16"/>
          <w:u w:val="single" w:color="auto"/>
          <w:color w:val="auto"/>
        </w:rPr>
        <w:t>asset</w:t>
      </w:r>
      <w:r>
        <w:rPr>
          <w:rFonts w:ascii="Arial" w:cs="Arial" w:eastAsia="Arial" w:hAnsi="Arial"/>
          <w:sz w:val="16"/>
          <w:szCs w:val="16"/>
          <w:color w:val="auto"/>
        </w:rPr>
        <w:t>” and “</w:t>
      </w:r>
      <w:r>
        <w:rPr>
          <w:rFonts w:ascii="Arial" w:cs="Arial" w:eastAsia="Arial" w:hAnsi="Arial"/>
          <w:sz w:val="16"/>
          <w:szCs w:val="16"/>
          <w:u w:val="single" w:color="auto"/>
          <w:color w:val="auto"/>
        </w:rPr>
        <w:t>property</w:t>
      </w:r>
      <w:r>
        <w:rPr>
          <w:rFonts w:ascii="Arial" w:cs="Arial" w:eastAsia="Arial" w:hAnsi="Arial"/>
          <w:sz w:val="16"/>
          <w:szCs w:val="16"/>
          <w:color w:val="auto"/>
        </w:rPr>
        <w:t>” shall be construed to have the same meaning and effect and to refer to any and all tangible and intangible assets and properties, including cash, securities, accounts and contract rights.</w:t>
      </w:r>
    </w:p>
    <w:p>
      <w:pPr>
        <w:spacing w:after="0" w:line="39" w:lineRule="exact"/>
        <w:rPr>
          <w:sz w:val="20"/>
          <w:szCs w:val="20"/>
          <w:color w:val="auto"/>
        </w:rPr>
      </w:pPr>
    </w:p>
    <w:p>
      <w:pPr>
        <w:ind w:left="460" w:right="20" w:firstLine="443"/>
        <w:spacing w:after="0" w:line="268" w:lineRule="auto"/>
        <w:tabs>
          <w:tab w:leader="none" w:pos="1148"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w:t>
      </w:r>
      <w:r>
        <w:rPr>
          <w:rFonts w:ascii="Arial" w:cs="Arial" w:eastAsia="Arial" w:hAnsi="Arial"/>
          <w:sz w:val="18"/>
          <w:szCs w:val="18"/>
          <w:u w:val="single" w:color="auto"/>
          <w:color w:val="auto"/>
        </w:rPr>
        <w:t>from</w:t>
      </w:r>
      <w:r>
        <w:rPr>
          <w:rFonts w:ascii="Arial" w:cs="Arial" w:eastAsia="Arial" w:hAnsi="Arial"/>
          <w:sz w:val="18"/>
          <w:szCs w:val="18"/>
          <w:color w:val="auto"/>
        </w:rPr>
        <w:t>” means “</w:t>
      </w:r>
      <w:r>
        <w:rPr>
          <w:rFonts w:ascii="Arial" w:cs="Arial" w:eastAsia="Arial" w:hAnsi="Arial"/>
          <w:sz w:val="18"/>
          <w:szCs w:val="18"/>
          <w:u w:val="single" w:color="auto"/>
          <w:color w:val="auto"/>
        </w:rPr>
        <w:t>from and including</w:t>
      </w:r>
      <w:r>
        <w:rPr>
          <w:rFonts w:ascii="Arial" w:cs="Arial" w:eastAsia="Arial" w:hAnsi="Arial"/>
          <w:sz w:val="18"/>
          <w:szCs w:val="18"/>
          <w:color w:val="auto"/>
        </w:rPr>
        <w:t>;” the words “</w:t>
      </w:r>
      <w:r>
        <w:rPr>
          <w:rFonts w:ascii="Arial" w:cs="Arial" w:eastAsia="Arial" w:hAnsi="Arial"/>
          <w:sz w:val="18"/>
          <w:szCs w:val="18"/>
          <w:u w:val="single" w:color="auto"/>
          <w:color w:val="auto"/>
        </w:rPr>
        <w:t>to</w:t>
      </w:r>
      <w:r>
        <w:rPr>
          <w:rFonts w:ascii="Arial" w:cs="Arial" w:eastAsia="Arial" w:hAnsi="Arial"/>
          <w:sz w:val="18"/>
          <w:szCs w:val="18"/>
          <w:color w:val="auto"/>
        </w:rPr>
        <w:t>” and “</w:t>
      </w:r>
      <w:r>
        <w:rPr>
          <w:rFonts w:ascii="Arial" w:cs="Arial" w:eastAsia="Arial" w:hAnsi="Arial"/>
          <w:sz w:val="18"/>
          <w:szCs w:val="18"/>
          <w:u w:val="single" w:color="auto"/>
          <w:color w:val="auto"/>
        </w:rPr>
        <w:t>until</w:t>
      </w:r>
      <w:r>
        <w:rPr>
          <w:rFonts w:ascii="Arial" w:cs="Arial" w:eastAsia="Arial" w:hAnsi="Arial"/>
          <w:sz w:val="18"/>
          <w:szCs w:val="18"/>
          <w:color w:val="auto"/>
        </w:rPr>
        <w:t>” each mean “</w:t>
      </w:r>
      <w:r>
        <w:rPr>
          <w:rFonts w:ascii="Arial" w:cs="Arial" w:eastAsia="Arial" w:hAnsi="Arial"/>
          <w:sz w:val="18"/>
          <w:szCs w:val="18"/>
          <w:u w:val="single" w:color="auto"/>
          <w:color w:val="auto"/>
        </w:rPr>
        <w:t>to but excluding</w:t>
      </w:r>
      <w:r>
        <w:rPr>
          <w:rFonts w:ascii="Arial" w:cs="Arial" w:eastAsia="Arial" w:hAnsi="Arial"/>
          <w:sz w:val="18"/>
          <w:szCs w:val="18"/>
          <w:color w:val="auto"/>
        </w:rPr>
        <w:t>;” and the word “</w:t>
      </w:r>
      <w:r>
        <w:rPr>
          <w:rFonts w:ascii="Arial" w:cs="Arial" w:eastAsia="Arial" w:hAnsi="Arial"/>
          <w:sz w:val="18"/>
          <w:szCs w:val="18"/>
          <w:u w:val="single" w:color="auto"/>
          <w:color w:val="auto"/>
        </w:rPr>
        <w:t>through</w:t>
      </w:r>
      <w:r>
        <w:rPr>
          <w:rFonts w:ascii="Arial" w:cs="Arial" w:eastAsia="Arial" w:hAnsi="Arial"/>
          <w:sz w:val="18"/>
          <w:szCs w:val="18"/>
          <w:color w:val="auto"/>
        </w:rPr>
        <w:t>” means “</w:t>
      </w:r>
      <w:r>
        <w:rPr>
          <w:rFonts w:ascii="Arial" w:cs="Arial" w:eastAsia="Arial" w:hAnsi="Arial"/>
          <w:sz w:val="18"/>
          <w:szCs w:val="18"/>
          <w:u w:val="single" w:color="auto"/>
          <w:color w:val="auto"/>
        </w:rPr>
        <w:t>to and including</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460" w:firstLine="443"/>
        <w:spacing w:after="0" w:line="268" w:lineRule="auto"/>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Section headings herein and in the other Loan Documents are included for convenience of reference only and shall not affect the interpretation of this Agreement or any other Loan Document.</w:t>
      </w:r>
    </w:p>
    <w:p>
      <w:pPr>
        <w:spacing w:after="0" w:line="126" w:lineRule="exact"/>
        <w:rPr>
          <w:sz w:val="20"/>
          <w:szCs w:val="20"/>
          <w:color w:val="auto"/>
        </w:rPr>
      </w:pPr>
    </w:p>
    <w:p>
      <w:pPr>
        <w:jc w:val="both"/>
        <w:ind w:firstLine="913"/>
        <w:spacing w:after="0" w:line="293" w:lineRule="auto"/>
        <w:rPr>
          <w:sz w:val="20"/>
          <w:szCs w:val="20"/>
          <w:color w:val="auto"/>
        </w:rPr>
      </w:pPr>
      <w:r>
        <w:rPr>
          <w:rFonts w:ascii="Arial" w:cs="Arial" w:eastAsia="Arial" w:hAnsi="Arial"/>
          <w:sz w:val="16"/>
          <w:szCs w:val="16"/>
          <w:b w:val="1"/>
          <w:bCs w:val="1"/>
          <w:color w:val="auto"/>
        </w:rPr>
        <w:t xml:space="preserve">1.03 Accounting Terms. </w:t>
      </w:r>
      <w:r>
        <w:rPr>
          <w:rFonts w:ascii="Arial" w:cs="Arial" w:eastAsia="Arial" w:hAnsi="Arial"/>
          <w:sz w:val="16"/>
          <w:szCs w:val="16"/>
          <w:color w:val="auto"/>
        </w:rPr>
        <w:t>(a)</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Generally</w:t>
      </w:r>
      <w:r>
        <w:rPr>
          <w:rFonts w:ascii="Arial" w:cs="Arial" w:eastAsia="Arial" w:hAnsi="Arial"/>
          <w:sz w:val="16"/>
          <w:szCs w:val="16"/>
          <w:color w:val="auto"/>
        </w:rPr>
        <w:t>. All accounting terms not specifically or completely defined herein shall be construed in conformity with,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as otherwise specifically prescribed herein. Notwithstanding the foregoing, for purposes of determining compliance with any covenant (including the computation of any financial covenant) contained herein, Indebtedness of the Borrower and its Subsidiaries shall be deemed to be carried at 100% of the outstanding principal amount thereof, and the effects of FASB ASC 825 and FASB ASC 470-20 on financial liabilities shall be disregarded.</w:t>
      </w:r>
    </w:p>
    <w:p>
      <w:pPr>
        <w:spacing w:after="0" w:line="117" w:lineRule="exact"/>
        <w:rPr>
          <w:sz w:val="20"/>
          <w:szCs w:val="20"/>
          <w:color w:val="auto"/>
        </w:rPr>
      </w:pPr>
    </w:p>
    <w:p>
      <w:pPr>
        <w:jc w:val="both"/>
        <w:ind w:firstLine="921"/>
        <w:spacing w:after="0" w:line="291" w:lineRule="auto"/>
        <w:tabs>
          <w:tab w:leader="none" w:pos="1161" w:val="left"/>
        </w:tabs>
        <w:numPr>
          <w:ilvl w:val="1"/>
          <w:numId w:val="42"/>
        </w:numPr>
        <w:rPr>
          <w:rFonts w:ascii="Arial" w:cs="Arial" w:eastAsia="Arial" w:hAnsi="Arial"/>
          <w:sz w:val="16"/>
          <w:szCs w:val="16"/>
          <w:color w:val="auto"/>
        </w:rPr>
      </w:pPr>
      <w:r>
        <w:rPr>
          <w:rFonts w:ascii="Arial" w:cs="Arial" w:eastAsia="Arial" w:hAnsi="Arial"/>
          <w:sz w:val="16"/>
          <w:szCs w:val="16"/>
          <w:u w:val="single" w:color="auto"/>
          <w:color w:val="auto"/>
        </w:rPr>
        <w:t>Changes in GAAP</w:t>
      </w:r>
      <w:r>
        <w:rPr>
          <w:rFonts w:ascii="Arial" w:cs="Arial" w:eastAsia="Arial" w:hAnsi="Arial"/>
          <w:sz w:val="16"/>
          <w:szCs w:val="16"/>
          <w:color w:val="auto"/>
        </w:rPr>
        <w:t xml:space="preserve">. If at any time any change in GAAP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20" w:lineRule="exact"/>
        <w:rPr>
          <w:rFonts w:ascii="Arial" w:cs="Arial" w:eastAsia="Arial" w:hAnsi="Arial"/>
          <w:sz w:val="16"/>
          <w:szCs w:val="16"/>
          <w:color w:val="auto"/>
        </w:rPr>
      </w:pPr>
    </w:p>
    <w:p>
      <w:pPr>
        <w:jc w:val="both"/>
        <w:ind w:firstLine="921"/>
        <w:spacing w:after="0" w:line="259" w:lineRule="auto"/>
        <w:tabs>
          <w:tab w:leader="none" w:pos="1192"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Pro Forma Calculations</w:t>
      </w:r>
      <w:r>
        <w:rPr>
          <w:rFonts w:ascii="Arial" w:cs="Arial" w:eastAsia="Arial" w:hAnsi="Arial"/>
          <w:sz w:val="18"/>
          <w:szCs w:val="18"/>
          <w:color w:val="auto"/>
        </w:rPr>
        <w:t>. Notwithstanding anything herein to the contrary, any calculation of the Consolidated Total Leverage Ratio and Consolidated Fixed Charge Coverage Ratio for any Reference Period during which an Acquisition or Disposition shall have occurred shall each be made on a Pro Forma Basis for purposes of making the following determinations:</w:t>
      </w:r>
    </w:p>
    <w:p>
      <w:pPr>
        <w:spacing w:after="0" w:line="59" w:lineRule="exact"/>
        <w:rPr>
          <w:rFonts w:ascii="Arial" w:cs="Arial" w:eastAsia="Arial" w:hAnsi="Arial"/>
          <w:sz w:val="18"/>
          <w:szCs w:val="18"/>
          <w:color w:val="auto"/>
        </w:rPr>
      </w:pPr>
    </w:p>
    <w:p>
      <w:pPr>
        <w:ind w:left="1120" w:hanging="217"/>
        <w:spacing w:after="0"/>
        <w:tabs>
          <w:tab w:leader="none" w:pos="11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determining the applicable pricing level under the definition of “Applicable Rate”;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78" w:name="page79"/>
    <w:bookmarkEnd w:id="78"/>
    <w:p>
      <w:pPr>
        <w:ind w:left="460" w:firstLine="443"/>
        <w:spacing w:after="0" w:line="332" w:lineRule="auto"/>
        <w:tabs>
          <w:tab w:leader="none" w:pos="1162" w:val="left"/>
        </w:tabs>
        <w:numPr>
          <w:ilvl w:val="0"/>
          <w:numId w:val="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determining compliance with the Consolidated Total Leverage Ratio and the Consolidated Fixed Charge Coverage Ratio (other than whether the conditions precedent for a proposed transaction have been satisfied as contemplated by subsection (iii) of this </w:t>
      </w:r>
      <w:r>
        <w:rPr>
          <w:rFonts w:ascii="Arial" w:cs="Arial" w:eastAsia="Arial" w:hAnsi="Arial"/>
          <w:sz w:val="16"/>
          <w:szCs w:val="16"/>
          <w:u w:val="single" w:color="auto"/>
          <w:color w:val="auto"/>
        </w:rPr>
        <w:t>Section 1.03(c)</w:t>
      </w:r>
      <w:r>
        <w:rPr>
          <w:rFonts w:ascii="Arial" w:cs="Arial" w:eastAsia="Arial" w:hAnsi="Arial"/>
          <w:sz w:val="16"/>
          <w:szCs w:val="16"/>
          <w:color w:val="auto"/>
        </w:rPr>
        <w:t>); and</w:t>
      </w:r>
    </w:p>
    <w:p>
      <w:pPr>
        <w:spacing w:after="0" w:line="4" w:lineRule="exact"/>
        <w:rPr>
          <w:rFonts w:ascii="Arial" w:cs="Arial" w:eastAsia="Arial" w:hAnsi="Arial"/>
          <w:sz w:val="16"/>
          <w:szCs w:val="16"/>
          <w:color w:val="auto"/>
        </w:rPr>
      </w:pPr>
    </w:p>
    <w:p>
      <w:pPr>
        <w:jc w:val="both"/>
        <w:ind w:left="460" w:firstLine="443"/>
        <w:spacing w:after="0" w:line="259" w:lineRule="auto"/>
        <w:tabs>
          <w:tab w:leader="none" w:pos="1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determining whether the conditions precedent have been satisfied for a proposed transaction which is permitted hereunder only so long as no Event of Default will result from the consummation thereof, including, without limitation, any Disposition or any Investment which results in an Acquisition.</w:t>
      </w:r>
    </w:p>
    <w:p>
      <w:pPr>
        <w:spacing w:after="0" w:line="140" w:lineRule="exact"/>
        <w:rPr>
          <w:sz w:val="20"/>
          <w:szCs w:val="20"/>
          <w:color w:val="auto"/>
        </w:rPr>
      </w:pPr>
    </w:p>
    <w:p>
      <w:pPr>
        <w:jc w:val="both"/>
        <w:ind w:firstLine="921"/>
        <w:spacing w:after="0" w:line="256" w:lineRule="auto"/>
        <w:tabs>
          <w:tab w:leader="none" w:pos="1161"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Consolidation of Variable Interest Entities</w:t>
      </w:r>
      <w:r>
        <w:rPr>
          <w:rFonts w:ascii="Arial" w:cs="Arial" w:eastAsia="Arial" w:hAnsi="Arial"/>
          <w:sz w:val="18"/>
          <w:szCs w:val="18"/>
          <w:color w:val="auto"/>
        </w:rPr>
        <w:t>. All references herein to consolidated financial statements of the Borrower and its Subsidiaries or to the determination of any amount for the Borrower and its Subsidiaries on a consolidated basis or any similar reference shall, in each case, be deemed to include each variable interest entity that the Borrower is required to consolidate pursuant to FASB ASC 810 as if such variable interest entity were a Subsidiary as defined herein.</w:t>
      </w:r>
    </w:p>
    <w:p>
      <w:pPr>
        <w:spacing w:after="0" w:line="137" w:lineRule="exact"/>
        <w:rPr>
          <w:sz w:val="20"/>
          <w:szCs w:val="20"/>
          <w:color w:val="auto"/>
        </w:rPr>
      </w:pPr>
    </w:p>
    <w:p>
      <w:pPr>
        <w:jc w:val="both"/>
        <w:ind w:firstLine="913"/>
        <w:spacing w:after="0" w:line="262" w:lineRule="auto"/>
        <w:rPr>
          <w:sz w:val="20"/>
          <w:szCs w:val="20"/>
          <w:color w:val="auto"/>
        </w:rPr>
      </w:pPr>
      <w:r>
        <w:rPr>
          <w:rFonts w:ascii="Arial" w:cs="Arial" w:eastAsia="Arial" w:hAnsi="Arial"/>
          <w:sz w:val="18"/>
          <w:szCs w:val="18"/>
          <w:b w:val="1"/>
          <w:bCs w:val="1"/>
          <w:color w:val="auto"/>
        </w:rPr>
        <w:t xml:space="preserve">1.04 Rounding. </w:t>
      </w:r>
      <w:r>
        <w:rPr>
          <w:rFonts w:ascii="Arial" w:cs="Arial" w:eastAsia="Arial" w:hAnsi="Arial"/>
          <w:sz w:val="18"/>
          <w:szCs w:val="18"/>
          <w:color w:val="auto"/>
        </w:rPr>
        <w:t>Any financial ratios required to be maintained by the Borrower pursuant to this Agreement shall be calculated by dividing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1.05 Times of Day. </w:t>
      </w:r>
      <w:r>
        <w:rPr>
          <w:rFonts w:ascii="Arial" w:cs="Arial" w:eastAsia="Arial" w:hAnsi="Arial"/>
          <w:sz w:val="16"/>
          <w:szCs w:val="16"/>
          <w:color w:val="auto"/>
        </w:rPr>
        <w:t>Unless otherwise specified, all references herein to times of day shall be references to Eastern time (daylight or standard, as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applicable).</w:t>
      </w:r>
    </w:p>
    <w:p>
      <w:pPr>
        <w:spacing w:after="0" w:line="159" w:lineRule="exact"/>
        <w:rPr>
          <w:sz w:val="20"/>
          <w:szCs w:val="20"/>
          <w:color w:val="auto"/>
        </w:rPr>
      </w:pPr>
    </w:p>
    <w:p>
      <w:pPr>
        <w:jc w:val="both"/>
        <w:ind w:firstLine="913"/>
        <w:spacing w:after="0" w:line="326" w:lineRule="auto"/>
        <w:rPr>
          <w:sz w:val="20"/>
          <w:szCs w:val="20"/>
          <w:color w:val="auto"/>
        </w:rPr>
      </w:pPr>
      <w:r>
        <w:rPr>
          <w:rFonts w:ascii="Arial" w:cs="Arial" w:eastAsia="Arial" w:hAnsi="Arial"/>
          <w:sz w:val="15"/>
          <w:szCs w:val="15"/>
          <w:b w:val="1"/>
          <w:bCs w:val="1"/>
          <w:color w:val="auto"/>
        </w:rPr>
        <w:t xml:space="preserve">1.06 Letter of Credit Amounts. </w:t>
      </w:r>
      <w:r>
        <w:rPr>
          <w:rFonts w:ascii="Arial" w:cs="Arial" w:eastAsia="Arial" w:hAnsi="Arial"/>
          <w:sz w:val="15"/>
          <w:szCs w:val="15"/>
          <w:color w:val="auto"/>
        </w:rPr>
        <w:t>Unless otherwise specified herein, the amount of a Letter of Credit at any time shall be deemed to be the stated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amount of such Letter of Credit in effect at such time;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8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1.07 Amendment and Restatement. </w:t>
      </w:r>
      <w:r>
        <w:rPr>
          <w:rFonts w:ascii="Arial" w:cs="Arial" w:eastAsia="Arial" w:hAnsi="Arial"/>
          <w:sz w:val="18"/>
          <w:szCs w:val="18"/>
          <w:color w:val="auto"/>
        </w:rPr>
        <w:t>In order to facilitate the Amendment and Restatement:</w:t>
      </w:r>
    </w:p>
    <w:p>
      <w:pPr>
        <w:spacing w:after="0" w:line="177" w:lineRule="exact"/>
        <w:rPr>
          <w:sz w:val="20"/>
          <w:szCs w:val="20"/>
          <w:color w:val="auto"/>
        </w:rPr>
      </w:pPr>
    </w:p>
    <w:p>
      <w:pPr>
        <w:jc w:val="both"/>
        <w:ind w:firstLine="921"/>
        <w:spacing w:after="0" w:line="256" w:lineRule="auto"/>
        <w:tabs>
          <w:tab w:leader="none" w:pos="1165"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Existing Credit Agreement Superseded</w:t>
      </w:r>
      <w:r>
        <w:rPr>
          <w:rFonts w:ascii="Arial" w:cs="Arial" w:eastAsia="Arial" w:hAnsi="Arial"/>
          <w:sz w:val="18"/>
          <w:szCs w:val="18"/>
          <w:color w:val="auto"/>
        </w:rPr>
        <w:t>. Each of the Borrower and each other Loan Party, the Administrative Agent, the L/C Issuer and the Lenders hereby agree that upon the effectiveness of this Agreement, the terms and provisions of the Existing Credit Agreement shall be and hereby are amended and restated in their entirety by the terms, conditions and provisions of this Agreement, and the terms and provisions of the Existing Credit Agreement, shall be superseded by this Agreement.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79" w:name="page80"/>
    <w:bookmarkEnd w:id="79"/>
    <w:p>
      <w:pPr>
        <w:jc w:val="both"/>
        <w:ind w:firstLine="921"/>
        <w:spacing w:after="0" w:line="290" w:lineRule="auto"/>
        <w:tabs>
          <w:tab w:leader="none" w:pos="1161"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Continuing Obligations</w:t>
      </w:r>
      <w:r>
        <w:rPr>
          <w:rFonts w:ascii="Arial" w:cs="Arial" w:eastAsia="Arial" w:hAnsi="Arial"/>
          <w:sz w:val="16"/>
          <w:szCs w:val="16"/>
          <w:color w:val="auto"/>
        </w:rPr>
        <w:t>. All of the “Obligations” (as defined in the Existing Credit Agreement, the “</w:t>
      </w:r>
      <w:r>
        <w:rPr>
          <w:rFonts w:ascii="Arial" w:cs="Arial" w:eastAsia="Arial" w:hAnsi="Arial"/>
          <w:sz w:val="16"/>
          <w:szCs w:val="16"/>
          <w:u w:val="single" w:color="auto"/>
          <w:color w:val="auto"/>
        </w:rPr>
        <w:t>Existing Obligations</w:t>
      </w:r>
      <w:r>
        <w:rPr>
          <w:rFonts w:ascii="Arial" w:cs="Arial" w:eastAsia="Arial" w:hAnsi="Arial"/>
          <w:sz w:val="16"/>
          <w:szCs w:val="16"/>
          <w:color w:val="auto"/>
        </w:rPr>
        <w:t>”) outstanding under the Existing Credit Agreement and other “Loan Documents” (as defined in the Existing Credit Agreement, the “</w:t>
      </w:r>
      <w:r>
        <w:rPr>
          <w:rFonts w:ascii="Arial" w:cs="Arial" w:eastAsia="Arial" w:hAnsi="Arial"/>
          <w:sz w:val="16"/>
          <w:szCs w:val="16"/>
          <w:u w:val="single" w:color="auto"/>
          <w:color w:val="auto"/>
        </w:rPr>
        <w:t>Existing Loan Documents</w:t>
      </w:r>
      <w:r>
        <w:rPr>
          <w:rFonts w:ascii="Arial" w:cs="Arial" w:eastAsia="Arial" w:hAnsi="Arial"/>
          <w:sz w:val="16"/>
          <w:szCs w:val="16"/>
          <w:color w:val="auto"/>
        </w:rPr>
        <w:t>”) shall continue as Obligations hereunder to the extent not repaid on the Closing Date, and each of this Agreement and any other Loan Document (as defined herein) that is amended and restated in connection with this Agreement is given as a substitution of and modification of, and not as a payment of or novation of, the indebtedness, liabilities and Existing Obligations of the Borrower under the Existing Credit Agreement or any Existing Loan Document, and neither the execution and delivery of such documents nor the consummation of any other transaction contemplated hereunder is intended to constitute a novation of the Existing Credit Agreement or of any of the other Existing Loan Documents or any obligations thereunder.</w:t>
      </w:r>
    </w:p>
    <w:p>
      <w:pPr>
        <w:spacing w:after="0" w:line="118" w:lineRule="exact"/>
        <w:rPr>
          <w:rFonts w:ascii="Arial" w:cs="Arial" w:eastAsia="Arial" w:hAnsi="Arial"/>
          <w:sz w:val="16"/>
          <w:szCs w:val="16"/>
          <w:color w:val="auto"/>
        </w:rPr>
      </w:pPr>
    </w:p>
    <w:p>
      <w:pPr>
        <w:jc w:val="both"/>
        <w:ind w:firstLine="921"/>
        <w:spacing w:after="0" w:line="286" w:lineRule="auto"/>
        <w:tabs>
          <w:tab w:leader="none" w:pos="1152"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Reallocation of Commitments</w:t>
      </w:r>
      <w:r>
        <w:rPr>
          <w:rFonts w:ascii="Arial" w:cs="Arial" w:eastAsia="Arial" w:hAnsi="Arial"/>
          <w:sz w:val="16"/>
          <w:szCs w:val="16"/>
          <w:color w:val="auto"/>
        </w:rPr>
        <w:t xml:space="preserve">. Upon the effectiveness of this Agreement, all outstanding “Loans” given by the Lenders under and as defined in the Existing Credit Agreement owing by the Borrower under the Existing Credit Agreement shall be deemed to be Loans hereunder. The parties hereto acknowledge and agree that, notwithstanding the provisions regarding assignments set forth in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hereof, as of the Closing Date, (i) the Commitments and Applicable Percentages for each of the Lenders are as set forth on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and (ii) each Lender that is party to the Existing Credit Agreement whose loan commitments under the Existing Credit Agreement is greater than its Commitments hereunder shall be deemed to have assigned, without recourse, to one or more Lenders such portion of the such decreasing Lender’s existing loans and commitments under the Existing Credit Agreement as shall be necessary to effectuate the reallocation of commitments and existing loans contemplated hereby. Notwithstanding anything to the contrary in the Existing Credit Agreement or this Agreement, no other documents or instruments, including any Assignment and Assumption, shall be executed in connection with such assignments (all of which requirements are hereby waived), and such assignments shall be deemed to be made with all applicable representations, warranties and covenants as if evidenced by an Assignment and Assumption. On the Closing Date, the Lenders shall make full cash settlement with each other through the Administrative Agent with respect to all assignments, reallocations and other changes in commitments contemplated hereby such that after giving effect to such settlements each Lender’s Applicable Percentage with respect to the Facility shall be as set forth on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re-allocations and deemed assignments shall not give rise to, and each Lender hereby waives, payment of any additional amounts under </w:t>
      </w:r>
      <w:r>
        <w:rPr>
          <w:rFonts w:ascii="Arial" w:cs="Arial" w:eastAsia="Arial" w:hAnsi="Arial"/>
          <w:sz w:val="16"/>
          <w:szCs w:val="16"/>
          <w:u w:val="single" w:color="auto"/>
          <w:color w:val="auto"/>
        </w:rPr>
        <w:t>Section 3.05</w:t>
      </w:r>
      <w:r>
        <w:rPr>
          <w:rFonts w:ascii="Arial" w:cs="Arial" w:eastAsia="Arial" w:hAnsi="Arial"/>
          <w:sz w:val="16"/>
          <w:szCs w:val="16"/>
          <w:color w:val="auto"/>
        </w:rPr>
        <w:t>.</w:t>
      </w:r>
    </w:p>
    <w:p>
      <w:pPr>
        <w:spacing w:after="0" w:line="120" w:lineRule="exact"/>
        <w:rPr>
          <w:rFonts w:ascii="Arial" w:cs="Arial" w:eastAsia="Arial" w:hAnsi="Arial"/>
          <w:sz w:val="16"/>
          <w:szCs w:val="16"/>
          <w:color w:val="auto"/>
        </w:rPr>
      </w:pPr>
    </w:p>
    <w:p>
      <w:pPr>
        <w:jc w:val="both"/>
        <w:ind w:firstLine="921"/>
        <w:spacing w:after="0" w:line="255" w:lineRule="auto"/>
        <w:tabs>
          <w:tab w:leader="none" w:pos="1161"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Existing Notes</w:t>
      </w:r>
      <w:r>
        <w:rPr>
          <w:rFonts w:ascii="Arial" w:cs="Arial" w:eastAsia="Arial" w:hAnsi="Arial"/>
          <w:sz w:val="18"/>
          <w:szCs w:val="18"/>
          <w:color w:val="auto"/>
        </w:rPr>
        <w:t xml:space="preserve">. Upon the effectiveness of this Agreement, (i) all “Term Notes” and all “Revolving Credit Notes” as defined in and issued under the Existing Credit Agreement shall be superseded and replaced by the Notes hereunder and such Term Notes and Revolving Credit Notes shall be deemed cancelled and of no further force and effect, regardless of whether such notes were returned to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that Lenders that were “Lenders” under the Existing Credit Agreement will use commercially reasonable efforts to locate and return to Borrower for cancellation all original “Term Notes” and all “Revolving Credit Notes” issued under the Existing Credit Agreement.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COMMITMENTS AND CREDIT EXTENSIONS</w:t>
      </w:r>
    </w:p>
    <w:p>
      <w:pPr>
        <w:spacing w:after="0" w:line="15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2.01 Loans.</w:t>
      </w:r>
    </w:p>
    <w:p>
      <w:pPr>
        <w:spacing w:after="0" w:line="96" w:lineRule="exact"/>
        <w:rPr>
          <w:sz w:val="20"/>
          <w:szCs w:val="20"/>
          <w:color w:val="auto"/>
        </w:rPr>
      </w:pPr>
    </w:p>
    <w:p>
      <w:pPr>
        <w:ind w:left="1160" w:hanging="239"/>
        <w:spacing w:after="0"/>
        <w:tabs>
          <w:tab w:leader="none" w:pos="11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71" w:lineRule="exact"/>
        <w:rPr>
          <w:rFonts w:ascii="Arial" w:cs="Arial" w:eastAsia="Arial" w:hAnsi="Arial"/>
          <w:sz w:val="18"/>
          <w:szCs w:val="18"/>
          <w:color w:val="auto"/>
        </w:rPr>
      </w:pPr>
    </w:p>
    <w:p>
      <w:pPr>
        <w:jc w:val="both"/>
        <w:ind w:firstLine="921"/>
        <w:spacing w:after="0" w:line="284" w:lineRule="auto"/>
        <w:tabs>
          <w:tab w:leader="none" w:pos="1161" w:val="left"/>
        </w:tabs>
        <w:numPr>
          <w:ilvl w:val="1"/>
          <w:numId w:val="48"/>
        </w:numPr>
        <w:rPr>
          <w:rFonts w:ascii="Arial" w:cs="Arial" w:eastAsia="Arial" w:hAnsi="Arial"/>
          <w:sz w:val="16"/>
          <w:szCs w:val="16"/>
          <w:color w:val="auto"/>
        </w:rPr>
      </w:pPr>
      <w:r>
        <w:rPr>
          <w:rFonts w:ascii="Arial" w:cs="Arial" w:eastAsia="Arial" w:hAnsi="Arial"/>
          <w:sz w:val="16"/>
          <w:szCs w:val="16"/>
          <w:u w:val="single" w:color="auto"/>
          <w:color w:val="auto"/>
        </w:rPr>
        <w:t>Revolving Credit Borrowings</w:t>
      </w:r>
      <w:r>
        <w:rPr>
          <w:rFonts w:ascii="Arial" w:cs="Arial" w:eastAsia="Arial" w:hAnsi="Arial"/>
          <w:sz w:val="16"/>
          <w:szCs w:val="16"/>
          <w:color w:val="auto"/>
        </w:rPr>
        <w:t>. Subject to the terms and conditions set forth herein, each Revolving Credit Lender severally agrees to make loans (each such loan, a “</w:t>
      </w:r>
      <w:r>
        <w:rPr>
          <w:rFonts w:ascii="Arial" w:cs="Arial" w:eastAsia="Arial" w:hAnsi="Arial"/>
          <w:sz w:val="16"/>
          <w:szCs w:val="16"/>
          <w:u w:val="single" w:color="auto"/>
          <w:color w:val="auto"/>
        </w:rPr>
        <w:t>Revolving Credit Loan</w:t>
      </w:r>
      <w:r>
        <w:rPr>
          <w:rFonts w:ascii="Arial" w:cs="Arial" w:eastAsia="Arial" w:hAnsi="Arial"/>
          <w:sz w:val="16"/>
          <w:szCs w:val="16"/>
          <w:color w:val="auto"/>
        </w:rPr>
        <w:t xml:space="preserve">”) to the Borrower from time to time, on any Business Day during the Availability Period, in an aggregate amount not to exceed at any time outstanding the amount of such Lender’s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after giving effect to any Revolving Credit Borrowing,</w:t>
      </w:r>
    </w:p>
    <w:p>
      <w:pPr>
        <w:spacing w:after="0" w:line="1" w:lineRule="exact"/>
        <w:rPr>
          <w:rFonts w:ascii="Arial" w:cs="Arial" w:eastAsia="Arial" w:hAnsi="Arial"/>
          <w:sz w:val="16"/>
          <w:szCs w:val="16"/>
          <w:color w:val="auto"/>
        </w:rPr>
      </w:pPr>
    </w:p>
    <w:p>
      <w:pPr>
        <w:jc w:val="both"/>
        <w:ind w:firstLine="8"/>
        <w:spacing w:after="0" w:line="292" w:lineRule="auto"/>
        <w:tabs>
          <w:tab w:leader="none" w:pos="230"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the Total Outstandings shall not exceed the Facility, and (ii) subject to </w:t>
      </w:r>
      <w:r>
        <w:rPr>
          <w:rFonts w:ascii="Arial" w:cs="Arial" w:eastAsia="Arial" w:hAnsi="Arial"/>
          <w:sz w:val="16"/>
          <w:szCs w:val="16"/>
          <w:u w:val="single" w:color="auto"/>
          <w:color w:val="auto"/>
        </w:rPr>
        <w:t>Section 2.04(a)</w:t>
      </w:r>
      <w:r>
        <w:rPr>
          <w:rFonts w:ascii="Arial" w:cs="Arial" w:eastAsia="Arial" w:hAnsi="Arial"/>
          <w:sz w:val="16"/>
          <w:szCs w:val="16"/>
          <w:color w:val="auto"/>
        </w:rPr>
        <w:t xml:space="preserve"> with respect to the Swing Line Lender, the aggregate Outstanding Amount of the Revolving Credit Loans of any Lender,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Revolving Credit Lender’s Applicable Revolving Credit Percentage of the Outstanding Amount of all L/C Obligations,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Revolving Credit Lender’s Applicable Revolving Credit Percentage of the Outstanding Amount of all Swing Line Loans shall not exceed such Revolving Credit Lender’s Commitment. Within the limits of each Revolving Credit Lender’s Commitment, and subject to the other terms and conditions hereof, the Borrower may borrow under this </w:t>
      </w:r>
      <w:r>
        <w:rPr>
          <w:rFonts w:ascii="Arial" w:cs="Arial" w:eastAsia="Arial" w:hAnsi="Arial"/>
          <w:sz w:val="16"/>
          <w:szCs w:val="16"/>
          <w:u w:val="single" w:color="auto"/>
          <w:color w:val="auto"/>
        </w:rPr>
        <w:t>Section 2.01(b)</w:t>
      </w:r>
      <w:r>
        <w:rPr>
          <w:rFonts w:ascii="Arial" w:cs="Arial" w:eastAsia="Arial" w:hAnsi="Arial"/>
          <w:sz w:val="16"/>
          <w:szCs w:val="16"/>
          <w:color w:val="auto"/>
        </w:rPr>
        <w:t xml:space="preserve">, prepay under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and reborrow under this </w:t>
      </w:r>
      <w:r>
        <w:rPr>
          <w:rFonts w:ascii="Arial" w:cs="Arial" w:eastAsia="Arial" w:hAnsi="Arial"/>
          <w:sz w:val="16"/>
          <w:szCs w:val="16"/>
          <w:u w:val="single" w:color="auto"/>
          <w:color w:val="auto"/>
        </w:rPr>
        <w:t>Section 2.01(b)</w:t>
      </w:r>
      <w:r>
        <w:rPr>
          <w:rFonts w:ascii="Arial" w:cs="Arial" w:eastAsia="Arial" w:hAnsi="Arial"/>
          <w:sz w:val="16"/>
          <w:szCs w:val="16"/>
          <w:color w:val="auto"/>
        </w:rPr>
        <w:t>.</w:t>
      </w:r>
    </w:p>
    <w:p>
      <w:pPr>
        <w:spacing w:after="0" w:line="116" w:lineRule="exact"/>
        <w:rPr>
          <w:rFonts w:ascii="Arial" w:cs="Arial" w:eastAsia="Arial" w:hAnsi="Arial"/>
          <w:sz w:val="16"/>
          <w:szCs w:val="16"/>
          <w:color w:val="auto"/>
        </w:rPr>
      </w:pPr>
    </w:p>
    <w:p>
      <w:pPr>
        <w:ind w:left="1160" w:hanging="239"/>
        <w:spacing w:after="0"/>
        <w:tabs>
          <w:tab w:leader="none" w:pos="11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Loans may be Base Rate Loans or Eurodollar Rate Loans, as further provided herein.</w:t>
      </w:r>
    </w:p>
    <w:p>
      <w:pPr>
        <w:spacing w:after="0" w:line="165" w:lineRule="exact"/>
        <w:rPr>
          <w:sz w:val="20"/>
          <w:szCs w:val="20"/>
          <w:color w:val="auto"/>
        </w:rPr>
      </w:pPr>
    </w:p>
    <w:p>
      <w:pPr>
        <w:jc w:val="both"/>
        <w:ind w:firstLine="913"/>
        <w:spacing w:after="0" w:line="286" w:lineRule="auto"/>
        <w:rPr>
          <w:sz w:val="20"/>
          <w:szCs w:val="20"/>
          <w:color w:val="auto"/>
        </w:rPr>
      </w:pPr>
      <w:r>
        <w:rPr>
          <w:rFonts w:ascii="Arial" w:cs="Arial" w:eastAsia="Arial" w:hAnsi="Arial"/>
          <w:sz w:val="16"/>
          <w:szCs w:val="16"/>
          <w:b w:val="1"/>
          <w:bCs w:val="1"/>
          <w:color w:val="auto"/>
        </w:rPr>
        <w:t xml:space="preserve">2.02 Borrowings, Conversions and Continuations of Loans. </w:t>
      </w:r>
      <w:r>
        <w:rPr>
          <w:rFonts w:ascii="Arial" w:cs="Arial" w:eastAsia="Arial" w:hAnsi="Arial"/>
          <w:sz w:val="16"/>
          <w:szCs w:val="16"/>
          <w:color w:val="auto"/>
        </w:rPr>
        <w:t>(a) Each Borrowing, each conversion of Loans from one Type to the other, and each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continuation of Eurodollar Rate Loans shall be made upon the Borrower’s irrevocable notice to the Administrative Agent, which may be given by telephone. Each such notice must be received by the Administrative Agent not later than 11:00 a.m. (i) three Business Days prior to the requested date of any Borrowing of, conversion to, or continuation of, Eurodollar Rate Loans or of any conversion of Eurodollar Rate Loans to Base Rate Loans, and (ii) on the requested date of any Borrowing of Base Rate Loans. Each telephonic notice by the Borrower pursuant to this </w:t>
      </w:r>
      <w:r>
        <w:rPr>
          <w:rFonts w:ascii="Arial" w:cs="Arial" w:eastAsia="Arial" w:hAnsi="Arial"/>
          <w:sz w:val="16"/>
          <w:szCs w:val="16"/>
          <w:u w:val="single" w:color="auto"/>
          <w:color w:val="auto"/>
        </w:rPr>
        <w:t>Section 2.02(a)</w:t>
      </w:r>
      <w:r>
        <w:rPr>
          <w:rFonts w:ascii="Arial" w:cs="Arial" w:eastAsia="Arial" w:hAnsi="Arial"/>
          <w:sz w:val="16"/>
          <w:szCs w:val="16"/>
          <w:color w:val="auto"/>
        </w:rPr>
        <w:t xml:space="preserve"> must be confirmed promptly by delivery to the Administrative Agent of a written Loan Notice, appropriately completed and signed by a Responsible Officer of the Borrower. Each Borrowing of, conversion to, or continuation of, Eurodollar Rate Loans shall be in a principal amount of $5,000,000 or a whole multiple of $1,000,000 in excess thereof. Except as provided in </w:t>
      </w:r>
      <w:r>
        <w:rPr>
          <w:rFonts w:ascii="Arial" w:cs="Arial" w:eastAsia="Arial" w:hAnsi="Arial"/>
          <w:sz w:val="16"/>
          <w:szCs w:val="16"/>
          <w:u w:val="single" w:color="auto"/>
          <w:color w:val="auto"/>
        </w:rPr>
        <w:t>Sections 2.03(c)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2.04(c)</w:t>
      </w:r>
      <w:r>
        <w:rPr>
          <w:rFonts w:ascii="Arial" w:cs="Arial" w:eastAsia="Arial" w:hAnsi="Arial"/>
          <w:sz w:val="16"/>
          <w:szCs w:val="16"/>
          <w:color w:val="auto"/>
        </w:rPr>
        <w:t>, each Borrowing of or conversion to Base Rate Loans shall be in a principal amount of $1,000,000 or a whole multiple of $500,000 in excess thereof. Each Loan Notice (whether telephonic or written) shall specify (i) whether the Borrower is requesting a Borrowing, a conversion of Loans from one Type to the other, or a continuation of Eurodollar Rate Loans, as the case may be, (ii) the requested date of the Borrowing, conversion or continuation, as the case may be (which shall be a Business Day), (iii) the principal amount of Loans to be borrowed, converted or continued, as applicable (iv) the Type of Loans to be borrowed or to which existing Loans are to be converted or continued, and (v) if applicable, the duration of the Interest Period with respect thereto. If the Borrower fails to specify a Type of Loan in a Loan Notice or if the Borrower fails to give a timely notice requesting a conversion or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4" w:right="239" w:bottom="1440" w:gutter="0" w:footer="0" w:header="0"/>
        </w:sectPr>
      </w:pPr>
    </w:p>
    <w:bookmarkStart w:id="81" w:name="page82"/>
    <w:bookmarkEnd w:id="81"/>
    <w:p>
      <w:pPr>
        <w:jc w:val="both"/>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continuation, then the applicable Loans shall be made as, or converted to, Base Rate Loans. Any such automatic conversion to Base Rate Loans shall be effective as of the last day of the Interest Period then in effect with respect to the applicable Eurodollar Rate Loans. If the Borrower requests a Borrowing of, conversion to, or continuation of, Eurodollar Rate Loans in any such Loan Notice, but fails to specify an Interest Period, the Borrower will be deemed to have specified an Interest Period of one month. Notwithstanding anything to the contrary herein, a Swing Line Loan may not be made as or converted to a Eurodollar Rate Loan.</w:t>
      </w:r>
    </w:p>
    <w:p>
      <w:pPr>
        <w:spacing w:after="0" w:line="98" w:lineRule="exact"/>
        <w:rPr>
          <w:sz w:val="20"/>
          <w:szCs w:val="20"/>
          <w:color w:val="auto"/>
        </w:rPr>
      </w:pPr>
    </w:p>
    <w:p>
      <w:pPr>
        <w:jc w:val="both"/>
        <w:ind w:firstLine="921"/>
        <w:spacing w:after="0" w:line="286" w:lineRule="auto"/>
        <w:tabs>
          <w:tab w:leader="none" w:pos="1171"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Following receipt of a Loan Notice for a Facility, the Administrative Agent shall promptly notify each Appropriate Lender of the amount of its Applicable Percentage of the applicable Loans, and if no timely notice of a conversion or continuation is provided by the Borrower, the Administrative Agent shall notify each Appropriate Lender of the details of any automatic conversion to Base Rate Loans described in </w:t>
      </w:r>
      <w:r>
        <w:rPr>
          <w:rFonts w:ascii="Arial" w:cs="Arial" w:eastAsia="Arial" w:hAnsi="Arial"/>
          <w:sz w:val="16"/>
          <w:szCs w:val="16"/>
          <w:u w:val="single" w:color="auto"/>
          <w:color w:val="auto"/>
        </w:rPr>
        <w:t>Section 2.02(a)</w:t>
      </w:r>
      <w:r>
        <w:rPr>
          <w:rFonts w:ascii="Arial" w:cs="Arial" w:eastAsia="Arial" w:hAnsi="Arial"/>
          <w:sz w:val="16"/>
          <w:szCs w:val="16"/>
          <w:color w:val="auto"/>
        </w:rPr>
        <w:t xml:space="preserve">. In the case of a Borrowing, each Appropriate Lender shall make the amount of its Loan available to the Administrative Agent in immediately available funds at the Administrative Agent’s Office not later than 1:00 p.m. on the Business Day specified in the applicable Loan Notice. Upon satisfaction of the applicable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(and, if such Borrowing is the initial Credit Extension,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the Administrative Agent shall make all funds so received available to the Borrower in like funds as received by the Administrative Agent either by (i) crediting the account of the Borrower on the books of the Administrative Agent with the amount of such funds or (ii) wire transfer of such funds, in each case in accordance with instructions provided to (and reasonably acceptable to) the Administrative Agent by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on the date a Loan Notice with respect to a Revolving Credit Borrowing is given by the Borrower, there are L/C Borrowings outstanding, then the proceeds of such Revolving Credit Borrowing shall be applied,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the payment in full of any such L/C Borrowings, and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shall be made available to the Borrower as provided above.</w:t>
      </w:r>
    </w:p>
    <w:p>
      <w:pPr>
        <w:spacing w:after="0" w:line="127" w:lineRule="exact"/>
        <w:rPr>
          <w:rFonts w:ascii="Arial" w:cs="Arial" w:eastAsia="Arial" w:hAnsi="Arial"/>
          <w:sz w:val="16"/>
          <w:szCs w:val="16"/>
          <w:color w:val="auto"/>
        </w:rPr>
      </w:pPr>
    </w:p>
    <w:p>
      <w:pPr>
        <w:jc w:val="both"/>
        <w:ind w:firstLine="921"/>
        <w:spacing w:after="0" w:line="259" w:lineRule="auto"/>
        <w:tabs>
          <w:tab w:leader="none" w:pos="1161"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Except as otherwise provided herein, a Eurodollar Rate Loan may be continued or converted only on the last day of an Interest Period for such Eurodollar Rate Loan. During the existence of an Event of Default, no Loans may be requested as, converted to, or continued as, Eurodollar Rate Loans without the consent of the Required Lenders.</w:t>
      </w:r>
    </w:p>
    <w:p>
      <w:pPr>
        <w:spacing w:after="0" w:line="140" w:lineRule="exact"/>
        <w:rPr>
          <w:rFonts w:ascii="Arial" w:cs="Arial" w:eastAsia="Arial" w:hAnsi="Arial"/>
          <w:sz w:val="18"/>
          <w:szCs w:val="18"/>
          <w:color w:val="auto"/>
        </w:rPr>
      </w:pPr>
    </w:p>
    <w:p>
      <w:pPr>
        <w:jc w:val="both"/>
        <w:ind w:firstLine="921"/>
        <w:spacing w:after="0" w:line="256" w:lineRule="auto"/>
        <w:tabs>
          <w:tab w:leader="none" w:pos="1166"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Administrative Agent shall promptly notify the Borrower and the applicable Lenders of the interest rate applicable to any Interest Period for Eurodollar Rate Loans upon determination of such interest rate. At any time that Base Rate Loans are outstanding, the Administrative Agent shall notify the Borrower and the Lenders of any change in Bank of America’s prime rate used in determining the Base Rate promptly following the public announcement of such change.</w:t>
      </w:r>
    </w:p>
    <w:p>
      <w:pPr>
        <w:spacing w:after="0" w:line="143" w:lineRule="exact"/>
        <w:rPr>
          <w:rFonts w:ascii="Arial" w:cs="Arial" w:eastAsia="Arial" w:hAnsi="Arial"/>
          <w:sz w:val="18"/>
          <w:szCs w:val="18"/>
          <w:color w:val="auto"/>
        </w:rPr>
      </w:pPr>
    </w:p>
    <w:p>
      <w:pPr>
        <w:ind w:firstLine="921"/>
        <w:spacing w:after="0" w:line="332" w:lineRule="auto"/>
        <w:tabs>
          <w:tab w:leader="none" w:pos="1192" w:val="left"/>
        </w:tabs>
        <w:numPr>
          <w:ilvl w:val="0"/>
          <w:numId w:val="50"/>
        </w:numPr>
        <w:rPr>
          <w:rFonts w:ascii="Arial" w:cs="Arial" w:eastAsia="Arial" w:hAnsi="Arial"/>
          <w:sz w:val="16"/>
          <w:szCs w:val="16"/>
          <w:color w:val="auto"/>
        </w:rPr>
      </w:pPr>
      <w:r>
        <w:rPr>
          <w:rFonts w:ascii="Arial" w:cs="Arial" w:eastAsia="Arial" w:hAnsi="Arial"/>
          <w:sz w:val="16"/>
          <w:szCs w:val="16"/>
          <w:color w:val="auto"/>
        </w:rPr>
        <w:t>After giving effect to all Revolving Credit Borrowings, all conversions of Revolving Credit Loans from one Type to the other, and all continuations of Revolving Credit Loans as the same Type, there shall not be more than ten (10) Interest Periods in effect with respect to the Facility at any time.</w:t>
      </w:r>
    </w:p>
    <w:p>
      <w:pPr>
        <w:spacing w:after="0" w:line="79" w:lineRule="exact"/>
        <w:rPr>
          <w:sz w:val="20"/>
          <w:szCs w:val="20"/>
          <w:color w:val="auto"/>
        </w:rPr>
      </w:pPr>
    </w:p>
    <w:p>
      <w:pPr>
        <w:ind w:firstLine="913"/>
        <w:spacing w:after="0" w:line="275" w:lineRule="auto"/>
        <w:rPr>
          <w:sz w:val="20"/>
          <w:szCs w:val="20"/>
          <w:color w:val="auto"/>
        </w:rPr>
      </w:pPr>
      <w:r>
        <w:rPr>
          <w:rFonts w:ascii="Arial" w:cs="Arial" w:eastAsia="Arial" w:hAnsi="Arial"/>
          <w:sz w:val="18"/>
          <w:szCs w:val="18"/>
          <w:b w:val="1"/>
          <w:bCs w:val="1"/>
          <w:color w:val="auto"/>
        </w:rPr>
        <w:t xml:space="preserve">2.03 Letters of Credit. </w:t>
      </w:r>
      <w:r>
        <w:rPr>
          <w:rFonts w:ascii="Arial" w:cs="Arial" w:eastAsia="Arial" w:hAnsi="Arial"/>
          <w:sz w:val="18"/>
          <w:szCs w:val="18"/>
          <w:color w:val="auto"/>
        </w:rPr>
        <w:t>(a)</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The Letter of Credit Commitment</w:t>
      </w:r>
      <w:r>
        <w:rPr>
          <w:rFonts w:ascii="Arial" w:cs="Arial" w:eastAsia="Arial" w:hAnsi="Arial"/>
          <w:sz w:val="18"/>
          <w:szCs w:val="18"/>
          <w:color w:val="auto"/>
        </w:rPr>
        <w:t>. (i) Subject to the terms and conditions set forth herein, (A) the L/C Issuer agrees,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reliance upon the agreements of the Revolving Credit Lenders set forth in this </w:t>
      </w:r>
      <w:r>
        <w:rPr>
          <w:rFonts w:ascii="Arial" w:cs="Arial" w:eastAsia="Arial" w:hAnsi="Arial"/>
          <w:sz w:val="18"/>
          <w:szCs w:val="18"/>
          <w:u w:val="single" w:color="auto"/>
          <w:color w:val="auto"/>
        </w:rPr>
        <w:t>Section 2.03</w:t>
      </w:r>
      <w:r>
        <w:rPr>
          <w:rFonts w:ascii="Arial" w:cs="Arial" w:eastAsia="Arial" w:hAnsi="Arial"/>
          <w:sz w:val="18"/>
          <w:szCs w:val="18"/>
          <w:color w:val="auto"/>
        </w:rPr>
        <w:t>, (1) from time to time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82" w:name="page83"/>
    <w:bookmarkEnd w:id="82"/>
    <w:p>
      <w:pPr>
        <w:jc w:val="both"/>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on any Business Day during the period from the Closing Date until the Letter of Credit Expiration Date, to issue standby Letters of Credit for the account of the Borrower or its Subsidiaries, and to amend or extend Letters of Credit previously issued by it, in accordance with </w:t>
      </w:r>
      <w:r>
        <w:rPr>
          <w:rFonts w:ascii="Arial" w:cs="Arial" w:eastAsia="Arial" w:hAnsi="Arial"/>
          <w:sz w:val="16"/>
          <w:szCs w:val="16"/>
          <w:u w:val="single" w:color="auto"/>
          <w:color w:val="auto"/>
        </w:rPr>
        <w:t>Section 2.03(b)</w:t>
      </w:r>
      <w:r>
        <w:rPr>
          <w:rFonts w:ascii="Arial" w:cs="Arial" w:eastAsia="Arial" w:hAnsi="Arial"/>
          <w:sz w:val="16"/>
          <w:szCs w:val="16"/>
          <w:color w:val="auto"/>
        </w:rPr>
        <w:t xml:space="preserve">, and (2) to honor drawings under the Letters of Credit; and (B) the Revolving Credit Lenders severally agree to participate in Letters of Credit issued for the account of the Borrower or its Subsidiaries and any drawings thereunder; provided that after giving effect to any L/C Credit Extension with respect to any Letter of Credit, (x) the Total Outstandings shall not exceed the Facility, (y) the aggregate Outstanding Amount of the Revolving Credit Loans of any Revolving Credit Lender,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Lender’s Applicable Revolving Credit Percentage of the Outstanding Amount of all L/C Obligations,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Lender’s Applicable Revolving Credit Percentage of the Outstanding Amount of all Swing Line Loans shall not exceed such Lender’s Commitment, and (z) the Outstanding Amount of the L/C Obligations shall not exceed the Letter of Credit Sublimit. Each request by the Borrower for the issuance or amendment of a Letter of Credit shall be deemed to be a representation by the Borrower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w:t>
      </w:r>
    </w:p>
    <w:p>
      <w:pPr>
        <w:spacing w:after="0" w:line="46" w:lineRule="exact"/>
        <w:rPr>
          <w:sz w:val="20"/>
          <w:szCs w:val="20"/>
          <w:color w:val="auto"/>
        </w:rPr>
      </w:pPr>
    </w:p>
    <w:p>
      <w:pPr>
        <w:ind w:left="1160" w:hanging="257"/>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L/C Issuer shall not issue any Letter of Credit, if:</w:t>
      </w:r>
    </w:p>
    <w:p>
      <w:pPr>
        <w:spacing w:after="0" w:line="90" w:lineRule="exact"/>
        <w:rPr>
          <w:rFonts w:ascii="Arial" w:cs="Arial" w:eastAsia="Arial" w:hAnsi="Arial"/>
          <w:sz w:val="18"/>
          <w:szCs w:val="18"/>
          <w:color w:val="auto"/>
        </w:rPr>
      </w:pPr>
    </w:p>
    <w:p>
      <w:pPr>
        <w:ind w:left="920" w:right="20" w:firstLine="421"/>
        <w:spacing w:after="0" w:line="268" w:lineRule="auto"/>
        <w:tabs>
          <w:tab w:leader="none" w:pos="1644" w:val="left"/>
        </w:tabs>
        <w:numPr>
          <w:ilvl w:val="1"/>
          <w:numId w:val="51"/>
        </w:numPr>
        <w:rPr>
          <w:rFonts w:ascii="Arial" w:cs="Arial" w:eastAsia="Arial" w:hAnsi="Arial"/>
          <w:sz w:val="18"/>
          <w:szCs w:val="18"/>
          <w:color w:val="auto"/>
        </w:rPr>
      </w:pPr>
      <w:r>
        <w:rPr>
          <w:rFonts w:ascii="Arial" w:cs="Arial" w:eastAsia="Arial" w:hAnsi="Arial"/>
          <w:sz w:val="18"/>
          <w:szCs w:val="18"/>
          <w:color w:val="auto"/>
        </w:rPr>
        <w:t>subject to Section 2.03(b)(iii), the expiry date of the requested Letter of Credit would occur more than twelve months after the date of issuance or last extension, unless the Required Lenders have approved such expiry date; or</w:t>
      </w:r>
    </w:p>
    <w:p>
      <w:pPr>
        <w:spacing w:after="0" w:line="50" w:lineRule="exact"/>
        <w:rPr>
          <w:rFonts w:ascii="Arial" w:cs="Arial" w:eastAsia="Arial" w:hAnsi="Arial"/>
          <w:sz w:val="18"/>
          <w:szCs w:val="18"/>
          <w:color w:val="auto"/>
        </w:rPr>
      </w:pPr>
    </w:p>
    <w:p>
      <w:pPr>
        <w:ind w:left="920" w:firstLine="421"/>
        <w:spacing w:after="0" w:line="268" w:lineRule="auto"/>
        <w:tabs>
          <w:tab w:leader="none" w:pos="1633"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expiry date of the requested Letter of Credit would occur after the Letter of Credit Expiration Date, unless all the Revolving Credit Lenders have approved such expiry date.</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L/C Issuer shall not be under any obligation to issue any Letter of Credit if:</w:t>
      </w:r>
    </w:p>
    <w:p>
      <w:pPr>
        <w:spacing w:after="0" w:line="90" w:lineRule="exact"/>
        <w:rPr>
          <w:rFonts w:ascii="Arial" w:cs="Arial" w:eastAsia="Arial" w:hAnsi="Arial"/>
          <w:sz w:val="18"/>
          <w:szCs w:val="18"/>
          <w:color w:val="auto"/>
        </w:rPr>
      </w:pPr>
    </w:p>
    <w:p>
      <w:pPr>
        <w:jc w:val="both"/>
        <w:ind w:left="920" w:firstLine="421"/>
        <w:spacing w:after="0" w:line="253" w:lineRule="auto"/>
        <w:tabs>
          <w:tab w:leader="none" w:pos="1639"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order, judgment or decree of any Governmental Authority or arbitrator shall by its terms purport to enjoin or restrain the L/C Issuer from issuing the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the Letter of Credit in particular or shall impose upon the L/C Issuer with respect to the Letter of Credit any restriction, reserve or capital requirement (for which the L/C Issuer is not otherwise compensated hereunder) not in effect on the Closing Date, or shall impose upon the L/C Issuer any unreimbursed loss, cost or expense which was not applicable on the Closing Date and which the L/C Issuer in good faith deems material to it;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0" w:right="239" w:bottom="1440" w:gutter="0" w:footer="0" w:header="0"/>
        </w:sectPr>
      </w:pPr>
    </w:p>
    <w:bookmarkStart w:id="83" w:name="page84"/>
    <w:bookmarkEnd w:id="83"/>
    <w:p>
      <w:pPr>
        <w:ind w:left="1620" w:hanging="279"/>
        <w:spacing w:after="0"/>
        <w:tabs>
          <w:tab w:leader="none" w:pos="1620" w:val="left"/>
        </w:tabs>
        <w:numPr>
          <w:ilvl w:val="1"/>
          <w:numId w:val="5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issuance of the Letter of Credit would violate one or more policies of the L/C Issuer applicable to letters of credit generally;</w:t>
      </w:r>
    </w:p>
    <w:p>
      <w:pPr>
        <w:spacing w:after="0" w:line="113" w:lineRule="exact"/>
        <w:rPr>
          <w:rFonts w:ascii="Arial" w:cs="Arial" w:eastAsia="Arial" w:hAnsi="Arial"/>
          <w:sz w:val="16"/>
          <w:szCs w:val="16"/>
          <w:color w:val="auto"/>
        </w:rPr>
      </w:pPr>
    </w:p>
    <w:p>
      <w:pPr>
        <w:ind w:left="1640" w:hanging="299"/>
        <w:spacing w:after="0"/>
        <w:tabs>
          <w:tab w:leader="none" w:pos="1640" w:val="left"/>
        </w:tabs>
        <w:numPr>
          <w:ilvl w:val="1"/>
          <w:numId w:val="52"/>
        </w:numPr>
        <w:rPr>
          <w:rFonts w:ascii="Arial" w:cs="Arial" w:eastAsia="Arial" w:hAnsi="Arial"/>
          <w:sz w:val="16"/>
          <w:szCs w:val="16"/>
          <w:color w:val="auto"/>
        </w:rPr>
      </w:pPr>
      <w:r>
        <w:rPr>
          <w:rFonts w:ascii="Arial" w:cs="Arial" w:eastAsia="Arial" w:hAnsi="Arial"/>
          <w:sz w:val="16"/>
          <w:szCs w:val="16"/>
          <w:color w:val="auto"/>
        </w:rPr>
        <w:t>except as otherwise agreed by the Administrative Agent and the L/C Issuer, the Letter of Credit is in an initial stated amount less than</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$500,000;</w:t>
      </w:r>
    </w:p>
    <w:p>
      <w:pPr>
        <w:spacing w:after="0" w:line="83" w:lineRule="exact"/>
        <w:rPr>
          <w:rFonts w:ascii="Arial" w:cs="Arial" w:eastAsia="Arial" w:hAnsi="Arial"/>
          <w:sz w:val="16"/>
          <w:szCs w:val="16"/>
          <w:color w:val="auto"/>
        </w:rPr>
      </w:pPr>
    </w:p>
    <w:p>
      <w:pPr>
        <w:ind w:left="1620" w:hanging="279"/>
        <w:spacing w:after="0"/>
        <w:tabs>
          <w:tab w:leader="none" w:pos="16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Letter of Credit is to be denominated in a currency other than Dollars;</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1"/>
          <w:numId w:val="52"/>
        </w:numPr>
        <w:rPr>
          <w:rFonts w:ascii="Arial" w:cs="Arial" w:eastAsia="Arial" w:hAnsi="Arial"/>
          <w:sz w:val="16"/>
          <w:szCs w:val="16"/>
          <w:color w:val="auto"/>
        </w:rPr>
      </w:pPr>
      <w:r>
        <w:rPr>
          <w:rFonts w:ascii="Arial" w:cs="Arial" w:eastAsia="Arial" w:hAnsi="Arial"/>
          <w:sz w:val="16"/>
          <w:szCs w:val="16"/>
          <w:color w:val="auto"/>
        </w:rPr>
        <w:t>the Letter of Credit contains any provisions for automatic reinstatement of the stated amount after any drawing thereunder; or</w:t>
      </w:r>
    </w:p>
    <w:p>
      <w:pPr>
        <w:spacing w:after="0" w:line="113" w:lineRule="exact"/>
        <w:rPr>
          <w:rFonts w:ascii="Arial" w:cs="Arial" w:eastAsia="Arial" w:hAnsi="Arial"/>
          <w:sz w:val="16"/>
          <w:szCs w:val="16"/>
          <w:color w:val="auto"/>
        </w:rPr>
      </w:pPr>
    </w:p>
    <w:p>
      <w:pPr>
        <w:jc w:val="both"/>
        <w:ind w:left="920" w:firstLine="421"/>
        <w:spacing w:after="0" w:line="255" w:lineRule="auto"/>
        <w:tabs>
          <w:tab w:leader="none" w:pos="1627" w:val="left"/>
        </w:tabs>
        <w:numPr>
          <w:ilvl w:val="1"/>
          <w:numId w:val="52"/>
        </w:numPr>
        <w:rPr>
          <w:rFonts w:ascii="Arial" w:cs="Arial" w:eastAsia="Arial" w:hAnsi="Arial"/>
          <w:sz w:val="18"/>
          <w:szCs w:val="18"/>
          <w:color w:val="auto"/>
        </w:rPr>
      </w:pPr>
      <w:r>
        <w:rPr>
          <w:rFonts w:ascii="Arial" w:cs="Arial" w:eastAsia="Arial" w:hAnsi="Arial"/>
          <w:sz w:val="18"/>
          <w:szCs w:val="18"/>
          <w:color w:val="auto"/>
        </w:rPr>
        <w:t xml:space="preserve">any Revolving Credit Lender is at that time a Defaulting Lender, unless the L/C Issuer has entered into arrangements, including the delivery of Cash Collateral, reasonably satisfactory to the L/C Issuer (in its sole discretion) with the Borrower or such Revolving Credit Lender to eliminate the L/C Issuer’s actual or potential Fronting Exposure (after giving effect to </w:t>
      </w:r>
      <w:r>
        <w:rPr>
          <w:rFonts w:ascii="Arial" w:cs="Arial" w:eastAsia="Arial" w:hAnsi="Arial"/>
          <w:sz w:val="18"/>
          <w:szCs w:val="18"/>
          <w:u w:val="single" w:color="auto"/>
          <w:color w:val="auto"/>
        </w:rPr>
        <w:t>Section 2.15(a)(iv</w:t>
      </w:r>
      <w:r>
        <w:rPr>
          <w:rFonts w:ascii="Arial" w:cs="Arial" w:eastAsia="Arial" w:hAnsi="Arial"/>
          <w:sz w:val="18"/>
          <w:szCs w:val="18"/>
          <w:color w:val="auto"/>
        </w:rPr>
        <w:t>)) with respect to the Defaulting Lender arising from either the Letter of Credit then proposed to be issued or that Letter of Credit and all other L/C Obligations as to which the L/C Issuer has actual or potential Fronting Exposure, as it may elect in its sole discretion.</w:t>
      </w:r>
    </w:p>
    <w:p>
      <w:pPr>
        <w:spacing w:after="0" w:line="61" w:lineRule="exact"/>
        <w:rPr>
          <w:rFonts w:ascii="Arial" w:cs="Arial" w:eastAsia="Arial" w:hAnsi="Arial"/>
          <w:sz w:val="18"/>
          <w:szCs w:val="18"/>
          <w:color w:val="auto"/>
        </w:rPr>
      </w:pPr>
    </w:p>
    <w:p>
      <w:pPr>
        <w:ind w:left="460" w:firstLine="443"/>
        <w:spacing w:after="0" w:line="268" w:lineRule="auto"/>
        <w:tabs>
          <w:tab w:leader="none" w:pos="120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L/C Issuer shall not amend any Letter of Credit if the L/C Issuer would not be permitted at such time to issue the Letter of Credit in its amended form under the terms hereof.</w:t>
      </w:r>
    </w:p>
    <w:p>
      <w:pPr>
        <w:spacing w:after="0" w:line="50" w:lineRule="exact"/>
        <w:rPr>
          <w:rFonts w:ascii="Arial" w:cs="Arial" w:eastAsia="Arial" w:hAnsi="Arial"/>
          <w:sz w:val="18"/>
          <w:szCs w:val="18"/>
          <w:color w:val="auto"/>
        </w:rPr>
      </w:pPr>
    </w:p>
    <w:p>
      <w:pPr>
        <w:jc w:val="both"/>
        <w:ind w:left="460" w:firstLine="443"/>
        <w:spacing w:after="0" w:line="259" w:lineRule="auto"/>
        <w:tabs>
          <w:tab w:leader="none" w:pos="114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L/C Issuer shall be under no obligation to amend any Letter of Credit if (A) the L/C Issuer would have no obligation at such time to issue the Letter of Credit in its amended form under the terms hereof, or (B) the beneficiary of the Letter of Credit does not accept the proposed amendment to the Letter of Credit.</w:t>
      </w:r>
    </w:p>
    <w:p>
      <w:pPr>
        <w:spacing w:after="0" w:line="59" w:lineRule="exact"/>
        <w:rPr>
          <w:rFonts w:ascii="Arial" w:cs="Arial" w:eastAsia="Arial" w:hAnsi="Arial"/>
          <w:sz w:val="18"/>
          <w:szCs w:val="18"/>
          <w:color w:val="auto"/>
        </w:rPr>
      </w:pPr>
    </w:p>
    <w:p>
      <w:pPr>
        <w:jc w:val="both"/>
        <w:ind w:left="460" w:firstLine="443"/>
        <w:spacing w:after="0" w:line="294" w:lineRule="auto"/>
        <w:tabs>
          <w:tab w:leader="none" w:pos="1225"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The L/C Issuer shall act on behalf of the Revolving Credit Lenders with respect to any Letters of Credit issued by it and the documents associated therewith, and the L/C Issuer shall have all of the benefits and immunities (A) provided to the Administrative Agent in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with respect to any acts taken or omissions suffered by the L/C Issuer in connection with Letters of Credit issued by it or proposed to be issued by it and Issuer Documents pertaining to such Letters of Credit as fully as if the term “Administrative Agent” as used in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included the L/C Issuer with respect to such acts or omissions, and (B) as additionally provided herein with respect to the L/C Issuer.</w:t>
      </w:r>
    </w:p>
    <w:p>
      <w:pPr>
        <w:spacing w:after="0" w:line="116" w:lineRule="exact"/>
        <w:rPr>
          <w:sz w:val="20"/>
          <w:szCs w:val="20"/>
          <w:color w:val="auto"/>
        </w:rPr>
      </w:pPr>
    </w:p>
    <w:p>
      <w:pPr>
        <w:jc w:val="both"/>
        <w:ind w:firstLine="921"/>
        <w:spacing w:after="0" w:line="255" w:lineRule="auto"/>
        <w:tabs>
          <w:tab w:leader="none" w:pos="1175"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Procedures for Issuance and Amendment of Letters of Credit; Auto-Extension Letters of Credit.</w:t>
      </w:r>
      <w:r>
        <w:rPr>
          <w:rFonts w:ascii="Arial" w:cs="Arial" w:eastAsia="Arial" w:hAnsi="Arial"/>
          <w:sz w:val="18"/>
          <w:szCs w:val="18"/>
          <w:color w:val="auto"/>
        </w:rPr>
        <w:t xml:space="preserve"> (i) Each Letter of Credit shall be issued or amended, as the case may be, upon the request of the Borrower delivered to the L/C Issuer (with a copy to the Administrative Agent) in the form of a Letter of Credit Application, appropriately completed and signed by a Responsible Officer of the Borrower. Such Letter of Credit Application must be received by the L/C Issuer and the Administrative Agent not later than 11:00 a.m. at least two Business Days (or such later date and time as the Administrative Agent and the L/C Issuer may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0" w:right="239" w:bottom="1440" w:gutter="0" w:footer="0" w:header="0"/>
        </w:sectPr>
      </w:pPr>
    </w:p>
    <w:bookmarkStart w:id="84" w:name="page85"/>
    <w:bookmarkEnd w:id="84"/>
    <w:p>
      <w:pPr>
        <w:jc w:val="both"/>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 in a particular instance in their sole discretion) prior to the proposed issuance date or date of amendment, as the case may be. In the case of a request for an initial issuance of a Letter of Credit, such Letter of Credit Application shall specify in form and detail satisfactory to the L/C Issuer the following: (A) 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w:t>
      </w:r>
      <w:r>
        <w:rPr>
          <w:rFonts w:ascii="Arial" w:cs="Arial" w:eastAsia="Arial" w:hAnsi="Arial"/>
          <w:sz w:val="16"/>
          <w:szCs w:val="16"/>
          <w:b w:val="1"/>
          <w:bCs w:val="1"/>
          <w:color w:val="auto"/>
        </w:rPr>
        <w:t>;</w:t>
      </w:r>
      <w:r>
        <w:rPr>
          <w:rFonts w:ascii="Arial" w:cs="Arial" w:eastAsia="Arial" w:hAnsi="Arial"/>
          <w:sz w:val="16"/>
          <w:szCs w:val="16"/>
          <w:color w:val="auto"/>
        </w:rPr>
        <w:t xml:space="preserve"> and (H) such other matters as the L/C Issuer may require. In the case of a request for an amendment of any outstanding Letter of Credit, such Letter of Credit Application shall specify in form and detail satisfactory to the L/C Issuer the following: (A) the Letter of Credit to be amended; (B) the proposed date of amendment thereof (which shall be a Business Day); (C) the nature of the proposed amendment; and (D) such other matters as the L/C Issuer may require. Additionally, the Borrower shall furnish to the L/C Issuer and the Administrative Agent such other documents and information pertaining to such requested Letter of Credit issuance or amendment, including any Issuer Documents, as the L/C Issuer or the Administrative Agent may require.</w:t>
      </w:r>
    </w:p>
    <w:p>
      <w:pPr>
        <w:spacing w:after="0" w:line="123" w:lineRule="exact"/>
        <w:rPr>
          <w:sz w:val="20"/>
          <w:szCs w:val="20"/>
          <w:color w:val="auto"/>
        </w:rPr>
      </w:pPr>
    </w:p>
    <w:p>
      <w:pPr>
        <w:jc w:val="both"/>
        <w:ind w:left="460" w:firstLine="443"/>
        <w:spacing w:after="0" w:line="287" w:lineRule="auto"/>
        <w:tabs>
          <w:tab w:leader="none" w:pos="1159"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Promptly after receipt of any Letter of Credit Application, the L/C Issuer will confirm with the Administrative Agent (by telephone or in writing) that the Administrative Agent has received a copy of such Letter of Credit Application from the Borrower and, if not, the L/C Issuer will provide the Administrative Agent with a copy thereof. Unless the L/C Issuer has received written notice from any Revolving Credit Lender, the Administrative Agent or any Loan Party, at least one Business Day prior to the requested date of issuance or amendment of the applicable Letter of Credit, that one or more of the applicable conditions contained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shall not have been satisfied (other than matters previously waived), then, subject to the terms and conditions hereof, the L/C Issuer shall, on the requested date, issue a Letter of Credit for the account of the Borrower (or the applicable Loan Party) or enter into the applicable amendment, as the case may be, in each case in accordance with the L/C Issuer’s usual and customary business practices. Immediately upon the issuance of each Letter of Credit, each Revolving Credit Lender shall be deemed to, and hereby irrevocably and unconditionally agrees to, purchase from the L/C Issuer a risk participation in such Letter of Credit in an amount equal to the product of such Revolving Credit Lender’s Applicable Revolving Credit Percentage times the amount of such Letter of Credit.</w:t>
      </w:r>
    </w:p>
    <w:p>
      <w:pPr>
        <w:spacing w:after="0" w:line="41" w:lineRule="exact"/>
        <w:rPr>
          <w:rFonts w:ascii="Arial" w:cs="Arial" w:eastAsia="Arial" w:hAnsi="Arial"/>
          <w:sz w:val="16"/>
          <w:szCs w:val="16"/>
          <w:color w:val="auto"/>
        </w:rPr>
      </w:pPr>
    </w:p>
    <w:p>
      <w:pPr>
        <w:jc w:val="both"/>
        <w:ind w:left="460" w:firstLine="443"/>
        <w:spacing w:after="0" w:line="253" w:lineRule="auto"/>
        <w:tabs>
          <w:tab w:leader="none" w:pos="1217"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the Borrower so requests in any applicable Letter of Credit Application, the L/C Issuer may, in its sole discretion, agree to issue a Letter of Credit that has automatic extension provisions (each, an “</w:t>
      </w:r>
      <w:r>
        <w:rPr>
          <w:rFonts w:ascii="Arial" w:cs="Arial" w:eastAsia="Arial" w:hAnsi="Arial"/>
          <w:sz w:val="18"/>
          <w:szCs w:val="18"/>
          <w:u w:val="single" w:color="auto"/>
          <w:color w:val="auto"/>
        </w:rPr>
        <w:t>Auto-Extension Letter of 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Auto-Extension Letter of Credit must permit the L/C Issuer to prevent any such extension at least once in each twelve-month period (commencing with the date of issuance of such Letter of Credit) by giving prior notice to the beneficiary thereof and the Borrower not later than a day (the “</w:t>
      </w:r>
      <w:r>
        <w:rPr>
          <w:rFonts w:ascii="Arial" w:cs="Arial" w:eastAsia="Arial" w:hAnsi="Arial"/>
          <w:sz w:val="18"/>
          <w:szCs w:val="18"/>
          <w:u w:val="single" w:color="auto"/>
          <w:color w:val="auto"/>
        </w:rPr>
        <w:t>Non-Extension Notice Date</w:t>
      </w:r>
      <w:r>
        <w:rPr>
          <w:rFonts w:ascii="Arial" w:cs="Arial" w:eastAsia="Arial" w:hAnsi="Arial"/>
          <w:sz w:val="18"/>
          <w:szCs w:val="18"/>
          <w:color w:val="auto"/>
        </w:rPr>
        <w:t>”) in each such twelve-month period to be agreed upon at the time such Letter of Credit is issued. Unless otherwise directed by the L/C Issuer, the Borrower shall not be required to make a specific request to the L/C Issuer for any such extension. Once an Auto-Extension Letter of Credit has been issued, the Revolving Credit Lenders shall be deemed to have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0" w:right="239" w:bottom="1440" w:gutter="0" w:footer="0" w:header="0"/>
        </w:sectPr>
      </w:pPr>
    </w:p>
    <w:bookmarkStart w:id="85" w:name="page86"/>
    <w:bookmarkEnd w:id="85"/>
    <w:p>
      <w:pPr>
        <w:jc w:val="both"/>
        <w:ind w:left="4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authorized (but may not require) the L/C Issuer to permit the extension of such Letter of Credit at any time to an expiry date not later than the Letter of Credit Expiration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L/C Issuer shall not permit any such extension if (A) the L/C Issuer has determined that it would not be permitted, or would have no obligation, at such time to issue such Letter of Credit in its revised form (as extended) under the terms hereof (by reason of the provisions of clause (ii) or (iii) of </w:t>
      </w:r>
      <w:r>
        <w:rPr>
          <w:rFonts w:ascii="Arial" w:cs="Arial" w:eastAsia="Arial" w:hAnsi="Arial"/>
          <w:sz w:val="16"/>
          <w:szCs w:val="16"/>
          <w:u w:val="single" w:color="auto"/>
          <w:color w:val="auto"/>
        </w:rPr>
        <w:t>Section 2.03(a)</w:t>
      </w:r>
      <w:r>
        <w:rPr>
          <w:rFonts w:ascii="Arial" w:cs="Arial" w:eastAsia="Arial" w:hAnsi="Arial"/>
          <w:sz w:val="16"/>
          <w:szCs w:val="16"/>
          <w:color w:val="auto"/>
        </w:rPr>
        <w:t xml:space="preserve"> or otherwise), or (B) it has received notice (which may be by telephone or in writing) on or before the day that is five Business Days before the Non-Extension Notice Date (1) from the Administrative Agent that the Required Lenders have elected not to permit such extension or (2) from the Administrative Agent, any Revolving Credit Lender or the Borrower that one or more of the applicable conditions specified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is not then satisfied, and in each such case directing the L/C Issuer not to permit such extension.</w:t>
      </w:r>
    </w:p>
    <w:p>
      <w:pPr>
        <w:spacing w:after="0" w:line="37" w:lineRule="exact"/>
        <w:rPr>
          <w:sz w:val="20"/>
          <w:szCs w:val="20"/>
          <w:color w:val="auto"/>
        </w:rPr>
      </w:pPr>
    </w:p>
    <w:p>
      <w:pPr>
        <w:jc w:val="both"/>
        <w:ind w:left="460" w:firstLine="443"/>
        <w:spacing w:after="0" w:line="259" w:lineRule="auto"/>
        <w:tabs>
          <w:tab w:leader="none" w:pos="1214"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Promptly after its delivery of any Letter of Credit or any amendment to a Letter of Credit to an advising bank with respect thereto or to the beneficiary thereof, the L/C Issuer will also deliver to the Borrower and the Administrative Agent a true and complete copy of such Letter of Credit or amendment.</w:t>
      </w:r>
    </w:p>
    <w:p>
      <w:pPr>
        <w:spacing w:after="0" w:line="59" w:lineRule="exact"/>
        <w:rPr>
          <w:sz w:val="20"/>
          <w:szCs w:val="20"/>
          <w:color w:val="auto"/>
        </w:rPr>
      </w:pPr>
    </w:p>
    <w:p>
      <w:pPr>
        <w:jc w:val="both"/>
        <w:ind w:firstLine="921"/>
        <w:spacing w:after="0" w:line="286" w:lineRule="auto"/>
        <w:tabs>
          <w:tab w:leader="none" w:pos="1179"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Drawings and Reimbursements; Funding of Participations</w:t>
      </w:r>
      <w:r>
        <w:rPr>
          <w:rFonts w:ascii="Arial" w:cs="Arial" w:eastAsia="Arial" w:hAnsi="Arial"/>
          <w:sz w:val="16"/>
          <w:szCs w:val="16"/>
          <w:color w:val="auto"/>
        </w:rPr>
        <w:t>. (i) Upon receipt from the beneficiary of any Letter of Credit of any notice of a drawing under such Letter of Credit, the L/C Issuer shall notify the Borrower and the Administrative Agent thereof and shall state the date payment shall be made by the L/C Issuer under a Letter of Credit (each such date, an “</w:t>
      </w:r>
      <w:r>
        <w:rPr>
          <w:rFonts w:ascii="Arial" w:cs="Arial" w:eastAsia="Arial" w:hAnsi="Arial"/>
          <w:sz w:val="16"/>
          <w:szCs w:val="16"/>
          <w:u w:val="single" w:color="auto"/>
          <w:color w:val="auto"/>
        </w:rPr>
        <w:t>Honor Date</w:t>
      </w:r>
      <w:r>
        <w:rPr>
          <w:rFonts w:ascii="Arial" w:cs="Arial" w:eastAsia="Arial" w:hAnsi="Arial"/>
          <w:sz w:val="16"/>
          <w:szCs w:val="16"/>
          <w:color w:val="auto"/>
        </w:rPr>
        <w:t>”). Not later than 11:00 a.m. on the Honor Date, the Borrower shall reimburse the L/C Issuer through the Administrative Agent in an amount equal to the amount of such drawing. If the Borrower fails to so reimburse the L/C Issuer by such time, the Administrative Agent shall promptly notify each Revolving Credit Lender of the Honor Date, the amount of the unreimbursed drawing (the “</w:t>
      </w:r>
      <w:r>
        <w:rPr>
          <w:rFonts w:ascii="Arial" w:cs="Arial" w:eastAsia="Arial" w:hAnsi="Arial"/>
          <w:sz w:val="16"/>
          <w:szCs w:val="16"/>
          <w:u w:val="single" w:color="auto"/>
          <w:color w:val="auto"/>
        </w:rPr>
        <w:t>Unreimbursed</w:t>
      </w:r>
      <w:r>
        <w:rPr>
          <w:rFonts w:ascii="Arial" w:cs="Arial" w:eastAsia="Arial" w:hAnsi="Arial"/>
          <w:sz w:val="16"/>
          <w:szCs w:val="16"/>
          <w:color w:val="auto"/>
        </w:rPr>
        <w:t xml:space="preserve"> </w:t>
      </w:r>
      <w:r>
        <w:rPr>
          <w:rFonts w:ascii="Arial" w:cs="Arial" w:eastAsia="Arial" w:hAnsi="Arial"/>
          <w:sz w:val="16"/>
          <w:szCs w:val="16"/>
          <w:u w:val="single" w:color="auto"/>
          <w:color w:val="auto"/>
        </w:rPr>
        <w:t>Amount</w:t>
      </w:r>
      <w:r>
        <w:rPr>
          <w:rFonts w:ascii="Arial" w:cs="Arial" w:eastAsia="Arial" w:hAnsi="Arial"/>
          <w:sz w:val="16"/>
          <w:szCs w:val="16"/>
          <w:color w:val="auto"/>
        </w:rPr>
        <w:t xml:space="preserve">”), and the amount of such Revolving Credit Lender’s Applicable Revolving Credit Percentage thereof. In such event, the Borrower shall be deemed to have requested a Revolving Credit Borrowing of Base Rate Loans to be disbursed on the Honor Date in an amount equal to the Unreimbursed Amount, without regard to the minimum and multiples specified in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for the principal amount of Base Rate Loans, but subject to the amount of the unutilized portion of the Commitments and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(other than the delivery of a Loan Notice). Any notice given by the L/C Issuer or the Administrative Agent pursuant to this </w:t>
      </w:r>
      <w:r>
        <w:rPr>
          <w:rFonts w:ascii="Arial" w:cs="Arial" w:eastAsia="Arial" w:hAnsi="Arial"/>
          <w:sz w:val="16"/>
          <w:szCs w:val="16"/>
          <w:u w:val="single" w:color="auto"/>
          <w:color w:val="auto"/>
        </w:rPr>
        <w:t>Section 2.03(c)(i)</w:t>
      </w:r>
      <w:r>
        <w:rPr>
          <w:rFonts w:ascii="Arial" w:cs="Arial" w:eastAsia="Arial" w:hAnsi="Arial"/>
          <w:sz w:val="16"/>
          <w:szCs w:val="16"/>
          <w:color w:val="auto"/>
        </w:rPr>
        <w:t xml:space="preserve"> may be given by telephone if immediately confirmed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lack of such an immediate confirmation shall not affect the conclusiveness or binding effect of such notice.</w:t>
      </w:r>
    </w:p>
    <w:p>
      <w:pPr>
        <w:spacing w:after="0" w:line="127" w:lineRule="exact"/>
        <w:rPr>
          <w:sz w:val="20"/>
          <w:szCs w:val="20"/>
          <w:color w:val="auto"/>
        </w:rPr>
      </w:pPr>
    </w:p>
    <w:p>
      <w:pPr>
        <w:jc w:val="both"/>
        <w:ind w:left="460" w:firstLine="443"/>
        <w:spacing w:after="0" w:line="294" w:lineRule="auto"/>
        <w:tabs>
          <w:tab w:leader="none" w:pos="1175"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Each Revolving Credit Lender shall upon any notice pursuant to </w:t>
      </w:r>
      <w:r>
        <w:rPr>
          <w:rFonts w:ascii="Arial" w:cs="Arial" w:eastAsia="Arial" w:hAnsi="Arial"/>
          <w:sz w:val="16"/>
          <w:szCs w:val="16"/>
          <w:u w:val="single" w:color="auto"/>
          <w:color w:val="auto"/>
        </w:rPr>
        <w:t>Section 2.03(c)(i)</w:t>
      </w:r>
      <w:r>
        <w:rPr>
          <w:rFonts w:ascii="Arial" w:cs="Arial" w:eastAsia="Arial" w:hAnsi="Arial"/>
          <w:sz w:val="16"/>
          <w:szCs w:val="16"/>
          <w:color w:val="auto"/>
        </w:rPr>
        <w:t xml:space="preserve"> make funds available (and the Administrative Agent may apply Cash Collateral provided for this purpose) for the account of the L/C Issuer at the Administrative Agent’s Office in an amount equal to its Applicable Revolving Credit Percentage of the Unreimbursed Amount not later than 1:00 p.m. on the Business Day specified in such notice by the Administrative Agent, whereupon, subject to the provisions of </w:t>
      </w:r>
      <w:r>
        <w:rPr>
          <w:rFonts w:ascii="Arial" w:cs="Arial" w:eastAsia="Arial" w:hAnsi="Arial"/>
          <w:sz w:val="16"/>
          <w:szCs w:val="16"/>
          <w:u w:val="single" w:color="auto"/>
          <w:color w:val="auto"/>
        </w:rPr>
        <w:t>Section 2.03(c)(iii)</w:t>
      </w:r>
      <w:r>
        <w:rPr>
          <w:rFonts w:ascii="Arial" w:cs="Arial" w:eastAsia="Arial" w:hAnsi="Arial"/>
          <w:sz w:val="16"/>
          <w:szCs w:val="16"/>
          <w:color w:val="auto"/>
        </w:rPr>
        <w:t>, each Revolving Credit Lender that so makes funds available shall be deemed to have made a Base Rate Loan to the Borrower in such amount. The Administrative Agent shall remit the funds so received to the L/C Issuer.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0" w:right="239" w:bottom="1440" w:gutter="0" w:footer="0" w:header="0"/>
        </w:sectPr>
      </w:pPr>
    </w:p>
    <w:bookmarkStart w:id="86" w:name="page87"/>
    <w:bookmarkEnd w:id="86"/>
    <w:p>
      <w:pPr>
        <w:jc w:val="both"/>
        <w:ind w:firstLine="443"/>
        <w:spacing w:after="0" w:line="291" w:lineRule="auto"/>
        <w:tabs>
          <w:tab w:leader="none" w:pos="772" w:val="left"/>
        </w:tabs>
        <w:numPr>
          <w:ilvl w:val="0"/>
          <w:numId w:val="5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With respect to any Unreimbursed Amount that is not fully refinanced by a Revolving Credit Borrowing of Base Rate Loans because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cannot be satisfied or for any other reason, the Borrower shall be deemed to have incurred from the L/C Issuer an L/C Borrowing in the amount of the Unreimbursed Amount that is not so refinanced, which L/C Borrowing shall be due and payable on demand (together with interest) and shall bear interest at the Default Rate. In such event, each Revolving Credit Lender’s payment to the Administrative Agent for the account of the L/C Issuer pursuant to </w:t>
      </w:r>
      <w:r>
        <w:rPr>
          <w:rFonts w:ascii="Arial" w:cs="Arial" w:eastAsia="Arial" w:hAnsi="Arial"/>
          <w:sz w:val="16"/>
          <w:szCs w:val="16"/>
          <w:u w:val="single" w:color="auto"/>
          <w:color w:val="auto"/>
        </w:rPr>
        <w:t>Section 2.03(c)(ii)</w:t>
      </w:r>
      <w:r>
        <w:rPr>
          <w:rFonts w:ascii="Arial" w:cs="Arial" w:eastAsia="Arial" w:hAnsi="Arial"/>
          <w:sz w:val="16"/>
          <w:szCs w:val="16"/>
          <w:color w:val="auto"/>
        </w:rPr>
        <w:t xml:space="preserve"> shall be deemed payment in respect of its participation in such L/C Borrowing and shall constitute an L/C Advance from such Lender in satisfaction of its participation obligation under this </w:t>
      </w:r>
      <w:r>
        <w:rPr>
          <w:rFonts w:ascii="Arial" w:cs="Arial" w:eastAsia="Arial" w:hAnsi="Arial"/>
          <w:sz w:val="16"/>
          <w:szCs w:val="16"/>
          <w:u w:val="single" w:color="auto"/>
          <w:color w:val="auto"/>
        </w:rPr>
        <w:t>Section 2.03</w:t>
      </w:r>
      <w:r>
        <w:rPr>
          <w:rFonts w:ascii="Arial" w:cs="Arial" w:eastAsia="Arial" w:hAnsi="Arial"/>
          <w:sz w:val="16"/>
          <w:szCs w:val="16"/>
          <w:color w:val="auto"/>
        </w:rPr>
        <w:t>.</w:t>
      </w:r>
    </w:p>
    <w:p>
      <w:pPr>
        <w:spacing w:after="0" w:line="39" w:lineRule="exact"/>
        <w:rPr>
          <w:rFonts w:ascii="Arial" w:cs="Arial" w:eastAsia="Arial" w:hAnsi="Arial"/>
          <w:sz w:val="16"/>
          <w:szCs w:val="16"/>
          <w:color w:val="auto"/>
        </w:rPr>
      </w:pPr>
    </w:p>
    <w:p>
      <w:pPr>
        <w:jc w:val="both"/>
        <w:ind w:firstLine="443"/>
        <w:spacing w:after="0" w:line="259" w:lineRule="auto"/>
        <w:tabs>
          <w:tab w:leader="none" w:pos="736"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Until each Revolving Credit Lender funds its Revolving Credit Loan or L/C Advance pursuant to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to reimburse the L/C Issuer for any amount drawn under any Letter of Credit, interest in respect of such Lender’s Applicable Revolving Credit Percentage of such amount shall be solely for the account of the L/C Issuer.</w:t>
      </w:r>
    </w:p>
    <w:p>
      <w:pPr>
        <w:spacing w:after="0" w:line="59" w:lineRule="exact"/>
        <w:rPr>
          <w:rFonts w:ascii="Arial" w:cs="Arial" w:eastAsia="Arial" w:hAnsi="Arial"/>
          <w:sz w:val="18"/>
          <w:szCs w:val="18"/>
          <w:color w:val="auto"/>
        </w:rPr>
      </w:pPr>
    </w:p>
    <w:p>
      <w:pPr>
        <w:jc w:val="both"/>
        <w:ind w:firstLine="443"/>
        <w:spacing w:after="0" w:line="289" w:lineRule="auto"/>
        <w:tabs>
          <w:tab w:leader="none" w:pos="702"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Each Revolving Credit Lender’s obligation to make Revolving Credit Loans or L/C Advances to reimburse the L/C Issuer for amounts drawn under Letters of Credit, as contemplated by this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shall be absolute and unconditional and shall not be affected by any circumstance, including (A) any setoff, counterclaim, recoupment, defense or other right which such Lender may have against the L/C Issuer, the Administrative Agent, the Borrower or any other Person for any reason whatsoever, (B) the occurrence or continuance of a Default, or (C) any other occurrence, event or condition, whether or not similar to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each Revolving Credit Lender’s obligation to make Revolving Credit Loans pursuant to this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is subject to the amount of the unutilized portion of the Facility and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(other than delivery by the Borrower of a Loan Notice ). No such making of an L/C Advance shall relieve or otherwise impair the obligation of the Borrower to reimburse the L/C Issuer for the amount of any payment made by the L/C Issuer under any Letter of Credit, together with interest as provided herein.</w:t>
      </w:r>
    </w:p>
    <w:p>
      <w:pPr>
        <w:spacing w:after="0" w:line="37" w:lineRule="exact"/>
        <w:rPr>
          <w:rFonts w:ascii="Arial" w:cs="Arial" w:eastAsia="Arial" w:hAnsi="Arial"/>
          <w:sz w:val="16"/>
          <w:szCs w:val="16"/>
          <w:color w:val="auto"/>
        </w:rPr>
      </w:pPr>
    </w:p>
    <w:p>
      <w:pPr>
        <w:jc w:val="both"/>
        <w:ind w:firstLine="443"/>
        <w:spacing w:after="0" w:line="287" w:lineRule="auto"/>
        <w:tabs>
          <w:tab w:leader="none" w:pos="741"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If any Revolving Credit Lender fails to make available to the Administrative Agent for the account of the L/C Issuer any amount required to be paid by such Lender pursuant to the foregoing provisions of this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by the time specified in </w:t>
      </w:r>
      <w:r>
        <w:rPr>
          <w:rFonts w:ascii="Arial" w:cs="Arial" w:eastAsia="Arial" w:hAnsi="Arial"/>
          <w:sz w:val="16"/>
          <w:szCs w:val="16"/>
          <w:u w:val="single" w:color="auto"/>
          <w:color w:val="auto"/>
        </w:rPr>
        <w:t>Section 2.03(c)(ii)</w:t>
      </w:r>
      <w:r>
        <w:rPr>
          <w:rFonts w:ascii="Arial" w:cs="Arial" w:eastAsia="Arial" w:hAnsi="Arial"/>
          <w:sz w:val="16"/>
          <w:szCs w:val="16"/>
          <w:color w:val="auto"/>
        </w:rPr>
        <w:t xml:space="preserve">, then, without limiting the other provisions of this Agreement, the L/C Issuer shall be entitled to recover from such Lender (acting through the Administrative Agent), on demand, such amount with interest thereon for the period from the date such payment is required to the date on which such payment is immediately available to the L/C Issuer at a rate per annum equal to the greater of the Federal Funds Rate and a rate determined by the L/C Issuer in accordance with banking industry rules on interbank compensation, plus any administrative, processing or similar fees customarily charged by the L/C Issuer in connection with the foregoing. If such Lender pays such amount (with interest and fees as aforesaid), the amount so paid shall constitute such Lender’s Revolving Credit Loan included in the relevant Revolving Credit Borrowing or L/C Advance in respect of the relevant L/C Borrowing, as the case may be. A certificate of the L/C Issuer submitted to any Revolving Credit Lender (through the Administrative Agent) with respect to any amounts owing under this </w:t>
      </w:r>
      <w:r>
        <w:rPr>
          <w:rFonts w:ascii="Arial" w:cs="Arial" w:eastAsia="Arial" w:hAnsi="Arial"/>
          <w:sz w:val="16"/>
          <w:szCs w:val="16"/>
          <w:u w:val="single" w:color="auto"/>
          <w:color w:val="auto"/>
        </w:rPr>
        <w:t>Section 2.03(c)(vi)</w:t>
      </w:r>
      <w:r>
        <w:rPr>
          <w:rFonts w:ascii="Arial" w:cs="Arial" w:eastAsia="Arial" w:hAnsi="Arial"/>
          <w:sz w:val="16"/>
          <w:szCs w:val="16"/>
          <w:color w:val="auto"/>
        </w:rPr>
        <w:t xml:space="preserve"> shall be conclusive absent manifest error.</w:t>
      </w:r>
    </w:p>
    <w:p>
      <w:pPr>
        <w:spacing w:after="0" w:line="10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60"/>
          </w:cols>
          <w:pgMar w:left="700" w:top="280" w:right="239" w:bottom="1440" w:gutter="0" w:footer="0" w:header="0"/>
        </w:sectPr>
      </w:pPr>
    </w:p>
    <w:bookmarkStart w:id="87" w:name="page88"/>
    <w:bookmarkEnd w:id="87"/>
    <w:p>
      <w:pPr>
        <w:jc w:val="both"/>
        <w:ind w:firstLine="921"/>
        <w:spacing w:after="0" w:line="291" w:lineRule="auto"/>
        <w:tabs>
          <w:tab w:leader="none" w:pos="1175"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Repayment of Participations</w:t>
      </w:r>
      <w:r>
        <w:rPr>
          <w:rFonts w:ascii="Arial" w:cs="Arial" w:eastAsia="Arial" w:hAnsi="Arial"/>
          <w:sz w:val="16"/>
          <w:szCs w:val="16"/>
          <w:color w:val="auto"/>
        </w:rPr>
        <w:t xml:space="preserve">. (i) At any time after the L/C Issuer has made a payment under any Letter of Credit and has received from any Revolving Credit Lender such Lender’s L/C Advance in respect of such payment in accordance with </w:t>
      </w:r>
      <w:r>
        <w:rPr>
          <w:rFonts w:ascii="Arial" w:cs="Arial" w:eastAsia="Arial" w:hAnsi="Arial"/>
          <w:sz w:val="16"/>
          <w:szCs w:val="16"/>
          <w:u w:val="single" w:color="auto"/>
          <w:color w:val="auto"/>
        </w:rPr>
        <w:t>Section 2.03(c)</w:t>
      </w:r>
      <w:r>
        <w:rPr>
          <w:rFonts w:ascii="Arial" w:cs="Arial" w:eastAsia="Arial" w:hAnsi="Arial"/>
          <w:sz w:val="16"/>
          <w:szCs w:val="16"/>
          <w:color w:val="auto"/>
        </w:rPr>
        <w:t>, if the Administrative Agent receives for the account of the L/C Issuer any payment in respect of the related Unreimbursed Amount or interest thereon (whether directly from the Borrower or otherwise, including proceeds of Cash Collateral applied thereto by the Administrative Agent), the Administrative Agent will distribute to such Lender its Applicable Revolving Credit Percentage thereof (appropriately adjusted, in the case of interest payments, to reflect the period of time during which such Lender’s L/C Advance was outstanding) in the same funds as those received by the Administrative Agent.</w:t>
      </w:r>
    </w:p>
    <w:p>
      <w:pPr>
        <w:spacing w:after="0" w:line="39" w:lineRule="exact"/>
        <w:rPr>
          <w:rFonts w:ascii="Arial" w:cs="Arial" w:eastAsia="Arial" w:hAnsi="Arial"/>
          <w:sz w:val="16"/>
          <w:szCs w:val="16"/>
          <w:color w:val="auto"/>
        </w:rPr>
      </w:pPr>
    </w:p>
    <w:p>
      <w:pPr>
        <w:jc w:val="both"/>
        <w:ind w:left="460" w:firstLine="443"/>
        <w:spacing w:after="0" w:line="254" w:lineRule="auto"/>
        <w:tabs>
          <w:tab w:leader="none" w:pos="1167"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If any payment received by the Administrative Agent for the account of the L/C Issuer pursuant to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is required to be returned under any of the circumstances described in </w:t>
      </w:r>
      <w:r>
        <w:rPr>
          <w:rFonts w:ascii="Arial" w:cs="Arial" w:eastAsia="Arial" w:hAnsi="Arial"/>
          <w:sz w:val="18"/>
          <w:szCs w:val="18"/>
          <w:u w:val="single" w:color="auto"/>
          <w:color w:val="auto"/>
        </w:rPr>
        <w:t>Section 10.05</w:t>
      </w:r>
      <w:r>
        <w:rPr>
          <w:rFonts w:ascii="Arial" w:cs="Arial" w:eastAsia="Arial" w:hAnsi="Arial"/>
          <w:sz w:val="18"/>
          <w:szCs w:val="18"/>
          <w:color w:val="auto"/>
        </w:rPr>
        <w:t xml:space="preserve"> (including pursuant to any settlement entered into by the L/C Issuer in its discretion), each Revolving Credit Lender shall pay to the Administrative Agent for the account of the L/C Issuer its Applicable Revolving Credit Percentage thereof on demand of the Administrative Agent, plus interest thereon from the date of such demand to the date such amount is returned by such Lender, at a rate per annum equal to the Federal Funds Rate from time to time in effect. The obligations of the Lenders under this clause shall survive the payment in full of the Obligations and the termination of this Agreement.</w:t>
      </w:r>
    </w:p>
    <w:p>
      <w:pPr>
        <w:spacing w:after="0" w:line="144" w:lineRule="exact"/>
        <w:rPr>
          <w:rFonts w:ascii="Arial" w:cs="Arial" w:eastAsia="Arial" w:hAnsi="Arial"/>
          <w:sz w:val="18"/>
          <w:szCs w:val="18"/>
          <w:color w:val="auto"/>
        </w:rPr>
      </w:pPr>
    </w:p>
    <w:p>
      <w:pPr>
        <w:jc w:val="both"/>
        <w:ind w:firstLine="921"/>
        <w:spacing w:after="0" w:line="259" w:lineRule="auto"/>
        <w:tabs>
          <w:tab w:leader="none" w:pos="1152"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Obligations Absolute</w:t>
      </w:r>
      <w:r>
        <w:rPr>
          <w:rFonts w:ascii="Arial" w:cs="Arial" w:eastAsia="Arial" w:hAnsi="Arial"/>
          <w:sz w:val="18"/>
          <w:szCs w:val="18"/>
          <w:color w:val="auto"/>
        </w:rPr>
        <w:t>. The obligation of the Borrower to reimburse the L/C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59" w:lineRule="exact"/>
        <w:rPr>
          <w:sz w:val="20"/>
          <w:szCs w:val="20"/>
          <w:color w:val="auto"/>
        </w:rPr>
      </w:pPr>
    </w:p>
    <w:p>
      <w:pPr>
        <w:ind w:left="460" w:firstLine="443"/>
        <w:spacing w:after="0" w:line="268" w:lineRule="auto"/>
        <w:tabs>
          <w:tab w:leader="none" w:pos="1112"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lack of validity or enforceability of such Letter of Credit, this Agreement, or any other Loan Document or any other agreement or instrument relating thereto;</w:t>
      </w:r>
    </w:p>
    <w:p>
      <w:pPr>
        <w:spacing w:after="0" w:line="50" w:lineRule="exact"/>
        <w:rPr>
          <w:rFonts w:ascii="Arial" w:cs="Arial" w:eastAsia="Arial" w:hAnsi="Arial"/>
          <w:sz w:val="18"/>
          <w:szCs w:val="18"/>
          <w:color w:val="auto"/>
        </w:rPr>
      </w:pPr>
    </w:p>
    <w:p>
      <w:pPr>
        <w:jc w:val="both"/>
        <w:ind w:left="460" w:firstLine="443"/>
        <w:spacing w:after="0" w:line="256" w:lineRule="auto"/>
        <w:tabs>
          <w:tab w:leader="none" w:pos="1173"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existence of any claim, counterclaim, setoff, defense or other right that the Borrower or any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spacing w:after="0" w:line="62" w:lineRule="exact"/>
        <w:rPr>
          <w:rFonts w:ascii="Arial" w:cs="Arial" w:eastAsia="Arial" w:hAnsi="Arial"/>
          <w:sz w:val="18"/>
          <w:szCs w:val="18"/>
          <w:color w:val="auto"/>
        </w:rPr>
      </w:pPr>
    </w:p>
    <w:p>
      <w:pPr>
        <w:jc w:val="both"/>
        <w:ind w:left="460" w:firstLine="443"/>
        <w:spacing w:after="0" w:line="259" w:lineRule="auto"/>
        <w:tabs>
          <w:tab w:leader="none" w:pos="1209"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80" w:right="239" w:bottom="1440" w:gutter="0" w:footer="0" w:header="0"/>
        </w:sectPr>
      </w:pPr>
    </w:p>
    <w:bookmarkStart w:id="88" w:name="page89"/>
    <w:bookmarkEnd w:id="88"/>
    <w:p>
      <w:pPr>
        <w:jc w:val="both"/>
        <w:ind w:left="460" w:firstLine="443"/>
        <w:spacing w:after="0" w:line="298" w:lineRule="auto"/>
        <w:tabs>
          <w:tab w:leader="none" w:pos="1203" w:val="left"/>
        </w:tabs>
        <w:numPr>
          <w:ilvl w:val="0"/>
          <w:numId w:val="6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payment made in good faith by the L/C Issuer under such Letter of Credit against presentation of a draft or certificate that does not strictly comply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spacing w:after="0" w:line="31" w:lineRule="exact"/>
        <w:rPr>
          <w:rFonts w:ascii="Arial" w:cs="Arial" w:eastAsia="Arial" w:hAnsi="Arial"/>
          <w:sz w:val="16"/>
          <w:szCs w:val="16"/>
          <w:color w:val="auto"/>
        </w:rPr>
      </w:pPr>
    </w:p>
    <w:p>
      <w:pPr>
        <w:ind w:left="460" w:firstLine="443"/>
        <w:spacing w:after="0" w:line="268" w:lineRule="auto"/>
        <w:tabs>
          <w:tab w:leader="none" w:pos="1176"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exchange, release or non-perfection of any collateral, or any release or amendment or waiver of or consent to the departure from any Guarantee, for all or any of the Obligations of the Borrower in respect of any Letter of Credit; or</w:t>
      </w:r>
    </w:p>
    <w:p>
      <w:pPr>
        <w:spacing w:after="0" w:line="50" w:lineRule="exact"/>
        <w:rPr>
          <w:rFonts w:ascii="Arial" w:cs="Arial" w:eastAsia="Arial" w:hAnsi="Arial"/>
          <w:sz w:val="18"/>
          <w:szCs w:val="18"/>
          <w:color w:val="auto"/>
        </w:rPr>
      </w:pPr>
    </w:p>
    <w:p>
      <w:pPr>
        <w:ind w:left="460" w:firstLine="443"/>
        <w:spacing w:after="0" w:line="268" w:lineRule="auto"/>
        <w:tabs>
          <w:tab w:leader="none" w:pos="121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other circumstance or happening whatsoever, whether or not similar to any of the foregoing, including any other circumstance that might otherwise constitute a defense available to, or a discharge of, the Borrower or any Subsidiary.</w:t>
      </w:r>
    </w:p>
    <w:p>
      <w:pPr>
        <w:spacing w:after="0" w:line="132"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The Borrower shall promptly examine a copy of each Letter of Credit and each amendment thereto that is delivered to it, and, in the event of any claim of noncompliance with the Borrower’s instructions or other irregularity, the Borrower will promptly notify the L/C Issuer. The Borrower shall be conclusively deemed to have waived any such claim against the L/C Issuer and its correspondents unless such notice is given as aforesaid.</w:t>
      </w:r>
    </w:p>
    <w:p>
      <w:pPr>
        <w:spacing w:after="0" w:line="107" w:lineRule="exact"/>
        <w:rPr>
          <w:sz w:val="20"/>
          <w:szCs w:val="20"/>
          <w:color w:val="auto"/>
        </w:rPr>
      </w:pPr>
    </w:p>
    <w:p>
      <w:pPr>
        <w:jc w:val="both"/>
        <w:ind w:firstLine="921"/>
        <w:spacing w:after="0" w:line="283" w:lineRule="auto"/>
        <w:tabs>
          <w:tab w:leader="none" w:pos="1132" w:val="left"/>
        </w:tabs>
        <w:numPr>
          <w:ilvl w:val="1"/>
          <w:numId w:val="65"/>
        </w:numPr>
        <w:rPr>
          <w:rFonts w:ascii="Arial" w:cs="Arial" w:eastAsia="Arial" w:hAnsi="Arial"/>
          <w:sz w:val="16"/>
          <w:szCs w:val="16"/>
          <w:color w:val="auto"/>
        </w:rPr>
      </w:pPr>
      <w:r>
        <w:rPr>
          <w:rFonts w:ascii="Arial" w:cs="Arial" w:eastAsia="Arial" w:hAnsi="Arial"/>
          <w:sz w:val="16"/>
          <w:szCs w:val="16"/>
          <w:u w:val="single" w:color="auto"/>
          <w:color w:val="auto"/>
        </w:rPr>
        <w:t>Role of L/C Issuer</w:t>
      </w:r>
      <w:r>
        <w:rPr>
          <w:rFonts w:ascii="Arial" w:cs="Arial" w:eastAsia="Arial" w:hAnsi="Arial"/>
          <w:sz w:val="16"/>
          <w:szCs w:val="16"/>
          <w:color w:val="auto"/>
        </w:rPr>
        <w:t>. Each Lender and the Borrower agree that, in paying any drawing under a Letter of Credit, the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 the Administrative Agent, any of their respective Related Parties nor any correspondent, participant or assignee of the L/C Issuer shall be liable to any Lender for</w:t>
      </w:r>
    </w:p>
    <w:p>
      <w:pPr>
        <w:spacing w:after="0" w:line="2" w:lineRule="exact"/>
        <w:rPr>
          <w:rFonts w:ascii="Arial" w:cs="Arial" w:eastAsia="Arial" w:hAnsi="Arial"/>
          <w:sz w:val="16"/>
          <w:szCs w:val="16"/>
          <w:color w:val="auto"/>
        </w:rPr>
      </w:pPr>
    </w:p>
    <w:p>
      <w:pPr>
        <w:ind w:left="220" w:hanging="212"/>
        <w:spacing w:after="0"/>
        <w:tabs>
          <w:tab w:leader="none" w:pos="2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any action taken or omitted in connection herewith at the request or with the approval of the Revolving Credit Lenders or the Required Lenders, as applicable,</w:t>
      </w:r>
    </w:p>
    <w:p>
      <w:pPr>
        <w:spacing w:after="0" w:line="32" w:lineRule="exact"/>
        <w:rPr>
          <w:rFonts w:ascii="Arial" w:cs="Arial" w:eastAsia="Arial" w:hAnsi="Arial"/>
          <w:sz w:val="16"/>
          <w:szCs w:val="16"/>
          <w:color w:val="auto"/>
        </w:rPr>
      </w:pPr>
    </w:p>
    <w:p>
      <w:pPr>
        <w:jc w:val="both"/>
        <w:ind w:firstLine="8"/>
        <w:spacing w:after="0" w:line="286" w:lineRule="auto"/>
        <w:tabs>
          <w:tab w:leader="none" w:pos="262"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any action taken or omitted in the absence of gross negligence or willful misconduct, or (iii)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assumption is not intended to, and shall not, preclude the Borrower pursuing such rights and remedies as it may have against the beneficiary or transferee at law or under any other agreement. None of the L/C Issuer, the Administrative Agent, any of their respective Related Parties nor any correspondent, participant or assignee of the L/C Issuer, shall be liable or responsible for any of the matters described in clauses (i) through (vi) of </w:t>
      </w:r>
      <w:r>
        <w:rPr>
          <w:rFonts w:ascii="Arial" w:cs="Arial" w:eastAsia="Arial" w:hAnsi="Arial"/>
          <w:sz w:val="16"/>
          <w:szCs w:val="16"/>
          <w:u w:val="single" w:color="auto"/>
          <w:color w:val="auto"/>
        </w:rPr>
        <w:t>Section 2.03(e)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anything in such clauses to the contrary notwithstanding, the Borrower may have a claim against the L/C Issuer, and the L/C Issuer may be liable to the Borrower, to the extent, but only to the extent, of any direct, as opposed to consequential or exemplary, damages suffered by the Borrower which the Borrower proves were caused by the L/C Issuer’s willful misconduct or gross negligence or the L/C Issuer’s willful failure to pay under any Letter of Credit after the presentation to it by the beneficiary of a sight draft and certificate(s) strictly complying with the terms and conditions of a Letter of Credit. In furtherance and not in limitation of the foregoing, the L/C Issuer may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0" w:right="239" w:bottom="1440" w:gutter="0" w:footer="0" w:header="0"/>
        </w:sectPr>
      </w:pPr>
    </w:p>
    <w:bookmarkStart w:id="89" w:name="page90"/>
    <w:bookmarkEnd w:id="89"/>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accept documents that appear on their face to be in order, without responsibility for further investigation, regardless of any notice or information to the contrary, and the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107" w:lineRule="exact"/>
        <w:rPr>
          <w:sz w:val="20"/>
          <w:szCs w:val="20"/>
          <w:color w:val="auto"/>
        </w:rPr>
      </w:pPr>
    </w:p>
    <w:p>
      <w:pPr>
        <w:ind w:firstLine="921"/>
        <w:spacing w:after="0" w:line="268" w:lineRule="auto"/>
        <w:tabs>
          <w:tab w:leader="none" w:pos="1161"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Applicability of ISP</w:t>
      </w:r>
      <w:r>
        <w:rPr>
          <w:rFonts w:ascii="Arial" w:cs="Arial" w:eastAsia="Arial" w:hAnsi="Arial"/>
          <w:sz w:val="18"/>
          <w:szCs w:val="18"/>
          <w:color w:val="auto"/>
        </w:rPr>
        <w:t>. Unless otherwise expressly agreed by the L/C Issuer and the Borrower when a Letter of Credit is issued, the rules of the ISP shall apply to each standby Letter of Credit.</w:t>
      </w:r>
    </w:p>
    <w:p>
      <w:pPr>
        <w:spacing w:after="0" w:line="131" w:lineRule="exact"/>
        <w:rPr>
          <w:rFonts w:ascii="Arial" w:cs="Arial" w:eastAsia="Arial" w:hAnsi="Arial"/>
          <w:sz w:val="18"/>
          <w:szCs w:val="18"/>
          <w:color w:val="auto"/>
        </w:rPr>
      </w:pPr>
    </w:p>
    <w:p>
      <w:pPr>
        <w:jc w:val="both"/>
        <w:ind w:firstLine="921"/>
        <w:spacing w:after="0" w:line="283" w:lineRule="auto"/>
        <w:tabs>
          <w:tab w:leader="none" w:pos="1161" w:val="left"/>
        </w:tabs>
        <w:numPr>
          <w:ilvl w:val="1"/>
          <w:numId w:val="67"/>
        </w:numPr>
        <w:rPr>
          <w:rFonts w:ascii="Arial" w:cs="Arial" w:eastAsia="Arial" w:hAnsi="Arial"/>
          <w:sz w:val="16"/>
          <w:szCs w:val="16"/>
          <w:color w:val="auto"/>
        </w:rPr>
      </w:pPr>
      <w:r>
        <w:rPr>
          <w:rFonts w:ascii="Arial" w:cs="Arial" w:eastAsia="Arial" w:hAnsi="Arial"/>
          <w:sz w:val="16"/>
          <w:szCs w:val="16"/>
          <w:u w:val="single" w:color="auto"/>
          <w:color w:val="auto"/>
        </w:rPr>
        <w:t>Letter of Credit Fees</w:t>
      </w:r>
      <w:r>
        <w:rPr>
          <w:rFonts w:ascii="Arial" w:cs="Arial" w:eastAsia="Arial" w:hAnsi="Arial"/>
          <w:sz w:val="16"/>
          <w:szCs w:val="16"/>
          <w:color w:val="auto"/>
        </w:rPr>
        <w:t>. The Borrower shall pay to the Administrative Agent for the account of each Revolving Credit Lender in accordance with its Applicable Revolving Credit Percentage a Letter of Credit fee (the “</w:t>
      </w:r>
      <w:r>
        <w:rPr>
          <w:rFonts w:ascii="Arial" w:cs="Arial" w:eastAsia="Arial" w:hAnsi="Arial"/>
          <w:sz w:val="16"/>
          <w:szCs w:val="16"/>
          <w:u w:val="single" w:color="auto"/>
          <w:color w:val="auto"/>
        </w:rPr>
        <w:t>Letter of Credit Fee</w:t>
      </w:r>
      <w:r>
        <w:rPr>
          <w:rFonts w:ascii="Arial" w:cs="Arial" w:eastAsia="Arial" w:hAnsi="Arial"/>
          <w:sz w:val="16"/>
          <w:szCs w:val="16"/>
          <w:color w:val="auto"/>
        </w:rPr>
        <w:t>”) for each Letter of Credit equal to the Applicable Rate times either (i) so long as no Event of Default has occurred and is continuing, the excess of the daily amount available to be drawn under such Letter of Credit over the amount of any Cash Collateral provided by such Borrower with respect to such Letter of Credit as a result of a Revolving Credit Lender becoming a Defaulting Lender or</w:t>
      </w:r>
    </w:p>
    <w:p>
      <w:pPr>
        <w:spacing w:after="0" w:line="2" w:lineRule="exact"/>
        <w:rPr>
          <w:rFonts w:ascii="Arial" w:cs="Arial" w:eastAsia="Arial" w:hAnsi="Arial"/>
          <w:sz w:val="16"/>
          <w:szCs w:val="16"/>
          <w:color w:val="auto"/>
        </w:rPr>
      </w:pPr>
    </w:p>
    <w:p>
      <w:pPr>
        <w:jc w:val="both"/>
        <w:ind w:firstLine="8"/>
        <w:spacing w:after="0" w:line="285" w:lineRule="auto"/>
        <w:tabs>
          <w:tab w:leader="none" w:pos="269"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otherwise, the daily amount available to be drawn under such Letter of Credit (irrespective of any Cash Collateral provided with respect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any Letter of Credit Fees otherwise payable for the account of a Defaulting Lender with respect to any Letter of Credit as to which such Defaulting Lender has not provided Cash Collateral satisfactory to the L/C Issuer pursuant to this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shall be payable, to the maximum extent permitted by applicable Law, to the other Revolving Credit Lenders in accordance with the upward adjustments in their respective Applicable Revolving Credit Percentages allocable to such Letter of Credit pursuant to </w:t>
      </w:r>
      <w:r>
        <w:rPr>
          <w:rFonts w:ascii="Arial" w:cs="Arial" w:eastAsia="Arial" w:hAnsi="Arial"/>
          <w:sz w:val="16"/>
          <w:szCs w:val="16"/>
          <w:u w:val="single" w:color="auto"/>
          <w:color w:val="auto"/>
        </w:rPr>
        <w:t>Section 2.15(a)(iv)</w:t>
      </w:r>
      <w:r>
        <w:rPr>
          <w:rFonts w:ascii="Arial" w:cs="Arial" w:eastAsia="Arial" w:hAnsi="Arial"/>
          <w:sz w:val="16"/>
          <w:szCs w:val="16"/>
          <w:color w:val="auto"/>
        </w:rPr>
        <w:t xml:space="preserve">, with the balance of such fee, if any, payable to the L/C Issuer for its own account. For purposes of computing the daily amount available to be drawn under any Letter of Credit, the amount of such Letter of Credit shall be determined in accordance with </w:t>
      </w:r>
      <w:r>
        <w:rPr>
          <w:rFonts w:ascii="Arial" w:cs="Arial" w:eastAsia="Arial" w:hAnsi="Arial"/>
          <w:sz w:val="16"/>
          <w:szCs w:val="16"/>
          <w:u w:val="single" w:color="auto"/>
          <w:color w:val="auto"/>
        </w:rPr>
        <w:t>Section 1.06</w:t>
      </w:r>
      <w:r>
        <w:rPr>
          <w:rFonts w:ascii="Arial" w:cs="Arial" w:eastAsia="Arial" w:hAnsi="Arial"/>
          <w:sz w:val="16"/>
          <w:szCs w:val="16"/>
          <w:color w:val="auto"/>
        </w:rPr>
        <w:t>. Such Letter of Credit Fees shall be (i) computed on a quarterly basis in arrears and (ii) due and payable on the last Business Day of each March, June, September and December, commencing with the first such date to occur after the issuance of such Letter of Credit, on the Letter of Credit Expiration Date and thereafter on demand.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upon the request of the Required Lenders, while any Event of Default exists, all Letter of Credit Fees shall accrue at the Default Rate.</w:t>
      </w:r>
    </w:p>
    <w:p>
      <w:pPr>
        <w:spacing w:after="0" w:line="126" w:lineRule="exact"/>
        <w:rPr>
          <w:rFonts w:ascii="Arial" w:cs="Arial" w:eastAsia="Arial" w:hAnsi="Arial"/>
          <w:sz w:val="16"/>
          <w:szCs w:val="16"/>
          <w:color w:val="auto"/>
        </w:rPr>
      </w:pPr>
    </w:p>
    <w:p>
      <w:pPr>
        <w:jc w:val="both"/>
        <w:ind w:firstLine="921"/>
        <w:spacing w:after="0" w:line="291" w:lineRule="auto"/>
        <w:tabs>
          <w:tab w:leader="none" w:pos="1136" w:val="left"/>
        </w:tabs>
        <w:numPr>
          <w:ilvl w:val="1"/>
          <w:numId w:val="68"/>
        </w:numPr>
        <w:rPr>
          <w:rFonts w:ascii="Arial" w:cs="Arial" w:eastAsia="Arial" w:hAnsi="Arial"/>
          <w:sz w:val="16"/>
          <w:szCs w:val="16"/>
          <w:color w:val="auto"/>
        </w:rPr>
      </w:pPr>
      <w:r>
        <w:rPr>
          <w:rFonts w:ascii="Arial" w:cs="Arial" w:eastAsia="Arial" w:hAnsi="Arial"/>
          <w:sz w:val="16"/>
          <w:szCs w:val="16"/>
          <w:u w:val="single" w:color="auto"/>
          <w:color w:val="auto"/>
        </w:rPr>
        <w:t>Fronting Fee and Documentary and Processing Charges Payable to L/C Issuer</w:t>
      </w:r>
      <w:r>
        <w:rPr>
          <w:rFonts w:ascii="Arial" w:cs="Arial" w:eastAsia="Arial" w:hAnsi="Arial"/>
          <w:sz w:val="16"/>
          <w:szCs w:val="16"/>
          <w:color w:val="auto"/>
        </w:rPr>
        <w:t>. The Borrower shall pay directly to the L/C Issuer for its own account a fronting fee with respect to each Letter of Credit, at the rate per annum specified in the Agent Fee Letter, computed on either (i) so long as no Event of Default has occurred and is continuing, the excess of the daily amount available to be drawn under such Letter of Credit over the amount of any Cash Collateral provided by such Borrower with respect to such Letter of Credit as a result of a Revolving Credit Lender becoming a Defaulting Lender or (ii) otherwise, the daily amount available to be drawn under such Letter of Credit (irrespective of any Cash Collateral provided with respect thereto), in each case on a quarterly basis in arrears. Such fronting fee shall be due and payable on the tenth Business Day after the end of each March, June, September and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90" w:name="page91"/>
    <w:bookmarkEnd w:id="90"/>
    <w:p>
      <w:pPr>
        <w:jc w:val="both"/>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December in respect of the most recently-ended quarterly period (or portion thereof, in the case of the first payment),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Arial" w:cs="Arial" w:eastAsia="Arial" w:hAnsi="Arial"/>
          <w:sz w:val="18"/>
          <w:szCs w:val="18"/>
          <w:u w:val="single" w:color="auto"/>
          <w:color w:val="auto"/>
        </w:rPr>
        <w:t>Section 1.06</w:t>
      </w:r>
      <w:r>
        <w:rPr>
          <w:rFonts w:ascii="Arial" w:cs="Arial" w:eastAsia="Arial" w:hAnsi="Arial"/>
          <w:sz w:val="18"/>
          <w:szCs w:val="18"/>
          <w:color w:val="auto"/>
        </w:rPr>
        <w:t>. In addition, the Borrower shall pay directly to the L/C Issuer for its own account the customary issuance, presentation, amendment and other processing fees, and other standard costs and charges, of the L/C Issuer relating to letters of credit as from time to time in effect. Such customary fees and standard costs and charges are due and payable on demand and are nonrefundable.</w:t>
      </w:r>
    </w:p>
    <w:p>
      <w:pPr>
        <w:spacing w:after="0" w:line="144" w:lineRule="exact"/>
        <w:rPr>
          <w:sz w:val="20"/>
          <w:szCs w:val="20"/>
          <w:color w:val="auto"/>
        </w:rPr>
      </w:pPr>
    </w:p>
    <w:p>
      <w:pPr>
        <w:ind w:left="1140" w:hanging="219"/>
        <w:spacing w:after="0"/>
        <w:tabs>
          <w:tab w:leader="none" w:pos="1140"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Conflict with Issuer Documents</w:t>
      </w:r>
      <w:r>
        <w:rPr>
          <w:rFonts w:ascii="Arial" w:cs="Arial" w:eastAsia="Arial" w:hAnsi="Arial"/>
          <w:sz w:val="16"/>
          <w:szCs w:val="16"/>
          <w:color w:val="auto"/>
        </w:rPr>
        <w:t>. In the event of any conflict between the terms hereof and the terms of any Issuer Document, the terms hereof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shall control.</w:t>
      </w:r>
    </w:p>
    <w:p>
      <w:pPr>
        <w:spacing w:after="0" w:line="164" w:lineRule="exact"/>
        <w:rPr>
          <w:rFonts w:ascii="Arial" w:cs="Arial" w:eastAsia="Arial" w:hAnsi="Arial"/>
          <w:sz w:val="16"/>
          <w:szCs w:val="16"/>
          <w:color w:val="auto"/>
        </w:rPr>
      </w:pPr>
    </w:p>
    <w:p>
      <w:pPr>
        <w:jc w:val="both"/>
        <w:ind w:firstLine="921"/>
        <w:spacing w:after="0" w:line="298" w:lineRule="auto"/>
        <w:tabs>
          <w:tab w:leader="none" w:pos="1161"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Letters of Credit Issued for Subsidiaries</w:t>
      </w:r>
      <w:r>
        <w:rPr>
          <w:rFonts w:ascii="Arial" w:cs="Arial" w:eastAsia="Arial" w:hAnsi="Arial"/>
          <w:sz w:val="16"/>
          <w:szCs w:val="16"/>
          <w:color w:val="auto"/>
        </w:rPr>
        <w:t>. Notwithstanding that a Letter of Credit issued or outstanding hereunder is in support of any obligations of, or is for the account of, or otherwise will benefit, a Subsidiary, the Borrower shall be obligated to reimburse the L/C Issuer hereunder for any and all drawings under such Letter of Credit. The Borrower hereby acknowledges that the issuance of Letters of Credit for the benefit of Subsidiaries inures to the account of the Borrower, and that the Borrower’s business derives substantial benefits from the businesses of such Subsidiaries.</w:t>
      </w:r>
    </w:p>
    <w:p>
      <w:pPr>
        <w:spacing w:after="0" w:line="107" w:lineRule="exact"/>
        <w:rPr>
          <w:sz w:val="20"/>
          <w:szCs w:val="20"/>
          <w:color w:val="auto"/>
        </w:rPr>
      </w:pPr>
    </w:p>
    <w:p>
      <w:pPr>
        <w:jc w:val="both"/>
        <w:ind w:firstLine="913"/>
        <w:spacing w:after="0" w:line="286" w:lineRule="auto"/>
        <w:rPr>
          <w:sz w:val="20"/>
          <w:szCs w:val="20"/>
          <w:color w:val="auto"/>
        </w:rPr>
      </w:pPr>
      <w:r>
        <w:rPr>
          <w:rFonts w:ascii="Arial" w:cs="Arial" w:eastAsia="Arial" w:hAnsi="Arial"/>
          <w:sz w:val="16"/>
          <w:szCs w:val="16"/>
          <w:b w:val="1"/>
          <w:bCs w:val="1"/>
          <w:color w:val="auto"/>
        </w:rPr>
        <w:t xml:space="preserve">2.04 Swing Line Loans. </w:t>
      </w:r>
      <w:r>
        <w:rPr>
          <w:rFonts w:ascii="Arial" w:cs="Arial" w:eastAsia="Arial" w:hAnsi="Arial"/>
          <w:sz w:val="16"/>
          <w:szCs w:val="16"/>
          <w:color w:val="auto"/>
        </w:rPr>
        <w:t>(a)</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The Swing Line</w:t>
      </w:r>
      <w:r>
        <w:rPr>
          <w:rFonts w:ascii="Arial" w:cs="Arial" w:eastAsia="Arial" w:hAnsi="Arial"/>
          <w:sz w:val="16"/>
          <w:szCs w:val="16"/>
          <w:color w:val="auto"/>
        </w:rPr>
        <w:t>. Subject to the terms and conditions set forth herein, the Swing Line Lender agrees, in reliance upon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agreements of the other Lenders set forth in this </w:t>
      </w:r>
      <w:r>
        <w:rPr>
          <w:rFonts w:ascii="Arial" w:cs="Arial" w:eastAsia="Arial" w:hAnsi="Arial"/>
          <w:sz w:val="16"/>
          <w:szCs w:val="16"/>
          <w:u w:val="single" w:color="auto"/>
          <w:color w:val="auto"/>
        </w:rPr>
        <w:t>Section 2.04</w:t>
      </w:r>
      <w:r>
        <w:rPr>
          <w:rFonts w:ascii="Arial" w:cs="Arial" w:eastAsia="Arial" w:hAnsi="Arial"/>
          <w:sz w:val="16"/>
          <w:szCs w:val="16"/>
          <w:color w:val="auto"/>
        </w:rPr>
        <w:t>, may in its sole discretion make loans (each such loan, a “</w:t>
      </w:r>
      <w:r>
        <w:rPr>
          <w:rFonts w:ascii="Arial" w:cs="Arial" w:eastAsia="Arial" w:hAnsi="Arial"/>
          <w:sz w:val="16"/>
          <w:szCs w:val="16"/>
          <w:u w:val="single" w:color="auto"/>
          <w:color w:val="auto"/>
        </w:rPr>
        <w:t>Swing Line Loan</w:t>
      </w:r>
      <w:r>
        <w:rPr>
          <w:rFonts w:ascii="Arial" w:cs="Arial" w:eastAsia="Arial" w:hAnsi="Arial"/>
          <w:sz w:val="16"/>
          <w:szCs w:val="16"/>
          <w:color w:val="auto"/>
        </w:rPr>
        <w:t xml:space="preserve">”) to the Borrower from time to time on any Business Day during the Availability Period in an aggregate amount not to exceed at any time outstanding the amount of the Swing Line Sublimit, notwithstanding the fact that such Swing Line Loans, when aggregated with the Applicable Revolving Credit Percentage of the Outstanding Amount of Revolving Credit Loans and L/C Obligations of the Lender acting as Swing Line Lender, may exceed the amount of such Lender’s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after giving effect to any Swing Line Loan, (i) the Total Outstandings shall not exceed the Facility at such time, and (ii) except as provided above with respect to the Swing Line Lender, the aggregate Outstanding Amount of the Revolving Credit Loans of any Revolving Credit Lender at such time, plus such Revolving Credit Lender’s Applicable Revolving Credit Percentage of the Outstanding Amount of all L/C Obligations at such time,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Revolving Credit Lender’s Applicable Revolving Credit Percentage of the Outstanding Amount of all Swing Line Loans at such time shall not exceed such Lender’s Commitment,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Borrower shall not use the proceeds of any Swing Line Loan to refinance any outstanding Swing Line Loan. Within the foregoing limits, and subject to the other terms and conditions hereof, the Borrower may borrow under this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prepay under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and reborrow under this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Each Swing Line Loan shall be a Base Rate Loan. Immediately upon the making of a Swing Line Loan, each Revolving Credit Lender shall be deemed to, and hereby irrevocably and unconditionally agrees to, purchase from the Swing Line Lender a risk participation in such Swing Line Loan in an amount equal to the product of such Revolving Credit Lender’s Applicable Revolving Credit Percentage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 amount of such Swing Line Loan.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0" w:right="239" w:bottom="1440" w:gutter="0" w:footer="0" w:header="0"/>
        </w:sectPr>
      </w:pPr>
    </w:p>
    <w:bookmarkStart w:id="91" w:name="page92"/>
    <w:bookmarkEnd w:id="91"/>
    <w:p>
      <w:pPr>
        <w:jc w:val="both"/>
        <w:ind w:firstLine="921"/>
        <w:spacing w:after="0" w:line="285" w:lineRule="auto"/>
        <w:tabs>
          <w:tab w:leader="none" w:pos="1175"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Borrowing Procedures</w:t>
      </w:r>
      <w:r>
        <w:rPr>
          <w:rFonts w:ascii="Arial" w:cs="Arial" w:eastAsia="Arial" w:hAnsi="Arial"/>
          <w:sz w:val="16"/>
          <w:szCs w:val="16"/>
          <w:color w:val="auto"/>
        </w:rPr>
        <w:t xml:space="preserve">. Each Swing Line Borrowing shall be made upon the Borrower’s irrevocable notice to the Swing Line Lender and the Administrative Agent, which may be given by telephone. Each such notice must be received by the Swing Line Lender and the Administrative Agent not later than 1:00 p.m. on the requested borrowing date, and shall specify (i) the amount to be borrowed, which shall be a minimum of $500,000 or a whole multiple of $100,000 in excess thereof, and (ii) the requested borrowing date, which shall be a Business Day. Each such telephonic notice must be confirmed promptly by delivery to the Swing Line Lender and the Administrative Agent of a written Swing Line Loan Notice, appropriately completed and signed by a Responsible Officer of the Borrower. Promptly after receipt by the Swing Line Lender of any telephonic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 of any Revolving Credit Lender) prior to 2:00 p.m. on the date of the proposed Swing Line Borrowing (A) directing the Swing Line Lender not to make such Swing Line Loan as a result of the limitations set forth in the first proviso to the first sentence of </w:t>
      </w:r>
      <w:r>
        <w:rPr>
          <w:rFonts w:ascii="Arial" w:cs="Arial" w:eastAsia="Arial" w:hAnsi="Arial"/>
          <w:sz w:val="16"/>
          <w:szCs w:val="16"/>
          <w:u w:val="single" w:color="auto"/>
          <w:color w:val="auto"/>
        </w:rPr>
        <w:t>Section 2.04(a)</w:t>
      </w:r>
      <w:r>
        <w:rPr>
          <w:rFonts w:ascii="Arial" w:cs="Arial" w:eastAsia="Arial" w:hAnsi="Arial"/>
          <w:sz w:val="16"/>
          <w:szCs w:val="16"/>
          <w:color w:val="auto"/>
        </w:rPr>
        <w:t xml:space="preserve">, or (B) that one or more of the applicable conditions specified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(other than matters previously waived) is not then satisfied, then, subject to the terms and conditions hereof, the Swing Line Lender will, not later than 3:00 p.m. on the borrowing date specified in such Swing Line Loan Notice, make the amount of its Swing Line Loan available to the Borrower at its office by crediting the account of the Borrower designated on the books of the Swing Line Lender in immediately available funds. If the Swing Line Lender elects in its sole discretion not to make a Swing Line Loan, the Borrower’s Swing Line Loan Notice will be deemed to be a requested Borrowing of Base Rate Loans under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that if such Swing Line Notice was delivered after 10:00 a.m. on the date the Swing Line Loan is requested, the deemed notice of a Borrowing of Base Rate Loans shall be deemed to have been delivered at 9:00 a.m. on the immediately succeeding Business Day.</w:t>
      </w:r>
    </w:p>
    <w:p>
      <w:pPr>
        <w:spacing w:after="0" w:line="121" w:lineRule="exact"/>
        <w:rPr>
          <w:rFonts w:ascii="Arial" w:cs="Arial" w:eastAsia="Arial" w:hAnsi="Arial"/>
          <w:sz w:val="16"/>
          <w:szCs w:val="16"/>
          <w:color w:val="auto"/>
        </w:rPr>
      </w:pPr>
    </w:p>
    <w:p>
      <w:pPr>
        <w:jc w:val="both"/>
        <w:ind w:firstLine="921"/>
        <w:spacing w:after="0" w:line="286" w:lineRule="auto"/>
        <w:tabs>
          <w:tab w:leader="none" w:pos="1152"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Refinancing of Swing Line Loans</w:t>
      </w:r>
      <w:r>
        <w:rPr>
          <w:rFonts w:ascii="Arial" w:cs="Arial" w:eastAsia="Arial" w:hAnsi="Arial"/>
          <w:sz w:val="16"/>
          <w:szCs w:val="16"/>
          <w:color w:val="auto"/>
        </w:rPr>
        <w:t xml:space="preserve">. (i) The Swing Line Lender at any time in its sole discretion may request, on behalf of the Borrower (which hereby irrevocably authorizes the Swing Line Lender to so request on its behalf), that each Revolving Credit Lender make a Base Rate Loan in an amount equal to such Lender’s Applicable Revolving Credit Percentage of the amount of Swing Line Loans then outstanding. Such request shall be made in writing (which written request shall be deemed to be a Loan Notice for purposes hereof) and in accordance with the requirements of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without regard to the minimum and multiples specified therein for the principal amount of Base Rate Loans, but subject to the unutilized portion of the Facility and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The Swing Line Lender shall furnish the Borrower with a copy of the applicable Loan Notice promptly after delivering such notice to the Administrative Agent. Each Revolving Credit Lender shall make an amount equal to its Applicable Revolving Credit Percentage of the amount specified in such Loan Notice available to the Administrative Agent in immediately available funds (and the Administrative Agent may apply Cash Collateral available with respect to the applicable Swing Line Loan) for the account of the Swing Line Lender at the Administrative Agent’s Office not later than 1:00 p.m. on the day specified in such Loan Notice, whereupon, subject to </w:t>
      </w:r>
      <w:r>
        <w:rPr>
          <w:rFonts w:ascii="Arial" w:cs="Arial" w:eastAsia="Arial" w:hAnsi="Arial"/>
          <w:sz w:val="16"/>
          <w:szCs w:val="16"/>
          <w:u w:val="single" w:color="auto"/>
          <w:color w:val="auto"/>
        </w:rPr>
        <w:t>Section 2.04(c)(ii)</w:t>
      </w:r>
      <w:r>
        <w:rPr>
          <w:rFonts w:ascii="Arial" w:cs="Arial" w:eastAsia="Arial" w:hAnsi="Arial"/>
          <w:sz w:val="16"/>
          <w:szCs w:val="16"/>
          <w:color w:val="auto"/>
        </w:rPr>
        <w:t>, each Revolving Credit Lender that so makes funds available shall be deemed to have made a Base Rate Loan to the Borrower in such amount. The Administrative Agent shall remit the funds so received to the Swing Line Lender.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80" w:right="239" w:bottom="1440" w:gutter="0" w:footer="0" w:header="0"/>
        </w:sectPr>
      </w:pPr>
    </w:p>
    <w:bookmarkStart w:id="92" w:name="page93"/>
    <w:bookmarkEnd w:id="92"/>
    <w:p>
      <w:pPr>
        <w:jc w:val="both"/>
        <w:ind w:left="460" w:firstLine="443"/>
        <w:spacing w:after="0" w:line="298" w:lineRule="auto"/>
        <w:tabs>
          <w:tab w:leader="none" w:pos="1169" w:val="left"/>
        </w:tabs>
        <w:numPr>
          <w:ilvl w:val="0"/>
          <w:numId w:val="7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for any reason any Swing Line Loan cannot be refinanced by such a Revolving Credit Borrowing in accordance with </w:t>
      </w:r>
      <w:r>
        <w:rPr>
          <w:rFonts w:ascii="Arial" w:cs="Arial" w:eastAsia="Arial" w:hAnsi="Arial"/>
          <w:sz w:val="16"/>
          <w:szCs w:val="16"/>
          <w:u w:val="single" w:color="auto"/>
          <w:color w:val="auto"/>
        </w:rPr>
        <w:t>Section 2.04(c)(i)</w:t>
      </w:r>
      <w:r>
        <w:rPr>
          <w:rFonts w:ascii="Arial" w:cs="Arial" w:eastAsia="Arial" w:hAnsi="Arial"/>
          <w:sz w:val="16"/>
          <w:szCs w:val="16"/>
          <w:color w:val="auto"/>
        </w:rPr>
        <w:t xml:space="preserve">, the request for Base Rate Loans submitted by the Swing Line Lender as set forth herein shall be deemed to be a request by the Swing Line Lender that each of the Revolving Credit Lenders fund its risk participation in the relevant Swing Line Loan and each Revolving Credit Lender’s payment to the Administrative Agent for the account of the Swing Line Lender pursuant to </w:t>
      </w:r>
      <w:r>
        <w:rPr>
          <w:rFonts w:ascii="Arial" w:cs="Arial" w:eastAsia="Arial" w:hAnsi="Arial"/>
          <w:sz w:val="16"/>
          <w:szCs w:val="16"/>
          <w:u w:val="single" w:color="auto"/>
          <w:color w:val="auto"/>
        </w:rPr>
        <w:t>Section 2.04(c)(i)</w:t>
      </w:r>
      <w:r>
        <w:rPr>
          <w:rFonts w:ascii="Arial" w:cs="Arial" w:eastAsia="Arial" w:hAnsi="Arial"/>
          <w:sz w:val="16"/>
          <w:szCs w:val="16"/>
          <w:color w:val="auto"/>
        </w:rPr>
        <w:t xml:space="preserve"> shall be deemed payment in respect of such participation.</w:t>
      </w:r>
    </w:p>
    <w:p>
      <w:pPr>
        <w:spacing w:after="0" w:line="31" w:lineRule="exact"/>
        <w:rPr>
          <w:rFonts w:ascii="Arial" w:cs="Arial" w:eastAsia="Arial" w:hAnsi="Arial"/>
          <w:sz w:val="16"/>
          <w:szCs w:val="16"/>
          <w:color w:val="auto"/>
        </w:rPr>
      </w:pPr>
    </w:p>
    <w:p>
      <w:pPr>
        <w:jc w:val="both"/>
        <w:ind w:left="460" w:firstLine="443"/>
        <w:spacing w:after="0" w:line="287" w:lineRule="auto"/>
        <w:tabs>
          <w:tab w:leader="none" w:pos="1229"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If any Revolving Credit Lender fails to make available to the Administrative Agent for the account of the Swing Line Lender any amount required to be paid by such Lender pursuant to the foregoing provisions of this </w:t>
      </w:r>
      <w:r>
        <w:rPr>
          <w:rFonts w:ascii="Arial" w:cs="Arial" w:eastAsia="Arial" w:hAnsi="Arial"/>
          <w:sz w:val="16"/>
          <w:szCs w:val="16"/>
          <w:u w:val="single" w:color="auto"/>
          <w:color w:val="auto"/>
        </w:rPr>
        <w:t>Section 2.04(c)</w:t>
      </w:r>
      <w:r>
        <w:rPr>
          <w:rFonts w:ascii="Arial" w:cs="Arial" w:eastAsia="Arial" w:hAnsi="Arial"/>
          <w:sz w:val="16"/>
          <w:szCs w:val="16"/>
          <w:color w:val="auto"/>
        </w:rPr>
        <w:t xml:space="preserve"> by the time specified in </w:t>
      </w:r>
      <w:r>
        <w:rPr>
          <w:rFonts w:ascii="Arial" w:cs="Arial" w:eastAsia="Arial" w:hAnsi="Arial"/>
          <w:sz w:val="16"/>
          <w:szCs w:val="16"/>
          <w:u w:val="single" w:color="auto"/>
          <w:color w:val="auto"/>
        </w:rPr>
        <w:t>Section 2.04(c)(i)</w:t>
      </w:r>
      <w:r>
        <w:rPr>
          <w:rFonts w:ascii="Arial" w:cs="Arial" w:eastAsia="Arial" w:hAnsi="Arial"/>
          <w:sz w:val="16"/>
          <w:szCs w:val="16"/>
          <w:color w:val="auto"/>
        </w:rPr>
        <w:t xml:space="preserve">,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greater of the Federal Funds Rate and a rate determined by the Swing Line Lender in accordance with banking industry rules on interbank compensation, plus any administrative, processing or similar fees customarily charged by the Swing Line Lender in connection with the foregoing. If such Lender pays such amount (with interest and fees as aforesaid), the amount so paid shall constitute such Lender’s Revolving Credit Loan included in the relevant Revolving Credit Borrowing or funded participation in the relevant Swing Line Loan, as the case may be. A certificate of the Swing Line Lender submitted to any Lender (through the Administrative Agent) with respect to any amounts owing under this </w:t>
      </w:r>
      <w:r>
        <w:rPr>
          <w:rFonts w:ascii="Arial" w:cs="Arial" w:eastAsia="Arial" w:hAnsi="Arial"/>
          <w:sz w:val="16"/>
          <w:szCs w:val="16"/>
          <w:u w:val="single" w:color="auto"/>
          <w:color w:val="auto"/>
        </w:rPr>
        <w:t>Section 2.04(c)(iii)</w:t>
      </w:r>
      <w:r>
        <w:rPr>
          <w:rFonts w:ascii="Arial" w:cs="Arial" w:eastAsia="Arial" w:hAnsi="Arial"/>
          <w:sz w:val="16"/>
          <w:szCs w:val="16"/>
          <w:color w:val="auto"/>
        </w:rPr>
        <w:t xml:space="preserve"> shall be conclusive absent manifest error.</w:t>
      </w:r>
    </w:p>
    <w:p>
      <w:pPr>
        <w:spacing w:after="0" w:line="41" w:lineRule="exact"/>
        <w:rPr>
          <w:rFonts w:ascii="Arial" w:cs="Arial" w:eastAsia="Arial" w:hAnsi="Arial"/>
          <w:sz w:val="16"/>
          <w:szCs w:val="16"/>
          <w:color w:val="auto"/>
        </w:rPr>
      </w:pPr>
    </w:p>
    <w:p>
      <w:pPr>
        <w:jc w:val="both"/>
        <w:ind w:left="460" w:firstLine="443"/>
        <w:spacing w:after="0" w:line="290" w:lineRule="auto"/>
        <w:tabs>
          <w:tab w:leader="none" w:pos="1211"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Each Revolving Credit Lender’s obligation to make Revolving Credit Loans or to purchase and fund risk participations in Swing Line Loans pursuant to this </w:t>
      </w:r>
      <w:r>
        <w:rPr>
          <w:rFonts w:ascii="Arial" w:cs="Arial" w:eastAsia="Arial" w:hAnsi="Arial"/>
          <w:sz w:val="16"/>
          <w:szCs w:val="16"/>
          <w:u w:val="single" w:color="auto"/>
          <w:color w:val="auto"/>
        </w:rPr>
        <w:t>Section 2.04(c)</w:t>
      </w:r>
      <w:r>
        <w:rPr>
          <w:rFonts w:ascii="Arial" w:cs="Arial" w:eastAsia="Arial" w:hAnsi="Arial"/>
          <w:sz w:val="16"/>
          <w:szCs w:val="16"/>
          <w:color w:val="auto"/>
        </w:rPr>
        <w:t xml:space="preserve"> shall be absolute and unconditional and shall not be affected by any circumstance, including (A) any setoff, counterclaim, recoupment, defense or other right which such Lender may have against the Swing Line Lender, the Borrower or any other Person for any reason whatsoever, (B) the occurrence or continuance of a Default, or (C) any other occurrence, event or condition, whether or not similar to any of the foregoing; provided, however, that each Revolving Credit Lender’s obligation to make Revolving Credit Loans pursuant to this </w:t>
      </w:r>
      <w:r>
        <w:rPr>
          <w:rFonts w:ascii="Arial" w:cs="Arial" w:eastAsia="Arial" w:hAnsi="Arial"/>
          <w:sz w:val="16"/>
          <w:szCs w:val="16"/>
          <w:u w:val="single" w:color="auto"/>
          <w:color w:val="auto"/>
        </w:rPr>
        <w:t>Section 2.04(c)</w:t>
      </w:r>
      <w:r>
        <w:rPr>
          <w:rFonts w:ascii="Arial" w:cs="Arial" w:eastAsia="Arial" w:hAnsi="Arial"/>
          <w:sz w:val="16"/>
          <w:szCs w:val="16"/>
          <w:color w:val="auto"/>
        </w:rPr>
        <w:t xml:space="preserve"> is subject to the amount of the unutilized portion of the Facility and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No such funding of risk participations shall relieve or otherwise impair the obligation of the Borrower to repay Swing Line Loans, together with interest as provided herein.</w:t>
      </w:r>
    </w:p>
    <w:p>
      <w:pPr>
        <w:spacing w:after="0" w:line="118" w:lineRule="exact"/>
        <w:rPr>
          <w:rFonts w:ascii="Arial" w:cs="Arial" w:eastAsia="Arial" w:hAnsi="Arial"/>
          <w:sz w:val="16"/>
          <w:szCs w:val="16"/>
          <w:color w:val="auto"/>
        </w:rPr>
      </w:pPr>
    </w:p>
    <w:p>
      <w:pPr>
        <w:jc w:val="both"/>
        <w:ind w:firstLine="921"/>
        <w:spacing w:after="0" w:line="298" w:lineRule="auto"/>
        <w:tabs>
          <w:tab w:leader="none" w:pos="1161" w:val="left"/>
        </w:tabs>
        <w:numPr>
          <w:ilvl w:val="1"/>
          <w:numId w:val="71"/>
        </w:numPr>
        <w:rPr>
          <w:rFonts w:ascii="Arial" w:cs="Arial" w:eastAsia="Arial" w:hAnsi="Arial"/>
          <w:sz w:val="16"/>
          <w:szCs w:val="16"/>
          <w:color w:val="auto"/>
        </w:rPr>
      </w:pPr>
      <w:r>
        <w:rPr>
          <w:rFonts w:ascii="Arial" w:cs="Arial" w:eastAsia="Arial" w:hAnsi="Arial"/>
          <w:sz w:val="16"/>
          <w:szCs w:val="16"/>
          <w:u w:val="single" w:color="auto"/>
          <w:color w:val="auto"/>
        </w:rPr>
        <w:t>Repayment of Participations</w:t>
      </w:r>
      <w:r>
        <w:rPr>
          <w:rFonts w:ascii="Arial" w:cs="Arial" w:eastAsia="Arial" w:hAnsi="Arial"/>
          <w:sz w:val="16"/>
          <w:szCs w:val="16"/>
          <w:color w:val="auto"/>
        </w:rPr>
        <w:t>. (i) At any time after any Revolving Credit Lender has purchased and funded a risk participation in a Swing Line Loan, if the Swing Line Lender receives any payment on account of such Swing Line Loan, the Swing Line Lender will distribute to such Revolving Credit Lender its Applicable Revolving Credit Percentage of such payment (appropriately adjusted, in the case of interest payments, to reflect the period of time during which such Lender’s risk participation was funded) in the same funds as those received by the Swing Line Lender.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80" w:right="239" w:bottom="1440" w:gutter="0" w:footer="0" w:header="0"/>
        </w:sectPr>
      </w:pPr>
    </w:p>
    <w:bookmarkStart w:id="93" w:name="page94"/>
    <w:bookmarkEnd w:id="93"/>
    <w:p>
      <w:pPr>
        <w:jc w:val="both"/>
        <w:ind w:left="460" w:firstLine="443"/>
        <w:spacing w:after="0" w:line="291" w:lineRule="auto"/>
        <w:tabs>
          <w:tab w:leader="none" w:pos="1167" w:val="left"/>
        </w:tabs>
        <w:numPr>
          <w:ilvl w:val="0"/>
          <w:numId w:val="7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any payment received by the Swing Line Lender in respect of principal or interest on any Swing Line Loan is required to be returned by the Swing Line Lender under any of the circumstances described in </w:t>
      </w:r>
      <w:r>
        <w:rPr>
          <w:rFonts w:ascii="Arial" w:cs="Arial" w:eastAsia="Arial" w:hAnsi="Arial"/>
          <w:sz w:val="16"/>
          <w:szCs w:val="16"/>
          <w:u w:val="single" w:color="auto"/>
          <w:color w:val="auto"/>
        </w:rPr>
        <w:t>Section 10.05</w:t>
      </w:r>
      <w:r>
        <w:rPr>
          <w:rFonts w:ascii="Arial" w:cs="Arial" w:eastAsia="Arial" w:hAnsi="Arial"/>
          <w:sz w:val="16"/>
          <w:szCs w:val="16"/>
          <w:color w:val="auto"/>
        </w:rPr>
        <w:t xml:space="preserve"> (including pursuant to any settlement entered into by the Swing Line Lender in its discretion), each Revolving Credit Lender shall pay to the Swing Line Lender its Applicable Revolving Credit Percentage thereof on demand of the Administrative Agent, plus interest thereon from the date of such demand to the date such amount is returned, at a rate per annum equal to the Federal Funds Rate. The Administrative Agent will make such demand upon the request of the Swing Line Lender. The obligations of the Lenders under this clause shall survive the payment in full of the Obligations and the termination of this Agreement.</w:t>
      </w:r>
    </w:p>
    <w:p>
      <w:pPr>
        <w:spacing w:after="0" w:line="120" w:lineRule="exact"/>
        <w:rPr>
          <w:sz w:val="20"/>
          <w:szCs w:val="20"/>
          <w:color w:val="auto"/>
        </w:rPr>
      </w:pPr>
    </w:p>
    <w:p>
      <w:pPr>
        <w:jc w:val="both"/>
        <w:ind w:firstLine="921"/>
        <w:spacing w:after="0" w:line="256" w:lineRule="auto"/>
        <w:tabs>
          <w:tab w:leader="none" w:pos="1165"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Interest for Account of Swing Line Lender</w:t>
      </w:r>
      <w:r>
        <w:rPr>
          <w:rFonts w:ascii="Arial" w:cs="Arial" w:eastAsia="Arial" w:hAnsi="Arial"/>
          <w:sz w:val="18"/>
          <w:szCs w:val="18"/>
          <w:color w:val="auto"/>
        </w:rPr>
        <w:t xml:space="preserve">. The Swing Line Lender shall be responsible for invoicing the Borrower for interest on the Swing Line Loans. Until each Revolving Credit Lender funds its Base Rate Loan or risk participation pursuant to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to refinance such Revolving Credit Lender’s Applicable Revolving Credit Percentage of any Swing Line Loan, interest in respect of such Applicable Revolving Credit Percentage shall be solely for the account of the Swing Line Lender.</w:t>
      </w:r>
    </w:p>
    <w:p>
      <w:pPr>
        <w:spacing w:after="0" w:line="143" w:lineRule="exact"/>
        <w:rPr>
          <w:rFonts w:ascii="Arial" w:cs="Arial" w:eastAsia="Arial" w:hAnsi="Arial"/>
          <w:sz w:val="18"/>
          <w:szCs w:val="18"/>
          <w:color w:val="auto"/>
        </w:rPr>
      </w:pPr>
    </w:p>
    <w:p>
      <w:pPr>
        <w:ind w:firstLine="921"/>
        <w:spacing w:after="0" w:line="268" w:lineRule="auto"/>
        <w:tabs>
          <w:tab w:leader="none" w:pos="1146"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Payments Directly to Swing Line Lender</w:t>
      </w:r>
      <w:r>
        <w:rPr>
          <w:rFonts w:ascii="Arial" w:cs="Arial" w:eastAsia="Arial" w:hAnsi="Arial"/>
          <w:sz w:val="18"/>
          <w:szCs w:val="18"/>
          <w:color w:val="auto"/>
        </w:rPr>
        <w:t>. The Borrower shall make all payments of principal and interest in respect of the Swing Line Loans directly to the Swing Line Lender.</w:t>
      </w:r>
    </w:p>
    <w:p>
      <w:pPr>
        <w:spacing w:after="0" w:line="126" w:lineRule="exact"/>
        <w:rPr>
          <w:sz w:val="20"/>
          <w:szCs w:val="20"/>
          <w:color w:val="auto"/>
        </w:rPr>
      </w:pPr>
    </w:p>
    <w:p>
      <w:pPr>
        <w:jc w:val="both"/>
        <w:ind w:firstLine="913"/>
        <w:spacing w:after="0" w:line="287" w:lineRule="auto"/>
        <w:rPr>
          <w:sz w:val="20"/>
          <w:szCs w:val="20"/>
          <w:color w:val="auto"/>
        </w:rPr>
      </w:pPr>
      <w:r>
        <w:rPr>
          <w:rFonts w:ascii="Arial" w:cs="Arial" w:eastAsia="Arial" w:hAnsi="Arial"/>
          <w:sz w:val="16"/>
          <w:szCs w:val="16"/>
          <w:b w:val="1"/>
          <w:bCs w:val="1"/>
          <w:color w:val="auto"/>
        </w:rPr>
        <w:t xml:space="preserve">2.05 Prepayments. </w:t>
      </w:r>
      <w:r>
        <w:rPr>
          <w:rFonts w:ascii="Arial" w:cs="Arial" w:eastAsia="Arial" w:hAnsi="Arial"/>
          <w:sz w:val="16"/>
          <w:szCs w:val="16"/>
          <w:color w:val="auto"/>
        </w:rPr>
        <w:t>(a)</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Optional</w:t>
      </w:r>
      <w:r>
        <w:rPr>
          <w:rFonts w:ascii="Arial" w:cs="Arial" w:eastAsia="Arial" w:hAnsi="Arial"/>
          <w:sz w:val="16"/>
          <w:szCs w:val="16"/>
          <w:color w:val="auto"/>
        </w:rPr>
        <w:t>. (i) Subject to the last sentence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2.05(a)(i)</w:t>
      </w:r>
      <w:r>
        <w:rPr>
          <w:rFonts w:ascii="Arial" w:cs="Arial" w:eastAsia="Arial" w:hAnsi="Arial"/>
          <w:sz w:val="16"/>
          <w:szCs w:val="16"/>
          <w:color w:val="auto"/>
        </w:rPr>
        <w:t>, the Borrower may upon notice to the Administrative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Agent, at any time or from time to time, voluntarily prepay Revolving Credit Loans in whole or in part without premium or penalty;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notice must be received by the Administrative Agent not later than 11:00 a.m. (x) three Business Days prior to any date of prepayment of Eurodollar Rate Loans and</w:t>
      </w:r>
    </w:p>
    <w:p>
      <w:pPr>
        <w:spacing w:after="0" w:line="1" w:lineRule="exact"/>
        <w:rPr>
          <w:sz w:val="20"/>
          <w:szCs w:val="20"/>
          <w:color w:val="auto"/>
        </w:rPr>
      </w:pPr>
    </w:p>
    <w:p>
      <w:pPr>
        <w:jc w:val="both"/>
        <w:ind w:firstLine="8"/>
        <w:spacing w:after="0" w:line="287" w:lineRule="auto"/>
        <w:tabs>
          <w:tab w:leader="none" w:pos="250" w:val="left"/>
        </w:tabs>
        <w:numPr>
          <w:ilvl w:val="0"/>
          <w:numId w:val="74"/>
        </w:numPr>
        <w:rPr>
          <w:rFonts w:ascii="Arial" w:cs="Arial" w:eastAsia="Arial" w:hAnsi="Arial"/>
          <w:sz w:val="16"/>
          <w:szCs w:val="16"/>
          <w:color w:val="auto"/>
        </w:rPr>
      </w:pPr>
      <w:r>
        <w:rPr>
          <w:rFonts w:ascii="Arial" w:cs="Arial" w:eastAsia="Arial" w:hAnsi="Arial"/>
          <w:sz w:val="16"/>
          <w:szCs w:val="16"/>
          <w:color w:val="auto"/>
        </w:rPr>
        <w:t xml:space="preserve">on the date of prepayment of Base Rate Loans, (B) any prepayment of Eurodollar Rate Loans shall be in a principal amount of $5,000,000 or a whole multiple of $1,000,000 in excess thereof, and (C) any prepayment of Base Rate Loans shall be in a principal amount of $1,000,000 or a whole multiple of $500,000 in excess thereof or, in each case, if less, the entire principal amount thereof then outstanding. Each such notice shall specify the date and amount of such prepayment and the Type(s) of Loans to be prepaid. The Administrative Agent will promptly notify each Lender of its receipt of each such notice, and of such Lender’s Applicable Percentage of such prepayment. If such notice is given by the Borrower, the Borrower shall irrevocably make such prepayment and the payment amount specified in such notice shall be due and payable on the date specified therein. Any prepayment of a Eurodollar Rate Loan shall be accompanied by all accrued interest on the amount prepaid, together with any additional amounts required pursuant to </w:t>
      </w:r>
      <w:r>
        <w:rPr>
          <w:rFonts w:ascii="Arial" w:cs="Arial" w:eastAsia="Arial" w:hAnsi="Arial"/>
          <w:sz w:val="16"/>
          <w:szCs w:val="16"/>
          <w:u w:val="single" w:color="auto"/>
          <w:color w:val="auto"/>
        </w:rPr>
        <w:t>Section 3.05</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prepayments shall be applied to the Loans of the Lenders in accordance with their respective Applicable Percentages;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first to Base Rate Loans and then to Eurodollar Rate Loans specified in such notice in direct order of Interest Period maturities.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80" w:right="239" w:bottom="1440" w:gutter="0" w:footer="0" w:header="0"/>
        </w:sectPr>
      </w:pPr>
    </w:p>
    <w:bookmarkStart w:id="94" w:name="page95"/>
    <w:bookmarkEnd w:id="94"/>
    <w:p>
      <w:pPr>
        <w:jc w:val="both"/>
        <w:ind w:left="460" w:firstLine="443"/>
        <w:spacing w:after="0" w:line="294" w:lineRule="auto"/>
        <w:tabs>
          <w:tab w:leader="none" w:pos="1158" w:val="left"/>
        </w:tabs>
        <w:numPr>
          <w:ilvl w:val="0"/>
          <w:numId w:val="7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Borrower may upon notice to the Swing Line Lender (with a copy to the Administrative Agent), at any time or from time to time, voluntarily prepay Swing Line Loans in whole or in part without premium or penalty; provided that (A) such notice must be received by the Swing Line Lender and the Administrative Agent not later than 1:00 p.m. on the date of the prepayment, and (B) any such prepayment shall be in a minimum principal amount of $100,000. Each such notice shall specify the date and amount of such prepayment. If such notice is given by the Borrower, the Borrower shall make such prepayment and the payment amount specified in such notice shall be due and payable on the date specified therein.</w:t>
      </w:r>
    </w:p>
    <w:p>
      <w:pPr>
        <w:spacing w:after="0" w:line="196" w:lineRule="exact"/>
        <w:rPr>
          <w:rFonts w:ascii="Arial" w:cs="Arial" w:eastAsia="Arial" w:hAnsi="Arial"/>
          <w:sz w:val="16"/>
          <w:szCs w:val="16"/>
          <w:color w:val="auto"/>
        </w:rPr>
      </w:pPr>
    </w:p>
    <w:p>
      <w:pPr>
        <w:ind w:left="1160" w:hanging="239"/>
        <w:spacing w:after="0"/>
        <w:tabs>
          <w:tab w:leader="none" w:pos="116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Mandatory</w:t>
      </w:r>
      <w:r>
        <w:rPr>
          <w:rFonts w:ascii="Arial" w:cs="Arial" w:eastAsia="Arial" w:hAnsi="Arial"/>
          <w:sz w:val="18"/>
          <w:szCs w:val="18"/>
          <w:color w:val="auto"/>
        </w:rPr>
        <w:t>.</w:t>
      </w:r>
    </w:p>
    <w:p>
      <w:pPr>
        <w:spacing w:after="0" w:line="90" w:lineRule="exact"/>
        <w:rPr>
          <w:sz w:val="20"/>
          <w:szCs w:val="20"/>
          <w:color w:val="auto"/>
        </w:rPr>
      </w:pPr>
    </w:p>
    <w:p>
      <w:pPr>
        <w:ind w:left="1120" w:hanging="217"/>
        <w:spacing w:after="0"/>
        <w:tabs>
          <w:tab w:leader="none" w:pos="11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0" w:lineRule="exact"/>
        <w:rPr>
          <w:rFonts w:ascii="Arial" w:cs="Arial" w:eastAsia="Arial" w:hAnsi="Arial"/>
          <w:sz w:val="18"/>
          <w:szCs w:val="18"/>
          <w:color w:val="auto"/>
        </w:rPr>
      </w:pPr>
    </w:p>
    <w:p>
      <w:pPr>
        <w:jc w:val="both"/>
        <w:ind w:left="460" w:firstLine="443"/>
        <w:spacing w:after="0" w:line="298" w:lineRule="auto"/>
        <w:tabs>
          <w:tab w:leader="none" w:pos="1206"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If for any reason the Total Outstandings at any time exceed the Facility at such time, the Borrower shall immediately prepay Revolving Credit Loans, Swing Line Loans and L/C Borrowings and/or Cash Collateralize the L/C Obligations in an aggregate amount equal to such excess;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Borrower shall not be required to Cash Collateralize the L/C Obligations pursuant to this </w:t>
      </w:r>
      <w:r>
        <w:rPr>
          <w:rFonts w:ascii="Arial" w:cs="Arial" w:eastAsia="Arial" w:hAnsi="Arial"/>
          <w:sz w:val="16"/>
          <w:szCs w:val="16"/>
          <w:u w:val="single" w:color="auto"/>
          <w:color w:val="auto"/>
        </w:rPr>
        <w:t>Section 2.05(b)(iv)</w:t>
      </w:r>
      <w:r>
        <w:rPr>
          <w:rFonts w:ascii="Arial" w:cs="Arial" w:eastAsia="Arial" w:hAnsi="Arial"/>
          <w:sz w:val="16"/>
          <w:szCs w:val="16"/>
          <w:color w:val="auto"/>
        </w:rPr>
        <w:t xml:space="preserve"> unless, after the prepayment of the Revolving Credit Loans and Swing Line Loans, the Total Outstandings exceed the Facility at such time.</w:t>
      </w:r>
    </w:p>
    <w:p>
      <w:pPr>
        <w:spacing w:after="0" w:line="31" w:lineRule="exact"/>
        <w:rPr>
          <w:rFonts w:ascii="Arial" w:cs="Arial" w:eastAsia="Arial" w:hAnsi="Arial"/>
          <w:sz w:val="16"/>
          <w:szCs w:val="16"/>
          <w:color w:val="auto"/>
        </w:rPr>
      </w:pPr>
    </w:p>
    <w:p>
      <w:pPr>
        <w:jc w:val="both"/>
        <w:ind w:left="460" w:firstLine="443"/>
        <w:spacing w:after="0" w:line="294" w:lineRule="auto"/>
        <w:tabs>
          <w:tab w:leader="none" w:pos="1151"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Except as otherwise provided in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prepayments of the Facility made pursuant to this </w:t>
      </w:r>
      <w:r>
        <w:rPr>
          <w:rFonts w:ascii="Arial" w:cs="Arial" w:eastAsia="Arial" w:hAnsi="Arial"/>
          <w:sz w:val="16"/>
          <w:szCs w:val="16"/>
          <w:u w:val="single" w:color="auto"/>
          <w:color w:val="auto"/>
        </w:rPr>
        <w:t>Section 2.05(b)</w:t>
      </w:r>
      <w:r>
        <w:rPr>
          <w:rFonts w:ascii="Arial" w:cs="Arial" w:eastAsia="Arial" w:hAnsi="Arial"/>
          <w:sz w:val="16"/>
          <w:szCs w:val="16"/>
          <w:color w:val="auto"/>
        </w:rPr>
        <w:t xml:space="preserve">,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shall be applied ratably to the L/C Borrowings and the Swing Line Loans,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shall be applied ratably to the outstanding Revolving Credit Loans, and, </w:t>
      </w:r>
      <w:r>
        <w:rPr>
          <w:rFonts w:ascii="Arial" w:cs="Arial" w:eastAsia="Arial" w:hAnsi="Arial"/>
          <w:sz w:val="16"/>
          <w:szCs w:val="16"/>
          <w:u w:val="single" w:color="auto"/>
          <w:color w:val="auto"/>
        </w:rPr>
        <w:t>third</w:t>
      </w:r>
      <w:r>
        <w:rPr>
          <w:rFonts w:ascii="Arial" w:cs="Arial" w:eastAsia="Arial" w:hAnsi="Arial"/>
          <w:sz w:val="16"/>
          <w:szCs w:val="16"/>
          <w:color w:val="auto"/>
        </w:rPr>
        <w:t>, shall be used to Cash Collateralize the remaining L/C Obligations. Upon the drawing of any Letter of Credit that has been Cash Collateralized, the funds held as Cash Collateral shall be applied (without any further action by or notice to or from the Borrower or any other Loan Party or any Defaulting Lender that has provided Cash Collateral) to reimburse the L/C Issuer or the Revolving Credit Lenders, as applicable.</w:t>
      </w:r>
    </w:p>
    <w:p>
      <w:pPr>
        <w:spacing w:after="0" w:line="110" w:lineRule="exact"/>
        <w:rPr>
          <w:sz w:val="20"/>
          <w:szCs w:val="20"/>
          <w:color w:val="auto"/>
        </w:rPr>
      </w:pPr>
    </w:p>
    <w:p>
      <w:pPr>
        <w:jc w:val="both"/>
        <w:ind w:firstLine="913"/>
        <w:spacing w:after="0" w:line="285" w:lineRule="auto"/>
        <w:rPr>
          <w:sz w:val="20"/>
          <w:szCs w:val="20"/>
          <w:color w:val="auto"/>
        </w:rPr>
      </w:pPr>
      <w:r>
        <w:rPr>
          <w:rFonts w:ascii="Arial" w:cs="Arial" w:eastAsia="Arial" w:hAnsi="Arial"/>
          <w:sz w:val="16"/>
          <w:szCs w:val="16"/>
          <w:b w:val="1"/>
          <w:bCs w:val="1"/>
          <w:color w:val="auto"/>
        </w:rPr>
        <w:t xml:space="preserve">2.06 Termination or Reduction of Commitments. </w:t>
      </w:r>
      <w:r>
        <w:rPr>
          <w:rFonts w:ascii="Arial" w:cs="Arial" w:eastAsia="Arial" w:hAnsi="Arial"/>
          <w:sz w:val="16"/>
          <w:szCs w:val="16"/>
          <w:color w:val="auto"/>
        </w:rPr>
        <w:t>(a)</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Optional</w:t>
      </w:r>
      <w:r>
        <w:rPr>
          <w:rFonts w:ascii="Arial" w:cs="Arial" w:eastAsia="Arial" w:hAnsi="Arial"/>
          <w:sz w:val="16"/>
          <w:szCs w:val="16"/>
          <w:color w:val="auto"/>
        </w:rPr>
        <w:t>. The Borrower may, upon notice to the Administrative Agent, terminate the Facility,</w:t>
      </w:r>
      <w:r>
        <w:rPr>
          <w:rFonts w:ascii="Arial" w:cs="Arial" w:eastAsia="Arial" w:hAnsi="Arial"/>
          <w:sz w:val="16"/>
          <w:szCs w:val="16"/>
          <w:b w:val="1"/>
          <w:bCs w:val="1"/>
          <w:color w:val="auto"/>
        </w:rPr>
        <w:t xml:space="preserve"> </w:t>
      </w:r>
      <w:r>
        <w:rPr>
          <w:rFonts w:ascii="Arial" w:cs="Arial" w:eastAsia="Arial" w:hAnsi="Arial"/>
          <w:sz w:val="16"/>
          <w:szCs w:val="16"/>
          <w:color w:val="auto"/>
        </w:rPr>
        <w:t>the Letter of Credit Sublimit or the Swing Line Sublimit, or from time to time permanently reduce the Facility, the Letter of Credit Sublimit or the Swing Line Sublimit; provided that (i) any such notice shall be received by the Administrative Agent not later than 11:00 a.m. five Business Days prior to the date of termination or reduction, (ii) any such partial reduction shall be in an aggregate amount of $5,000,000 or any whole multiple of $1,000,000 in excess thereof and</w:t>
      </w:r>
    </w:p>
    <w:p>
      <w:pPr>
        <w:spacing w:after="0" w:line="3" w:lineRule="exact"/>
        <w:rPr>
          <w:sz w:val="20"/>
          <w:szCs w:val="20"/>
          <w:color w:val="auto"/>
        </w:rPr>
      </w:pPr>
    </w:p>
    <w:p>
      <w:pPr>
        <w:jc w:val="both"/>
        <w:ind w:firstLine="8"/>
        <w:spacing w:after="0" w:line="255" w:lineRule="auto"/>
        <w:tabs>
          <w:tab w:leader="none" w:pos="309"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Borrower shall not terminate or reduce (A) the Facility if, after giving effect thereto and to any concurrent prepayments hereunder, the Total Outstandings would exceed the Facility, (B) the Letter of Credit Sublimit if, after giving effect thereto, the Outstanding Amount of L/C Obligations not fully Cash Collateralized hereunder would exceed the Letter of Credit Sublimit,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80" w:right="239" w:bottom="1440" w:gutter="0" w:footer="0" w:header="0"/>
        </w:sectPr>
      </w:pPr>
    </w:p>
    <w:bookmarkStart w:id="95" w:name="page96"/>
    <w:bookmarkEnd w:id="95"/>
    <w:p>
      <w:pPr>
        <w:jc w:val="both"/>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or (C) the Swing Line Sublimit if, after giving effect thereto and to any concurrent prepayments hereunder, the Outstanding Amount of Swing Line Loans would exceed the Swing Line Sublimit. The Administrative Agent will promptly notify the Lenders of any termination or reduction of the Letter of Credit Sublimit, Swing Line Sublimit or the Facility under this </w:t>
      </w:r>
      <w:r>
        <w:rPr>
          <w:rFonts w:ascii="Arial" w:cs="Arial" w:eastAsia="Arial" w:hAnsi="Arial"/>
          <w:sz w:val="16"/>
          <w:szCs w:val="16"/>
          <w:u w:val="single" w:color="auto"/>
          <w:color w:val="auto"/>
        </w:rPr>
        <w:t>Section 2.06</w:t>
      </w:r>
      <w:r>
        <w:rPr>
          <w:rFonts w:ascii="Arial" w:cs="Arial" w:eastAsia="Arial" w:hAnsi="Arial"/>
          <w:sz w:val="16"/>
          <w:szCs w:val="16"/>
          <w:color w:val="auto"/>
        </w:rPr>
        <w:t>. Upon any reduction of the Commitments, the Commitment of each Revolving Credit Lender shall be reduced by such Lender’s Applicable Revolving Credit Percentage of such reduction amount.</w:t>
      </w:r>
    </w:p>
    <w:p>
      <w:pPr>
        <w:spacing w:after="0" w:line="194" w:lineRule="exact"/>
        <w:rPr>
          <w:sz w:val="20"/>
          <w:szCs w:val="20"/>
          <w:color w:val="auto"/>
        </w:rPr>
      </w:pPr>
    </w:p>
    <w:p>
      <w:pPr>
        <w:ind w:left="1160" w:hanging="239"/>
        <w:spacing w:after="0"/>
        <w:tabs>
          <w:tab w:leader="none" w:pos="1160"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t>Mandatory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0" w:lineRule="exact"/>
        <w:rPr>
          <w:rFonts w:ascii="Arial" w:cs="Arial" w:eastAsia="Arial" w:hAnsi="Arial"/>
          <w:sz w:val="18"/>
          <w:szCs w:val="18"/>
          <w:color w:val="auto"/>
        </w:rPr>
      </w:pPr>
    </w:p>
    <w:p>
      <w:pPr>
        <w:jc w:val="both"/>
        <w:ind w:left="460" w:firstLine="443"/>
        <w:spacing w:after="0" w:line="259" w:lineRule="auto"/>
        <w:tabs>
          <w:tab w:leader="none" w:pos="1170"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If after giving effect to any reduction or termination of Commitments under this </w:t>
      </w:r>
      <w:r>
        <w:rPr>
          <w:rFonts w:ascii="Arial" w:cs="Arial" w:eastAsia="Arial" w:hAnsi="Arial"/>
          <w:sz w:val="18"/>
          <w:szCs w:val="18"/>
          <w:u w:val="single" w:color="auto"/>
          <w:color w:val="auto"/>
        </w:rPr>
        <w:t>Section 2.06</w:t>
      </w:r>
      <w:r>
        <w:rPr>
          <w:rFonts w:ascii="Arial" w:cs="Arial" w:eastAsia="Arial" w:hAnsi="Arial"/>
          <w:sz w:val="18"/>
          <w:szCs w:val="18"/>
          <w:color w:val="auto"/>
        </w:rPr>
        <w:t>, the Letter of Credit Sublimit or the Swing Line Sublimit exceeds the Facility at such time, the Letter of Credit Sublimit or the Swing Line Sublimit, as the case may be, shall be automatically reduced by the amount of such excess.</w:t>
      </w:r>
    </w:p>
    <w:p>
      <w:pPr>
        <w:spacing w:after="0" w:line="140" w:lineRule="exact"/>
        <w:rPr>
          <w:rFonts w:ascii="Arial" w:cs="Arial" w:eastAsia="Arial" w:hAnsi="Arial"/>
          <w:sz w:val="18"/>
          <w:szCs w:val="18"/>
          <w:color w:val="auto"/>
        </w:rPr>
      </w:pPr>
    </w:p>
    <w:p>
      <w:pPr>
        <w:ind w:firstLine="921"/>
        <w:spacing w:after="0" w:line="268" w:lineRule="auto"/>
        <w:tabs>
          <w:tab w:leader="none" w:pos="1164" w:val="left"/>
        </w:tabs>
        <w:numPr>
          <w:ilvl w:val="1"/>
          <w:numId w:val="80"/>
        </w:numPr>
        <w:rPr>
          <w:rFonts w:ascii="Arial" w:cs="Arial" w:eastAsia="Arial" w:hAnsi="Arial"/>
          <w:sz w:val="18"/>
          <w:szCs w:val="18"/>
          <w:color w:val="auto"/>
        </w:rPr>
      </w:pPr>
      <w:r>
        <w:rPr>
          <w:rFonts w:ascii="Arial" w:cs="Arial" w:eastAsia="Arial" w:hAnsi="Arial"/>
          <w:sz w:val="18"/>
          <w:szCs w:val="18"/>
          <w:color w:val="auto"/>
        </w:rPr>
        <w:t>All Commitment Fees in respect of the Facility accrued until the effective date of any termination of the Facility shall be paid on the effective date of such termination.</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2.07 Repayment of Loans.</w:t>
      </w:r>
    </w:p>
    <w:p>
      <w:pPr>
        <w:spacing w:after="0" w:line="96" w:lineRule="exact"/>
        <w:rPr>
          <w:sz w:val="20"/>
          <w:szCs w:val="20"/>
          <w:color w:val="auto"/>
        </w:rPr>
      </w:pPr>
    </w:p>
    <w:p>
      <w:pPr>
        <w:ind w:left="1160" w:hanging="239"/>
        <w:spacing w:after="0"/>
        <w:tabs>
          <w:tab w:leader="none" w:pos="11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71" w:lineRule="exact"/>
        <w:rPr>
          <w:rFonts w:ascii="Arial" w:cs="Arial" w:eastAsia="Arial" w:hAnsi="Arial"/>
          <w:sz w:val="18"/>
          <w:szCs w:val="18"/>
          <w:color w:val="auto"/>
        </w:rPr>
      </w:pPr>
    </w:p>
    <w:p>
      <w:pPr>
        <w:ind w:right="20" w:firstLine="921"/>
        <w:spacing w:after="0" w:line="268" w:lineRule="auto"/>
        <w:tabs>
          <w:tab w:leader="none" w:pos="1161"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Revolving Credit Loans</w:t>
      </w:r>
      <w:r>
        <w:rPr>
          <w:rFonts w:ascii="Arial" w:cs="Arial" w:eastAsia="Arial" w:hAnsi="Arial"/>
          <w:sz w:val="18"/>
          <w:szCs w:val="18"/>
          <w:color w:val="auto"/>
        </w:rPr>
        <w:t>. The Borrower shall repay to the Revolving Credit Lenders on the Maturity Date the aggregate principal amount of all Revolving Credit Loans outstanding on such date.</w:t>
      </w:r>
    </w:p>
    <w:p>
      <w:pPr>
        <w:spacing w:after="0" w:line="131" w:lineRule="exact"/>
        <w:rPr>
          <w:rFonts w:ascii="Arial" w:cs="Arial" w:eastAsia="Arial" w:hAnsi="Arial"/>
          <w:sz w:val="18"/>
          <w:szCs w:val="18"/>
          <w:color w:val="auto"/>
        </w:rPr>
      </w:pPr>
    </w:p>
    <w:p>
      <w:pPr>
        <w:ind w:firstLine="921"/>
        <w:spacing w:after="0" w:line="268" w:lineRule="auto"/>
        <w:tabs>
          <w:tab w:leader="none" w:pos="1165"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Swing Line Loans</w:t>
      </w:r>
      <w:r>
        <w:rPr>
          <w:rFonts w:ascii="Arial" w:cs="Arial" w:eastAsia="Arial" w:hAnsi="Arial"/>
          <w:sz w:val="18"/>
          <w:szCs w:val="18"/>
          <w:color w:val="auto"/>
        </w:rPr>
        <w:t>. The Borrower shall repay each Swing Line Loan on the earlier to occur of (i) the date ten (10) Business Days after such Swing Line Loan is made and (ii) the Maturity Date.</w:t>
      </w:r>
    </w:p>
    <w:p>
      <w:pPr>
        <w:spacing w:after="0" w:line="126" w:lineRule="exact"/>
        <w:rPr>
          <w:sz w:val="20"/>
          <w:szCs w:val="20"/>
          <w:color w:val="auto"/>
        </w:rPr>
      </w:pPr>
    </w:p>
    <w:p>
      <w:pPr>
        <w:jc w:val="both"/>
        <w:ind w:firstLine="913"/>
        <w:spacing w:after="0" w:line="289" w:lineRule="auto"/>
        <w:rPr>
          <w:sz w:val="20"/>
          <w:szCs w:val="20"/>
          <w:color w:val="auto"/>
        </w:rPr>
      </w:pPr>
      <w:r>
        <w:rPr>
          <w:rFonts w:ascii="Arial" w:cs="Arial" w:eastAsia="Arial" w:hAnsi="Arial"/>
          <w:sz w:val="16"/>
          <w:szCs w:val="16"/>
          <w:b w:val="1"/>
          <w:bCs w:val="1"/>
          <w:color w:val="auto"/>
        </w:rPr>
        <w:t xml:space="preserve">2.08 Interest. </w:t>
      </w:r>
      <w:r>
        <w:rPr>
          <w:rFonts w:ascii="Arial" w:cs="Arial" w:eastAsia="Arial" w:hAnsi="Arial"/>
          <w:sz w:val="16"/>
          <w:szCs w:val="16"/>
          <w:color w:val="auto"/>
        </w:rPr>
        <w:t>(a) Subject to the provisions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2.08(b)</w:t>
      </w:r>
      <w:r>
        <w:rPr>
          <w:rFonts w:ascii="Arial" w:cs="Arial" w:eastAsia="Arial" w:hAnsi="Arial"/>
          <w:sz w:val="16"/>
          <w:szCs w:val="16"/>
          <w:b w:val="1"/>
          <w:bCs w:val="1"/>
          <w:color w:val="auto"/>
        </w:rPr>
        <w:t xml:space="preserve"> </w:t>
      </w:r>
      <w:r>
        <w:rPr>
          <w:rFonts w:ascii="Arial" w:cs="Arial" w:eastAsia="Arial" w:hAnsi="Arial"/>
          <w:sz w:val="16"/>
          <w:szCs w:val="16"/>
          <w:color w:val="auto"/>
        </w:rPr>
        <w:t>(and without duplication), (i) each Eurodollar Rate Loan shall bear interest on the</w:t>
      </w:r>
      <w:r>
        <w:rPr>
          <w:rFonts w:ascii="Arial" w:cs="Arial" w:eastAsia="Arial" w:hAnsi="Arial"/>
          <w:sz w:val="16"/>
          <w:szCs w:val="16"/>
          <w:b w:val="1"/>
          <w:bCs w:val="1"/>
          <w:color w:val="auto"/>
        </w:rPr>
        <w:t xml:space="preserve"> </w:t>
      </w:r>
      <w:r>
        <w:rPr>
          <w:rFonts w:ascii="Arial" w:cs="Arial" w:eastAsia="Arial" w:hAnsi="Arial"/>
          <w:sz w:val="16"/>
          <w:szCs w:val="16"/>
          <w:color w:val="auto"/>
        </w:rPr>
        <w:t>outstanding principal amount thereof for each Interest Period at a rate per annum equal to the Eurodollar Rate for such Interest Period plus the Applicable Rate;</w:t>
      </w:r>
    </w:p>
    <w:p>
      <w:pPr>
        <w:spacing w:after="0" w:line="1" w:lineRule="exact"/>
        <w:rPr>
          <w:sz w:val="20"/>
          <w:szCs w:val="20"/>
          <w:color w:val="auto"/>
        </w:rPr>
      </w:pPr>
    </w:p>
    <w:p>
      <w:pPr>
        <w:jc w:val="both"/>
        <w:ind w:firstLine="8"/>
        <w:spacing w:after="0" w:line="255" w:lineRule="auto"/>
        <w:tabs>
          <w:tab w:leader="none" w:pos="262" w:val="left"/>
        </w:tabs>
        <w:numPr>
          <w:ilvl w:val="0"/>
          <w:numId w:val="82"/>
        </w:numPr>
        <w:rPr>
          <w:rFonts w:ascii="Arial" w:cs="Arial" w:eastAsia="Arial" w:hAnsi="Arial"/>
          <w:sz w:val="18"/>
          <w:szCs w:val="18"/>
          <w:color w:val="auto"/>
        </w:rPr>
      </w:pPr>
      <w:r>
        <w:rPr>
          <w:rFonts w:ascii="Arial" w:cs="Arial" w:eastAsia="Arial" w:hAnsi="Arial"/>
          <w:sz w:val="18"/>
          <w:szCs w:val="18"/>
          <w:color w:val="auto"/>
        </w:rPr>
        <w:t>each Base Rate Loan shall bear interest on the outstanding principal amount thereof from the applicable borrowing date at a rate per annum equal to the Base Rate plus the Applicable Rate; and (iii) each Swing Line Loan shall bear interest on the outstanding principal amount thereof from the applicable borrowing date at a rate per annum equal to the Base Rate plus the Applicable Rate for the Facility.</w:t>
      </w:r>
    </w:p>
    <w:p>
      <w:pPr>
        <w:spacing w:after="0" w:line="144" w:lineRule="exact"/>
        <w:rPr>
          <w:rFonts w:ascii="Arial" w:cs="Arial" w:eastAsia="Arial" w:hAnsi="Arial"/>
          <w:sz w:val="18"/>
          <w:szCs w:val="18"/>
          <w:color w:val="auto"/>
        </w:rPr>
      </w:pPr>
    </w:p>
    <w:p>
      <w:pPr>
        <w:jc w:val="both"/>
        <w:ind w:firstLine="921"/>
        <w:spacing w:after="0" w:line="259" w:lineRule="auto"/>
        <w:tabs>
          <w:tab w:leader="none" w:pos="1163" w:val="left"/>
        </w:tabs>
        <w:numPr>
          <w:ilvl w:val="1"/>
          <w:numId w:val="82"/>
        </w:numPr>
        <w:rPr>
          <w:rFonts w:ascii="Arial" w:cs="Arial" w:eastAsia="Arial" w:hAnsi="Arial"/>
          <w:sz w:val="18"/>
          <w:szCs w:val="18"/>
          <w:color w:val="auto"/>
        </w:rPr>
      </w:pPr>
      <w:r>
        <w:rPr>
          <w:rFonts w:ascii="Arial" w:cs="Arial" w:eastAsia="Arial" w:hAnsi="Arial"/>
          <w:sz w:val="18"/>
          <w:szCs w:val="18"/>
          <w:color w:val="auto"/>
        </w:rPr>
        <w:t>(i) If any amount of principal of any Loan is not paid when due (after any applicable grace periods), whether at stated maturity, by acceleration or otherwise, such amount thereafter shall bear interest at a fluctuating interest rate per annum at all times equal to the Default Rate to the fullest extent permitted by applicable Laws.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80" w:right="239" w:bottom="1440" w:gutter="0" w:footer="0" w:header="0"/>
        </w:sectPr>
      </w:pPr>
    </w:p>
    <w:bookmarkStart w:id="96" w:name="page97"/>
    <w:bookmarkEnd w:id="96"/>
    <w:p>
      <w:pPr>
        <w:jc w:val="both"/>
        <w:ind w:left="460" w:firstLine="443"/>
        <w:spacing w:after="0" w:line="306" w:lineRule="auto"/>
        <w:tabs>
          <w:tab w:leader="none" w:pos="1162" w:val="left"/>
        </w:tabs>
        <w:numPr>
          <w:ilvl w:val="0"/>
          <w:numId w:val="8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any amount (other than principal of any Loan) payable by the Borrower under any Loan Document is not paid when due (after any applicable grace periods), whether at stated maturity, by acceleration or otherwise, then upon the request of the Required Lenders, such amount shall thereafter bear interest at the fluctuating interest rate per annum equal at all times to the Default Rate to the fullest extent permitted by applicable Law.</w:t>
      </w:r>
    </w:p>
    <w:p>
      <w:pPr>
        <w:spacing w:after="0" w:line="25" w:lineRule="exact"/>
        <w:rPr>
          <w:rFonts w:ascii="Arial" w:cs="Arial" w:eastAsia="Arial" w:hAnsi="Arial"/>
          <w:sz w:val="16"/>
          <w:szCs w:val="16"/>
          <w:color w:val="auto"/>
        </w:rPr>
      </w:pPr>
    </w:p>
    <w:p>
      <w:pPr>
        <w:jc w:val="both"/>
        <w:ind w:left="460" w:firstLine="443"/>
        <w:spacing w:after="0" w:line="259" w:lineRule="auto"/>
        <w:tabs>
          <w:tab w:leader="none" w:pos="1224" w:val="left"/>
        </w:tabs>
        <w:numPr>
          <w:ilvl w:val="0"/>
          <w:numId w:val="83"/>
        </w:numPr>
        <w:rPr>
          <w:rFonts w:ascii="Arial" w:cs="Arial" w:eastAsia="Arial" w:hAnsi="Arial"/>
          <w:sz w:val="18"/>
          <w:szCs w:val="18"/>
          <w:color w:val="auto"/>
        </w:rPr>
      </w:pPr>
      <w:r>
        <w:rPr>
          <w:rFonts w:ascii="Arial" w:cs="Arial" w:eastAsia="Arial" w:hAnsi="Arial"/>
          <w:sz w:val="18"/>
          <w:szCs w:val="18"/>
          <w:color w:val="auto"/>
        </w:rPr>
        <w:t>Upon the request of the Required Lenders, while any Event of Default exists, the Borrower shall pay interest on the principal amount of all outstanding Obligations hereunder at a fluctuating interest rate per annum at all times equal to the Default Rate to the fullest extent permitted by applicable Laws.</w:t>
      </w:r>
    </w:p>
    <w:p>
      <w:pPr>
        <w:spacing w:after="0" w:line="59" w:lineRule="exact"/>
        <w:rPr>
          <w:rFonts w:ascii="Arial" w:cs="Arial" w:eastAsia="Arial" w:hAnsi="Arial"/>
          <w:sz w:val="18"/>
          <w:szCs w:val="18"/>
          <w:color w:val="auto"/>
        </w:rPr>
      </w:pPr>
    </w:p>
    <w:p>
      <w:pPr>
        <w:ind w:left="1200" w:hanging="297"/>
        <w:spacing w:after="0"/>
        <w:tabs>
          <w:tab w:leader="none" w:pos="12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Accrued and unpaid interest on past due amounts (including interest on past due interest) shall be due and payable upon demand.</w:t>
      </w:r>
    </w:p>
    <w:p>
      <w:pPr>
        <w:spacing w:after="0" w:line="194" w:lineRule="exact"/>
        <w:rPr>
          <w:rFonts w:ascii="Arial" w:cs="Arial" w:eastAsia="Arial" w:hAnsi="Arial"/>
          <w:sz w:val="16"/>
          <w:szCs w:val="16"/>
          <w:color w:val="auto"/>
        </w:rPr>
      </w:pPr>
    </w:p>
    <w:p>
      <w:pPr>
        <w:jc w:val="both"/>
        <w:ind w:firstLine="921"/>
        <w:spacing w:after="0" w:line="259" w:lineRule="auto"/>
        <w:tabs>
          <w:tab w:leader="none" w:pos="1166" w:val="left"/>
        </w:tabs>
        <w:numPr>
          <w:ilvl w:val="1"/>
          <w:numId w:val="83"/>
        </w:numPr>
        <w:rPr>
          <w:rFonts w:ascii="Arial" w:cs="Arial" w:eastAsia="Arial" w:hAnsi="Arial"/>
          <w:sz w:val="18"/>
          <w:szCs w:val="18"/>
          <w:color w:val="auto"/>
        </w:rPr>
      </w:pPr>
      <w:r>
        <w:rPr>
          <w:rFonts w:ascii="Arial" w:cs="Arial" w:eastAsia="Arial" w:hAnsi="Arial"/>
          <w:sz w:val="18"/>
          <w:szCs w:val="18"/>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3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2.09 Fees. </w:t>
      </w:r>
      <w:r>
        <w:rPr>
          <w:rFonts w:ascii="Arial" w:cs="Arial" w:eastAsia="Arial" w:hAnsi="Arial"/>
          <w:sz w:val="18"/>
          <w:szCs w:val="18"/>
          <w:color w:val="auto"/>
        </w:rPr>
        <w:t>In addition to certain fees described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Sections 2.03(h)</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(i)</w:t>
      </w:r>
      <w:r>
        <w:rPr>
          <w:rFonts w:ascii="Arial" w:cs="Arial" w:eastAsia="Arial" w:hAnsi="Arial"/>
          <w:sz w:val="18"/>
          <w:szCs w:val="18"/>
          <w:color w:val="auto"/>
        </w:rPr>
        <w:t>:</w:t>
      </w:r>
    </w:p>
    <w:p>
      <w:pPr>
        <w:spacing w:after="0" w:line="177" w:lineRule="exact"/>
        <w:rPr>
          <w:sz w:val="20"/>
          <w:szCs w:val="20"/>
          <w:color w:val="auto"/>
        </w:rPr>
      </w:pPr>
    </w:p>
    <w:p>
      <w:pPr>
        <w:jc w:val="both"/>
        <w:ind w:firstLine="921"/>
        <w:spacing w:after="0" w:line="288" w:lineRule="auto"/>
        <w:tabs>
          <w:tab w:leader="none" w:pos="1152"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Commitment Fee</w:t>
      </w:r>
      <w:r>
        <w:rPr>
          <w:rFonts w:ascii="Arial" w:cs="Arial" w:eastAsia="Arial" w:hAnsi="Arial"/>
          <w:sz w:val="16"/>
          <w:szCs w:val="16"/>
          <w:color w:val="auto"/>
        </w:rPr>
        <w:t>. The Borrower shall pay to the Administrative Agent for the account of each Revolving Credit Lender in accordance with its Applicable Revolving Credit Percentage, a commitment fee (the “</w:t>
      </w:r>
      <w:r>
        <w:rPr>
          <w:rFonts w:ascii="Arial" w:cs="Arial" w:eastAsia="Arial" w:hAnsi="Arial"/>
          <w:sz w:val="16"/>
          <w:szCs w:val="16"/>
          <w:u w:val="single" w:color="auto"/>
          <w:color w:val="auto"/>
        </w:rPr>
        <w:t>Commitment Fee</w:t>
      </w:r>
      <w:r>
        <w:rPr>
          <w:rFonts w:ascii="Arial" w:cs="Arial" w:eastAsia="Arial" w:hAnsi="Arial"/>
          <w:sz w:val="16"/>
          <w:szCs w:val="16"/>
          <w:color w:val="auto"/>
        </w:rPr>
        <w:t xml:space="preserve">”) equal to the Applicable Rate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 actual daily amount by which the Facility exceeds the sum of (i) the Outstanding Amount of Revolving Credit Loans and (ii) the Outstanding Amount of L/C Obligations, subject to adjustment as provided in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calculating the Commitment Fee, Swing Line Loans will not be deemed to be utilized. The Commitment Fee shall accrue at all times during the Availability Period, including at any time during which one or more of the conditions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is not met, and shall be due and payable quarterly in arrears on the last Business Day of each March, June, September and December, commencing with the first such date to occur after the Closing Date, and on the Maturity Date. The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119" w:lineRule="exact"/>
        <w:rPr>
          <w:rFonts w:ascii="Arial" w:cs="Arial" w:eastAsia="Arial" w:hAnsi="Arial"/>
          <w:sz w:val="16"/>
          <w:szCs w:val="16"/>
          <w:color w:val="auto"/>
        </w:rPr>
      </w:pPr>
    </w:p>
    <w:p>
      <w:pPr>
        <w:jc w:val="both"/>
        <w:ind w:firstLine="921"/>
        <w:spacing w:after="0" w:line="259" w:lineRule="auto"/>
        <w:tabs>
          <w:tab w:leader="none" w:pos="1161"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Other Fees</w:t>
      </w:r>
      <w:r>
        <w:rPr>
          <w:rFonts w:ascii="Arial" w:cs="Arial" w:eastAsia="Arial" w:hAnsi="Arial"/>
          <w:sz w:val="18"/>
          <w:szCs w:val="18"/>
          <w:color w:val="auto"/>
        </w:rPr>
        <w:t>. (i) The Borrower shall pay to the Arrangers and the Administrative Agent for their own respective accounts fees in the amounts and at the times specified in the Engagement Letter and the Fee Letters. Such fees shall be fully earned when paid and shall not be refundable for any reason whatsoever.</w:t>
      </w:r>
    </w:p>
    <w:p>
      <w:pPr>
        <w:spacing w:after="0" w:line="59" w:lineRule="exact"/>
        <w:rPr>
          <w:sz w:val="20"/>
          <w:szCs w:val="20"/>
          <w:color w:val="auto"/>
        </w:rPr>
      </w:pPr>
    </w:p>
    <w:p>
      <w:pPr>
        <w:ind w:left="460" w:firstLine="443"/>
        <w:spacing w:after="0" w:line="268" w:lineRule="auto"/>
        <w:tabs>
          <w:tab w:leader="none" w:pos="1184"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Borrower shall pay to the Lenders such fees as shall have been separately agreed upon in writing in the amounts and at the times so specified. Such fees shall be fully earned when paid and shall not be refundable for any reason whatsoever.</w:t>
      </w:r>
    </w:p>
    <w:p>
      <w:pPr>
        <w:spacing w:after="0" w:line="126" w:lineRule="exact"/>
        <w:rPr>
          <w:sz w:val="20"/>
          <w:szCs w:val="20"/>
          <w:color w:val="auto"/>
        </w:rPr>
      </w:pPr>
    </w:p>
    <w:p>
      <w:pPr>
        <w:ind w:firstLine="913"/>
        <w:spacing w:after="0" w:line="275" w:lineRule="auto"/>
        <w:rPr>
          <w:sz w:val="20"/>
          <w:szCs w:val="20"/>
          <w:color w:val="auto"/>
        </w:rPr>
      </w:pPr>
      <w:r>
        <w:rPr>
          <w:rFonts w:ascii="Arial" w:cs="Arial" w:eastAsia="Arial" w:hAnsi="Arial"/>
          <w:sz w:val="18"/>
          <w:szCs w:val="18"/>
          <w:b w:val="1"/>
          <w:bCs w:val="1"/>
          <w:color w:val="auto"/>
        </w:rPr>
        <w:t xml:space="preserve">2.10 Computation of Interest and Fees; Retroactive Adjustments of Applicable Rate. </w:t>
      </w:r>
      <w:r>
        <w:rPr>
          <w:rFonts w:ascii="Arial" w:cs="Arial" w:eastAsia="Arial" w:hAnsi="Arial"/>
          <w:sz w:val="18"/>
          <w:szCs w:val="18"/>
          <w:color w:val="auto"/>
        </w:rPr>
        <w:t>(a) All computations of interest for Base Rate Loans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Base Rate Loans determined by reference to the Eurodollar Rate) shall be made on the basis of a year of</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80" w:right="239" w:bottom="1440" w:gutter="0" w:footer="0" w:header="0"/>
        </w:sectPr>
      </w:pPr>
    </w:p>
    <w:bookmarkStart w:id="97" w:name="page98"/>
    <w:bookmarkEnd w:id="97"/>
    <w:p>
      <w:pPr>
        <w:jc w:val="both"/>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Loan that is repaid on the same day on which it is made shall, subject to </w:t>
      </w:r>
      <w:r>
        <w:rPr>
          <w:rFonts w:ascii="Arial" w:cs="Arial" w:eastAsia="Arial" w:hAnsi="Arial"/>
          <w:sz w:val="16"/>
          <w:szCs w:val="16"/>
          <w:u w:val="single" w:color="auto"/>
          <w:color w:val="auto"/>
        </w:rPr>
        <w:t>Section 2.12(a)</w:t>
      </w:r>
      <w:r>
        <w:rPr>
          <w:rFonts w:ascii="Arial" w:cs="Arial" w:eastAsia="Arial" w:hAnsi="Arial"/>
          <w:sz w:val="16"/>
          <w:szCs w:val="16"/>
          <w:color w:val="auto"/>
        </w:rPr>
        <w:t>, bear interest for one day. Each determination by the Administrative Agent of an interest rate or fee hereunder shall be conclusive and binding for all purposes, absent manifest error.</w:t>
      </w:r>
    </w:p>
    <w:p>
      <w:pPr>
        <w:spacing w:after="0" w:line="116" w:lineRule="exact"/>
        <w:rPr>
          <w:sz w:val="20"/>
          <w:szCs w:val="20"/>
          <w:color w:val="auto"/>
        </w:rPr>
      </w:pPr>
    </w:p>
    <w:p>
      <w:pPr>
        <w:jc w:val="both"/>
        <w:ind w:firstLine="921"/>
        <w:spacing w:after="0" w:line="288" w:lineRule="auto"/>
        <w:tabs>
          <w:tab w:leader="none" w:pos="1171" w:val="left"/>
        </w:tabs>
        <w:numPr>
          <w:ilvl w:val="0"/>
          <w:numId w:val="86"/>
        </w:numPr>
        <w:rPr>
          <w:rFonts w:ascii="Arial" w:cs="Arial" w:eastAsia="Arial" w:hAnsi="Arial"/>
          <w:sz w:val="16"/>
          <w:szCs w:val="16"/>
          <w:color w:val="auto"/>
        </w:rPr>
      </w:pPr>
      <w:r>
        <w:rPr>
          <w:rFonts w:ascii="Arial" w:cs="Arial" w:eastAsia="Arial" w:hAnsi="Arial"/>
          <w:sz w:val="16"/>
          <w:szCs w:val="16"/>
          <w:color w:val="auto"/>
        </w:rPr>
        <w:t xml:space="preserve">If, as a result of any restatement of or other adjustment to the financial statements of the Borrower or for any other reason, the Borrower or the Lenders determine that (i) the Consolidated Total Leverage Ratio as calculated by the Borrower as of any applicable date was inaccurate and (ii) a proper calculation of the Consolidated Total Leverage Ratio would have resulted in higher pricing for such period, the Borrower shall immediately and retroactively be obligated to pay to the Administrative Agent for the account of the applicable Lenders or the L/C Issuer, as the case may be, promptly on demand by the Administrative Agent (or, after the occurrence of an actual or deemed entry of an order for relief with respect to the Borrower under the Bankruptcy Code of the United States, automatically and without further action by the Administrative Agent, any Lender or the L/C Issuer), an amount equal to the excess of the amount of interest and fees that should have been paid for such period over the amount of interest and fees actually paid for such period. This paragraph shall not limit the rights of the Administrative Agent, any Lender or the L/C Issuer, as the case may be, under </w:t>
      </w:r>
      <w:r>
        <w:rPr>
          <w:rFonts w:ascii="Arial" w:cs="Arial" w:eastAsia="Arial" w:hAnsi="Arial"/>
          <w:sz w:val="16"/>
          <w:szCs w:val="16"/>
          <w:u w:val="single" w:color="auto"/>
          <w:color w:val="auto"/>
        </w:rPr>
        <w:t>Section 2.03(c)(iii)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2.03(i)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2.08(b)</w:t>
      </w:r>
      <w:r>
        <w:rPr>
          <w:rFonts w:ascii="Arial" w:cs="Arial" w:eastAsia="Arial" w:hAnsi="Arial"/>
          <w:sz w:val="16"/>
          <w:szCs w:val="16"/>
          <w:color w:val="auto"/>
        </w:rPr>
        <w:t xml:space="preserve"> or under </w:t>
      </w:r>
      <w:r>
        <w:rPr>
          <w:rFonts w:ascii="Arial" w:cs="Arial" w:eastAsia="Arial" w:hAnsi="Arial"/>
          <w:sz w:val="16"/>
          <w:szCs w:val="16"/>
          <w:u w:val="single" w:color="auto"/>
          <w:color w:val="auto"/>
        </w:rPr>
        <w:t>Article VIII</w:t>
      </w:r>
      <w:r>
        <w:rPr>
          <w:rFonts w:ascii="Arial" w:cs="Arial" w:eastAsia="Arial" w:hAnsi="Arial"/>
          <w:sz w:val="16"/>
          <w:szCs w:val="16"/>
          <w:color w:val="auto"/>
        </w:rPr>
        <w:t>. The Borrower’s obligations under this paragraph shall survive the termination of the Aggregate Commitments and the repayment of all other Obligations hereunder.</w:t>
      </w:r>
    </w:p>
    <w:p>
      <w:pPr>
        <w:spacing w:after="0" w:line="114" w:lineRule="exact"/>
        <w:rPr>
          <w:sz w:val="20"/>
          <w:szCs w:val="20"/>
          <w:color w:val="auto"/>
        </w:rPr>
      </w:pPr>
    </w:p>
    <w:p>
      <w:pPr>
        <w:jc w:val="both"/>
        <w:ind w:firstLine="913"/>
        <w:spacing w:after="0" w:line="289" w:lineRule="auto"/>
        <w:rPr>
          <w:sz w:val="20"/>
          <w:szCs w:val="20"/>
          <w:color w:val="auto"/>
        </w:rPr>
      </w:pPr>
      <w:r>
        <w:rPr>
          <w:rFonts w:ascii="Arial" w:cs="Arial" w:eastAsia="Arial" w:hAnsi="Arial"/>
          <w:sz w:val="16"/>
          <w:szCs w:val="16"/>
          <w:b w:val="1"/>
          <w:bCs w:val="1"/>
          <w:color w:val="auto"/>
        </w:rPr>
        <w:t xml:space="preserve">2.11 Evidence of Debt. </w:t>
      </w:r>
      <w:r>
        <w:rPr>
          <w:rFonts w:ascii="Arial" w:cs="Arial" w:eastAsia="Arial" w:hAnsi="Arial"/>
          <w:sz w:val="16"/>
          <w:szCs w:val="16"/>
          <w:color w:val="auto"/>
        </w:rPr>
        <w:t>(a) The Credit Extensions made by each Lender shall be evidenced by one or more accounts or records maintained by such</w:t>
      </w:r>
      <w:r>
        <w:rPr>
          <w:rFonts w:ascii="Arial" w:cs="Arial" w:eastAsia="Arial" w:hAnsi="Arial"/>
          <w:sz w:val="16"/>
          <w:szCs w:val="16"/>
          <w:b w:val="1"/>
          <w:bCs w:val="1"/>
          <w:color w:val="auto"/>
        </w:rPr>
        <w:t xml:space="preserve"> </w:t>
      </w:r>
      <w:r>
        <w:rPr>
          <w:rFonts w:ascii="Arial" w:cs="Arial" w:eastAsia="Arial" w:hAnsi="Arial"/>
          <w:sz w:val="16"/>
          <w:szCs w:val="16"/>
          <w:color w:val="auto"/>
        </w:rPr>
        <w:t>Lender and by the Administrative Agent in the ordinary course of business. The accounts or records maintained by the Administrative Agent and each Lender of the amount of the Credit Extensions made by the Lenders to the Borrower and the interest and payments thereon shall be conclusive absent manifest error.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 shall execute and deliver to such Lender (through the Administrative Agent) a Note, which shall evidence such Lender’s Loans in addition to such accounts or records. Each Lender may attach schedules to its Note and endorse thereon the date, Type (if applicable), amount and maturity of its Loans and payments with respect thereto.</w:t>
      </w:r>
    </w:p>
    <w:p>
      <w:pPr>
        <w:spacing w:after="0" w:line="119" w:lineRule="exact"/>
        <w:rPr>
          <w:sz w:val="20"/>
          <w:szCs w:val="20"/>
          <w:color w:val="auto"/>
        </w:rPr>
      </w:pPr>
    </w:p>
    <w:p>
      <w:pPr>
        <w:jc w:val="both"/>
        <w:ind w:firstLine="921"/>
        <w:spacing w:after="0" w:line="298" w:lineRule="auto"/>
        <w:tabs>
          <w:tab w:leader="none" w:pos="1176" w:val="left"/>
        </w:tabs>
        <w:numPr>
          <w:ilvl w:val="0"/>
          <w:numId w:val="87"/>
        </w:numPr>
        <w:rPr>
          <w:rFonts w:ascii="Arial" w:cs="Arial" w:eastAsia="Arial" w:hAnsi="Arial"/>
          <w:sz w:val="16"/>
          <w:szCs w:val="16"/>
          <w:color w:val="auto"/>
        </w:rPr>
      </w:pPr>
      <w:r>
        <w:rPr>
          <w:rFonts w:ascii="Arial" w:cs="Arial" w:eastAsia="Arial" w:hAnsi="Arial"/>
          <w:sz w:val="16"/>
          <w:szCs w:val="16"/>
          <w:color w:val="auto"/>
        </w:rPr>
        <w:t xml:space="preserve">In addition to the accounts and records referred to in </w:t>
      </w:r>
      <w:r>
        <w:rPr>
          <w:rFonts w:ascii="Arial" w:cs="Arial" w:eastAsia="Arial" w:hAnsi="Arial"/>
          <w:sz w:val="16"/>
          <w:szCs w:val="16"/>
          <w:u w:val="single" w:color="auto"/>
          <w:color w:val="auto"/>
        </w:rPr>
        <w:t>Section 2.11(a)</w:t>
      </w:r>
      <w:r>
        <w:rPr>
          <w:rFonts w:ascii="Arial" w:cs="Arial" w:eastAsia="Arial" w:hAnsi="Arial"/>
          <w:sz w:val="16"/>
          <w:szCs w:val="16"/>
          <w:color w:val="auto"/>
        </w:rPr>
        <w:t>,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80" w:right="239" w:bottom="1440" w:gutter="0" w:footer="0" w:header="0"/>
        </w:sectPr>
      </w:pPr>
    </w:p>
    <w:bookmarkStart w:id="98" w:name="page99"/>
    <w:bookmarkEnd w:id="98"/>
    <w:p>
      <w:pPr>
        <w:jc w:val="both"/>
        <w:ind w:firstLine="921"/>
        <w:spacing w:after="0" w:line="254" w:lineRule="auto"/>
        <w:tabs>
          <w:tab w:leader="none" w:pos="1171" w:val="left"/>
        </w:tabs>
        <w:numPr>
          <w:ilvl w:val="0"/>
          <w:numId w:val="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Entries made in good faith by the Administrative Agent in the Register pursuant to subsections (a) and (b) above, and by each Lender in its accounts pursuant to subsections (a) and (b) above, shall be prima facie evidence of the amount of principal and interest due and payable or to become due and payable from the Borrower to, in the case of the Register each Lender and, in the case of such account or accounts, such Lender, under this Agreement and the other Loan Documents, absent manifest error;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of the Administrative Agent or such Lender to make any entry, or any finding that an entry is incorrect, in the Register or such account or accounts shall not limit or otherwise affect the obligations of the Borrower under this Agreement and the other Loan Documents.</w:t>
      </w:r>
    </w:p>
    <w:p>
      <w:pPr>
        <w:spacing w:after="0" w:line="138" w:lineRule="exact"/>
        <w:rPr>
          <w:sz w:val="20"/>
          <w:szCs w:val="20"/>
          <w:color w:val="auto"/>
        </w:rPr>
      </w:pPr>
    </w:p>
    <w:p>
      <w:pPr>
        <w:jc w:val="both"/>
        <w:ind w:firstLine="913"/>
        <w:spacing w:after="0" w:line="289" w:lineRule="auto"/>
        <w:rPr>
          <w:sz w:val="20"/>
          <w:szCs w:val="20"/>
          <w:color w:val="auto"/>
        </w:rPr>
      </w:pPr>
      <w:r>
        <w:rPr>
          <w:rFonts w:ascii="Arial" w:cs="Arial" w:eastAsia="Arial" w:hAnsi="Arial"/>
          <w:sz w:val="16"/>
          <w:szCs w:val="16"/>
          <w:b w:val="1"/>
          <w:bCs w:val="1"/>
          <w:color w:val="auto"/>
        </w:rPr>
        <w:t xml:space="preserve">2.12 Payments Generally; Administrative Agent’s Clawback. </w:t>
      </w:r>
      <w:r>
        <w:rPr>
          <w:rFonts w:ascii="Arial" w:cs="Arial" w:eastAsia="Arial" w:hAnsi="Arial"/>
          <w:sz w:val="16"/>
          <w:szCs w:val="16"/>
          <w:color w:val="auto"/>
        </w:rPr>
        <w:t>(a)</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General</w:t>
      </w:r>
      <w:r>
        <w:rPr>
          <w:rFonts w:ascii="Arial" w:cs="Arial" w:eastAsia="Arial" w:hAnsi="Arial"/>
          <w:sz w:val="16"/>
          <w:szCs w:val="16"/>
          <w:color w:val="auto"/>
        </w:rPr>
        <w:t>. All payments to be made by the Borrower shall be made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 or deduction for any counterclaim, defense, recoupment or setoff, but without waiver thereof.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If any payment to be made by the Borrower shall come due on a day other than a Business Day, payment shall be made on the next following Business Day (unless otherwise expressly provided herein), and such extension of time shall be reflected in computing interest or fees, as the case may be.</w:t>
      </w:r>
    </w:p>
    <w:p>
      <w:pPr>
        <w:spacing w:after="0" w:line="119" w:lineRule="exact"/>
        <w:rPr>
          <w:sz w:val="20"/>
          <w:szCs w:val="20"/>
          <w:color w:val="auto"/>
        </w:rPr>
      </w:pPr>
    </w:p>
    <w:p>
      <w:pPr>
        <w:jc w:val="both"/>
        <w:ind w:firstLine="921"/>
        <w:spacing w:after="0" w:line="286" w:lineRule="auto"/>
        <w:tabs>
          <w:tab w:leader="none" w:pos="1168" w:val="left"/>
        </w:tabs>
        <w:numPr>
          <w:ilvl w:val="0"/>
          <w:numId w:val="89"/>
        </w:numPr>
        <w:rPr>
          <w:rFonts w:ascii="Arial" w:cs="Arial" w:eastAsia="Arial" w:hAnsi="Arial"/>
          <w:sz w:val="16"/>
          <w:szCs w:val="16"/>
          <w:color w:val="auto"/>
        </w:rPr>
      </w:pPr>
      <w:r>
        <w:rPr>
          <w:rFonts w:ascii="Arial" w:cs="Arial" w:eastAsia="Arial" w:hAnsi="Arial"/>
          <w:sz w:val="16"/>
          <w:szCs w:val="16"/>
          <w:color w:val="auto"/>
        </w:rPr>
        <w:t xml:space="preserve">(i) </w:t>
      </w:r>
      <w:r>
        <w:rPr>
          <w:rFonts w:ascii="Arial" w:cs="Arial" w:eastAsia="Arial" w:hAnsi="Arial"/>
          <w:sz w:val="16"/>
          <w:szCs w:val="16"/>
          <w:u w:val="single" w:color="auto"/>
          <w:color w:val="auto"/>
        </w:rPr>
        <w:t>Funding by Lenders; Presumption by Administrative Agent</w:t>
      </w:r>
      <w:r>
        <w:rPr>
          <w:rFonts w:ascii="Arial" w:cs="Arial" w:eastAsia="Arial" w:hAnsi="Arial"/>
          <w:sz w:val="16"/>
          <w:szCs w:val="16"/>
          <w:color w:val="auto"/>
        </w:rPr>
        <w:t xml:space="preserve">. Unless the Administrative Agent shall have received notice from a Lender prior to the proposed date of any Borrowing that such Lender will not make available to the Administrative Agent such Lender’s share of such Borrowing of Eurodollar Rate Loans (or, in the case of any Borrowing of Base Rate Loans, prior to 12:00 noon on the date of such Borrowing), the Administrative Agent may assume that such Lender has made such share available on such date in accordance with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(or, in the case of a Borrowing of Base Rate Loans, that such Lender has made such share available in accordance with and at the time required by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plus any administrative, processing or similar fees customarily charged by the Administrative Agent in connection with the foregoing, and (B) in the case of a payment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80" w:right="239" w:bottom="1440" w:gutter="0" w:footer="0" w:header="0"/>
        </w:sectPr>
      </w:pPr>
    </w:p>
    <w:bookmarkStart w:id="99" w:name="page100"/>
    <w:bookmarkEnd w:id="99"/>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be made by the Borrower, the interest rate applicable to the applicable Borrowing.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62" w:lineRule="exact"/>
        <w:rPr>
          <w:sz w:val="20"/>
          <w:szCs w:val="20"/>
          <w:color w:val="auto"/>
        </w:rPr>
      </w:pPr>
    </w:p>
    <w:p>
      <w:pPr>
        <w:jc w:val="both"/>
        <w:ind w:left="460" w:firstLine="443"/>
        <w:spacing w:after="0" w:line="289" w:lineRule="auto"/>
        <w:tabs>
          <w:tab w:leader="none" w:pos="1156"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Payments by Borrower; Presumptions by Administrative Agent</w:t>
      </w:r>
      <w:r>
        <w:rPr>
          <w:rFonts w:ascii="Arial" w:cs="Arial" w:eastAsia="Arial" w:hAnsi="Arial"/>
          <w:sz w:val="16"/>
          <w:szCs w:val="16"/>
          <w:color w:val="auto"/>
        </w:rPr>
        <w:t>. Unless the Administrative Agent shall have received notice from the Borrower prior to the date on which any payment is due to the Administrative Agent for the account of the Lenders or the L/C Issuer hereunder that the Borrower will not make such payment, the Administrative Agent may assume that the Borrower has made such payment on such date in accordance herewith and may, in reliance upon such assumption, distribute to the Appropriate Lenders or the L/C Issuer, as the case may be, the amount due. In such event, if the Borrower has not in fact made such payment, then each of the Appropriate Lenders or the L/C Issuer, as the case may be, severally agrees to repay to the Administrative Agent forthwith on demand the amount so distributed to such Lender or the L/C Issuer,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18"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A notice of the Administrative Agent to any Lender or the Borrower with respect to any amount owing under this subsection (b) shall be conclusive, absent manifest error.</w:t>
      </w:r>
    </w:p>
    <w:p>
      <w:pPr>
        <w:spacing w:after="0" w:line="132" w:lineRule="exact"/>
        <w:rPr>
          <w:sz w:val="20"/>
          <w:szCs w:val="20"/>
          <w:color w:val="auto"/>
        </w:rPr>
      </w:pPr>
    </w:p>
    <w:p>
      <w:pPr>
        <w:jc w:val="both"/>
        <w:ind w:firstLine="921"/>
        <w:spacing w:after="0" w:line="255" w:lineRule="auto"/>
        <w:tabs>
          <w:tab w:leader="none" w:pos="1165"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Failure to Satisfy Conditions Precedent</w:t>
      </w:r>
      <w:r>
        <w:rPr>
          <w:rFonts w:ascii="Arial" w:cs="Arial" w:eastAsia="Arial" w:hAnsi="Arial"/>
          <w:sz w:val="18"/>
          <w:szCs w:val="18"/>
          <w:color w:val="auto"/>
        </w:rPr>
        <w:t xml:space="preserve">. If any Lender makes available to the Administrative Agent funds for any Loan to be made by such Lender as provided in the foregoing provisions of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and such funds are not made available to the Borrower by the Administrative Agent because the conditions to the applicable Credit Extension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are not satisfied or waived in accordance with the terms hereof, the Administrative Agent shall return such funds (in like funds as received from such Lender) to such Lender, without interest, if returned within one Business Day, and with interest at the Federal Funds Rate for each day thereafter until returned.</w:t>
      </w:r>
    </w:p>
    <w:p>
      <w:pPr>
        <w:spacing w:after="0" w:line="142" w:lineRule="exact"/>
        <w:rPr>
          <w:rFonts w:ascii="Arial" w:cs="Arial" w:eastAsia="Arial" w:hAnsi="Arial"/>
          <w:sz w:val="18"/>
          <w:szCs w:val="18"/>
          <w:color w:val="auto"/>
        </w:rPr>
      </w:pPr>
    </w:p>
    <w:p>
      <w:pPr>
        <w:jc w:val="both"/>
        <w:ind w:firstLine="921"/>
        <w:spacing w:after="0" w:line="255" w:lineRule="auto"/>
        <w:tabs>
          <w:tab w:leader="none" w:pos="1161"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Obligations of Lenders Several</w:t>
      </w:r>
      <w:r>
        <w:rPr>
          <w:rFonts w:ascii="Arial" w:cs="Arial" w:eastAsia="Arial" w:hAnsi="Arial"/>
          <w:sz w:val="18"/>
          <w:szCs w:val="18"/>
          <w:color w:val="auto"/>
        </w:rPr>
        <w:t xml:space="preserve">. The obligations of the Lenders hereunder to make Revolving Credit Loans, to fund participations in Letters of Credit and Swing Line Loans and to make payments pursuant to </w:t>
      </w:r>
      <w:r>
        <w:rPr>
          <w:rFonts w:ascii="Arial" w:cs="Arial" w:eastAsia="Arial" w:hAnsi="Arial"/>
          <w:sz w:val="18"/>
          <w:szCs w:val="18"/>
          <w:u w:val="single" w:color="auto"/>
          <w:color w:val="auto"/>
        </w:rPr>
        <w:t>Section 10.04(c)</w:t>
      </w:r>
      <w:r>
        <w:rPr>
          <w:rFonts w:ascii="Arial" w:cs="Arial" w:eastAsia="Arial" w:hAnsi="Arial"/>
          <w:sz w:val="18"/>
          <w:szCs w:val="18"/>
          <w:color w:val="auto"/>
        </w:rPr>
        <w:t xml:space="preserve"> are several and not joint. The failure of any Lender to make any Loan, to fund any such participation or to make any payment under </w:t>
      </w:r>
      <w:r>
        <w:rPr>
          <w:rFonts w:ascii="Arial" w:cs="Arial" w:eastAsia="Arial" w:hAnsi="Arial"/>
          <w:sz w:val="18"/>
          <w:szCs w:val="18"/>
          <w:u w:val="single" w:color="auto"/>
          <w:color w:val="auto"/>
        </w:rPr>
        <w:t>Section 10.04(c)</w:t>
      </w:r>
      <w:r>
        <w:rPr>
          <w:rFonts w:ascii="Arial" w:cs="Arial" w:eastAsia="Arial" w:hAnsi="Arial"/>
          <w:sz w:val="18"/>
          <w:szCs w:val="18"/>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cs="Arial" w:eastAsia="Arial" w:hAnsi="Arial"/>
          <w:sz w:val="18"/>
          <w:szCs w:val="18"/>
          <w:u w:val="single" w:color="auto"/>
          <w:color w:val="auto"/>
        </w:rPr>
        <w:t>Section 10.04(c)</w:t>
      </w:r>
      <w:r>
        <w:rPr>
          <w:rFonts w:ascii="Arial" w:cs="Arial" w:eastAsia="Arial" w:hAnsi="Arial"/>
          <w:sz w:val="18"/>
          <w:szCs w:val="18"/>
          <w:color w:val="auto"/>
        </w:rPr>
        <w: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80" w:right="239" w:bottom="1440" w:gutter="0" w:footer="0" w:header="0"/>
        </w:sectPr>
      </w:pPr>
    </w:p>
    <w:bookmarkStart w:id="100" w:name="page101"/>
    <w:bookmarkEnd w:id="100"/>
    <w:p>
      <w:pPr>
        <w:ind w:firstLine="921"/>
        <w:spacing w:after="0" w:line="332" w:lineRule="auto"/>
        <w:tabs>
          <w:tab w:leader="none" w:pos="1152"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Funding Source</w:t>
      </w:r>
      <w:r>
        <w:rPr>
          <w:rFonts w:ascii="Arial" w:cs="Arial" w:eastAsia="Arial" w:hAnsi="Arial"/>
          <w:sz w:val="16"/>
          <w:szCs w:val="16"/>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85" w:lineRule="exact"/>
        <w:rPr>
          <w:rFonts w:ascii="Arial" w:cs="Arial" w:eastAsia="Arial" w:hAnsi="Arial"/>
          <w:sz w:val="16"/>
          <w:szCs w:val="16"/>
          <w:color w:val="auto"/>
        </w:rPr>
      </w:pPr>
    </w:p>
    <w:p>
      <w:pPr>
        <w:ind w:firstLine="921"/>
        <w:spacing w:after="0" w:line="268" w:lineRule="auto"/>
        <w:tabs>
          <w:tab w:leader="none" w:pos="1159"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Insufficient Funds</w:t>
      </w:r>
      <w:r>
        <w:rPr>
          <w:rFonts w:ascii="Arial" w:cs="Arial" w:eastAsia="Arial" w:hAnsi="Arial"/>
          <w:sz w:val="18"/>
          <w:szCs w:val="18"/>
          <w:color w:val="auto"/>
        </w:rPr>
        <w:t xml:space="preserve">. If at any time insufficient funds are received by and available to the Administrative Agent to pay fully all amounts of principal, L/C Borrowings, interest and fees then due hereunder, such funds shall be applied as provided in </w:t>
      </w:r>
      <w:r>
        <w:rPr>
          <w:rFonts w:ascii="Arial" w:cs="Arial" w:eastAsia="Arial" w:hAnsi="Arial"/>
          <w:sz w:val="18"/>
          <w:szCs w:val="18"/>
          <w:u w:val="single" w:color="auto"/>
          <w:color w:val="auto"/>
        </w:rPr>
        <w:t>Section 8.03</w:t>
      </w:r>
      <w:r>
        <w:rPr>
          <w:rFonts w:ascii="Arial" w:cs="Arial" w:eastAsia="Arial" w:hAnsi="Arial"/>
          <w:sz w:val="18"/>
          <w:szCs w:val="18"/>
          <w:color w:val="auto"/>
        </w:rPr>
        <w:t>.</w:t>
      </w:r>
    </w:p>
    <w:p>
      <w:pPr>
        <w:spacing w:after="0" w:line="126" w:lineRule="exact"/>
        <w:rPr>
          <w:sz w:val="20"/>
          <w:szCs w:val="20"/>
          <w:color w:val="auto"/>
        </w:rPr>
      </w:pPr>
    </w:p>
    <w:p>
      <w:pPr>
        <w:jc w:val="both"/>
        <w:ind w:firstLine="913"/>
        <w:spacing w:after="0" w:line="286" w:lineRule="auto"/>
        <w:rPr>
          <w:sz w:val="20"/>
          <w:szCs w:val="20"/>
          <w:color w:val="auto"/>
        </w:rPr>
      </w:pPr>
      <w:r>
        <w:rPr>
          <w:rFonts w:ascii="Arial" w:cs="Arial" w:eastAsia="Arial" w:hAnsi="Arial"/>
          <w:sz w:val="16"/>
          <w:szCs w:val="16"/>
          <w:b w:val="1"/>
          <w:bCs w:val="1"/>
          <w:color w:val="auto"/>
        </w:rPr>
        <w:t xml:space="preserve">2.13 Sharing of Payments by Lenders. </w:t>
      </w:r>
      <w:r>
        <w:rPr>
          <w:rFonts w:ascii="Arial" w:cs="Arial" w:eastAsia="Arial" w:hAnsi="Arial"/>
          <w:sz w:val="16"/>
          <w:szCs w:val="16"/>
          <w:color w:val="auto"/>
        </w:rPr>
        <w:t>If any Lender shall, by exercising any right of setoff or counterclaim or otherwise, obtain payment in</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of (a) Obligations due and payable to such Lender hereunder and under the other Loan Documents at such time in excess of its ratable share (according to the proportion of (i) the amount of such Obligations due and payable to such Lender at such time to (ii) the aggregate amount of the Obligations due and payable to all Lenders hereunder and under the other Loan Documents at such time) of payments on account of the Obligations due and payable to all Lenders hereunder and under the other Loan Documents at such time obtained by all the Lenders at such time or (b) Obligations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owing (but not due and payable) to all Lenders hereunder and under the other Loan Documents at such time) of payments on account of the Obligations owing (but not due and payable) to all Lenders hereunder and under the other Loan Documents at such time obtained by all of the Lenders at such time, then, in each case under clauses (a) and (b) above, the Lender receiving such greater proportion shall (A) notify the Administrative Agent of such fact, and (B) purchase (for cash at face value) participations in the Loans and subparticipations in L/C Obligations and Swing Line Loans of the other Lenders, or make such other adjustments as shall be equitable, so that the benefit of all such payments shall be shared by the Lenders ratably in accordance with the aggregate amount of Obligations then due and payable to the Lenders or owing (but not due and payable) to the Lenders, as the case may be, provided that:</w:t>
      </w:r>
    </w:p>
    <w:p>
      <w:pPr>
        <w:spacing w:after="0" w:line="46" w:lineRule="exact"/>
        <w:rPr>
          <w:sz w:val="20"/>
          <w:szCs w:val="20"/>
          <w:color w:val="auto"/>
        </w:rPr>
      </w:pPr>
    </w:p>
    <w:p>
      <w:pPr>
        <w:ind w:left="460" w:firstLine="443"/>
        <w:spacing w:after="0" w:line="332" w:lineRule="auto"/>
        <w:tabs>
          <w:tab w:leader="none" w:pos="1145" w:val="left"/>
        </w:tabs>
        <w:numPr>
          <w:ilvl w:val="0"/>
          <w:numId w:val="93"/>
        </w:numPr>
        <w:rPr>
          <w:rFonts w:ascii="Arial" w:cs="Arial" w:eastAsia="Arial" w:hAnsi="Arial"/>
          <w:sz w:val="16"/>
          <w:szCs w:val="16"/>
          <w:color w:val="auto"/>
        </w:rPr>
      </w:pPr>
      <w:r>
        <w:rPr>
          <w:rFonts w:ascii="Arial" w:cs="Arial" w:eastAsia="Arial" w:hAnsi="Arial"/>
          <w:sz w:val="16"/>
          <w:szCs w:val="16"/>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4" w:lineRule="exact"/>
        <w:rPr>
          <w:rFonts w:ascii="Arial" w:cs="Arial" w:eastAsia="Arial" w:hAnsi="Arial"/>
          <w:sz w:val="16"/>
          <w:szCs w:val="16"/>
          <w:color w:val="auto"/>
        </w:rPr>
      </w:pPr>
    </w:p>
    <w:p>
      <w:pPr>
        <w:jc w:val="both"/>
        <w:ind w:left="460" w:firstLine="443"/>
        <w:spacing w:after="0" w:line="294" w:lineRule="auto"/>
        <w:tabs>
          <w:tab w:leader="none" w:pos="1179" w:val="left"/>
        </w:tabs>
        <w:numPr>
          <w:ilvl w:val="0"/>
          <w:numId w:val="93"/>
        </w:numPr>
        <w:rPr>
          <w:rFonts w:ascii="Arial" w:cs="Arial" w:eastAsia="Arial" w:hAnsi="Arial"/>
          <w:sz w:val="16"/>
          <w:szCs w:val="16"/>
          <w:color w:val="auto"/>
        </w:rPr>
      </w:pPr>
      <w:r>
        <w:rPr>
          <w:rFonts w:ascii="Arial" w:cs="Arial" w:eastAsia="Arial" w:hAnsi="Arial"/>
          <w:sz w:val="16"/>
          <w:szCs w:val="16"/>
          <w:color w:val="auto"/>
        </w:rPr>
        <w:t xml:space="preserve">the provisions of this Section shall not be construed to apply to (A) any payment made by or on behalf of the Borrower pursuant to and in accordance with the express terms of this Agreement (including the application of funds arising from the existence of a Defaulting Lender), (B) the application of Cash Collateral provided for in </w:t>
      </w:r>
      <w:r>
        <w:rPr>
          <w:rFonts w:ascii="Arial" w:cs="Arial" w:eastAsia="Arial" w:hAnsi="Arial"/>
          <w:sz w:val="16"/>
          <w:szCs w:val="16"/>
          <w:u w:val="single" w:color="auto"/>
          <w:color w:val="auto"/>
        </w:rPr>
        <w:t>Section 2.14</w:t>
      </w:r>
      <w:r>
        <w:rPr>
          <w:rFonts w:ascii="Arial" w:cs="Arial" w:eastAsia="Arial" w:hAnsi="Arial"/>
          <w:sz w:val="16"/>
          <w:szCs w:val="16"/>
          <w:color w:val="auto"/>
        </w:rPr>
        <w:t>, or (C) any payment obtained by a Lender as consideration for the assignment of or sale of a participation in any of its Loans or subparticipations in L/C Obligations or Swing Line Loans to any assignee or participant, other than an assignment to the Borrower or any Subsidiary thereof (as to which the provisions of this Section shall apply).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80" w:right="239" w:bottom="1440" w:gutter="0" w:footer="0" w:header="0"/>
        </w:sectPr>
      </w:pPr>
    </w:p>
    <w:bookmarkStart w:id="101" w:name="page102"/>
    <w:bookmarkEnd w:id="101"/>
    <w:p>
      <w:pPr>
        <w:jc w:val="both"/>
        <w:ind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21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2.14 Cash Collateral.</w:t>
      </w:r>
    </w:p>
    <w:p>
      <w:pPr>
        <w:spacing w:after="0" w:line="96" w:lineRule="exact"/>
        <w:rPr>
          <w:sz w:val="20"/>
          <w:szCs w:val="20"/>
          <w:color w:val="auto"/>
        </w:rPr>
      </w:pPr>
    </w:p>
    <w:p>
      <w:pPr>
        <w:jc w:val="both"/>
        <w:ind w:firstLine="921"/>
        <w:spacing w:after="0" w:line="291" w:lineRule="auto"/>
        <w:tabs>
          <w:tab w:leader="none" w:pos="1152"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Certain Credit Support Events</w:t>
      </w:r>
      <w:r>
        <w:rPr>
          <w:rFonts w:ascii="Arial" w:cs="Arial" w:eastAsia="Arial" w:hAnsi="Arial"/>
          <w:sz w:val="16"/>
          <w:szCs w:val="16"/>
          <w:color w:val="auto"/>
        </w:rPr>
        <w:t xml:space="preserve">. Upon the request of the Administrative Agent or the L/C Issuer (i) if the L/C Issuer has honored any full or partial drawing request under any Letter of Credit and such drawing has resulted in an L/C Borrowing, or (ii) if, as of the Letter of Credit Expiration Date, any L/C Obligation for any reason remains outstanding, the Borrower shall, in each case, immediately Cash Collateralize the then Outstanding Amount of all L/C Obligations. At any time that there shall exist any Revolving Credit Lender that is a Defaulting Lender, immediately upon the request of the Administrative Agent, the L/C Issuer or the Swing Line Lender, the Borrower shall deliver to the Administrative Agent Cash Collateral in an amount sufficient to cover all Fronting Exposure (after giving effect to </w:t>
      </w:r>
      <w:r>
        <w:rPr>
          <w:rFonts w:ascii="Arial" w:cs="Arial" w:eastAsia="Arial" w:hAnsi="Arial"/>
          <w:sz w:val="16"/>
          <w:szCs w:val="16"/>
          <w:u w:val="single" w:color="auto"/>
          <w:color w:val="auto"/>
        </w:rPr>
        <w:t>Section 2.15(a)(iv)</w:t>
      </w:r>
      <w:r>
        <w:rPr>
          <w:rFonts w:ascii="Arial" w:cs="Arial" w:eastAsia="Arial" w:hAnsi="Arial"/>
          <w:sz w:val="16"/>
          <w:szCs w:val="16"/>
          <w:color w:val="auto"/>
        </w:rPr>
        <w:t xml:space="preserve"> and any Cash Collateral provided by the Defaulting Lender).</w:t>
      </w:r>
    </w:p>
    <w:p>
      <w:pPr>
        <w:spacing w:after="0" w:line="120" w:lineRule="exact"/>
        <w:rPr>
          <w:rFonts w:ascii="Arial" w:cs="Arial" w:eastAsia="Arial" w:hAnsi="Arial"/>
          <w:sz w:val="16"/>
          <w:szCs w:val="16"/>
          <w:color w:val="auto"/>
        </w:rPr>
      </w:pPr>
    </w:p>
    <w:p>
      <w:pPr>
        <w:jc w:val="both"/>
        <w:ind w:firstLine="921"/>
        <w:spacing w:after="0" w:line="288" w:lineRule="auto"/>
        <w:tabs>
          <w:tab w:leader="none" w:pos="1161"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Grant of Security Interest</w:t>
      </w:r>
      <w:r>
        <w:rPr>
          <w:rFonts w:ascii="Arial" w:cs="Arial" w:eastAsia="Arial" w:hAnsi="Arial"/>
          <w:sz w:val="16"/>
          <w:szCs w:val="16"/>
          <w:color w:val="auto"/>
        </w:rPr>
        <w:t xml:space="preserve">. All Cash Collateral (other than credit support not constituting funds subject to deposit) shall be maintained in blocked, non-interest bearing deposit accounts at Bank of America. The Borrower, and to the extent provided by any Revolving Credit Lender, such Revolving Credit Lender, hereby grants to (and subjects to the control of) the Administrative Agent, for the benefit of the Administrative Agent, the L/C Issuer and the Revolving Credit Lenders (including the Swing Line Lender),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16"/>
          <w:szCs w:val="16"/>
          <w:u w:val="single" w:color="auto"/>
          <w:color w:val="auto"/>
        </w:rPr>
        <w:t>Section 2.14(c)</w:t>
      </w:r>
      <w:r>
        <w:rPr>
          <w:rFonts w:ascii="Arial" w:cs="Arial" w:eastAsia="Arial" w:hAnsi="Arial"/>
          <w:sz w:val="16"/>
          <w:szCs w:val="16"/>
          <w:color w:val="auto"/>
        </w:rPr>
        <w:t>. If at any time the Administrative Agent determines that Cash Collateral is subject to any right or claim of any Person other than the Administrative Agent as herein provided, or that the total amount of such Cash Collateral is less than the applicable Fronting Exposure and other obligations secured thereby, the Borrower or the relevant Revolving Credit Lender that is a Defaulting Lender will, promptly upon demand by the Administrative Agent, pay or provide to the Administrative Agent additional Cash Collateral in an amount sufficient to eliminate such deficiency.</w:t>
      </w:r>
    </w:p>
    <w:p>
      <w:pPr>
        <w:spacing w:after="0" w:line="119" w:lineRule="exact"/>
        <w:rPr>
          <w:rFonts w:ascii="Arial" w:cs="Arial" w:eastAsia="Arial" w:hAnsi="Arial"/>
          <w:sz w:val="16"/>
          <w:szCs w:val="16"/>
          <w:color w:val="auto"/>
        </w:rPr>
      </w:pPr>
    </w:p>
    <w:p>
      <w:pPr>
        <w:jc w:val="both"/>
        <w:ind w:firstLine="921"/>
        <w:spacing w:after="0" w:line="255" w:lineRule="auto"/>
        <w:tabs>
          <w:tab w:leader="none" w:pos="1152"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xml:space="preserve">. Notwithstanding anything to the contrary contained in this Agreement, Cash Collateral provided under any of this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Sections 2.03</w:t>
      </w:r>
      <w:r>
        <w:rPr>
          <w:rFonts w:ascii="Arial" w:cs="Arial" w:eastAsia="Arial" w:hAnsi="Arial"/>
          <w:sz w:val="18"/>
          <w:szCs w:val="18"/>
          <w:color w:val="auto"/>
        </w:rPr>
        <w:t xml:space="preserve">, </w:t>
      </w:r>
      <w:r>
        <w:rPr>
          <w:rFonts w:ascii="Arial" w:cs="Arial" w:eastAsia="Arial" w:hAnsi="Arial"/>
          <w:sz w:val="18"/>
          <w:szCs w:val="18"/>
          <w:u w:val="single" w:color="auto"/>
          <w:color w:val="auto"/>
        </w:rPr>
        <w:t>2.04</w:t>
      </w:r>
      <w:r>
        <w:rPr>
          <w:rFonts w:ascii="Arial" w:cs="Arial" w:eastAsia="Arial" w:hAnsi="Arial"/>
          <w:sz w:val="18"/>
          <w:szCs w:val="18"/>
          <w:color w:val="auto"/>
        </w:rPr>
        <w:t xml:space="preserve">, </w:t>
      </w:r>
      <w:r>
        <w:rPr>
          <w:rFonts w:ascii="Arial" w:cs="Arial" w:eastAsia="Arial" w:hAnsi="Arial"/>
          <w:sz w:val="18"/>
          <w:szCs w:val="18"/>
          <w:u w:val="single" w:color="auto"/>
          <w:color w:val="auto"/>
        </w:rPr>
        <w:t>2.05</w:t>
      </w:r>
      <w:r>
        <w:rPr>
          <w:rFonts w:ascii="Arial" w:cs="Arial" w:eastAsia="Arial" w:hAnsi="Arial"/>
          <w:sz w:val="18"/>
          <w:szCs w:val="18"/>
          <w:color w:val="auto"/>
        </w:rPr>
        <w:t xml:space="preserve">, </w:t>
      </w:r>
      <w:r>
        <w:rPr>
          <w:rFonts w:ascii="Arial" w:cs="Arial" w:eastAsia="Arial" w:hAnsi="Arial"/>
          <w:sz w:val="18"/>
          <w:szCs w:val="18"/>
          <w:u w:val="single" w:color="auto"/>
          <w:color w:val="auto"/>
        </w:rPr>
        <w:t>2.15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8.02</w:t>
      </w:r>
      <w:r>
        <w:rPr>
          <w:rFonts w:ascii="Arial" w:cs="Arial" w:eastAsia="Arial" w:hAnsi="Arial"/>
          <w:sz w:val="18"/>
          <w:szCs w:val="18"/>
          <w:color w:val="auto"/>
        </w:rPr>
        <w:t xml:space="preserve"> in respect of Letters of Credit or Swing Line Loans shall be held and applied to the satisfaction of the specific L/C Obligations, Swing Line Loans, obligations to fund participations therein (including, as to Cash Collateral provided by a Revolving Credit Lender that is a Defaulting Lender, any interest accrued on such obligation) and other obligations for which the Cash Collateral was so provided, prior to any other application of such property as may be provided for herein.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80" w:right="239" w:bottom="1440" w:gutter="0" w:footer="0" w:header="0"/>
        </w:sectPr>
      </w:pPr>
    </w:p>
    <w:bookmarkStart w:id="102" w:name="page103"/>
    <w:bookmarkEnd w:id="102"/>
    <w:p>
      <w:pPr>
        <w:jc w:val="both"/>
        <w:ind w:firstLine="921"/>
        <w:spacing w:after="0" w:line="290" w:lineRule="auto"/>
        <w:tabs>
          <w:tab w:leader="none" w:pos="1161"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Release</w:t>
      </w:r>
      <w:r>
        <w:rPr>
          <w:rFonts w:ascii="Arial" w:cs="Arial" w:eastAsia="Arial" w:hAnsi="Arial"/>
          <w:sz w:val="16"/>
          <w:szCs w:val="16"/>
          <w:color w:val="auto"/>
        </w:rPr>
        <w:t xml:space="preserve">. Cash Collateral (or the appropriate portion thereof) provided to reduce Fronting Exposure or other obligations shall be released promptly following (i) the elimination of the applicable Fronting Exposure or other obligations giving rise thereto (including by the termination of Defaulting Lender status of the applicable Revolving Credit Lender (or, as appropriate, its assignee following compliance with </w:t>
      </w:r>
      <w:r>
        <w:rPr>
          <w:rFonts w:ascii="Arial" w:cs="Arial" w:eastAsia="Arial" w:hAnsi="Arial"/>
          <w:sz w:val="16"/>
          <w:szCs w:val="16"/>
          <w:u w:val="single" w:color="auto"/>
          <w:color w:val="auto"/>
        </w:rPr>
        <w:t>Section 10.06(b)(vi)</w:t>
      </w:r>
      <w:r>
        <w:rPr>
          <w:rFonts w:ascii="Arial" w:cs="Arial" w:eastAsia="Arial" w:hAnsi="Arial"/>
          <w:sz w:val="16"/>
          <w:szCs w:val="16"/>
          <w:color w:val="auto"/>
        </w:rPr>
        <w:t xml:space="preserve">)) or (ii) the Administrative Agent’s good faith determination that there exists excess Cash Collateral;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(x) that Cash Collateral furnished by or on behalf of a Loan Party shall not be released during the continuance of a Default or Event of Default (and following application as provided in this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may be otherwise applied in accordance with </w:t>
      </w:r>
      <w:r>
        <w:rPr>
          <w:rFonts w:ascii="Arial" w:cs="Arial" w:eastAsia="Arial" w:hAnsi="Arial"/>
          <w:sz w:val="16"/>
          <w:szCs w:val="16"/>
          <w:u w:val="single" w:color="auto"/>
          <w:color w:val="auto"/>
        </w:rPr>
        <w:t>Section 8.03</w:t>
      </w:r>
      <w:r>
        <w:rPr>
          <w:rFonts w:ascii="Arial" w:cs="Arial" w:eastAsia="Arial" w:hAnsi="Arial"/>
          <w:sz w:val="16"/>
          <w:szCs w:val="16"/>
          <w:color w:val="auto"/>
        </w:rPr>
        <w:t>), and (y) the Person providing Cash Collateral and the L/C Issuer or Swing Line Lender, as applicable, may agree that Cash Collateral shall not be released but instead held to support future anticipated Fronting Exposure or other obligations.</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2.15 Defaulting Lenders.</w:t>
      </w:r>
    </w:p>
    <w:p>
      <w:pPr>
        <w:spacing w:after="0" w:line="96" w:lineRule="exact"/>
        <w:rPr>
          <w:sz w:val="20"/>
          <w:szCs w:val="20"/>
          <w:color w:val="auto"/>
        </w:rPr>
      </w:pPr>
    </w:p>
    <w:p>
      <w:pPr>
        <w:ind w:firstLine="921"/>
        <w:spacing w:after="0" w:line="268" w:lineRule="auto"/>
        <w:tabs>
          <w:tab w:leader="none" w:pos="1152"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50" w:lineRule="exact"/>
        <w:rPr>
          <w:rFonts w:ascii="Arial" w:cs="Arial" w:eastAsia="Arial" w:hAnsi="Arial"/>
          <w:sz w:val="18"/>
          <w:szCs w:val="18"/>
          <w:color w:val="auto"/>
        </w:rPr>
      </w:pPr>
    </w:p>
    <w:p>
      <w:pPr>
        <w:ind w:left="460" w:firstLine="443"/>
        <w:spacing w:after="0" w:line="268" w:lineRule="auto"/>
        <w:tabs>
          <w:tab w:leader="none" w:pos="1135"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xml:space="preserve">. That Defaulting Lender’s right to approve or disapprove any amendment, waiver or consent with respect to this Agreement shall be restricted as set forth in </w:t>
      </w:r>
      <w:r>
        <w:rPr>
          <w:rFonts w:ascii="Arial" w:cs="Arial" w:eastAsia="Arial" w:hAnsi="Arial"/>
          <w:sz w:val="18"/>
          <w:szCs w:val="18"/>
          <w:u w:val="single" w:color="auto"/>
          <w:color w:val="auto"/>
        </w:rPr>
        <w:t>Section 10.01</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jc w:val="both"/>
        <w:ind w:left="460" w:firstLine="443"/>
        <w:spacing w:after="0" w:line="285" w:lineRule="auto"/>
        <w:tabs>
          <w:tab w:leader="none" w:pos="1156"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Reallocation of Payments</w:t>
      </w:r>
      <w:r>
        <w:rPr>
          <w:rFonts w:ascii="Arial" w:cs="Arial" w:eastAsia="Arial" w:hAnsi="Arial"/>
          <w:sz w:val="16"/>
          <w:szCs w:val="16"/>
          <w:color w:val="auto"/>
        </w:rPr>
        <w:t xml:space="preserve">. Any payment of principal, interest, fees or other amounts received by the Administrative Agent for the account of that Defaulting Lender (whether voluntary or mandatory, at maturity,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or otherwise, and including any amounts made available to the Administrative Agent by that Defaulting Lender pursuant to </w:t>
      </w:r>
      <w:r>
        <w:rPr>
          <w:rFonts w:ascii="Arial" w:cs="Arial" w:eastAsia="Arial" w:hAnsi="Arial"/>
          <w:sz w:val="16"/>
          <w:szCs w:val="16"/>
          <w:u w:val="single" w:color="auto"/>
          <w:color w:val="auto"/>
        </w:rPr>
        <w:t>Section 10.08</w:t>
      </w:r>
      <w:r>
        <w:rPr>
          <w:rFonts w:ascii="Arial" w:cs="Arial" w:eastAsia="Arial" w:hAnsi="Arial"/>
          <w:sz w:val="16"/>
          <w:szCs w:val="16"/>
          <w:color w:val="auto"/>
        </w:rPr>
        <w:t xml:space="preserve">), shall be applied at such time or times as may be determined by the Administrative Agent as follows: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the payment of any amounts owing by that Defaulting Lender to the Administrative Agent hereunder; </w:t>
      </w:r>
      <w:r>
        <w:rPr>
          <w:rFonts w:ascii="Arial" w:cs="Arial" w:eastAsia="Arial" w:hAnsi="Arial"/>
          <w:sz w:val="16"/>
          <w:szCs w:val="16"/>
          <w:i w:val="1"/>
          <w:iCs w:val="1"/>
          <w:color w:val="auto"/>
        </w:rPr>
        <w:t>second</w:t>
      </w:r>
      <w:r>
        <w:rPr>
          <w:rFonts w:ascii="Arial" w:cs="Arial" w:eastAsia="Arial" w:hAnsi="Arial"/>
          <w:sz w:val="16"/>
          <w:szCs w:val="16"/>
          <w:color w:val="auto"/>
        </w:rPr>
        <w:t xml:space="preserve">, if such Defaulting Lender is a Revolving Credit Lender, to the payment on a pro rata basis of any amounts owing by that Defaulting Lender to the L/C Issuer or Swing Line Lender hereunder; </w:t>
      </w:r>
      <w:r>
        <w:rPr>
          <w:rFonts w:ascii="Arial" w:cs="Arial" w:eastAsia="Arial" w:hAnsi="Arial"/>
          <w:sz w:val="16"/>
          <w:szCs w:val="16"/>
          <w:i w:val="1"/>
          <w:iCs w:val="1"/>
          <w:color w:val="auto"/>
        </w:rPr>
        <w:t>third</w:t>
      </w:r>
      <w:r>
        <w:rPr>
          <w:rFonts w:ascii="Arial" w:cs="Arial" w:eastAsia="Arial" w:hAnsi="Arial"/>
          <w:sz w:val="16"/>
          <w:szCs w:val="16"/>
          <w:color w:val="auto"/>
        </w:rPr>
        <w:t xml:space="preserve">, if such Defaulting Lender is a Revolving Credit Lender and if so determined by the Administrative Agent or requested by the L/C Issuer or Swing Line Lender, to be held as Cash Collateral for future funding obligations of that Defaulting Lender of any participation in any Swing Line Loan or Letter of Credit; </w:t>
      </w:r>
      <w:r>
        <w:rPr>
          <w:rFonts w:ascii="Arial" w:cs="Arial" w:eastAsia="Arial" w:hAnsi="Arial"/>
          <w:sz w:val="16"/>
          <w:szCs w:val="16"/>
          <w:i w:val="1"/>
          <w:iCs w:val="1"/>
          <w:color w:val="auto"/>
        </w:rPr>
        <w:t>fourth</w:t>
      </w:r>
      <w:r>
        <w:rPr>
          <w:rFonts w:ascii="Arial" w:cs="Arial" w:eastAsia="Arial" w:hAnsi="Arial"/>
          <w:sz w:val="16"/>
          <w:szCs w:val="16"/>
          <w:color w:val="auto"/>
        </w:rPr>
        <w:t xml:space="preserve">, as the Borrower may request (so long as no Default or Event of Default exists), to the funding of any Loan in respect of which that Defaulting Lender has failed to fund its portion thereof as required by this Agreement, as determined by the Administrative Agent; </w:t>
      </w:r>
      <w:r>
        <w:rPr>
          <w:rFonts w:ascii="Arial" w:cs="Arial" w:eastAsia="Arial" w:hAnsi="Arial"/>
          <w:sz w:val="16"/>
          <w:szCs w:val="16"/>
          <w:i w:val="1"/>
          <w:iCs w:val="1"/>
          <w:color w:val="auto"/>
        </w:rPr>
        <w:t>fifth</w:t>
      </w:r>
      <w:r>
        <w:rPr>
          <w:rFonts w:ascii="Arial" w:cs="Arial" w:eastAsia="Arial" w:hAnsi="Arial"/>
          <w:sz w:val="16"/>
          <w:szCs w:val="16"/>
          <w:color w:val="auto"/>
        </w:rPr>
        <w:t xml:space="preserve">, if so determined by the Administrative Agent and the Borrower, to be held in a non-interest bearing deposit account and released in order to satisfy obligations of that Defaulting Lender to fund Loans under this Agreement; </w:t>
      </w:r>
      <w:r>
        <w:rPr>
          <w:rFonts w:ascii="Arial" w:cs="Arial" w:eastAsia="Arial" w:hAnsi="Arial"/>
          <w:sz w:val="16"/>
          <w:szCs w:val="16"/>
          <w:i w:val="1"/>
          <w:iCs w:val="1"/>
          <w:color w:val="auto"/>
        </w:rPr>
        <w:t>sixth</w:t>
      </w:r>
      <w:r>
        <w:rPr>
          <w:rFonts w:ascii="Arial" w:cs="Arial" w:eastAsia="Arial" w:hAnsi="Arial"/>
          <w:sz w:val="16"/>
          <w:szCs w:val="16"/>
          <w:color w:val="auto"/>
        </w:rPr>
        <w:t xml:space="preserve">, in the case of a Defaulting Lender, to the payment of any amounts owing to the other Lenders (including the L/C Issuer or Swing Line Lender) as a result of any judgment of a court of competent jurisdiction obtained by any Lender (including the L/C Issuer or Swing Line Lender) against that Defaulting Lender as a result of that Defaulting Lender’s breach of its obligations under this Agreement; </w:t>
      </w:r>
      <w:r>
        <w:rPr>
          <w:rFonts w:ascii="Arial" w:cs="Arial" w:eastAsia="Arial" w:hAnsi="Arial"/>
          <w:sz w:val="16"/>
          <w:szCs w:val="16"/>
          <w:i w:val="1"/>
          <w:iCs w:val="1"/>
          <w:color w:val="auto"/>
        </w:rPr>
        <w:t>seventh</w:t>
      </w:r>
      <w:r>
        <w:rPr>
          <w:rFonts w:ascii="Arial" w:cs="Arial" w:eastAsia="Arial" w:hAnsi="Arial"/>
          <w:sz w:val="16"/>
          <w:szCs w:val="16"/>
          <w:color w:val="auto"/>
        </w:rPr>
        <w:t>, so long as no Default or Event of Default exists, to the payment of any amounts owing to the Borrower as a result of any judgment of a court of competent jurisdiction obtained by the Borrower against that Defaulting</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80" w:right="239" w:bottom="1440" w:gutter="0" w:footer="0" w:header="0"/>
        </w:sectPr>
      </w:pPr>
    </w:p>
    <w:bookmarkStart w:id="103" w:name="page104"/>
    <w:bookmarkEnd w:id="103"/>
    <w:p>
      <w:pPr>
        <w:jc w:val="both"/>
        <w:ind w:left="4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Lender as a result of that Defaulting Lender’s breach of its obligations under this Agreement; and </w:t>
      </w:r>
      <w:r>
        <w:rPr>
          <w:rFonts w:ascii="Arial" w:cs="Arial" w:eastAsia="Arial" w:hAnsi="Arial"/>
          <w:sz w:val="16"/>
          <w:szCs w:val="16"/>
          <w:i w:val="1"/>
          <w:iCs w:val="1"/>
          <w:color w:val="auto"/>
        </w:rPr>
        <w:t>eighth</w:t>
      </w:r>
      <w:r>
        <w:rPr>
          <w:rFonts w:ascii="Arial" w:cs="Arial" w:eastAsia="Arial" w:hAnsi="Arial"/>
          <w:sz w:val="16"/>
          <w:szCs w:val="16"/>
          <w:color w:val="auto"/>
        </w:rPr>
        <w:t xml:space="preserve">, to that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 such payment is a payment of the principal amount of any Loans or L/C Borrowings in respect of which that Defaulting Lender has not fully funded its appropriate share and (B) such Loans or L/C Borrowings were made at a time when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were satisfied or waived, such payment shall be applied to pay the Loans of, and L/C Borrowings owed to, all non-Defaulting Lenders on a pro rata basis (and computed in accordance with the Defaulting Lenders’ respective funding deficiencies) prior to being applied to the payment of any Loans of, or L/C Borrowings owed to, that Defaulting Lender. Any payments, prepayments or other amounts paid or payable to a Defaulting Lender that are applied (or held) to pay amounts owed by a Defaulting Lender or to post Cash Collateral pursuant to this </w:t>
      </w:r>
      <w:r>
        <w:rPr>
          <w:rFonts w:ascii="Arial" w:cs="Arial" w:eastAsia="Arial" w:hAnsi="Arial"/>
          <w:sz w:val="16"/>
          <w:szCs w:val="16"/>
          <w:u w:val="single" w:color="auto"/>
          <w:color w:val="auto"/>
        </w:rPr>
        <w:t>Section 2.15(a)(ii)</w:t>
      </w:r>
      <w:r>
        <w:rPr>
          <w:rFonts w:ascii="Arial" w:cs="Arial" w:eastAsia="Arial" w:hAnsi="Arial"/>
          <w:sz w:val="16"/>
          <w:szCs w:val="16"/>
          <w:color w:val="auto"/>
        </w:rPr>
        <w:t xml:space="preserve"> shall be deemed paid to and redirected by that Defaulting Lender, and each Lender irrevocably consents hereto.</w:t>
      </w:r>
    </w:p>
    <w:p>
      <w:pPr>
        <w:spacing w:after="0" w:line="37" w:lineRule="exact"/>
        <w:rPr>
          <w:sz w:val="20"/>
          <w:szCs w:val="20"/>
          <w:color w:val="auto"/>
        </w:rPr>
      </w:pPr>
    </w:p>
    <w:p>
      <w:pPr>
        <w:jc w:val="both"/>
        <w:ind w:left="460" w:firstLine="443"/>
        <w:spacing w:after="0" w:line="306" w:lineRule="auto"/>
        <w:tabs>
          <w:tab w:leader="none" w:pos="1205"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Certain Fees</w:t>
      </w:r>
      <w:r>
        <w:rPr>
          <w:rFonts w:ascii="Arial" w:cs="Arial" w:eastAsia="Arial" w:hAnsi="Arial"/>
          <w:sz w:val="16"/>
          <w:szCs w:val="16"/>
          <w:color w:val="auto"/>
        </w:rPr>
        <w:t xml:space="preserve">. That Defaulting Lender (A) shall not be entitled to receive any Commitment Fee pursuant to </w:t>
      </w:r>
      <w:r>
        <w:rPr>
          <w:rFonts w:ascii="Arial" w:cs="Arial" w:eastAsia="Arial" w:hAnsi="Arial"/>
          <w:sz w:val="16"/>
          <w:szCs w:val="16"/>
          <w:u w:val="single" w:color="auto"/>
          <w:color w:val="auto"/>
        </w:rPr>
        <w:t>Section 2.09(a)</w:t>
      </w:r>
      <w:r>
        <w:rPr>
          <w:rFonts w:ascii="Arial" w:cs="Arial" w:eastAsia="Arial" w:hAnsi="Arial"/>
          <w:sz w:val="16"/>
          <w:szCs w:val="16"/>
          <w:color w:val="auto"/>
        </w:rPr>
        <w:t xml:space="preserve"> for any period during which that Lender is a Defaulting Lender (and the Borrower shall not be required to pay any such fee that otherwise would have been required to have been paid to that Defaulting Lender) and (B) shall be limited in its right to receive Letter of Credit Fees as provided in </w:t>
      </w:r>
      <w:r>
        <w:rPr>
          <w:rFonts w:ascii="Arial" w:cs="Arial" w:eastAsia="Arial" w:hAnsi="Arial"/>
          <w:sz w:val="16"/>
          <w:szCs w:val="16"/>
          <w:u w:val="single" w:color="auto"/>
          <w:color w:val="auto"/>
        </w:rPr>
        <w:t>Section 2.03(h)</w:t>
      </w:r>
      <w:r>
        <w:rPr>
          <w:rFonts w:ascii="Arial" w:cs="Arial" w:eastAsia="Arial" w:hAnsi="Arial"/>
          <w:sz w:val="16"/>
          <w:szCs w:val="16"/>
          <w:color w:val="auto"/>
        </w:rPr>
        <w:t>.</w:t>
      </w:r>
    </w:p>
    <w:p>
      <w:pPr>
        <w:spacing w:after="0" w:line="25" w:lineRule="exact"/>
        <w:rPr>
          <w:rFonts w:ascii="Arial" w:cs="Arial" w:eastAsia="Arial" w:hAnsi="Arial"/>
          <w:sz w:val="16"/>
          <w:szCs w:val="16"/>
          <w:color w:val="auto"/>
        </w:rPr>
      </w:pPr>
    </w:p>
    <w:p>
      <w:pPr>
        <w:jc w:val="both"/>
        <w:ind w:left="460" w:firstLine="443"/>
        <w:spacing w:after="0" w:line="289" w:lineRule="auto"/>
        <w:tabs>
          <w:tab w:leader="none" w:pos="1195"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Reallocation of Applicable Revolving Credit Percentages to Reduce Fronting Exposure</w:t>
      </w:r>
      <w:r>
        <w:rPr>
          <w:rFonts w:ascii="Arial" w:cs="Arial" w:eastAsia="Arial" w:hAnsi="Arial"/>
          <w:sz w:val="16"/>
          <w:szCs w:val="16"/>
          <w:color w:val="auto"/>
        </w:rPr>
        <w:t xml:space="preserve">. During any period in which a Revolving Credit Lender is a Defaulting Lender, for purposes of computing the amount of the obligation of each Revolving Credit Lender that is a non-Defaulting Lender to acquire, refinance or fund participations in Letters of Credit or Swing Line Loans pursuant to </w:t>
      </w:r>
      <w:r>
        <w:rPr>
          <w:rFonts w:ascii="Arial" w:cs="Arial" w:eastAsia="Arial" w:hAnsi="Arial"/>
          <w:sz w:val="16"/>
          <w:szCs w:val="16"/>
          <w:u w:val="single" w:color="auto"/>
          <w:color w:val="auto"/>
        </w:rPr>
        <w:t>Sections 2.03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2.04</w:t>
      </w:r>
      <w:r>
        <w:rPr>
          <w:rFonts w:ascii="Arial" w:cs="Arial" w:eastAsia="Arial" w:hAnsi="Arial"/>
          <w:sz w:val="16"/>
          <w:szCs w:val="16"/>
          <w:color w:val="auto"/>
        </w:rPr>
        <w:t xml:space="preserve">, the “Applicable Revolving Credit Percentage” of each such non-Defaulting Lender shall be computed without giving effect to the Commitment of that Defaulting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each such reallocation shall be given effect only if, at the date the applicable Revolving Credit Lender becomes a Defaulting Lender, no Default or Event of Default exists; and (B) the aggregate obligation of each Revolving Credit Lender that is a non-Defaulting Lender to acquire, refinance or fund participations in Letters of Credit and Swing Line Loans shall not exceed the positive difference, if any, of (1) the Commitment of that non-Defaulting Revolving Credit Lender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(2) the aggregate Outstanding Amount of the Revolving Credit Loans of that Revolving Credit Lender.</w:t>
      </w:r>
    </w:p>
    <w:p>
      <w:pPr>
        <w:spacing w:after="0" w:line="118" w:lineRule="exact"/>
        <w:rPr>
          <w:sz w:val="20"/>
          <w:szCs w:val="20"/>
          <w:color w:val="auto"/>
        </w:rPr>
      </w:pPr>
    </w:p>
    <w:p>
      <w:pPr>
        <w:jc w:val="both"/>
        <w:ind w:firstLine="921"/>
        <w:spacing w:after="0" w:line="291" w:lineRule="auto"/>
        <w:tabs>
          <w:tab w:leader="none" w:pos="1161"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Defaulting Lender Cure</w:t>
      </w:r>
      <w:r>
        <w:rPr>
          <w:rFonts w:ascii="Arial" w:cs="Arial" w:eastAsia="Arial" w:hAnsi="Arial"/>
          <w:sz w:val="16"/>
          <w:szCs w:val="16"/>
          <w:color w:val="auto"/>
        </w:rPr>
        <w:t>. If the Borrower and the Administrative Agent, and, in the case a Defaulting Lender is a Revolving Credit Lender, the Swing Line Lender and the L/C Issuer, agree in writing in their sole discretion that a Defaulting Lender should no longer be deemed to be a Defaulting Lender, the Administrative Agent will so notify the other Lenders, whereupon as of the effective date specified in such notice and subject to any conditions set forth therein (which may include arrangements with respect to any Cash Collateral), that Lender will, to the extent applicable, purchase that portion of outstanding Loans of the other Lenders or take such other actions as the Administrative Agent may determine to be necessary to cause the Loans and the funded and unfunded participations in Letters of Credit and Swing Line Loans, to be held on a pro rata basis by the Lenders in accordance with their Applicable Percentages (without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80" w:right="239" w:bottom="1440" w:gutter="0" w:footer="0" w:header="0"/>
        </w:sectPr>
      </w:pPr>
    </w:p>
    <w:bookmarkStart w:id="104" w:name="page105"/>
    <w:bookmarkEnd w:id="104"/>
    <w:p>
      <w:pPr>
        <w:jc w:val="both"/>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giving effect to </w:t>
      </w:r>
      <w:r>
        <w:rPr>
          <w:rFonts w:ascii="Arial" w:cs="Arial" w:eastAsia="Arial" w:hAnsi="Arial"/>
          <w:sz w:val="18"/>
          <w:szCs w:val="18"/>
          <w:u w:val="single" w:color="auto"/>
          <w:color w:val="auto"/>
        </w:rPr>
        <w:t>Section 2.15(a)(iv)</w:t>
      </w:r>
      <w:r>
        <w:rPr>
          <w:rFonts w:ascii="Arial" w:cs="Arial" w:eastAsia="Arial" w:hAnsi="Arial"/>
          <w:sz w:val="18"/>
          <w:szCs w:val="18"/>
          <w:color w:val="auto"/>
        </w:rPr>
        <w:t xml:space="preserve">), whereupon that Lender will cease to be a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37"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5"/>
          <w:szCs w:val="15"/>
          <w:b w:val="1"/>
          <w:bCs w:val="1"/>
          <w:color w:val="auto"/>
        </w:rPr>
        <w:t xml:space="preserve">2.16 Increase in Commitments. </w:t>
      </w:r>
      <w:r>
        <w:rPr>
          <w:rFonts w:ascii="Arial" w:cs="Arial" w:eastAsia="Arial" w:hAnsi="Arial"/>
          <w:sz w:val="15"/>
          <w:szCs w:val="15"/>
          <w:color w:val="auto"/>
        </w:rPr>
        <w:t>(a)</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Request for Increase</w:t>
      </w:r>
      <w:r>
        <w:rPr>
          <w:rFonts w:ascii="Arial" w:cs="Arial" w:eastAsia="Arial" w:hAnsi="Arial"/>
          <w:sz w:val="15"/>
          <w:szCs w:val="15"/>
          <w:color w:val="auto"/>
        </w:rPr>
        <w:t>. Provided there exists no Default or Event of Default, upon notice to the Administrative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Agent (which shall promptly notify the Lenders), the Borrower may from time to time, request an increase in the Aggregate Commitments by an amount (for all such requests) not exceeding $200,000,000 in the aggregate;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any such request for an increase shall be in a minimum amount of $25,000,000, and</w:t>
      </w:r>
    </w:p>
    <w:p>
      <w:pPr>
        <w:spacing w:after="0" w:line="1" w:lineRule="exact"/>
        <w:rPr>
          <w:sz w:val="20"/>
          <w:szCs w:val="20"/>
          <w:color w:val="auto"/>
        </w:rPr>
      </w:pPr>
    </w:p>
    <w:p>
      <w:pPr>
        <w:jc w:val="both"/>
        <w:ind w:firstLine="8"/>
        <w:spacing w:after="0" w:line="255" w:lineRule="auto"/>
        <w:tabs>
          <w:tab w:leader="none" w:pos="26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Borrower may make a maximum of five such requests. At the time of sending such notice, the Borrower (in consultation with the Administrative Agent) shall specify the time period within which each Appropriate Lender is requested to respond (which shall in no event be less than ten Business Days from the date of delivery of such notice to the Appropriate Lenders).</w:t>
      </w:r>
    </w:p>
    <w:p>
      <w:pPr>
        <w:spacing w:after="0" w:line="144" w:lineRule="exact"/>
        <w:rPr>
          <w:rFonts w:ascii="Arial" w:cs="Arial" w:eastAsia="Arial" w:hAnsi="Arial"/>
          <w:sz w:val="18"/>
          <w:szCs w:val="18"/>
          <w:color w:val="auto"/>
        </w:rPr>
      </w:pPr>
    </w:p>
    <w:p>
      <w:pPr>
        <w:jc w:val="both"/>
        <w:ind w:firstLine="921"/>
        <w:spacing w:after="0" w:line="298" w:lineRule="auto"/>
        <w:tabs>
          <w:tab w:leader="none" w:pos="1161" w:val="left"/>
        </w:tabs>
        <w:numPr>
          <w:ilvl w:val="1"/>
          <w:numId w:val="100"/>
        </w:numPr>
        <w:rPr>
          <w:rFonts w:ascii="Arial" w:cs="Arial" w:eastAsia="Arial" w:hAnsi="Arial"/>
          <w:sz w:val="16"/>
          <w:szCs w:val="16"/>
          <w:color w:val="auto"/>
        </w:rPr>
      </w:pPr>
      <w:r>
        <w:rPr>
          <w:rFonts w:ascii="Arial" w:cs="Arial" w:eastAsia="Arial" w:hAnsi="Arial"/>
          <w:sz w:val="16"/>
          <w:szCs w:val="16"/>
          <w:u w:val="single" w:color="auto"/>
          <w:color w:val="auto"/>
        </w:rPr>
        <w:t>Lender Elections to Increase</w:t>
      </w:r>
      <w:r>
        <w:rPr>
          <w:rFonts w:ascii="Arial" w:cs="Arial" w:eastAsia="Arial" w:hAnsi="Arial"/>
          <w:sz w:val="16"/>
          <w:szCs w:val="16"/>
          <w:color w:val="auto"/>
        </w:rPr>
        <w:t>. Each Appropriate Lender shall notify the Administrative Agent within such time period whether or not it agrees to increase its applicable Commitment and, if so, whether by an amount equal to, greater than, or less than its Applicable Percentage of such requested increase. Any Appropriate Lender not responding within such time period shall be deemed to have declined to increase its Commitment. Any Lender’s decision to increase its Commitment pursuant hereto may be made by Lender in its sole and absolute discretion.</w:t>
      </w:r>
    </w:p>
    <w:p>
      <w:pPr>
        <w:spacing w:after="0" w:line="112" w:lineRule="exact"/>
        <w:rPr>
          <w:rFonts w:ascii="Arial" w:cs="Arial" w:eastAsia="Arial" w:hAnsi="Arial"/>
          <w:sz w:val="16"/>
          <w:szCs w:val="16"/>
          <w:color w:val="auto"/>
        </w:rPr>
      </w:pPr>
    </w:p>
    <w:p>
      <w:pPr>
        <w:jc w:val="both"/>
        <w:ind w:firstLine="921"/>
        <w:spacing w:after="0" w:line="255" w:lineRule="auto"/>
        <w:tabs>
          <w:tab w:leader="none" w:pos="1152" w:val="left"/>
        </w:tabs>
        <w:numPr>
          <w:ilvl w:val="1"/>
          <w:numId w:val="100"/>
        </w:numPr>
        <w:rPr>
          <w:rFonts w:ascii="Arial" w:cs="Arial" w:eastAsia="Arial" w:hAnsi="Arial"/>
          <w:sz w:val="18"/>
          <w:szCs w:val="18"/>
          <w:color w:val="auto"/>
        </w:rPr>
      </w:pPr>
      <w:r>
        <w:rPr>
          <w:rFonts w:ascii="Arial" w:cs="Arial" w:eastAsia="Arial" w:hAnsi="Arial"/>
          <w:sz w:val="18"/>
          <w:szCs w:val="18"/>
          <w:u w:val="single" w:color="auto"/>
          <w:color w:val="auto"/>
        </w:rPr>
        <w:t>Notification by Administrative Agent; Additional Lenders</w:t>
      </w:r>
      <w:r>
        <w:rPr>
          <w:rFonts w:ascii="Arial" w:cs="Arial" w:eastAsia="Arial" w:hAnsi="Arial"/>
          <w:sz w:val="18"/>
          <w:szCs w:val="18"/>
          <w:color w:val="auto"/>
        </w:rPr>
        <w:t>. The Administrative Agent shall notify the Borrower and each Appropriate Lender of the Appropriate Lenders’ responses to each request made hereunder. To achieve the full amount of a requested increase and subject to the approval of the Administrative Agent, the L/C Issuer and the Swing Line Lender (which approvals shall not be unreasonably withheld), the Borrower may also invite additional Eligible Assignees to become Lenders under the Facility pursuant to a joinder agreement in form and substance reasonably satisfactory to the Administrative Agent and its counsel.</w:t>
      </w:r>
    </w:p>
    <w:p>
      <w:pPr>
        <w:spacing w:after="0" w:line="142" w:lineRule="exact"/>
        <w:rPr>
          <w:rFonts w:ascii="Arial" w:cs="Arial" w:eastAsia="Arial" w:hAnsi="Arial"/>
          <w:sz w:val="18"/>
          <w:szCs w:val="18"/>
          <w:color w:val="auto"/>
        </w:rPr>
      </w:pPr>
    </w:p>
    <w:p>
      <w:pPr>
        <w:jc w:val="both"/>
        <w:ind w:firstLine="921"/>
        <w:spacing w:after="0" w:line="306" w:lineRule="auto"/>
        <w:tabs>
          <w:tab w:leader="none" w:pos="1161" w:val="left"/>
        </w:tabs>
        <w:numPr>
          <w:ilvl w:val="1"/>
          <w:numId w:val="100"/>
        </w:numPr>
        <w:rPr>
          <w:rFonts w:ascii="Arial" w:cs="Arial" w:eastAsia="Arial" w:hAnsi="Arial"/>
          <w:sz w:val="16"/>
          <w:szCs w:val="16"/>
          <w:color w:val="auto"/>
        </w:rPr>
      </w:pPr>
      <w:r>
        <w:rPr>
          <w:rFonts w:ascii="Arial" w:cs="Arial" w:eastAsia="Arial" w:hAnsi="Arial"/>
          <w:sz w:val="16"/>
          <w:szCs w:val="16"/>
          <w:u w:val="single" w:color="auto"/>
          <w:color w:val="auto"/>
        </w:rPr>
        <w:t>Effective Date and Allocations</w:t>
      </w:r>
      <w:r>
        <w:rPr>
          <w:rFonts w:ascii="Arial" w:cs="Arial" w:eastAsia="Arial" w:hAnsi="Arial"/>
          <w:sz w:val="16"/>
          <w:szCs w:val="16"/>
          <w:color w:val="auto"/>
        </w:rPr>
        <w:t xml:space="preserve">. If the Aggregate Commitments are increased in accordance with this </w:t>
      </w:r>
      <w:r>
        <w:rPr>
          <w:rFonts w:ascii="Arial" w:cs="Arial" w:eastAsia="Arial" w:hAnsi="Arial"/>
          <w:sz w:val="16"/>
          <w:szCs w:val="16"/>
          <w:u w:val="single" w:color="auto"/>
          <w:color w:val="auto"/>
        </w:rPr>
        <w:t>Section 2.16</w:t>
      </w:r>
      <w:r>
        <w:rPr>
          <w:rFonts w:ascii="Arial" w:cs="Arial" w:eastAsia="Arial" w:hAnsi="Arial"/>
          <w:sz w:val="16"/>
          <w:szCs w:val="16"/>
          <w:color w:val="auto"/>
        </w:rPr>
        <w:t>, the Administrative Agent and the Borrower shall determine the effective date (the “</w:t>
      </w:r>
      <w:r>
        <w:rPr>
          <w:rFonts w:ascii="Arial" w:cs="Arial" w:eastAsia="Arial" w:hAnsi="Arial"/>
          <w:sz w:val="16"/>
          <w:szCs w:val="16"/>
          <w:u w:val="single" w:color="auto"/>
          <w:color w:val="auto"/>
        </w:rPr>
        <w:t>Increase Effective Date</w:t>
      </w:r>
      <w:r>
        <w:rPr>
          <w:rFonts w:ascii="Arial" w:cs="Arial" w:eastAsia="Arial" w:hAnsi="Arial"/>
          <w:sz w:val="16"/>
          <w:szCs w:val="16"/>
          <w:color w:val="auto"/>
        </w:rPr>
        <w:t>”) and the final allocation of such increase. The Administrative Agent shall promptly notify the Borrower and the Appropriate Lenders of the final allocation of such increase and the Increase Effective Date.</w:t>
      </w:r>
    </w:p>
    <w:p>
      <w:pPr>
        <w:spacing w:after="0" w:line="106" w:lineRule="exact"/>
        <w:rPr>
          <w:rFonts w:ascii="Arial" w:cs="Arial" w:eastAsia="Arial" w:hAnsi="Arial"/>
          <w:sz w:val="16"/>
          <w:szCs w:val="16"/>
          <w:color w:val="auto"/>
        </w:rPr>
      </w:pPr>
    </w:p>
    <w:p>
      <w:pPr>
        <w:jc w:val="both"/>
        <w:ind w:right="20" w:firstLine="921"/>
        <w:spacing w:after="0" w:line="286" w:lineRule="auto"/>
        <w:tabs>
          <w:tab w:leader="none" w:pos="1165" w:val="left"/>
        </w:tabs>
        <w:numPr>
          <w:ilvl w:val="1"/>
          <w:numId w:val="100"/>
        </w:numPr>
        <w:rPr>
          <w:rFonts w:ascii="Arial" w:cs="Arial" w:eastAsia="Arial" w:hAnsi="Arial"/>
          <w:sz w:val="16"/>
          <w:szCs w:val="16"/>
          <w:color w:val="auto"/>
        </w:rPr>
      </w:pPr>
      <w:r>
        <w:rPr>
          <w:rFonts w:ascii="Arial" w:cs="Arial" w:eastAsia="Arial" w:hAnsi="Arial"/>
          <w:sz w:val="16"/>
          <w:szCs w:val="16"/>
          <w:u w:val="single" w:color="auto"/>
          <w:color w:val="auto"/>
        </w:rPr>
        <w:t>Conditions to Effectiveness of Increase</w:t>
      </w:r>
      <w:r>
        <w:rPr>
          <w:rFonts w:ascii="Arial" w:cs="Arial" w:eastAsia="Arial" w:hAnsi="Arial"/>
          <w:sz w:val="16"/>
          <w:szCs w:val="16"/>
          <w:color w:val="auto"/>
        </w:rPr>
        <w:t>. As a condition precedent to such increase, the Borrower shall deliver to the Administrative Agent a certificate of each Loan Party dated as of the Increase Effective Date (in sufficient copies for each Lender) signed by a Responsible Officer of such Loan Party</w:t>
      </w:r>
    </w:p>
    <w:p>
      <w:pPr>
        <w:ind w:right="20" w:firstLine="8"/>
        <w:spacing w:after="0" w:line="261" w:lineRule="auto"/>
        <w:tabs>
          <w:tab w:leader="none" w:pos="25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certifying and attaching the resolutions adopted by such Loan Party approving or consenting to such increase, and (y) in the case of the Borrower, certifying that, before and after giving effect to such increase, (A) the representations and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80" w:right="239" w:bottom="1440" w:gutter="0" w:footer="0" w:header="0"/>
        </w:sectPr>
      </w:pPr>
    </w:p>
    <w:bookmarkStart w:id="105" w:name="page106"/>
    <w:bookmarkEnd w:id="105"/>
    <w:p>
      <w:pPr>
        <w:jc w:val="both"/>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warranties contained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and the other Loan Documents are true and correct on and as of the Increase Effective Date, except to the extent that such representations and warranties specifically refer to an earlier date, in which case they are true and correct as of such earlier date, and except that for purposes of this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the representations and warranties contained in subsections (a) and (b) of </w:t>
      </w:r>
      <w:r>
        <w:rPr>
          <w:rFonts w:ascii="Arial" w:cs="Arial" w:eastAsia="Arial" w:hAnsi="Arial"/>
          <w:sz w:val="16"/>
          <w:szCs w:val="16"/>
          <w:u w:val="single" w:color="auto"/>
          <w:color w:val="auto"/>
        </w:rPr>
        <w:t>Section 5.05</w:t>
      </w:r>
      <w:r>
        <w:rPr>
          <w:rFonts w:ascii="Arial" w:cs="Arial" w:eastAsia="Arial" w:hAnsi="Arial"/>
          <w:sz w:val="16"/>
          <w:szCs w:val="16"/>
          <w:color w:val="auto"/>
        </w:rPr>
        <w:t xml:space="preserve"> shall be deemed to refer to the most recent statements furnished pursuant to clauses (a) and (b), respectively, of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(B) after giving effect to such increase in Commitments or Loans made available by such increase, the Borrower and its Consolidated Subsidiaries shall be in compliance with </w:t>
      </w:r>
      <w:r>
        <w:rPr>
          <w:rFonts w:ascii="Arial" w:cs="Arial" w:eastAsia="Arial" w:hAnsi="Arial"/>
          <w:sz w:val="16"/>
          <w:szCs w:val="16"/>
          <w:u w:val="single" w:color="auto"/>
          <w:color w:val="auto"/>
        </w:rPr>
        <w:t>Section 7.17</w:t>
      </w:r>
      <w:r>
        <w:rPr>
          <w:rFonts w:ascii="Arial" w:cs="Arial" w:eastAsia="Arial" w:hAnsi="Arial"/>
          <w:sz w:val="16"/>
          <w:szCs w:val="16"/>
          <w:color w:val="auto"/>
        </w:rPr>
        <w:t xml:space="preserve"> on a Pro Forma Basis and (C) no Default exists. If the increase is to the Facility, the Borrower shall prepay any Revolving Credit Loans outstanding on the Increase Effective Date (and pay any additional amounts required pursuant to </w:t>
      </w:r>
      <w:r>
        <w:rPr>
          <w:rFonts w:ascii="Arial" w:cs="Arial" w:eastAsia="Arial" w:hAnsi="Arial"/>
          <w:sz w:val="16"/>
          <w:szCs w:val="16"/>
          <w:u w:val="single" w:color="auto"/>
          <w:color w:val="auto"/>
        </w:rPr>
        <w:t>Section 3.05</w:t>
      </w:r>
      <w:r>
        <w:rPr>
          <w:rFonts w:ascii="Arial" w:cs="Arial" w:eastAsia="Arial" w:hAnsi="Arial"/>
          <w:sz w:val="16"/>
          <w:szCs w:val="16"/>
          <w:color w:val="auto"/>
        </w:rPr>
        <w:t xml:space="preserve">) to the extent necessary to keep the outstanding Revolving Credit Loans ratable with any revised Applicable Revolving Credit Percentages arising from any nonratable increase in the Commitments under this </w:t>
      </w:r>
      <w:r>
        <w:rPr>
          <w:rFonts w:ascii="Arial" w:cs="Arial" w:eastAsia="Arial" w:hAnsi="Arial"/>
          <w:sz w:val="16"/>
          <w:szCs w:val="16"/>
          <w:u w:val="single" w:color="auto"/>
          <w:color w:val="auto"/>
        </w:rPr>
        <w:t>Section 2.16</w:t>
      </w:r>
      <w:r>
        <w:rPr>
          <w:rFonts w:ascii="Arial" w:cs="Arial" w:eastAsia="Arial" w:hAnsi="Arial"/>
          <w:sz w:val="16"/>
          <w:szCs w:val="16"/>
          <w:color w:val="auto"/>
        </w:rPr>
        <w:t>.</w:t>
      </w:r>
    </w:p>
    <w:p>
      <w:pPr>
        <w:spacing w:after="0" w:line="118" w:lineRule="exact"/>
        <w:rPr>
          <w:sz w:val="20"/>
          <w:szCs w:val="20"/>
          <w:color w:val="auto"/>
        </w:rPr>
      </w:pPr>
    </w:p>
    <w:p>
      <w:pPr>
        <w:ind w:firstLine="921"/>
        <w:spacing w:after="0" w:line="268" w:lineRule="auto"/>
        <w:tabs>
          <w:tab w:leader="none" w:pos="1132"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Conflicting Provisions</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shall supersede any provisions in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10.01</w:t>
      </w:r>
      <w:r>
        <w:rPr>
          <w:rFonts w:ascii="Arial" w:cs="Arial" w:eastAsia="Arial" w:hAnsi="Arial"/>
          <w:sz w:val="18"/>
          <w:szCs w:val="18"/>
          <w:color w:val="auto"/>
        </w:rPr>
        <w:t xml:space="preserve"> to the contrary. Minimum prepayment amounts in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shall not apply to prepayments pursuant to this Section.</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TAXES, YIELD PROTECTION AND ILLEGALITY</w:t>
      </w:r>
    </w:p>
    <w:p>
      <w:pPr>
        <w:spacing w:after="0" w:line="159" w:lineRule="exact"/>
        <w:rPr>
          <w:sz w:val="20"/>
          <w:szCs w:val="20"/>
          <w:color w:val="auto"/>
        </w:rPr>
      </w:pPr>
    </w:p>
    <w:p>
      <w:pPr>
        <w:jc w:val="both"/>
        <w:ind w:firstLine="913"/>
        <w:spacing w:after="0" w:line="296" w:lineRule="auto"/>
        <w:rPr>
          <w:sz w:val="20"/>
          <w:szCs w:val="20"/>
          <w:color w:val="auto"/>
        </w:rPr>
      </w:pPr>
      <w:r>
        <w:rPr>
          <w:rFonts w:ascii="Arial" w:cs="Arial" w:eastAsia="Arial" w:hAnsi="Arial"/>
          <w:sz w:val="16"/>
          <w:szCs w:val="16"/>
          <w:b w:val="1"/>
          <w:bCs w:val="1"/>
          <w:color w:val="auto"/>
        </w:rPr>
        <w:t xml:space="preserve">3.01 Taxes. </w:t>
      </w:r>
      <w:r>
        <w:rPr>
          <w:rFonts w:ascii="Arial" w:cs="Arial" w:eastAsia="Arial" w:hAnsi="Arial"/>
          <w:sz w:val="16"/>
          <w:szCs w:val="16"/>
          <w:u w:val="single" w:color="auto"/>
          <w:color w:val="auto"/>
        </w:rPr>
        <w:t>(a) Payments Free of Taxes; Obligation to Withhold; Payments on Account of Taxes</w:t>
      </w:r>
      <w:r>
        <w:rPr>
          <w:rFonts w:ascii="Arial" w:cs="Arial" w:eastAsia="Arial" w:hAnsi="Arial"/>
          <w:sz w:val="16"/>
          <w:szCs w:val="16"/>
          <w:color w:val="auto"/>
        </w:rPr>
        <w:t>. (i) Any and all payments by or on account of any</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 of the Borrower hereunder or under any other Loan Document shall to the extent permitted by applicable Laws be made free and clear of and without reduction or withholding for any Taxes. If, however, applicable Laws require the Borrower or the Administrative Agent to withhold or deduct any Tax, such Tax shall be withheld or deducted in accordance with such Laws as determined by the Borrower or the Administrative Agent, as the case may be, upon the basis of the information and documentation to be delivered pursuant to subsection (e) below.</w:t>
      </w:r>
    </w:p>
    <w:p>
      <w:pPr>
        <w:spacing w:after="0" w:line="33" w:lineRule="exact"/>
        <w:rPr>
          <w:sz w:val="20"/>
          <w:szCs w:val="20"/>
          <w:color w:val="auto"/>
        </w:rPr>
      </w:pPr>
    </w:p>
    <w:p>
      <w:pPr>
        <w:jc w:val="both"/>
        <w:ind w:left="460" w:firstLine="443"/>
        <w:spacing w:after="0" w:line="284" w:lineRule="auto"/>
        <w:tabs>
          <w:tab w:leader="none" w:pos="1167" w:val="left"/>
        </w:tabs>
        <w:numPr>
          <w:ilvl w:val="1"/>
          <w:numId w:val="103"/>
        </w:numPr>
        <w:rPr>
          <w:rFonts w:ascii="Arial" w:cs="Arial" w:eastAsia="Arial" w:hAnsi="Arial"/>
          <w:sz w:val="16"/>
          <w:szCs w:val="16"/>
          <w:color w:val="auto"/>
        </w:rPr>
      </w:pPr>
      <w:r>
        <w:rPr>
          <w:rFonts w:ascii="Arial" w:cs="Arial" w:eastAsia="Arial" w:hAnsi="Arial"/>
          <w:sz w:val="16"/>
          <w:szCs w:val="16"/>
          <w:color w:val="auto"/>
        </w:rPr>
        <w:t>If the Borrower or the Administrative Agent shall be required by applicable Law to withhold or deduct any Taxes including both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subsection (e) below,</w:t>
      </w:r>
    </w:p>
    <w:p>
      <w:pPr>
        <w:spacing w:after="0" w:line="1" w:lineRule="exact"/>
        <w:rPr>
          <w:rFonts w:ascii="Arial" w:cs="Arial" w:eastAsia="Arial" w:hAnsi="Arial"/>
          <w:sz w:val="16"/>
          <w:szCs w:val="16"/>
          <w:color w:val="auto"/>
        </w:rPr>
      </w:pPr>
    </w:p>
    <w:p>
      <w:pPr>
        <w:jc w:val="both"/>
        <w:ind w:left="460" w:firstLine="4"/>
        <w:spacing w:after="0" w:line="292" w:lineRule="auto"/>
        <w:tabs>
          <w:tab w:leader="none" w:pos="744"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Administrative Agent shall timely pay the full amount withheld or deducted to the relevant Governmental Authority in accordance with applicable Law, and (C) to the extent that the withholding or deduction is made on account of Indemnified Taxes or Other Taxes, the sum payable by the Borrower shall be increased as necessary so that after any required withholding or the making of all required deductions (including deductions applicable to additional sums payable under this Section) the Administrative Agent, Lender or L/C Issuer, as the case may be, receives an amount equal to the sum it would have received had no such withholding or deduction been made.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80" w:right="239" w:bottom="1440" w:gutter="0" w:footer="0" w:header="0"/>
        </w:sectPr>
      </w:pPr>
    </w:p>
    <w:bookmarkStart w:id="106" w:name="page107"/>
    <w:bookmarkEnd w:id="106"/>
    <w:p>
      <w:pPr>
        <w:ind w:firstLine="921"/>
        <w:spacing w:after="0" w:line="268" w:lineRule="auto"/>
        <w:tabs>
          <w:tab w:leader="none" w:pos="1161"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 of Other Taxes by the Borrower</w:t>
      </w:r>
      <w:r>
        <w:rPr>
          <w:rFonts w:ascii="Arial" w:cs="Arial" w:eastAsia="Arial" w:hAnsi="Arial"/>
          <w:sz w:val="18"/>
          <w:szCs w:val="18"/>
          <w:color w:val="auto"/>
        </w:rPr>
        <w:t>. Without limiting the provisions of subsection (a) above, the Borrower shall timely pay any Other Taxes to the relevant Governmental Authority in accordance with applicable law.</w:t>
      </w:r>
    </w:p>
    <w:p>
      <w:pPr>
        <w:spacing w:after="0" w:line="131" w:lineRule="exact"/>
        <w:rPr>
          <w:rFonts w:ascii="Arial" w:cs="Arial" w:eastAsia="Arial" w:hAnsi="Arial"/>
          <w:sz w:val="18"/>
          <w:szCs w:val="18"/>
          <w:color w:val="auto"/>
        </w:rPr>
      </w:pPr>
    </w:p>
    <w:p>
      <w:pPr>
        <w:jc w:val="both"/>
        <w:ind w:firstLine="921"/>
        <w:spacing w:after="0" w:line="287" w:lineRule="auto"/>
        <w:tabs>
          <w:tab w:leader="none" w:pos="1165"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Tax Indemnifications</w:t>
      </w:r>
      <w:r>
        <w:rPr>
          <w:rFonts w:ascii="Arial" w:cs="Arial" w:eastAsia="Arial" w:hAnsi="Arial"/>
          <w:sz w:val="16"/>
          <w:szCs w:val="16"/>
          <w:color w:val="auto"/>
        </w:rPr>
        <w:t>. (i) Without limiting the provisions of subsection (a) or (b) above, the Borrower shall, and does hereby, indemnify the Administrative Agent, each Lender and the L/C Issuer, and shall make payment in respect thereof within 10 Business Days after demand therefor, for the full amount of any Indemnified Taxes or Other Taxes (including Indemnified Taxes or Other Taxes imposed or asserted on or attributable to amounts payable under this Section) withheld or deducted by the Borrower or the Administrative Agent or paid by the Administrative Agent, such Lender or the L/C Issuer, as the case may be, and any penalties, interest and reasonable expenses arising therefrom or with respect thereto, whether or not such Indemnified Taxes or Other Taxes were correctly or legally imposed or asserted by the relevant Governmental Authority. The Borrower shall also, and does hereby, indemnify the Administrative Agent, and shall make payment in respect thereof within 10 days after demand therefor, for any amount which a Lender or the L/C Issuer for any reason fails to pay indefeasibly to the Administrative Agent as required by clause (ii) of this subsection. A certificate as to the amount of any such payment or liability delivered to the Borrower by a Lender or the L/C Issuer (with a copy to the Administrative Agent), or by the Administrative Agent on its own behalf or on behalf of a Lender or the L/C Issuer, shall be conclusive absent manifest error.</w:t>
      </w:r>
    </w:p>
    <w:p>
      <w:pPr>
        <w:spacing w:after="0" w:line="41" w:lineRule="exact"/>
        <w:rPr>
          <w:rFonts w:ascii="Arial" w:cs="Arial" w:eastAsia="Arial" w:hAnsi="Arial"/>
          <w:sz w:val="16"/>
          <w:szCs w:val="16"/>
          <w:color w:val="auto"/>
        </w:rPr>
      </w:pPr>
    </w:p>
    <w:p>
      <w:pPr>
        <w:jc w:val="both"/>
        <w:ind w:left="460" w:firstLine="443"/>
        <w:spacing w:after="0" w:line="287" w:lineRule="auto"/>
        <w:tabs>
          <w:tab w:leader="none" w:pos="1168" w:val="left"/>
        </w:tabs>
        <w:numPr>
          <w:ilvl w:val="0"/>
          <w:numId w:val="106"/>
        </w:numPr>
        <w:rPr>
          <w:rFonts w:ascii="Arial" w:cs="Arial" w:eastAsia="Arial" w:hAnsi="Arial"/>
          <w:sz w:val="16"/>
          <w:szCs w:val="16"/>
          <w:color w:val="auto"/>
        </w:rPr>
      </w:pPr>
      <w:r>
        <w:rPr>
          <w:rFonts w:ascii="Arial" w:cs="Arial" w:eastAsia="Arial" w:hAnsi="Arial"/>
          <w:sz w:val="16"/>
          <w:szCs w:val="16"/>
          <w:color w:val="auto"/>
        </w:rPr>
        <w:t>Without limiting the provisions of subsection (a) or (b) above, each Lender and the L/C Issuer shall, and does hereby, indemnify the Borrower and the Administrative Agent, and shall make payment in respect thereof within 10 days after demand therefor, against any and all Taxes and any and all related losses, claims, liabilities, penalties, interest and expenses (including the fees, charges and disbursements of any counsel for the Borrower or the Administrative Agent) incurred by or asserted against the Borrower or the Administrative Agent by any Governmental Authority as a result of the failure by such Lender or the L/C Issuer, as the case may be, to deliver, or as a result of the inaccuracy, inadequacy or deficiency of, any documentation required to be delivered by such Lender or the L/C Issuer, as the case may be, to the Borrower or the Administrative Agent pursuant to subsection (e). Each Lender and the L/C Issuer hereby authorizes the Administrative Agent to set off and apply any and all amounts at any time owing to such Lender or the L/C Issuer, as the case may be, under this Agreement or any other Loan Document against any amount due to the Administrative Agent under this clause (ii). The agreements in this clause (ii) shall survive the resignation and/or replacement of the Administrative Agent, any assignment of rights by, or the replacement of, a Lender or the L/C Issuer, the termination of the Aggregate Commitments and the repayment, satisfaction or discharge of all other Obligations.</w:t>
      </w:r>
    </w:p>
    <w:p>
      <w:pPr>
        <w:spacing w:after="0" w:line="122" w:lineRule="exact"/>
        <w:rPr>
          <w:rFonts w:ascii="Arial" w:cs="Arial" w:eastAsia="Arial" w:hAnsi="Arial"/>
          <w:sz w:val="16"/>
          <w:szCs w:val="16"/>
          <w:color w:val="auto"/>
        </w:rPr>
      </w:pPr>
    </w:p>
    <w:p>
      <w:pPr>
        <w:jc w:val="both"/>
        <w:ind w:firstLine="921"/>
        <w:spacing w:after="0" w:line="255" w:lineRule="auto"/>
        <w:tabs>
          <w:tab w:leader="none" w:pos="1175"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xml:space="preserve">. Upon request by the Borrower or the Administrative Agent, as the case may be, after any payment of Taxes by the Borrower or the Administrative Agent to a Governmental Authority as provided in this </w:t>
      </w:r>
      <w:r>
        <w:rPr>
          <w:rFonts w:ascii="Arial" w:cs="Arial" w:eastAsia="Arial" w:hAnsi="Arial"/>
          <w:sz w:val="18"/>
          <w:szCs w:val="18"/>
          <w:u w:val="single" w:color="auto"/>
          <w:color w:val="auto"/>
        </w:rPr>
        <w:t>Section 3.01</w:t>
      </w:r>
      <w:r>
        <w:rPr>
          <w:rFonts w:ascii="Arial" w:cs="Arial" w:eastAsia="Arial" w:hAnsi="Arial"/>
          <w:sz w:val="18"/>
          <w:szCs w:val="18"/>
          <w:color w:val="auto"/>
        </w:rPr>
        <w:t>, the Borrower shall deliver to the Administrative Agent or the Administrative Agent shall deliver to the Borrower, as the case may be, the original or a certified copy of a receipt issued by such Governmental Authority evidencing such payment, a copy of any return required by Laws to report such payment or other evidence of such payment reasonably satisfactory to the Borrower or the Administrative Agent, as the case may be.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80" w:right="239" w:bottom="1440" w:gutter="0" w:footer="0" w:header="0"/>
        </w:sectPr>
      </w:pPr>
    </w:p>
    <w:bookmarkStart w:id="107" w:name="page108"/>
    <w:bookmarkEnd w:id="107"/>
    <w:p>
      <w:pPr>
        <w:jc w:val="both"/>
        <w:ind w:left="-8" w:firstLine="921"/>
        <w:spacing w:after="0" w:line="283" w:lineRule="auto"/>
        <w:tabs>
          <w:tab w:leader="none" w:pos="1157" w:val="left"/>
        </w:tabs>
        <w:numPr>
          <w:ilvl w:val="2"/>
          <w:numId w:val="10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Status of Lenders; Tax Documentation</w:t>
      </w:r>
      <w:r>
        <w:rPr>
          <w:rFonts w:ascii="Arial" w:cs="Arial" w:eastAsia="Arial" w:hAnsi="Arial"/>
          <w:sz w:val="16"/>
          <w:szCs w:val="16"/>
          <w:color w:val="auto"/>
        </w:rPr>
        <w:t>. (i) Each Lender shall deliver to the Borrower and to the Administrative Agent, at the time or times prescribed by applicable Laws or when reasonably requested by the Borrower or the Administrative Agent, such properly completed and executed documentation prescribed by applicable Laws or by the taxing authorities of any jurisdiction and such other reasonably requested information as will permit the Borrower or the Administrative Agent, as the case may be, to determine (A) whether or not payments made hereunder or under any other Loan Document are subject to Taxes,</w:t>
      </w:r>
    </w:p>
    <w:p>
      <w:pPr>
        <w:spacing w:after="0" w:line="2" w:lineRule="exact"/>
        <w:rPr>
          <w:rFonts w:ascii="Arial" w:cs="Arial" w:eastAsia="Arial" w:hAnsi="Arial"/>
          <w:sz w:val="16"/>
          <w:szCs w:val="16"/>
          <w:color w:val="auto"/>
        </w:rPr>
      </w:pPr>
    </w:p>
    <w:p>
      <w:pPr>
        <w:jc w:val="both"/>
        <w:ind w:left="-8" w:firstLine="8"/>
        <w:spacing w:after="0" w:line="255" w:lineRule="auto"/>
        <w:tabs>
          <w:tab w:leader="none" w:pos="281"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applicable, the required rate of withholding or deduction, and (C) such Lender’s entitlement to any available exemption from, or reduction of, applicable Taxes in respect of all payments to be made to such Lender by the Borrower pursuant to this Agreement or otherwise to establish such Lender’s status for withholding tax purposes in the applicable jurisdiction.</w:t>
      </w:r>
    </w:p>
    <w:p>
      <w:pPr>
        <w:spacing w:after="0" w:line="63" w:lineRule="exact"/>
        <w:rPr>
          <w:rFonts w:ascii="Arial" w:cs="Arial" w:eastAsia="Arial" w:hAnsi="Arial"/>
          <w:sz w:val="18"/>
          <w:szCs w:val="18"/>
          <w:color w:val="auto"/>
        </w:rPr>
      </w:pPr>
    </w:p>
    <w:p>
      <w:pPr>
        <w:ind w:left="712" w:hanging="256"/>
        <w:spacing w:after="0"/>
        <w:tabs>
          <w:tab w:leader="none" w:pos="712" w:val="left"/>
        </w:tabs>
        <w:numPr>
          <w:ilvl w:val="1"/>
          <w:numId w:val="109"/>
        </w:numPr>
        <w:rPr>
          <w:rFonts w:ascii="Arial" w:cs="Arial" w:eastAsia="Arial" w:hAnsi="Arial"/>
          <w:sz w:val="18"/>
          <w:szCs w:val="18"/>
          <w:color w:val="auto"/>
        </w:rPr>
      </w:pPr>
      <w:r>
        <w:rPr>
          <w:rFonts w:ascii="Arial" w:cs="Arial" w:eastAsia="Arial" w:hAnsi="Arial"/>
          <w:sz w:val="18"/>
          <w:szCs w:val="18"/>
          <w:color w:val="auto"/>
        </w:rPr>
        <w:t>Without limiting the generality of the foregoing, if the Borrower is resident for tax purposes in the United States,</w:t>
      </w:r>
    </w:p>
    <w:p>
      <w:pPr>
        <w:spacing w:after="0" w:line="90" w:lineRule="exact"/>
        <w:rPr>
          <w:sz w:val="20"/>
          <w:szCs w:val="20"/>
          <w:color w:val="auto"/>
        </w:rPr>
      </w:pPr>
    </w:p>
    <w:p>
      <w:pPr>
        <w:jc w:val="both"/>
        <w:ind w:left="912" w:firstLine="1"/>
        <w:spacing w:after="0" w:line="298" w:lineRule="auto"/>
        <w:tabs>
          <w:tab w:leader="none" w:pos="1227"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any Lender that is a “United States person” within the meaning of Section 7701(a)(30) of the Code shall deliver to the Borrower and the Administrative Agent executed originals of Internal Revenue Service Form W-9 or such other documentation or information prescribed by applicable Laws or reasonably requested by the Borrower or the Administrative Agent as will enable the Borrower or the Administrative Agent, as the case may be, to determine whether or not such Lender is subject to backup withholding or information reporting requirements; and</w:t>
      </w:r>
    </w:p>
    <w:p>
      <w:pPr>
        <w:spacing w:after="0" w:line="31" w:lineRule="exact"/>
        <w:rPr>
          <w:rFonts w:ascii="Arial" w:cs="Arial" w:eastAsia="Arial" w:hAnsi="Arial"/>
          <w:sz w:val="16"/>
          <w:szCs w:val="16"/>
          <w:color w:val="auto"/>
        </w:rPr>
      </w:pPr>
    </w:p>
    <w:p>
      <w:pPr>
        <w:jc w:val="both"/>
        <w:ind w:left="912" w:firstLine="1"/>
        <w:spacing w:after="0" w:line="294" w:lineRule="auto"/>
        <w:tabs>
          <w:tab w:leader="none" w:pos="1203" w:val="left"/>
        </w:tabs>
        <w:numPr>
          <w:ilvl w:val="0"/>
          <w:numId w:val="110"/>
        </w:numPr>
        <w:rPr>
          <w:rFonts w:ascii="Arial" w:cs="Arial" w:eastAsia="Arial" w:hAnsi="Arial"/>
          <w:sz w:val="16"/>
          <w:szCs w:val="16"/>
          <w:color w:val="auto"/>
        </w:rPr>
      </w:pPr>
      <w:r>
        <w:rPr>
          <w:rFonts w:ascii="Arial" w:cs="Arial" w:eastAsia="Arial" w:hAnsi="Arial"/>
          <w:sz w:val="16"/>
          <w:szCs w:val="16"/>
          <w:color w:val="auto"/>
        </w:rPr>
        <w:t>each Foreign Lender that is entitled under applicable Law or any applicable treaty to an exemption from or reduction of withholding tax with respect to payments hereunder or under any other Loan Document shall deliver to the Borrower and the Administrative Agent (in such number of copies as shall be requested by the recipient) on or prior to the date on which such Foreign Lender becomes a Lender under this Agreement (and from time to time thereafter upon the request of the Borrower or the Administrative Agent, but only if such Foreign Lender is legally entitled to do so), whichever of the following is applicable (and shall in any event deliver at least one of the following):</w:t>
      </w:r>
    </w:p>
    <w:p>
      <w:pPr>
        <w:spacing w:after="0" w:line="35" w:lineRule="exact"/>
        <w:rPr>
          <w:sz w:val="20"/>
          <w:szCs w:val="20"/>
          <w:color w:val="auto"/>
        </w:rPr>
      </w:pPr>
    </w:p>
    <w:p>
      <w:pPr>
        <w:ind w:left="1492" w:right="20" w:firstLine="389"/>
        <w:spacing w:after="0" w:line="268" w:lineRule="auto"/>
        <w:tabs>
          <w:tab w:leader="none" w:pos="211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executed originals of Internal Revenue Service Form W-8BEN claiming eligibility for benefits of an income tax treaty to which the United States is a party,</w:t>
      </w:r>
    </w:p>
    <w:p>
      <w:pPr>
        <w:spacing w:after="0" w:line="51" w:lineRule="exact"/>
        <w:rPr>
          <w:sz w:val="20"/>
          <w:szCs w:val="20"/>
          <w:color w:val="auto"/>
        </w:rPr>
      </w:pPr>
    </w:p>
    <w:p>
      <w:pPr>
        <w:ind w:left="1872"/>
        <w:spacing w:after="0"/>
        <w:rPr>
          <w:sz w:val="20"/>
          <w:szCs w:val="20"/>
          <w:color w:val="auto"/>
        </w:rPr>
      </w:pPr>
      <w:r>
        <w:rPr>
          <w:rFonts w:ascii="Arial" w:cs="Arial" w:eastAsia="Arial" w:hAnsi="Arial"/>
          <w:sz w:val="18"/>
          <w:szCs w:val="18"/>
          <w:color w:val="auto"/>
        </w:rPr>
        <w:t>(II) executed originals of Internal Revenue Service Form W-8ECI,</w:t>
      </w:r>
    </w:p>
    <w:p>
      <w:pPr>
        <w:spacing w:after="0" w:line="90" w:lineRule="exact"/>
        <w:rPr>
          <w:sz w:val="20"/>
          <w:szCs w:val="20"/>
          <w:color w:val="auto"/>
        </w:rPr>
      </w:pPr>
    </w:p>
    <w:p>
      <w:pPr>
        <w:ind w:left="5612" w:right="1720" w:hanging="3731"/>
        <w:spacing w:after="0" w:line="440" w:lineRule="auto"/>
        <w:tabs>
          <w:tab w:leader="none" w:pos="221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executed originals of Internal Revenue Service Form W-8IMY and all required supporting documentation, 64</w:t>
      </w:r>
    </w:p>
    <w:p>
      <w:pPr>
        <w:sectPr>
          <w:pgSz w:w="11900" w:h="16838" w:orient="portrait"/>
          <w:cols w:equalWidth="0" w:num="1">
            <w:col w:w="11412"/>
          </w:cols>
          <w:pgMar w:left="248" w:top="280" w:right="239" w:bottom="1440" w:gutter="0" w:footer="0" w:header="0"/>
        </w:sectPr>
      </w:pPr>
    </w:p>
    <w:bookmarkStart w:id="108" w:name="page109"/>
    <w:bookmarkEnd w:id="108"/>
    <w:p>
      <w:pPr>
        <w:jc w:val="both"/>
        <w:ind w:left="1500" w:firstLine="397"/>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(IV) in the case of a Foreign Lender claiming the benefits of the exemption for portfolio interest under section 881(c) of the Code, (x) a certificate to the effect that such Foreign Lender is not (A) a “bank” within the meaning of section 881(c)(3)(A) of the Code, (B) a “10 percent shareholder” of the Borrower within the meaning of section 881(c)(3)(B) of the Code, or (C) a “controlled foreign corporation” described in section 881(c)(3)(C) of the Code and (y) executed originals of Internal Revenue Service Form W-8BEN, or</w:t>
      </w:r>
    </w:p>
    <w:p>
      <w:pPr>
        <w:spacing w:after="0" w:line="32" w:lineRule="exact"/>
        <w:rPr>
          <w:sz w:val="20"/>
          <w:szCs w:val="20"/>
          <w:color w:val="auto"/>
        </w:rPr>
      </w:pPr>
    </w:p>
    <w:p>
      <w:pPr>
        <w:jc w:val="both"/>
        <w:ind w:left="1500" w:firstLine="389"/>
        <w:spacing w:after="0" w:line="306" w:lineRule="auto"/>
        <w:tabs>
          <w:tab w:leader="none" w:pos="2209" w:val="left"/>
        </w:tabs>
        <w:numPr>
          <w:ilvl w:val="2"/>
          <w:numId w:val="113"/>
        </w:numPr>
        <w:rPr>
          <w:rFonts w:ascii="Arial" w:cs="Arial" w:eastAsia="Arial" w:hAnsi="Arial"/>
          <w:sz w:val="16"/>
          <w:szCs w:val="16"/>
          <w:color w:val="auto"/>
        </w:rPr>
      </w:pPr>
      <w:r>
        <w:rPr>
          <w:rFonts w:ascii="Arial" w:cs="Arial" w:eastAsia="Arial" w:hAnsi="Arial"/>
          <w:sz w:val="16"/>
          <w:szCs w:val="16"/>
          <w:color w:val="auto"/>
        </w:rPr>
        <w:t>executed originals of any other form prescribed by applicable Laws as a basis for claiming exemption from or a reduction in United States Federal withholding tax together with such supplementary documentation as may be prescribed by applicable Laws to permit the Borrower or the Administrative Agent to determine the withholding or deduction required to be made.</w:t>
      </w:r>
    </w:p>
    <w:p>
      <w:pPr>
        <w:spacing w:after="0" w:line="25" w:lineRule="exact"/>
        <w:rPr>
          <w:rFonts w:ascii="Arial" w:cs="Arial" w:eastAsia="Arial" w:hAnsi="Arial"/>
          <w:sz w:val="16"/>
          <w:szCs w:val="16"/>
          <w:color w:val="auto"/>
        </w:rPr>
      </w:pPr>
    </w:p>
    <w:p>
      <w:pPr>
        <w:jc w:val="both"/>
        <w:ind w:left="920" w:firstLine="421"/>
        <w:spacing w:after="0" w:line="255" w:lineRule="auto"/>
        <w:tabs>
          <w:tab w:leader="none" w:pos="1648" w:val="left"/>
        </w:tabs>
        <w:numPr>
          <w:ilvl w:val="1"/>
          <w:numId w:val="114"/>
        </w:numPr>
        <w:rPr>
          <w:rFonts w:ascii="Arial" w:cs="Arial" w:eastAsia="Arial" w:hAnsi="Arial"/>
          <w:sz w:val="18"/>
          <w:szCs w:val="18"/>
          <w:color w:val="auto"/>
        </w:rPr>
      </w:pPr>
      <w:r>
        <w:rPr>
          <w:rFonts w:ascii="Arial" w:cs="Arial" w:eastAsia="Arial" w:hAnsi="Arial"/>
          <w:sz w:val="18"/>
          <w:szCs w:val="18"/>
          <w:color w:val="auto"/>
        </w:rPr>
        <w:t>Each Lender shall promptly (A) notify the Borrower and the Administrative Agent of any change in circumstances which would modify or render invalid any claimed exemption or reduction, and (B) take such steps as shall not be materially disadvantageous to it, in the reasonable judgment of such Lender, and as may be reasonably necessary (including the re-designation of its Lending Office) to avoid any requirement of applicable Laws of any jurisdiction that the Borrower or the Administrative Agent make any withholding or deduction for taxes from amounts payable to such Lender.</w:t>
      </w:r>
    </w:p>
    <w:p>
      <w:pPr>
        <w:spacing w:after="0" w:line="142" w:lineRule="exact"/>
        <w:rPr>
          <w:rFonts w:ascii="Arial" w:cs="Arial" w:eastAsia="Arial" w:hAnsi="Arial"/>
          <w:sz w:val="18"/>
          <w:szCs w:val="18"/>
          <w:color w:val="auto"/>
        </w:rPr>
      </w:pPr>
    </w:p>
    <w:p>
      <w:pPr>
        <w:jc w:val="both"/>
        <w:ind w:firstLine="921"/>
        <w:spacing w:after="0" w:line="285" w:lineRule="auto"/>
        <w:tabs>
          <w:tab w:leader="none" w:pos="1159"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Treatment of Certain Refunds</w:t>
      </w:r>
      <w:r>
        <w:rPr>
          <w:rFonts w:ascii="Arial" w:cs="Arial" w:eastAsia="Arial" w:hAnsi="Arial"/>
          <w:sz w:val="16"/>
          <w:szCs w:val="16"/>
          <w:color w:val="auto"/>
        </w:rPr>
        <w:t>. Unless required by applicable Laws, at no time shall the Borrower or the Administrative Agent have any obligation to file for or otherwise pursue on behalf of a Lender or the L/C Issuer, or have any obligation to pay to any Lender or the L/C Issuer, any refund of Taxes withheld or deducted from funds paid for the account of such Lender or the L/C Issuer, as the case may be. If the Administrative Agent, any Lender or the L/C Issuer determines, in good faith, that it has received a refund of any Taxes or Other Taxes as to which it has been indemnified by the Borrower or any other applicable Loan Party or with respect to which the Borrower or any other applicable Loan Party has paid additional amounts pursuant to this Section, it promptly shall pay to the Borrower or such other applicable Loan Party an amount equal to such refund (but only to the extent of indemnity payments made, or additional amounts paid, by the Borrower or such Loan Party under this Section with respect to the Taxes or Other Taxes giving rise to such refund), net of all reasonable out-of-pocket expenses incurred by the Administrative Agent, such Lender or the L/C Issuer, as the case may be, and without interest (other than any interest paid by the relevant Governmental Authority with respect to such refund), provided that the Borrower or other applicable Loan Party, jointly and severally, upon the request of the Administrative Agent, such Lender or the L/C Issuer, agrees to repay the amount paid over to the Borrower or such Loan Party (plus any penalties, interest or other charges imposed by the relevant Governmental Authority) to the Administrative Agent, such Lender or the L/C Issuer in the event the Administrative Agent, such Lender or the L/C Issuer is required to repay such refund to such Governmental Authority. This subsection shall not be construed to require the Administrative Agent, any Lender or the L/C Issuer to make available its tax returns (or any other information relating to its taxes that it deems confidential) to the Borrower any other applicable Loan Party or any other Person.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80" w:right="239" w:bottom="1440" w:gutter="0" w:footer="0" w:header="0"/>
        </w:sectPr>
      </w:pPr>
    </w:p>
    <w:bookmarkStart w:id="109" w:name="page110"/>
    <w:bookmarkEnd w:id="109"/>
    <w:p>
      <w:pPr>
        <w:jc w:val="both"/>
        <w:ind w:firstLine="913"/>
        <w:spacing w:after="0" w:line="285"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3.02 Illegality. </w:t>
      </w:r>
      <w:r>
        <w:rPr>
          <w:rFonts w:ascii="Arial" w:cs="Arial" w:eastAsia="Arial" w:hAnsi="Arial"/>
          <w:sz w:val="16"/>
          <w:szCs w:val="16"/>
          <w:color w:val="auto"/>
        </w:rPr>
        <w:t>If any Lender determines that any Law has made it unlawful, or that any Governmental Authority has asserted that it is unlawful, for</w:t>
      </w:r>
      <w:r>
        <w:rPr>
          <w:rFonts w:ascii="Arial" w:cs="Arial" w:eastAsia="Arial" w:hAnsi="Arial"/>
          <w:sz w:val="16"/>
          <w:szCs w:val="16"/>
          <w:b w:val="1"/>
          <w:bCs w:val="1"/>
          <w:color w:val="auto"/>
        </w:rPr>
        <w:t xml:space="preserve"> </w:t>
      </w:r>
      <w:r>
        <w:rPr>
          <w:rFonts w:ascii="Arial" w:cs="Arial" w:eastAsia="Arial" w:hAnsi="Arial"/>
          <w:sz w:val="16"/>
          <w:szCs w:val="16"/>
          <w:color w:val="auto"/>
        </w:rPr>
        <w:t>any Lender or its applicable Lending Office to make, maintain or fund Loans whose interest is determined by reference to the Eurodollar Rate, or to determine or charge interest rates based upon the Eurodollar Rate, or any Governmental Authority has imposed material restrictions on the authority of such Lender to purchase or sell, or to take deposits of, Dollars in the London interbank market, then, on notice thereof by such Lender to the Borrower through the Administrative Agent, (i) any obligation of such Lender to make or continue Eurodollar Rate Loans or to convert Base Rate Loans to Eurodollar Rate Loans shall be suspended, and (ii) if such notice asserts the illegality of such Lender making or maintaining Base Rate Loans the interest rate on which is determined by reference to the Eurodollar Rate component of the Base Rate, the interest rate on which Base Rate Loans of such Lender shall, if necessary to avoid such illegality, be determined by the Administrative Agent without reference to the Eurodollar Rate component of the Base Rate, in each case until such Lender notifies the Administrative Agent and the Borrower that the circumstances giving rise to such determination no longer exist. Upon receipt of such notice, (x) the Borrower shall, upon demand from such Lender (with a copy to the Administrative Agent), prepay or, if applicable, convert all Eurodollar Rate Loans of such Lender to Base Rate Loans (the interest rate on which Base Rate Loans of such Lender shall, if necessary to avoid such illegality, be determined by the Administrative Agent without reference to the Eurodollar Rate component of the Base Rate), either on the last day of the Interest Period therefor, if such Lender may lawfully continue to maintain such Eurodollar Rate Loans to such day, or immediately, if such Lender may not lawfully continue to maintain such Eurodollar Rate Loans and (y) if such notice asserts the illegality of such Lender determining or charging interest rates based upon the Eurodollar Rate, the Administrative Agent shall during the period of such suspension compute the Base Rate applicable to such Lender without reference to the Eurodollar Rate component thereof until the Administrative Agent is advised in writing by such Lender that it is no longer illegal for such Lender to determine or charge interest rates based upon the Eurodollar Rate. Upon any such prepayment or conversion, the Borrower shall also pay accrued interest on the amount so prepaid or converted.</w:t>
      </w:r>
    </w:p>
    <w:p>
      <w:pPr>
        <w:spacing w:after="0" w:line="121" w:lineRule="exact"/>
        <w:rPr>
          <w:sz w:val="20"/>
          <w:szCs w:val="20"/>
          <w:color w:val="auto"/>
        </w:rPr>
      </w:pPr>
    </w:p>
    <w:p>
      <w:pPr>
        <w:jc w:val="both"/>
        <w:ind w:firstLine="913"/>
        <w:spacing w:after="0" w:line="289" w:lineRule="auto"/>
        <w:rPr>
          <w:sz w:val="20"/>
          <w:szCs w:val="20"/>
          <w:color w:val="auto"/>
        </w:rPr>
      </w:pPr>
      <w:r>
        <w:rPr>
          <w:rFonts w:ascii="Arial" w:cs="Arial" w:eastAsia="Arial" w:hAnsi="Arial"/>
          <w:sz w:val="16"/>
          <w:szCs w:val="16"/>
          <w:b w:val="1"/>
          <w:bCs w:val="1"/>
          <w:color w:val="auto"/>
        </w:rPr>
        <w:t xml:space="preserve">3.03 Inability to Determine Rates. </w:t>
      </w:r>
      <w:r>
        <w:rPr>
          <w:rFonts w:ascii="Arial" w:cs="Arial" w:eastAsia="Arial" w:hAnsi="Arial"/>
          <w:sz w:val="16"/>
          <w:szCs w:val="16"/>
          <w:color w:val="auto"/>
        </w:rPr>
        <w:t>If the Required Lenders determine that for any reason in connection with any request for a Eurodollar Rate Loan</w:t>
      </w:r>
      <w:r>
        <w:rPr>
          <w:rFonts w:ascii="Arial" w:cs="Arial" w:eastAsia="Arial" w:hAnsi="Arial"/>
          <w:sz w:val="16"/>
          <w:szCs w:val="16"/>
          <w:b w:val="1"/>
          <w:bCs w:val="1"/>
          <w:color w:val="auto"/>
        </w:rPr>
        <w:t xml:space="preserve"> </w:t>
      </w:r>
      <w:r>
        <w:rPr>
          <w:rFonts w:ascii="Arial" w:cs="Arial" w:eastAsia="Arial" w:hAnsi="Arial"/>
          <w:sz w:val="16"/>
          <w:szCs w:val="16"/>
          <w:color w:val="auto"/>
        </w:rPr>
        <w:t>or a conversion to or continuation thereof that (a) Dollar deposits are not being offered to banks in the London interbank eurodollar market for the applicable amount and Interest Period of such Eurodollar Rate Loan, (b) adequate and reasonable means do not exist for determining the Eurodollar Rate for any requested Interest Period with respect to a proposed Eurodollar Rate Loan or in connection with an existing or proposed Base Rate Loan, or (c) the Eurodollar Rate for any requested Interest Period with respect to a proposed Eurodollar Rate Loan does not adequately and fairly reflect the cost to such Lenders of funding such Loan, the Administrative Agent will promptly so notify the Borrower and each Lender. Thereafter, (x) the obligation of the Lenders to make or maintain Eurodollar Rate Loans shall be suspended, and (y) in the event of a determination described in the preceding sentence with respect to the Eurodollar Rate component of the Base Rate, the utilization of the Eurodollar Rate component in determining the Base Rate shall be suspended, in each case until the Administrative Agent (upon the instruction of the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74" w:right="239" w:bottom="1440" w:gutter="0" w:footer="0" w:header="0"/>
        </w:sectPr>
      </w:pPr>
    </w:p>
    <w:bookmarkStart w:id="110" w:name="page111"/>
    <w:bookmarkEnd w:id="110"/>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Required Lenders) revokes such notice. Upon receipt of such notice, the Borrower may revoke any pending request for a Borrowing of, conversion to or continuation of Eurodollar Rate Loans or, failing that, will be deemed to have converted such request into a request for a Borrowing of Base Rate Loans in the amount specified therein.</w:t>
      </w:r>
    </w:p>
    <w:p>
      <w:pPr>
        <w:spacing w:after="0" w:line="13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3.04 Increased Costs; Reserves on Eurodollar Rate Loans. </w:t>
      </w:r>
      <w:r>
        <w:rPr>
          <w:rFonts w:ascii="Arial" w:cs="Arial" w:eastAsia="Arial" w:hAnsi="Arial"/>
          <w:sz w:val="18"/>
          <w:szCs w:val="18"/>
          <w:color w:val="auto"/>
        </w:rPr>
        <w:t>(a)</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96" w:lineRule="exact"/>
        <w:rPr>
          <w:sz w:val="20"/>
          <w:szCs w:val="20"/>
          <w:color w:val="auto"/>
        </w:rPr>
      </w:pPr>
    </w:p>
    <w:p>
      <w:pPr>
        <w:jc w:val="both"/>
        <w:ind w:left="460" w:firstLine="443"/>
        <w:spacing w:after="0" w:line="259" w:lineRule="auto"/>
        <w:tabs>
          <w:tab w:leader="none" w:pos="113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impose, modify or deem applicable any reserve, special deposit, compulsory loan, insurance charge or similar requirement against assets of, deposits with or for the account of, or credit extended or participated in by, any Lender (except any reserve requirement contemplated by </w:t>
      </w:r>
      <w:r>
        <w:rPr>
          <w:rFonts w:ascii="Arial" w:cs="Arial" w:eastAsia="Arial" w:hAnsi="Arial"/>
          <w:sz w:val="18"/>
          <w:szCs w:val="18"/>
          <w:u w:val="single" w:color="auto"/>
          <w:color w:val="auto"/>
        </w:rPr>
        <w:t>Section 3.04(e)</w:t>
      </w:r>
      <w:r>
        <w:rPr>
          <w:rFonts w:ascii="Arial" w:cs="Arial" w:eastAsia="Arial" w:hAnsi="Arial"/>
          <w:sz w:val="18"/>
          <w:szCs w:val="18"/>
          <w:color w:val="auto"/>
        </w:rPr>
        <w:t>) or the L/C Issuer;</w:t>
      </w:r>
    </w:p>
    <w:p>
      <w:pPr>
        <w:spacing w:after="0" w:line="59" w:lineRule="exact"/>
        <w:rPr>
          <w:rFonts w:ascii="Arial" w:cs="Arial" w:eastAsia="Arial" w:hAnsi="Arial"/>
          <w:sz w:val="18"/>
          <w:szCs w:val="18"/>
          <w:color w:val="auto"/>
        </w:rPr>
      </w:pPr>
    </w:p>
    <w:p>
      <w:pPr>
        <w:jc w:val="both"/>
        <w:ind w:left="460" w:firstLine="443"/>
        <w:spacing w:after="0" w:line="256" w:lineRule="auto"/>
        <w:tabs>
          <w:tab w:leader="none" w:pos="115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subject any Lender or the L/C Issuer to any tax of any kind whatsoever with respect to this Agreement, any Letter of Credit, any participation in a Letter of Credit or any Eurodollar Rate Loan made by it, or change the basis of taxation of payments to such Lender or the L/C Issuer in respect thereof (except for Indemnified Taxes or Other Taxes covered by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and the imposition of, or any change in the rate of, any Excluded Tax payable by such Lender or the L/C Issuer); or</w:t>
      </w:r>
    </w:p>
    <w:p>
      <w:pPr>
        <w:spacing w:after="0" w:line="62" w:lineRule="exact"/>
        <w:rPr>
          <w:rFonts w:ascii="Arial" w:cs="Arial" w:eastAsia="Arial" w:hAnsi="Arial"/>
          <w:sz w:val="18"/>
          <w:szCs w:val="18"/>
          <w:color w:val="auto"/>
        </w:rPr>
      </w:pPr>
    </w:p>
    <w:p>
      <w:pPr>
        <w:ind w:left="460" w:firstLine="443"/>
        <w:spacing w:after="0" w:line="268" w:lineRule="auto"/>
        <w:tabs>
          <w:tab w:leader="none" w:pos="123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impose on any Lender or the L/C Issuer or the London interbank market any other condition, cost or expense affecting this Agreement or Eurodollar Rate Loans made by such Lender or any Letter of Credit or participation therein;</w:t>
      </w:r>
    </w:p>
    <w:p>
      <w:pPr>
        <w:spacing w:after="0" w:line="1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and the result of any of the foregoing shall be to increase the cost to such Lender of making or maintaining any Loan the interest on which is determined by reference to the Eurodollar Rate (or of maintaining its obligation to make any such Loan), or to increase the cost to such Lender or the L/C Issuer of participating in, issuing or maintaining any Letter of Credit (or of maintaining its obligation to participate in or to issue any Letter of Credit), or to reduce the amount of any sum received or receivable by such Lender or the L/C Issuer hereunder (whether of principal, interest or any other amount) then, upon request of such Lender or the L/C Issuer, and provided such Lender or L/C Issuer is generally charging its other borrowers therefor, the Borrower will pay to such Lender or the L/C Issuer, as the case may be, such additional amount or amounts as will compensate such Lender or the L/C Issuer, as the case may be, for such additional costs incurred or reduction suffered.</w:t>
      </w:r>
    </w:p>
    <w:p>
      <w:pPr>
        <w:spacing w:after="0" w:line="147" w:lineRule="exact"/>
        <w:rPr>
          <w:sz w:val="20"/>
          <w:szCs w:val="20"/>
          <w:color w:val="auto"/>
        </w:rPr>
      </w:pPr>
    </w:p>
    <w:p>
      <w:pPr>
        <w:jc w:val="both"/>
        <w:ind w:firstLine="921"/>
        <w:spacing w:after="0" w:line="290" w:lineRule="auto"/>
        <w:tabs>
          <w:tab w:leader="none" w:pos="1161"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Capital Requirements</w:t>
      </w:r>
      <w:r>
        <w:rPr>
          <w:rFonts w:ascii="Arial" w:cs="Arial" w:eastAsia="Arial" w:hAnsi="Arial"/>
          <w:sz w:val="16"/>
          <w:szCs w:val="16"/>
          <w:color w:val="auto"/>
        </w:rPr>
        <w:t>. If any Lender or the L/C Issuer determines that any Change in Law affecting such Lender or the L/C Issuer or any Lending Office of such Lender or such Lender’s or the L/C Issuer’s holding company, if any, regarding capital requirements has or would have the effect of reducing the rate of return on such Lender’s or the L/C Issuer’s capital or on the capital of such Lender’s or the L/C Issuer’s holding company, if any, as a consequence of this Agreement, the Commitments of such Lender or the Loans made by, or participations in Letters of Credit held by, such Lender, or the Letters of Credit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then from time to time the Borrower will pay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280" w:right="239" w:bottom="1440" w:gutter="0" w:footer="0" w:header="0"/>
        </w:sectPr>
      </w:pPr>
    </w:p>
    <w:bookmarkStart w:id="111" w:name="page112"/>
    <w:bookmarkEnd w:id="111"/>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such Lender or the L/C Issuer, as the case may be, such additional amount or amounts as will compensate such Lender or the L/C Issuer or such Lender’s or the L/C Issuer’s holding company for any such reduction suffered.</w:t>
      </w:r>
    </w:p>
    <w:p>
      <w:pPr>
        <w:spacing w:after="0" w:line="132" w:lineRule="exact"/>
        <w:rPr>
          <w:sz w:val="20"/>
          <w:szCs w:val="20"/>
          <w:color w:val="auto"/>
        </w:rPr>
      </w:pPr>
    </w:p>
    <w:p>
      <w:pPr>
        <w:jc w:val="both"/>
        <w:ind w:firstLine="921"/>
        <w:spacing w:after="0" w:line="298" w:lineRule="auto"/>
        <w:tabs>
          <w:tab w:leader="none" w:pos="1165"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t>Certificates for Reimbursement</w:t>
      </w:r>
      <w:r>
        <w:rPr>
          <w:rFonts w:ascii="Arial" w:cs="Arial" w:eastAsia="Arial" w:hAnsi="Arial"/>
          <w:sz w:val="16"/>
          <w:szCs w:val="16"/>
          <w:color w:val="auto"/>
        </w:rPr>
        <w:t>. A certificate of a Lender or the L/C Issuer setting forth the amount or amounts necessary to compensate such Lender or the L/C Issuer or its holding company, as the case may be, as specified in subsection (a) or (b) of this Section and setting forth in reasonable detail the basis thereof, and delivered to the Borrower shall be conclusive absent manifest error. The Borrower shall pay such Lender or the L/C Issuer, as the case may be, the amount shown as due on any such certificate within 10 Business Days after receipt thereof.</w:t>
      </w:r>
    </w:p>
    <w:p>
      <w:pPr>
        <w:spacing w:after="0" w:line="112" w:lineRule="exact"/>
        <w:rPr>
          <w:rFonts w:ascii="Arial" w:cs="Arial" w:eastAsia="Arial" w:hAnsi="Arial"/>
          <w:sz w:val="16"/>
          <w:szCs w:val="16"/>
          <w:color w:val="auto"/>
        </w:rPr>
      </w:pPr>
    </w:p>
    <w:p>
      <w:pPr>
        <w:jc w:val="both"/>
        <w:ind w:firstLine="921"/>
        <w:spacing w:after="0" w:line="314" w:lineRule="auto"/>
        <w:tabs>
          <w:tab w:leader="none" w:pos="1161" w:val="left"/>
        </w:tabs>
        <w:numPr>
          <w:ilvl w:val="0"/>
          <w:numId w:val="118"/>
        </w:numPr>
        <w:rPr>
          <w:rFonts w:ascii="Arial" w:cs="Arial" w:eastAsia="Arial" w:hAnsi="Arial"/>
          <w:sz w:val="15"/>
          <w:szCs w:val="15"/>
          <w:color w:val="auto"/>
        </w:rPr>
      </w:pPr>
      <w:r>
        <w:rPr>
          <w:rFonts w:ascii="Arial" w:cs="Arial" w:eastAsia="Arial" w:hAnsi="Arial"/>
          <w:sz w:val="15"/>
          <w:szCs w:val="15"/>
          <w:u w:val="single" w:color="auto"/>
          <w:color w:val="auto"/>
        </w:rPr>
        <w:t>Delay in Requests</w:t>
      </w:r>
      <w:r>
        <w:rPr>
          <w:rFonts w:ascii="Arial" w:cs="Arial" w:eastAsia="Arial" w:hAnsi="Arial"/>
          <w:sz w:val="15"/>
          <w:szCs w:val="15"/>
          <w:color w:val="auto"/>
        </w:rPr>
        <w:t xml:space="preserve">. Failure or delay on the part of any Lender or the L/C Issuer to demand compensation pursuant to the foregoing provisions of this Section shall not constitute a waiver of such Lender’s or the L/C Issuer’s right to demand such compensation,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Borrower shall not be required to compensate a Lender or the L/C Issuer pursuant to the foregoing provisions of this Section for any increased costs incurred or reductions suffered more than nine months prior to the date that such Lender or the L/C Issuer, as the case may be, notifies the Borrower of the Change in Law giving rise to such increased costs or reductions and of such Lender’s or the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04" w:lineRule="exact"/>
        <w:rPr>
          <w:rFonts w:ascii="Arial" w:cs="Arial" w:eastAsia="Arial" w:hAnsi="Arial"/>
          <w:sz w:val="15"/>
          <w:szCs w:val="15"/>
          <w:color w:val="auto"/>
        </w:rPr>
      </w:pPr>
    </w:p>
    <w:p>
      <w:pPr>
        <w:jc w:val="both"/>
        <w:ind w:firstLine="921"/>
        <w:spacing w:after="0" w:line="290" w:lineRule="auto"/>
        <w:tabs>
          <w:tab w:leader="none" w:pos="1152"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t>Reserves on Eurodollar Rate Loans</w:t>
      </w:r>
      <w:r>
        <w:rPr>
          <w:rFonts w:ascii="Arial" w:cs="Arial" w:eastAsia="Arial" w:hAnsi="Arial"/>
          <w:sz w:val="16"/>
          <w:szCs w:val="16"/>
          <w:color w:val="auto"/>
        </w:rPr>
        <w:t xml:space="preserve">. The Borrower shall pay to each Lender, as long as such Lender shall be required to maintain reserves with respect to liabilities or assets consisting of or including Eurocurrency funds or deposits (currently known as “Eurocurrency liabilities”), additional interest on the unpaid principal amount of each Eurodollar Rate Loan equal to the actual costs of such reserves allocated to such Loan by such Lender (as determined by such Lender in good faith, which determination shall be conclusive), which shall be due and payable on each date on which interest is payable on such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the Borrower shall have received at least 10 Business Days prior notice (with a copy to the Administrative Agent) of such additional interest from such Lender. If a Lender fails to give notice 10 Business Days prior to the relevant Interest Payment Date, such additional interest shall be due and payable 10 Business Days from receipt of such notice.</w:t>
      </w:r>
    </w:p>
    <w:p>
      <w:pPr>
        <w:spacing w:after="0" w:line="112" w:lineRule="exact"/>
        <w:rPr>
          <w:sz w:val="20"/>
          <w:szCs w:val="20"/>
          <w:color w:val="auto"/>
        </w:rPr>
      </w:pPr>
    </w:p>
    <w:p>
      <w:pPr>
        <w:ind w:right="20" w:firstLine="913"/>
        <w:spacing w:after="0" w:line="339" w:lineRule="auto"/>
        <w:rPr>
          <w:sz w:val="20"/>
          <w:szCs w:val="20"/>
          <w:color w:val="auto"/>
        </w:rPr>
      </w:pPr>
      <w:r>
        <w:rPr>
          <w:rFonts w:ascii="Arial" w:cs="Arial" w:eastAsia="Arial" w:hAnsi="Arial"/>
          <w:sz w:val="16"/>
          <w:szCs w:val="16"/>
          <w:b w:val="1"/>
          <w:bCs w:val="1"/>
          <w:color w:val="auto"/>
        </w:rPr>
        <w:t xml:space="preserve">3.05 Compensation for Losses. </w:t>
      </w:r>
      <w:r>
        <w:rPr>
          <w:rFonts w:ascii="Arial" w:cs="Arial" w:eastAsia="Arial" w:hAnsi="Arial"/>
          <w:sz w:val="16"/>
          <w:szCs w:val="16"/>
          <w:color w:val="auto"/>
        </w:rPr>
        <w:t>Upon demand of any Lender (with a copy to the Administrative Agent) from time to time, the Borrower shall</w:t>
      </w:r>
      <w:r>
        <w:rPr>
          <w:rFonts w:ascii="Arial" w:cs="Arial" w:eastAsia="Arial" w:hAnsi="Arial"/>
          <w:sz w:val="16"/>
          <w:szCs w:val="16"/>
          <w:b w:val="1"/>
          <w:bCs w:val="1"/>
          <w:color w:val="auto"/>
        </w:rPr>
        <w:t xml:space="preserve"> </w:t>
      </w:r>
      <w:r>
        <w:rPr>
          <w:rFonts w:ascii="Arial" w:cs="Arial" w:eastAsia="Arial" w:hAnsi="Arial"/>
          <w:sz w:val="16"/>
          <w:szCs w:val="16"/>
          <w:color w:val="auto"/>
        </w:rPr>
        <w:t>promptly compensate such Lender for and hold such Lender harmless from any loss, cost or expense incurred by it as a result of:</w:t>
      </w:r>
    </w:p>
    <w:p>
      <w:pPr>
        <w:spacing w:after="0" w:line="80" w:lineRule="exact"/>
        <w:rPr>
          <w:sz w:val="20"/>
          <w:szCs w:val="20"/>
          <w:color w:val="auto"/>
        </w:rPr>
      </w:pPr>
    </w:p>
    <w:p>
      <w:pPr>
        <w:ind w:firstLine="921"/>
        <w:spacing w:after="0" w:line="268" w:lineRule="auto"/>
        <w:tabs>
          <w:tab w:leader="none" w:pos="116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80" w:right="239" w:bottom="1440" w:gutter="0" w:footer="0" w:header="0"/>
        </w:sectPr>
      </w:pPr>
    </w:p>
    <w:bookmarkStart w:id="112" w:name="page113"/>
    <w:bookmarkEnd w:id="112"/>
    <w:p>
      <w:pPr>
        <w:ind w:firstLine="921"/>
        <w:spacing w:after="0" w:line="268" w:lineRule="auto"/>
        <w:tabs>
          <w:tab w:leader="none" w:pos="1167" w:val="left"/>
        </w:tabs>
        <w:numPr>
          <w:ilvl w:val="0"/>
          <w:numId w:val="1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failure by the Borrower (for a reason other than the failure of such Lender to make a Loan) to prepay, borrow, continue or convert any Loan other than a Base Rate Loan on the date or in the amount notified by the Borrower; or</w:t>
      </w:r>
    </w:p>
    <w:p>
      <w:pPr>
        <w:spacing w:after="0" w:line="131" w:lineRule="exact"/>
        <w:rPr>
          <w:rFonts w:ascii="Arial" w:cs="Arial" w:eastAsia="Arial" w:hAnsi="Arial"/>
          <w:sz w:val="18"/>
          <w:szCs w:val="18"/>
          <w:color w:val="auto"/>
        </w:rPr>
      </w:pPr>
    </w:p>
    <w:p>
      <w:pPr>
        <w:ind w:firstLine="921"/>
        <w:spacing w:after="0" w:line="268" w:lineRule="auto"/>
        <w:tabs>
          <w:tab w:leader="none" w:pos="115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any assignment of a Eurodollar Rate Loan on a day other than the last day of the Interest Period therefor as a result of a request by the Borrower pursuant to </w:t>
      </w:r>
      <w:r>
        <w:rPr>
          <w:rFonts w:ascii="Arial" w:cs="Arial" w:eastAsia="Arial" w:hAnsi="Arial"/>
          <w:sz w:val="18"/>
          <w:szCs w:val="18"/>
          <w:u w:val="single" w:color="auto"/>
          <w:color w:val="auto"/>
        </w:rPr>
        <w:t>Section 10.13</w:t>
      </w:r>
      <w:r>
        <w:rPr>
          <w:rFonts w:ascii="Arial" w:cs="Arial" w:eastAsia="Arial" w:hAnsi="Arial"/>
          <w:sz w:val="18"/>
          <w:szCs w:val="18"/>
          <w:color w:val="auto"/>
        </w:rPr>
        <w:t>;</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including any loss of anticipated profits and any loss or expense arising from the liquidation or reemployment of funds obtained by it to maintain such Loan or from fees payable to terminate the deposits from which such funds were obtained. The Borrower shall also pay any customary administrative fees charged by such Lender in connection with the foregoing.</w:t>
      </w:r>
    </w:p>
    <w:p>
      <w:pPr>
        <w:spacing w:after="0" w:line="14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 xml:space="preserve">For purposes of calculating amounts payable by the Borrower to the Lenders under this </w:t>
      </w:r>
      <w:r>
        <w:rPr>
          <w:rFonts w:ascii="Arial" w:cs="Arial" w:eastAsia="Arial" w:hAnsi="Arial"/>
          <w:sz w:val="16"/>
          <w:szCs w:val="16"/>
          <w:u w:val="single" w:color="auto"/>
          <w:color w:val="auto"/>
        </w:rPr>
        <w:t>Section 3.05</w:t>
      </w:r>
      <w:r>
        <w:rPr>
          <w:rFonts w:ascii="Arial" w:cs="Arial" w:eastAsia="Arial" w:hAnsi="Arial"/>
          <w:sz w:val="16"/>
          <w:szCs w:val="16"/>
          <w:color w:val="auto"/>
        </w:rPr>
        <w:t>, each Lender shall be deemed to have funded each Eurodollar Rate Loan made by it at the Eurodollar Rate for such Loan by a matching deposit or other borrowing in the London interbank eurodollar market for a comparable amount and for a comparable period, whether or not such Eurodollar Rate Loan was in fact so funded.</w:t>
      </w:r>
    </w:p>
    <w:p>
      <w:pPr>
        <w:spacing w:after="0" w:line="101" w:lineRule="exact"/>
        <w:rPr>
          <w:sz w:val="20"/>
          <w:szCs w:val="20"/>
          <w:color w:val="auto"/>
        </w:rPr>
      </w:pPr>
    </w:p>
    <w:p>
      <w:pPr>
        <w:jc w:val="both"/>
        <w:ind w:firstLine="913"/>
        <w:spacing w:after="0" w:line="285" w:lineRule="auto"/>
        <w:rPr>
          <w:sz w:val="20"/>
          <w:szCs w:val="20"/>
          <w:color w:val="auto"/>
        </w:rPr>
      </w:pPr>
      <w:r>
        <w:rPr>
          <w:rFonts w:ascii="Arial" w:cs="Arial" w:eastAsia="Arial" w:hAnsi="Arial"/>
          <w:sz w:val="16"/>
          <w:szCs w:val="16"/>
          <w:b w:val="1"/>
          <w:bCs w:val="1"/>
          <w:color w:val="auto"/>
        </w:rPr>
        <w:t xml:space="preserve">3.06 Mitigation Obligations; Replacement of Lenders. </w:t>
      </w:r>
      <w:r>
        <w:rPr>
          <w:rFonts w:ascii="Arial" w:cs="Arial" w:eastAsia="Arial" w:hAnsi="Arial"/>
          <w:sz w:val="16"/>
          <w:szCs w:val="16"/>
          <w:color w:val="auto"/>
        </w:rPr>
        <w:t>(a)</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Designation of a Different Lending Office</w:t>
      </w:r>
      <w:r>
        <w:rPr>
          <w:rFonts w:ascii="Arial" w:cs="Arial" w:eastAsia="Arial" w:hAnsi="Arial"/>
          <w:sz w:val="16"/>
          <w:szCs w:val="16"/>
          <w:color w:val="auto"/>
        </w:rPr>
        <w:t>. If any Lender requests compensation under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or the Borrower is required to pay any additional amount to any Lender, the L/C Issuer, or any Governmental Authority for the account of any Lender or the L/C Issuer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or if any Lender gives a notice pursuant to </w:t>
      </w:r>
      <w:r>
        <w:rPr>
          <w:rFonts w:ascii="Arial" w:cs="Arial" w:eastAsia="Arial" w:hAnsi="Arial"/>
          <w:sz w:val="16"/>
          <w:szCs w:val="16"/>
          <w:u w:val="single" w:color="auto"/>
          <w:color w:val="auto"/>
        </w:rPr>
        <w:t>Section 3.02</w:t>
      </w:r>
      <w:r>
        <w:rPr>
          <w:rFonts w:ascii="Arial" w:cs="Arial" w:eastAsia="Arial" w:hAnsi="Arial"/>
          <w:sz w:val="16"/>
          <w:szCs w:val="16"/>
          <w:color w:val="auto"/>
        </w:rPr>
        <w:t>, then upon Borrower’s written request such Lender or the L/C Issuer shall, as applicable, use reasonable efforts to designate a different Lending Office for funding or booking its Loans hereunder or to assign its rights and obligations hereunder to another of its offices, branches or affiliates, if, in the judgment of such Lender or the L/C Issuer, such designation or assignment</w:t>
      </w:r>
    </w:p>
    <w:p>
      <w:pPr>
        <w:jc w:val="both"/>
        <w:ind w:firstLine="8"/>
        <w:spacing w:after="0" w:line="295" w:lineRule="auto"/>
        <w:tabs>
          <w:tab w:leader="none" w:pos="214" w:val="left"/>
        </w:tabs>
        <w:numPr>
          <w:ilvl w:val="0"/>
          <w:numId w:val="121"/>
        </w:numPr>
        <w:rPr>
          <w:rFonts w:ascii="Arial" w:cs="Arial" w:eastAsia="Arial" w:hAnsi="Arial"/>
          <w:sz w:val="16"/>
          <w:szCs w:val="16"/>
          <w:color w:val="auto"/>
        </w:rPr>
      </w:pPr>
      <w:r>
        <w:rPr>
          <w:rFonts w:ascii="Arial" w:cs="Arial" w:eastAsia="Arial" w:hAnsi="Arial"/>
          <w:sz w:val="16"/>
          <w:szCs w:val="16"/>
          <w:color w:val="auto"/>
        </w:rPr>
        <w:t xml:space="preserve">would eliminate or reduce amounts payable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as the case may be, in the future, or eliminate the need for the notice pursuant to </w:t>
      </w:r>
      <w:r>
        <w:rPr>
          <w:rFonts w:ascii="Arial" w:cs="Arial" w:eastAsia="Arial" w:hAnsi="Arial"/>
          <w:sz w:val="16"/>
          <w:szCs w:val="16"/>
          <w:u w:val="single" w:color="auto"/>
          <w:color w:val="auto"/>
        </w:rPr>
        <w:t>Section 3.02</w:t>
      </w:r>
      <w:r>
        <w:rPr>
          <w:rFonts w:ascii="Arial" w:cs="Arial" w:eastAsia="Arial" w:hAnsi="Arial"/>
          <w:sz w:val="16"/>
          <w:szCs w:val="16"/>
          <w:color w:val="auto"/>
        </w:rPr>
        <w:t>, as applicable, and (ii) in each case, would not subject such Lender or the L/C Issuer, as the case may be, to any unreimbursed cost or expense and would not otherwise be materially disadvantageous to such Lender or the L/C Issuer, as the case may be. The Borrower hereby agrees to pay all reasonable costs and expenses incurred by any Lender or the L/C Issuer in connection with any such designation or assignment.</w:t>
      </w:r>
    </w:p>
    <w:p>
      <w:pPr>
        <w:spacing w:after="0" w:line="115" w:lineRule="exact"/>
        <w:rPr>
          <w:rFonts w:ascii="Arial" w:cs="Arial" w:eastAsia="Arial" w:hAnsi="Arial"/>
          <w:sz w:val="16"/>
          <w:szCs w:val="16"/>
          <w:color w:val="auto"/>
        </w:rPr>
      </w:pPr>
    </w:p>
    <w:p>
      <w:pPr>
        <w:jc w:val="both"/>
        <w:ind w:right="20" w:firstLine="921"/>
        <w:spacing w:after="0" w:line="259" w:lineRule="auto"/>
        <w:tabs>
          <w:tab w:leader="none" w:pos="1161" w:val="left"/>
        </w:tabs>
        <w:numPr>
          <w:ilvl w:val="1"/>
          <w:numId w:val="121"/>
        </w:numPr>
        <w:rPr>
          <w:rFonts w:ascii="Arial" w:cs="Arial" w:eastAsia="Arial" w:hAnsi="Arial"/>
          <w:sz w:val="18"/>
          <w:szCs w:val="18"/>
          <w:color w:val="auto"/>
        </w:rPr>
      </w:pP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If any Lender requests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if the Borrower is required to pay any additional amount to any Lender or any Governmental Authority for the account of any Lender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notice is given pursuant to Section 3.02, the Borrower may replace such Lender in accordance with </w:t>
      </w:r>
      <w:r>
        <w:rPr>
          <w:rFonts w:ascii="Arial" w:cs="Arial" w:eastAsia="Arial" w:hAnsi="Arial"/>
          <w:sz w:val="18"/>
          <w:szCs w:val="18"/>
          <w:u w:val="single" w:color="auto"/>
          <w:color w:val="auto"/>
        </w:rPr>
        <w:t>Section 10.13</w:t>
      </w:r>
      <w:r>
        <w:rPr>
          <w:rFonts w:ascii="Arial" w:cs="Arial" w:eastAsia="Arial" w:hAnsi="Arial"/>
          <w:sz w:val="18"/>
          <w:szCs w:val="18"/>
          <w:color w:val="auto"/>
        </w:rPr>
        <w:t>.</w:t>
      </w:r>
    </w:p>
    <w:p>
      <w:pPr>
        <w:spacing w:after="0" w:line="134" w:lineRule="exact"/>
        <w:rPr>
          <w:sz w:val="20"/>
          <w:szCs w:val="20"/>
          <w:color w:val="auto"/>
        </w:rPr>
      </w:pPr>
    </w:p>
    <w:p>
      <w:pPr>
        <w:ind w:firstLine="913"/>
        <w:spacing w:after="0" w:line="275" w:lineRule="auto"/>
        <w:rPr>
          <w:sz w:val="20"/>
          <w:szCs w:val="20"/>
          <w:color w:val="auto"/>
        </w:rPr>
      </w:pPr>
      <w:r>
        <w:rPr>
          <w:rFonts w:ascii="Arial" w:cs="Arial" w:eastAsia="Arial" w:hAnsi="Arial"/>
          <w:sz w:val="18"/>
          <w:szCs w:val="18"/>
          <w:b w:val="1"/>
          <w:bCs w:val="1"/>
          <w:color w:val="auto"/>
        </w:rPr>
        <w:t xml:space="preserve">3.07 Survival. </w:t>
      </w:r>
      <w:r>
        <w:rPr>
          <w:rFonts w:ascii="Arial" w:cs="Arial" w:eastAsia="Arial" w:hAnsi="Arial"/>
          <w:sz w:val="18"/>
          <w:szCs w:val="18"/>
          <w:color w:val="auto"/>
        </w:rPr>
        <w:t>All of the Borrower’s obligations under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III</w:t>
      </w:r>
      <w:r>
        <w:rPr>
          <w:rFonts w:ascii="Arial" w:cs="Arial" w:eastAsia="Arial" w:hAnsi="Arial"/>
          <w:sz w:val="18"/>
          <w:szCs w:val="18"/>
          <w:b w:val="1"/>
          <w:bCs w:val="1"/>
          <w:color w:val="auto"/>
        </w:rPr>
        <w:t xml:space="preserve"> </w:t>
      </w:r>
      <w:r>
        <w:rPr>
          <w:rFonts w:ascii="Arial" w:cs="Arial" w:eastAsia="Arial" w:hAnsi="Arial"/>
          <w:sz w:val="18"/>
          <w:szCs w:val="18"/>
          <w:color w:val="auto"/>
        </w:rPr>
        <w:t>shall survive termination of the Aggregate Commitments, repayment of all</w:t>
      </w:r>
      <w:r>
        <w:rPr>
          <w:rFonts w:ascii="Arial" w:cs="Arial" w:eastAsia="Arial" w:hAnsi="Arial"/>
          <w:sz w:val="18"/>
          <w:szCs w:val="18"/>
          <w:b w:val="1"/>
          <w:bCs w:val="1"/>
          <w:color w:val="auto"/>
        </w:rPr>
        <w:t xml:space="preserve"> </w:t>
      </w:r>
      <w:r>
        <w:rPr>
          <w:rFonts w:ascii="Arial" w:cs="Arial" w:eastAsia="Arial" w:hAnsi="Arial"/>
          <w:sz w:val="18"/>
          <w:szCs w:val="18"/>
          <w:color w:val="auto"/>
        </w:rPr>
        <w:t>other Obligations hereunder, and resignation of the Administrative Agent.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80"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PRECEDENT TO CREDIT EXTENSIONS</w:t>
      </w:r>
    </w:p>
    <w:p>
      <w:pPr>
        <w:spacing w:after="0" w:line="159" w:lineRule="exact"/>
        <w:rPr>
          <w:sz w:val="20"/>
          <w:szCs w:val="20"/>
          <w:color w:val="auto"/>
        </w:rPr>
      </w:pPr>
    </w:p>
    <w:p>
      <w:pPr>
        <w:ind w:firstLine="913"/>
        <w:spacing w:after="0" w:line="275" w:lineRule="auto"/>
        <w:rPr>
          <w:sz w:val="20"/>
          <w:szCs w:val="20"/>
          <w:color w:val="auto"/>
        </w:rPr>
      </w:pPr>
      <w:r>
        <w:rPr>
          <w:rFonts w:ascii="Arial" w:cs="Arial" w:eastAsia="Arial" w:hAnsi="Arial"/>
          <w:sz w:val="18"/>
          <w:szCs w:val="18"/>
          <w:b w:val="1"/>
          <w:bCs w:val="1"/>
          <w:color w:val="auto"/>
        </w:rPr>
        <w:t xml:space="preserve">4.01 Conditions to Closing. </w:t>
      </w:r>
      <w:r>
        <w:rPr>
          <w:rFonts w:ascii="Arial" w:cs="Arial" w:eastAsia="Arial" w:hAnsi="Arial"/>
          <w:sz w:val="18"/>
          <w:szCs w:val="18"/>
          <w:color w:val="auto"/>
        </w:rPr>
        <w:t>The obligation of the L/C Issuer and each Lender hereunder is subject to satisfaction of the following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precedent on the Closing Date:</w:t>
      </w:r>
    </w:p>
    <w:p>
      <w:pPr>
        <w:spacing w:after="0" w:line="126" w:lineRule="exact"/>
        <w:rPr>
          <w:sz w:val="20"/>
          <w:szCs w:val="20"/>
          <w:color w:val="auto"/>
        </w:rPr>
      </w:pPr>
    </w:p>
    <w:p>
      <w:pPr>
        <w:jc w:val="both"/>
        <w:ind w:firstLine="921"/>
        <w:spacing w:after="0" w:line="306" w:lineRule="auto"/>
        <w:tabs>
          <w:tab w:leader="none" w:pos="1177" w:val="left"/>
        </w:tabs>
        <w:numPr>
          <w:ilvl w:val="1"/>
          <w:numId w:val="122"/>
        </w:numPr>
        <w:rPr>
          <w:rFonts w:ascii="Arial" w:cs="Arial" w:eastAsia="Arial" w:hAnsi="Arial"/>
          <w:sz w:val="16"/>
          <w:szCs w:val="16"/>
          <w:color w:val="auto"/>
        </w:rPr>
      </w:pPr>
      <w:r>
        <w:rPr>
          <w:rFonts w:ascii="Arial" w:cs="Arial" w:eastAsia="Arial" w:hAnsi="Arial"/>
          <w:sz w:val="16"/>
          <w:szCs w:val="16"/>
          <w:color w:val="auto"/>
        </w:rPr>
        <w:t>The Administrative Agent’s receipt of the following, each of which shall be originals or telecopies (followed promptly by originals) unless otherwise specified, each properly executed by a Responsible Officer of the signing Loan Party, each dated the Closing Date (or, in the case of certificates of governmental officials, a recent date before the Closing Date) and each in form and substance satisfactory to the Administrative Agent and each of the Lenders:</w:t>
      </w:r>
    </w:p>
    <w:p>
      <w:pPr>
        <w:spacing w:after="0" w:line="25" w:lineRule="exact"/>
        <w:rPr>
          <w:rFonts w:ascii="Arial" w:cs="Arial" w:eastAsia="Arial" w:hAnsi="Arial"/>
          <w:sz w:val="16"/>
          <w:szCs w:val="16"/>
          <w:color w:val="auto"/>
        </w:rPr>
      </w:pPr>
    </w:p>
    <w:p>
      <w:pPr>
        <w:ind w:left="460" w:right="20" w:firstLine="443"/>
        <w:spacing w:after="0" w:line="268" w:lineRule="auto"/>
        <w:tabs>
          <w:tab w:leader="none" w:pos="110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executed counterparts of this Agreement and each ratification and amendment of the Collateral Documents and the Subsidiary Guaranty, sufficient in number for distribution to the Administrative Agent, each Lender and the Borrower;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 original Note executed by the Borrower in favor of each new Lender requesting a Note;</w:t>
      </w:r>
    </w:p>
    <w:p>
      <w:pPr>
        <w:spacing w:after="0" w:line="90" w:lineRule="exact"/>
        <w:rPr>
          <w:rFonts w:ascii="Arial" w:cs="Arial" w:eastAsia="Arial" w:hAnsi="Arial"/>
          <w:sz w:val="18"/>
          <w:szCs w:val="18"/>
          <w:color w:val="auto"/>
        </w:rPr>
      </w:pPr>
    </w:p>
    <w:p>
      <w:pPr>
        <w:jc w:val="both"/>
        <w:ind w:left="460" w:firstLine="443"/>
        <w:spacing w:after="0" w:line="306" w:lineRule="auto"/>
        <w:tabs>
          <w:tab w:leader="none" w:pos="1205" w:val="left"/>
        </w:tabs>
        <w:numPr>
          <w:ilvl w:val="0"/>
          <w:numId w:val="123"/>
        </w:numPr>
        <w:rPr>
          <w:rFonts w:ascii="Arial" w:cs="Arial" w:eastAsia="Arial" w:hAnsi="Arial"/>
          <w:sz w:val="16"/>
          <w:szCs w:val="16"/>
          <w:color w:val="auto"/>
        </w:rPr>
      </w:pPr>
      <w:r>
        <w:rPr>
          <w:rFonts w:ascii="Arial" w:cs="Arial" w:eastAsia="Arial" w:hAnsi="Arial"/>
          <w:sz w:val="16"/>
          <w:szCs w:val="16"/>
          <w:color w:val="auto"/>
        </w:rPr>
        <w:t>such certificates of resolutions or other action, incumbency certificates and/or other certificates of Responsible Officers of each Loan Party as the Administrative Agent may require evidencing the identity, authority and capacity of each Responsible Officer thereof authorized to act on behalf of such Loan Party in connection with this Agreement and the other Loan Documents to which such Loan Party is a party;</w:t>
      </w:r>
    </w:p>
    <w:p>
      <w:pPr>
        <w:spacing w:after="0" w:line="25" w:lineRule="exact"/>
        <w:rPr>
          <w:rFonts w:ascii="Arial" w:cs="Arial" w:eastAsia="Arial" w:hAnsi="Arial"/>
          <w:sz w:val="16"/>
          <w:szCs w:val="16"/>
          <w:color w:val="auto"/>
        </w:rPr>
      </w:pPr>
    </w:p>
    <w:p>
      <w:pPr>
        <w:jc w:val="both"/>
        <w:ind w:left="460" w:firstLine="443"/>
        <w:spacing w:after="0" w:line="298" w:lineRule="auto"/>
        <w:tabs>
          <w:tab w:leader="none" w:pos="1229" w:val="left"/>
        </w:tabs>
        <w:numPr>
          <w:ilvl w:val="0"/>
          <w:numId w:val="123"/>
        </w:numPr>
        <w:rPr>
          <w:rFonts w:ascii="Arial" w:cs="Arial" w:eastAsia="Arial" w:hAnsi="Arial"/>
          <w:sz w:val="16"/>
          <w:szCs w:val="16"/>
          <w:color w:val="auto"/>
        </w:rPr>
      </w:pPr>
      <w:r>
        <w:rPr>
          <w:rFonts w:ascii="Arial" w:cs="Arial" w:eastAsia="Arial" w:hAnsi="Arial"/>
          <w:sz w:val="16"/>
          <w:szCs w:val="16"/>
          <w:color w:val="auto"/>
        </w:rPr>
        <w:t>such documents and certifications as the Administrative Agent may reasonably require to evidence that each of the Loan Parties is duly organized or formed, validly existing, in good standing and qualified to engage in business in each jurisdiction where its ownership, lease or operation of properties or the conduct of its business requires such qualification, except to the extent that failure to do so could not reasonably be expected to have a Material Adverse Effect, including, certified copies of the Organization Documents of the Loan Parties, certificates of good standing of the Loan Parties;</w:t>
      </w:r>
    </w:p>
    <w:p>
      <w:pPr>
        <w:spacing w:after="0" w:line="31" w:lineRule="exact"/>
        <w:rPr>
          <w:rFonts w:ascii="Arial" w:cs="Arial" w:eastAsia="Arial" w:hAnsi="Arial"/>
          <w:sz w:val="16"/>
          <w:szCs w:val="16"/>
          <w:color w:val="auto"/>
        </w:rPr>
      </w:pPr>
    </w:p>
    <w:p>
      <w:pPr>
        <w:jc w:val="both"/>
        <w:ind w:left="460" w:firstLine="443"/>
        <w:spacing w:after="0" w:line="306" w:lineRule="auto"/>
        <w:tabs>
          <w:tab w:leader="none" w:pos="1155" w:val="left"/>
        </w:tabs>
        <w:numPr>
          <w:ilvl w:val="0"/>
          <w:numId w:val="123"/>
        </w:numPr>
        <w:rPr>
          <w:rFonts w:ascii="Arial" w:cs="Arial" w:eastAsia="Arial" w:hAnsi="Arial"/>
          <w:sz w:val="16"/>
          <w:szCs w:val="16"/>
          <w:color w:val="auto"/>
        </w:rPr>
      </w:pPr>
      <w:r>
        <w:rPr>
          <w:rFonts w:ascii="Arial" w:cs="Arial" w:eastAsia="Arial" w:hAnsi="Arial"/>
          <w:sz w:val="16"/>
          <w:szCs w:val="16"/>
          <w:color w:val="auto"/>
        </w:rPr>
        <w:t xml:space="preserve">favorable opinions of special counsel for the Loan Parties, addressed to the Administrative Agent and each Lender, as to the matters set forth in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hereto and such other matters concerning the Loan Parties and the Loan Documents as the Required Lenders may reasonably request and including, among other things, opinions regarding the enforceability of the security interests created thereby;</w:t>
      </w:r>
    </w:p>
    <w:p>
      <w:pPr>
        <w:spacing w:after="0" w:line="25" w:lineRule="exact"/>
        <w:rPr>
          <w:rFonts w:ascii="Arial" w:cs="Arial" w:eastAsia="Arial" w:hAnsi="Arial"/>
          <w:sz w:val="16"/>
          <w:szCs w:val="16"/>
          <w:color w:val="auto"/>
        </w:rPr>
      </w:pPr>
    </w:p>
    <w:p>
      <w:pPr>
        <w:jc w:val="both"/>
        <w:ind w:left="460" w:firstLine="443"/>
        <w:spacing w:after="0" w:line="255" w:lineRule="auto"/>
        <w:tabs>
          <w:tab w:leader="none" w:pos="121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certificate of a Responsible Officer of each Loan Party either (A) attaching copies of all consents, licenses and approvals of Governmental Authorities, shareholders and other Persons required in connection with the execution, delivery and performance by such Loan Party and the validity against such Loan Party of the Loan Documents to which it is a party and required in connection with the Loan Documents and the transactions contemplated thereby (including, without limitation, the expiration, without imposition of conditions, of all applicable waiting periods in connection with the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74" w:right="239" w:bottom="1440" w:gutter="0" w:footer="0" w:header="0"/>
        </w:sectPr>
      </w:pPr>
    </w:p>
    <w:bookmarkStart w:id="114" w:name="page115"/>
    <w:bookmarkEnd w:id="114"/>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transactions contemplated by the Loan Documents), and such consents, licenses and approvals shall be in full force and effect, or (B) stating that no such consents, licenses or approvals are so required since the closing of the Existing Credit Agreement;</w:t>
      </w:r>
    </w:p>
    <w:p>
      <w:pPr>
        <w:spacing w:after="0" w:line="51" w:lineRule="exact"/>
        <w:rPr>
          <w:sz w:val="20"/>
          <w:szCs w:val="20"/>
          <w:color w:val="auto"/>
        </w:rPr>
      </w:pPr>
    </w:p>
    <w:p>
      <w:pPr>
        <w:jc w:val="both"/>
        <w:ind w:firstLine="443"/>
        <w:spacing w:after="0" w:line="298" w:lineRule="auto"/>
        <w:tabs>
          <w:tab w:leader="none" w:pos="79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 xml:space="preserve">copies of the financial statements referred to in </w:t>
      </w:r>
      <w:r>
        <w:rPr>
          <w:rFonts w:ascii="Arial" w:cs="Arial" w:eastAsia="Arial" w:hAnsi="Arial"/>
          <w:sz w:val="16"/>
          <w:szCs w:val="16"/>
          <w:u w:val="single" w:color="auto"/>
          <w:color w:val="auto"/>
        </w:rPr>
        <w:t>Sections 5.05(a)</w:t>
      </w:r>
      <w:r>
        <w:rPr>
          <w:rFonts w:ascii="Arial" w:cs="Arial" w:eastAsia="Arial" w:hAnsi="Arial"/>
          <w:sz w:val="16"/>
          <w:szCs w:val="16"/>
          <w:color w:val="auto"/>
        </w:rPr>
        <w:t xml:space="preserve"> and (b), and a certificate signed by a Responsible Officer of the Borrower and evidence satisfactory to the Administrative Agent with respect thereto certifying (A) that the conditions specified in </w:t>
      </w:r>
      <w:r>
        <w:rPr>
          <w:rFonts w:ascii="Arial" w:cs="Arial" w:eastAsia="Arial" w:hAnsi="Arial"/>
          <w:sz w:val="16"/>
          <w:szCs w:val="16"/>
          <w:u w:val="single" w:color="auto"/>
          <w:color w:val="auto"/>
        </w:rPr>
        <w:t>Sections 4.02(a)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have been satisfied, and (B) that there has been no event or circumstance since the date of the Audited Financial Statements that has had or could be reasonably expected to have, either individually or in the aggregate, a Material Adverse Effect;</w:t>
      </w:r>
    </w:p>
    <w:p>
      <w:pPr>
        <w:spacing w:after="0" w:line="31" w:lineRule="exact"/>
        <w:rPr>
          <w:rFonts w:ascii="Arial" w:cs="Arial" w:eastAsia="Arial" w:hAnsi="Arial"/>
          <w:sz w:val="16"/>
          <w:szCs w:val="16"/>
          <w:color w:val="auto"/>
        </w:rPr>
      </w:pPr>
    </w:p>
    <w:p>
      <w:pPr>
        <w:jc w:val="both"/>
        <w:ind w:firstLine="443"/>
        <w:spacing w:after="0" w:line="256" w:lineRule="auto"/>
        <w:tabs>
          <w:tab w:leader="none" w:pos="843"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existing insurance certificates previously delivered to the Administrative Agent or other evidence that all insurance required to be maintained pursuant to the Loan Documents has been obtained and is in full force, including in either case evidence that the Administrative Agent, on behalf of the Lenders, is an additional insured or lender’s loss payee, as the case may be, under all insurance policies maintained with respect to the assets and properties of the Loan Parties that constitutes Collateral;</w:t>
      </w:r>
    </w:p>
    <w:p>
      <w:pPr>
        <w:spacing w:after="0" w:line="62" w:lineRule="exact"/>
        <w:rPr>
          <w:rFonts w:ascii="Arial" w:cs="Arial" w:eastAsia="Arial" w:hAnsi="Arial"/>
          <w:sz w:val="18"/>
          <w:szCs w:val="18"/>
          <w:color w:val="auto"/>
        </w:rPr>
      </w:pPr>
    </w:p>
    <w:p>
      <w:pPr>
        <w:jc w:val="both"/>
        <w:ind w:firstLine="443"/>
        <w:spacing w:after="0" w:line="306" w:lineRule="auto"/>
        <w:tabs>
          <w:tab w:leader="none" w:pos="739" w:val="left"/>
        </w:tabs>
        <w:numPr>
          <w:ilvl w:val="0"/>
          <w:numId w:val="124"/>
        </w:numPr>
        <w:rPr>
          <w:rFonts w:ascii="Arial" w:cs="Arial" w:eastAsia="Arial" w:hAnsi="Arial"/>
          <w:sz w:val="16"/>
          <w:szCs w:val="16"/>
          <w:color w:val="auto"/>
        </w:rPr>
      </w:pPr>
      <w:r>
        <w:rPr>
          <w:rFonts w:ascii="Arial" w:cs="Arial" w:eastAsia="Arial" w:hAnsi="Arial"/>
          <w:sz w:val="16"/>
          <w:szCs w:val="16"/>
          <w:color w:val="auto"/>
        </w:rPr>
        <w:t>confirmation from Administrative Agent that Administrative Agent previously received or has received original certificates evidencing all of the issued and outstanding shares of capital stock or other Equity Interest required to be pledged pursuant to the terms of the Pledge Agreement, which certificates shall be accompanied by undated stock powers duly executed in blank by each relevant pledgor in favor of the Administrative Agent.</w:t>
      </w:r>
    </w:p>
    <w:p>
      <w:pPr>
        <w:spacing w:after="0" w:line="25" w:lineRule="exact"/>
        <w:rPr>
          <w:rFonts w:ascii="Arial" w:cs="Arial" w:eastAsia="Arial" w:hAnsi="Arial"/>
          <w:sz w:val="16"/>
          <w:szCs w:val="16"/>
          <w:color w:val="auto"/>
        </w:rPr>
      </w:pPr>
    </w:p>
    <w:p>
      <w:pPr>
        <w:ind w:firstLine="443"/>
        <w:spacing w:after="0" w:line="332" w:lineRule="auto"/>
        <w:tabs>
          <w:tab w:leader="none" w:pos="689" w:val="left"/>
        </w:tabs>
        <w:numPr>
          <w:ilvl w:val="0"/>
          <w:numId w:val="124"/>
        </w:numPr>
        <w:rPr>
          <w:rFonts w:ascii="Arial" w:cs="Arial" w:eastAsia="Arial" w:hAnsi="Arial"/>
          <w:sz w:val="16"/>
          <w:szCs w:val="16"/>
          <w:color w:val="auto"/>
        </w:rPr>
      </w:pPr>
      <w:r>
        <w:rPr>
          <w:rFonts w:ascii="Arial" w:cs="Arial" w:eastAsia="Arial" w:hAnsi="Arial"/>
          <w:sz w:val="16"/>
          <w:szCs w:val="16"/>
          <w:color w:val="auto"/>
        </w:rPr>
        <w:t>confirmation from Administrative Agent that Administrative Agent previously received or has received the original Intercompany Notes required to be pledged pursuant to the terms of the Pledge Agreement, duly endorsed in blank by each relevant pledgor in favor of the Administrative Agent;</w:t>
      </w:r>
    </w:p>
    <w:p>
      <w:pPr>
        <w:spacing w:after="0" w:line="4" w:lineRule="exact"/>
        <w:rPr>
          <w:rFonts w:ascii="Arial" w:cs="Arial" w:eastAsia="Arial" w:hAnsi="Arial"/>
          <w:sz w:val="16"/>
          <w:szCs w:val="16"/>
          <w:color w:val="auto"/>
        </w:rPr>
      </w:pPr>
    </w:p>
    <w:p>
      <w:pPr>
        <w:jc w:val="both"/>
        <w:ind w:firstLine="443"/>
        <w:spacing w:after="0" w:line="253" w:lineRule="auto"/>
        <w:tabs>
          <w:tab w:leader="none" w:pos="743"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certified copies of Uniform Commercial Code Requests for Information or Copies (Form UCC-11) or similar search reports certified by a party acceptable to the Administrative Agent, dated a date reasonably near (but prior to) the Closing Date, listing all effective UCC financing statements, tax liens and judgment liens since the date of such searches in connection with the Existing Credit Agreement which name any Loan Party, as the debtor, and which are filed in the jurisdictions in which such Loan Parties are organized, together with copies of such financing statements (none of which (other than financing statements filed pursuant to the terms hereof in favor of the Administrative Agent, if such Form UCC-11 or search report, as the case may be, is current enough to list such financing statements) shall cover any of the Collateral, other than Liens existing on the Closing Date or permitted by </w:t>
      </w:r>
      <w:r>
        <w:rPr>
          <w:rFonts w:ascii="Arial" w:cs="Arial" w:eastAsia="Arial" w:hAnsi="Arial"/>
          <w:sz w:val="18"/>
          <w:szCs w:val="18"/>
          <w:u w:val="single" w:color="auto"/>
          <w:color w:val="auto"/>
        </w:rPr>
        <w:t>Section 7.01(b), (c) or (j)</w:t>
      </w:r>
      <w:r>
        <w:rPr>
          <w:rFonts w:ascii="Arial" w:cs="Arial" w:eastAsia="Arial" w:hAnsi="Arial"/>
          <w:sz w:val="18"/>
          <w:szCs w:val="18"/>
          <w:color w:val="auto"/>
        </w:rPr>
        <w:t>);</w:t>
      </w:r>
    </w:p>
    <w:p>
      <w:pPr>
        <w:spacing w:after="0" w:line="66" w:lineRule="exact"/>
        <w:rPr>
          <w:rFonts w:ascii="Arial" w:cs="Arial" w:eastAsia="Arial" w:hAnsi="Arial"/>
          <w:sz w:val="18"/>
          <w:szCs w:val="18"/>
          <w:color w:val="auto"/>
        </w:rPr>
      </w:pPr>
    </w:p>
    <w:p>
      <w:pPr>
        <w:jc w:val="both"/>
        <w:ind w:firstLine="443"/>
        <w:spacing w:after="0" w:line="259" w:lineRule="auto"/>
        <w:tabs>
          <w:tab w:leader="none" w:pos="789"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acknowledgment copies of UCC financing statements (or delivery in proper form for filing) naming the Borrower and each other Loan Party as the debtor and the Administrative Agent as the secured party, which such UCC financing statements have been filed, or have been delivered for filing, under the UCC of all jurisdictions as</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960"/>
          </w:cols>
          <w:pgMar w:left="700" w:top="280" w:right="239" w:bottom="1440" w:gutter="0" w:footer="0" w:header="0"/>
        </w:sectPr>
      </w:pPr>
    </w:p>
    <w:bookmarkStart w:id="115" w:name="page116"/>
    <w:bookmarkEnd w:id="115"/>
    <w:p>
      <w:pPr>
        <w:ind w:lef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may be necessary or, in the opinion of the Administrative Agent, desirable to perfect the first priority security interest of the Administrative Agent pursuant to the Security Agreement and the Pledge Agreement;</w:t>
      </w:r>
    </w:p>
    <w:p>
      <w:pPr>
        <w:spacing w:after="0" w:line="51" w:lineRule="exact"/>
        <w:rPr>
          <w:sz w:val="20"/>
          <w:szCs w:val="20"/>
          <w:color w:val="auto"/>
        </w:rPr>
      </w:pPr>
    </w:p>
    <w:p>
      <w:pPr>
        <w:jc w:val="both"/>
        <w:ind w:left="460" w:firstLine="443"/>
        <w:spacing w:after="0" w:line="259" w:lineRule="auto"/>
        <w:tabs>
          <w:tab w:leader="none" w:pos="130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evidence that all other action that the Administrative Agent may deem necessary or desirable in order to perfect and protect the first priority liens and security interests created under the Collateral Documents has been taken (including, without limitation, receipt of duly executed payoff letters, UCC-3 termination statements);</w:t>
      </w:r>
    </w:p>
    <w:p>
      <w:pPr>
        <w:spacing w:after="0" w:line="59" w:lineRule="exact"/>
        <w:rPr>
          <w:rFonts w:ascii="Arial" w:cs="Arial" w:eastAsia="Arial" w:hAnsi="Arial"/>
          <w:sz w:val="18"/>
          <w:szCs w:val="18"/>
          <w:color w:val="auto"/>
        </w:rPr>
      </w:pPr>
    </w:p>
    <w:p>
      <w:pPr>
        <w:ind w:left="1280" w:hanging="377"/>
        <w:spacing w:after="0"/>
        <w:tabs>
          <w:tab w:leader="none" w:pos="12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copies of certain Material Contracts not previously delivered to the Administrative Agent;</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0" w:lineRule="exact"/>
        <w:rPr>
          <w:rFonts w:ascii="Arial" w:cs="Arial" w:eastAsia="Arial" w:hAnsi="Arial"/>
          <w:sz w:val="18"/>
          <w:szCs w:val="18"/>
          <w:color w:val="auto"/>
        </w:rPr>
      </w:pPr>
    </w:p>
    <w:p>
      <w:pPr>
        <w:ind w:left="460" w:right="20" w:firstLine="443"/>
        <w:spacing w:after="0" w:line="268" w:lineRule="auto"/>
        <w:tabs>
          <w:tab w:leader="none" w:pos="129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duly completed Compliance Certificate as of the last day of the fiscal quarter of the Borrower on March 31, 2011, signed by a Responsible Officer of the Borrower;</w:t>
      </w:r>
    </w:p>
    <w:p>
      <w:pPr>
        <w:spacing w:after="0" w:line="50" w:lineRule="exact"/>
        <w:rPr>
          <w:rFonts w:ascii="Arial" w:cs="Arial" w:eastAsia="Arial" w:hAnsi="Arial"/>
          <w:sz w:val="18"/>
          <w:szCs w:val="18"/>
          <w:color w:val="auto"/>
        </w:rPr>
      </w:pPr>
    </w:p>
    <w:p>
      <w:pPr>
        <w:ind w:left="460" w:right="20" w:firstLine="443"/>
        <w:spacing w:after="0" w:line="268" w:lineRule="auto"/>
        <w:tabs>
          <w:tab w:leader="none" w:pos="134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such other assurances, certificates, documents, consents and waivers, estoppel certificates, or opinions as the Administrative Agent, the L/C Issuer, the Swing Line Lender or the Required Lenders reasonably may require;</w:t>
      </w:r>
    </w:p>
    <w:p>
      <w:pPr>
        <w:spacing w:after="0" w:line="131" w:lineRule="exact"/>
        <w:rPr>
          <w:rFonts w:ascii="Arial" w:cs="Arial" w:eastAsia="Arial" w:hAnsi="Arial"/>
          <w:sz w:val="18"/>
          <w:szCs w:val="18"/>
          <w:color w:val="auto"/>
        </w:rPr>
      </w:pPr>
    </w:p>
    <w:p>
      <w:pPr>
        <w:ind w:firstLine="921"/>
        <w:spacing w:after="0" w:line="268" w:lineRule="auto"/>
        <w:tabs>
          <w:tab w:leader="none" w:pos="1166" w:val="left"/>
        </w:tabs>
        <w:numPr>
          <w:ilvl w:val="1"/>
          <w:numId w:val="125"/>
        </w:numPr>
        <w:rPr>
          <w:rFonts w:ascii="Arial" w:cs="Arial" w:eastAsia="Arial" w:hAnsi="Arial"/>
          <w:sz w:val="18"/>
          <w:szCs w:val="18"/>
          <w:color w:val="auto"/>
        </w:rPr>
      </w:pPr>
      <w:r>
        <w:rPr>
          <w:rFonts w:ascii="Arial" w:cs="Arial" w:eastAsia="Arial" w:hAnsi="Arial"/>
          <w:sz w:val="18"/>
          <w:szCs w:val="18"/>
          <w:color w:val="auto"/>
        </w:rPr>
        <w:t>Such financial, business and legal due diligence and information regarding the Borrower and its Subsidiaries as the Administrative Agent and its legal counsel shall have requested.</w:t>
      </w:r>
    </w:p>
    <w:p>
      <w:pPr>
        <w:spacing w:after="0" w:line="131" w:lineRule="exact"/>
        <w:rPr>
          <w:rFonts w:ascii="Arial" w:cs="Arial" w:eastAsia="Arial" w:hAnsi="Arial"/>
          <w:sz w:val="18"/>
          <w:szCs w:val="18"/>
          <w:color w:val="auto"/>
        </w:rPr>
      </w:pPr>
    </w:p>
    <w:p>
      <w:pPr>
        <w:jc w:val="both"/>
        <w:ind w:firstLine="921"/>
        <w:spacing w:after="0" w:line="298" w:lineRule="auto"/>
        <w:tabs>
          <w:tab w:leader="none" w:pos="1155" w:val="left"/>
        </w:tabs>
        <w:numPr>
          <w:ilvl w:val="1"/>
          <w:numId w:val="125"/>
        </w:numPr>
        <w:rPr>
          <w:rFonts w:ascii="Arial" w:cs="Arial" w:eastAsia="Arial" w:hAnsi="Arial"/>
          <w:sz w:val="16"/>
          <w:szCs w:val="16"/>
          <w:color w:val="auto"/>
        </w:rPr>
      </w:pPr>
      <w:r>
        <w:rPr>
          <w:rFonts w:ascii="Arial" w:cs="Arial" w:eastAsia="Arial" w:hAnsi="Arial"/>
          <w:sz w:val="16"/>
          <w:szCs w:val="16"/>
          <w:color w:val="auto"/>
        </w:rPr>
        <w:t xml:space="preserve">The Lenders shall be satisfied that, concurrently with the Closing Date, all outstanding “Term Loans” under and as defined in the Existing Credit Agreement and all other existing Indebtedness of the Borrower and its Subsidiaries has been repaid, redeemed or defeased in full or otherwise satisfied and extinguished, except the Indebtedness permitted by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hereof, which Indebtedness shall be on terms and conditions satisfactory to the Lenders and all Liens securing such obligations have been or concurrently with the Closing Date are being released, other than Liens permitted by </w:t>
      </w:r>
      <w:r>
        <w:rPr>
          <w:rFonts w:ascii="Arial" w:cs="Arial" w:eastAsia="Arial" w:hAnsi="Arial"/>
          <w:sz w:val="16"/>
          <w:szCs w:val="16"/>
          <w:u w:val="single" w:color="auto"/>
          <w:color w:val="auto"/>
        </w:rPr>
        <w:t>Section 7.01</w:t>
      </w:r>
      <w:r>
        <w:rPr>
          <w:rFonts w:ascii="Arial" w:cs="Arial" w:eastAsia="Arial" w:hAnsi="Arial"/>
          <w:sz w:val="16"/>
          <w:szCs w:val="16"/>
          <w:color w:val="auto"/>
        </w:rPr>
        <w:t>.</w:t>
      </w:r>
    </w:p>
    <w:p>
      <w:pPr>
        <w:spacing w:after="0" w:line="112" w:lineRule="exact"/>
        <w:rPr>
          <w:rFonts w:ascii="Arial" w:cs="Arial" w:eastAsia="Arial" w:hAnsi="Arial"/>
          <w:sz w:val="16"/>
          <w:szCs w:val="16"/>
          <w:color w:val="auto"/>
        </w:rPr>
      </w:pPr>
    </w:p>
    <w:p>
      <w:pPr>
        <w:ind w:left="1160" w:hanging="239"/>
        <w:spacing w:after="0"/>
        <w:tabs>
          <w:tab w:leader="none" w:pos="116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Lenders shall be satisfied with the amount, terms and conditions of all intercompany Indebtedness.</w:t>
      </w:r>
    </w:p>
    <w:p>
      <w:pPr>
        <w:spacing w:after="0" w:line="171" w:lineRule="exact"/>
        <w:rPr>
          <w:rFonts w:ascii="Arial" w:cs="Arial" w:eastAsia="Arial" w:hAnsi="Arial"/>
          <w:sz w:val="18"/>
          <w:szCs w:val="18"/>
          <w:color w:val="auto"/>
        </w:rPr>
      </w:pPr>
    </w:p>
    <w:p>
      <w:pPr>
        <w:jc w:val="both"/>
        <w:ind w:firstLine="921"/>
        <w:spacing w:after="0" w:line="291" w:lineRule="auto"/>
        <w:tabs>
          <w:tab w:leader="none" w:pos="1173" w:val="left"/>
        </w:tabs>
        <w:numPr>
          <w:ilvl w:val="1"/>
          <w:numId w:val="125"/>
        </w:numPr>
        <w:rPr>
          <w:rFonts w:ascii="Arial" w:cs="Arial" w:eastAsia="Arial" w:hAnsi="Arial"/>
          <w:sz w:val="16"/>
          <w:szCs w:val="16"/>
          <w:color w:val="auto"/>
        </w:rPr>
      </w:pPr>
      <w:r>
        <w:rPr>
          <w:rFonts w:ascii="Arial" w:cs="Arial" w:eastAsia="Arial" w:hAnsi="Arial"/>
          <w:sz w:val="16"/>
          <w:szCs w:val="16"/>
          <w:color w:val="auto"/>
        </w:rPr>
        <w:t>The Administrative Agent shall be satisfied that except as could not reasonably be expect to result in liability of the Borrower or any of its Subsidiaries in an aggregate amount equal to or in excess of the Threshold Amount: (A) the Borrower and its Subsidiaries will be able to meet their obligations under all employee welfare benefit plans (within the meaning of Section 3(1) of ERISA), (B) all Pension Plans are funded in accordance with minimum statutory requirements under the Pension Funding Rules, (C) no Reportable Event has occurred as to any Pension Plan, and (D) no termination of, or withdrawal from, any such Pension Plan has occurred or is contemplated, in each case, except as could not be reasonably be expected to result in liability of the Borrower or any of its Subsidiaries in an aggregate amount equal to or in excess of the Threshold Amount.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80" w:right="239" w:bottom="1440" w:gutter="0" w:footer="0" w:header="0"/>
        </w:sectPr>
      </w:pPr>
    </w:p>
    <w:bookmarkStart w:id="116" w:name="page117"/>
    <w:bookmarkEnd w:id="116"/>
    <w:p>
      <w:pPr>
        <w:jc w:val="both"/>
        <w:ind w:firstLine="921"/>
        <w:spacing w:after="0" w:line="253" w:lineRule="auto"/>
        <w:tabs>
          <w:tab w:leader="none" w:pos="1146" w:val="left"/>
        </w:tabs>
        <w:numPr>
          <w:ilvl w:val="0"/>
          <w:numId w:val="1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 shall exist (i) no order, decree, judgment, ruling, injunction, writ, temporary restraining order or other order of any nature issued by any court or Governmental Authority or (ii) no action, suit, proceeding, investigation, litigation, claim, dispute or proceeding, pending, threatened or contemplated, at law or in equity, in arbitration or before any Governmental Authority by or against or affecting the Borrower or any of its Subsidiaries or against any of their respective properties or revenues, in each case, that (A) purports to affect, pertain to or enjoin or restrain the execution, delivery and performance of the Loan Documents or any transactions contemplated hereby or thereby, (B) either individually or in the aggregate, if determined adversely, could reasonably be expected to have a Material Adverse Effect or (C) purports to affect the legality, validity or enforceability of any Loan Document or the consummation of the transactions contemplated hereby or thereby.</w:t>
      </w:r>
    </w:p>
    <w:p>
      <w:pPr>
        <w:spacing w:after="0" w:line="147" w:lineRule="exact"/>
        <w:rPr>
          <w:rFonts w:ascii="Arial" w:cs="Arial" w:eastAsia="Arial" w:hAnsi="Arial"/>
          <w:sz w:val="18"/>
          <w:szCs w:val="18"/>
          <w:color w:val="auto"/>
        </w:rPr>
      </w:pPr>
    </w:p>
    <w:p>
      <w:pPr>
        <w:jc w:val="both"/>
        <w:ind w:firstLine="921"/>
        <w:spacing w:after="0" w:line="259" w:lineRule="auto"/>
        <w:tabs>
          <w:tab w:leader="none" w:pos="11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No Law shall be applicable, in the judgment of the Administrative Agent, in each case that restrains, prevents or imposes materially adverse conditions upon the transactions contemplated by the Loan Documents or the rights of the Loan Parties to freely transfer or otherwise dispose of, or to create any Lien on, any properties now owned or hereafter acquired by any of them.</w:t>
      </w:r>
    </w:p>
    <w:p>
      <w:pPr>
        <w:spacing w:after="0" w:line="140" w:lineRule="exact"/>
        <w:rPr>
          <w:rFonts w:ascii="Arial" w:cs="Arial" w:eastAsia="Arial" w:hAnsi="Arial"/>
          <w:sz w:val="18"/>
          <w:szCs w:val="18"/>
          <w:color w:val="auto"/>
        </w:rPr>
      </w:pPr>
    </w:p>
    <w:p>
      <w:pPr>
        <w:jc w:val="both"/>
        <w:ind w:firstLine="921"/>
        <w:spacing w:after="0" w:line="256" w:lineRule="auto"/>
        <w:tabs>
          <w:tab w:leader="none" w:pos="117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Administrative Agent and the Lenders shall be reasonably satisfied with the corporate, capital and ownership structure (including, without limitation, the organizational documents) and the amount, terms and holders of Indebtedness (including intercompany Indebtedness) of the Borrower and its Subsidiaries. The Lenders and the Administrative Agent shall be reasonably satisfied with the corporate governance arrangements of the Borrower and its Subsidiaries.</w:t>
      </w:r>
    </w:p>
    <w:p>
      <w:pPr>
        <w:spacing w:after="0" w:line="143" w:lineRule="exact"/>
        <w:rPr>
          <w:rFonts w:ascii="Arial" w:cs="Arial" w:eastAsia="Arial" w:hAnsi="Arial"/>
          <w:sz w:val="18"/>
          <w:szCs w:val="18"/>
          <w:color w:val="auto"/>
        </w:rPr>
      </w:pPr>
    </w:p>
    <w:p>
      <w:pPr>
        <w:ind w:right="20" w:firstLine="921"/>
        <w:spacing w:after="0" w:line="268" w:lineRule="auto"/>
        <w:tabs>
          <w:tab w:leader="none" w:pos="1132"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Engagement Letter and each Fee Letter shall be in full force and effect and the Borrower and each of the Loan Parties shall have complied with all of their respective obligations thereunder.</w:t>
      </w:r>
    </w:p>
    <w:p>
      <w:pPr>
        <w:spacing w:after="0" w:line="131" w:lineRule="exact"/>
        <w:rPr>
          <w:rFonts w:ascii="Arial" w:cs="Arial" w:eastAsia="Arial" w:hAnsi="Arial"/>
          <w:sz w:val="18"/>
          <w:szCs w:val="18"/>
          <w:color w:val="auto"/>
        </w:rPr>
      </w:pPr>
    </w:p>
    <w:p>
      <w:pPr>
        <w:ind w:right="20" w:firstLine="921"/>
        <w:spacing w:after="0" w:line="268" w:lineRule="auto"/>
        <w:tabs>
          <w:tab w:leader="none" w:pos="112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certification as to the financial condition and solvency (as described in </w:t>
      </w:r>
      <w:r>
        <w:rPr>
          <w:rFonts w:ascii="Arial" w:cs="Arial" w:eastAsia="Arial" w:hAnsi="Arial"/>
          <w:sz w:val="18"/>
          <w:szCs w:val="18"/>
          <w:u w:val="single" w:color="auto"/>
          <w:color w:val="auto"/>
        </w:rPr>
        <w:t>Section 5.24</w:t>
      </w:r>
      <w:r>
        <w:rPr>
          <w:rFonts w:ascii="Arial" w:cs="Arial" w:eastAsia="Arial" w:hAnsi="Arial"/>
          <w:sz w:val="18"/>
          <w:szCs w:val="18"/>
          <w:color w:val="auto"/>
        </w:rPr>
        <w:t>) of each Loan Party from the chief financial officer of the relevant Loan Party.</w:t>
      </w:r>
    </w:p>
    <w:p>
      <w:pPr>
        <w:spacing w:after="0" w:line="131" w:lineRule="exact"/>
        <w:rPr>
          <w:rFonts w:ascii="Arial" w:cs="Arial" w:eastAsia="Arial" w:hAnsi="Arial"/>
          <w:sz w:val="18"/>
          <w:szCs w:val="18"/>
          <w:color w:val="auto"/>
        </w:rPr>
      </w:pPr>
    </w:p>
    <w:p>
      <w:pPr>
        <w:ind w:firstLine="921"/>
        <w:spacing w:after="0" w:line="268" w:lineRule="auto"/>
        <w:tabs>
          <w:tab w:leader="none" w:pos="116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Any fees and expenses required to be paid on or before the Closing Date shall have been paid, including those fees and expenses set forth in the Engagement Letter and Fee Letter.</w:t>
      </w:r>
    </w:p>
    <w:p>
      <w:pPr>
        <w:spacing w:after="0" w:line="131" w:lineRule="exact"/>
        <w:rPr>
          <w:rFonts w:ascii="Arial" w:cs="Arial" w:eastAsia="Arial" w:hAnsi="Arial"/>
          <w:sz w:val="18"/>
          <w:szCs w:val="18"/>
          <w:color w:val="auto"/>
        </w:rPr>
      </w:pPr>
    </w:p>
    <w:p>
      <w:pPr>
        <w:jc w:val="both"/>
        <w:ind w:firstLine="921"/>
        <w:spacing w:after="0" w:line="298" w:lineRule="auto"/>
        <w:tabs>
          <w:tab w:leader="none" w:pos="1127"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Borrower shall have paid all fees, charges and disbursements of counsel to the Administrative Agent to the extent invoiced prior to or on the Closing Date, plus such additional amounts of fees, charges and disbursements of counsel to the Administrative Agent as shall constitute its reasonable estimate of fees, charges and disbursements of counsel to the Administrative Agent incurred or to be incurred by it through the closing proceedings (</w:t>
      </w:r>
      <w:r>
        <w:rPr>
          <w:rFonts w:ascii="Arial" w:cs="Arial" w:eastAsia="Arial" w:hAnsi="Arial"/>
          <w:sz w:val="16"/>
          <w:szCs w:val="16"/>
          <w:u w:val="single" w:color="auto"/>
          <w:color w:val="auto"/>
        </w:rPr>
        <w:t>provided</w:t>
      </w:r>
      <w:r>
        <w:rPr>
          <w:rFonts w:ascii="Arial" w:cs="Arial" w:eastAsia="Arial" w:hAnsi="Arial"/>
          <w:sz w:val="16"/>
          <w:szCs w:val="16"/>
          <w:color w:val="auto"/>
        </w:rPr>
        <w:t>, that such estimate shall not thereafter preclude a final settling of accounts between the Borrower and the Administrative Agent).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280" w:right="239" w:bottom="1440" w:gutter="0" w:footer="0" w:header="0"/>
        </w:sectPr>
      </w:pPr>
    </w:p>
    <w:bookmarkStart w:id="117" w:name="page118"/>
    <w:bookmarkEnd w:id="117"/>
    <w:p>
      <w:pPr>
        <w:jc w:val="both"/>
        <w:ind w:firstLine="921"/>
        <w:spacing w:after="0" w:line="259" w:lineRule="auto"/>
        <w:tabs>
          <w:tab w:leader="none" w:pos="1221" w:val="left"/>
        </w:tabs>
        <w:numPr>
          <w:ilvl w:val="0"/>
          <w:numId w:val="1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Since December 31, 2010, no changes or developments shall have occurred, and no new or additional information shall have been received or discovered by the Administrative Agent, any Arranger or any Lender regarding the Borrower or its Subsidiaries that either individually or in the aggregate constitutes or has had or could reasonably be expected to constitute or have a Material Adverse Effect.</w:t>
      </w:r>
    </w:p>
    <w:p>
      <w:pPr>
        <w:spacing w:after="0" w:line="14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 xml:space="preserve">Without limiting the generality of the provisions of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for purposes of determining compliance with the conditions specified in this </w:t>
      </w:r>
      <w:r>
        <w:rPr>
          <w:rFonts w:ascii="Arial" w:cs="Arial" w:eastAsia="Arial" w:hAnsi="Arial"/>
          <w:sz w:val="18"/>
          <w:szCs w:val="18"/>
          <w:u w:val="single" w:color="auto"/>
          <w:color w:val="auto"/>
        </w:rPr>
        <w:t>Section 4.01</w:t>
      </w:r>
      <w:r>
        <w:rPr>
          <w:rFonts w:ascii="Arial" w:cs="Arial" w:eastAsia="Arial" w:hAnsi="Arial"/>
          <w:sz w:val="18"/>
          <w:szCs w:val="18"/>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37" w:lineRule="exact"/>
        <w:rPr>
          <w:sz w:val="20"/>
          <w:szCs w:val="20"/>
          <w:color w:val="auto"/>
        </w:rPr>
      </w:pPr>
    </w:p>
    <w:p>
      <w:pPr>
        <w:jc w:val="both"/>
        <w:ind w:firstLine="913"/>
        <w:spacing w:after="0" w:line="262" w:lineRule="auto"/>
        <w:rPr>
          <w:sz w:val="20"/>
          <w:szCs w:val="20"/>
          <w:color w:val="auto"/>
        </w:rPr>
      </w:pPr>
      <w:r>
        <w:rPr>
          <w:rFonts w:ascii="Arial" w:cs="Arial" w:eastAsia="Arial" w:hAnsi="Arial"/>
          <w:sz w:val="18"/>
          <w:szCs w:val="18"/>
          <w:b w:val="1"/>
          <w:bCs w:val="1"/>
          <w:color w:val="auto"/>
        </w:rPr>
        <w:t xml:space="preserve">4.02 </w:t>
      </w:r>
      <w:r>
        <w:rPr>
          <w:rFonts w:ascii="Arial" w:cs="Arial" w:eastAsia="Arial" w:hAnsi="Arial"/>
          <w:sz w:val="18"/>
          <w:szCs w:val="18"/>
          <w:u w:val="single" w:color="auto"/>
          <w:color w:val="auto"/>
        </w:rPr>
        <w:t>Conditions to all Credit Extensions</w:t>
      </w:r>
      <w:r>
        <w:rPr>
          <w:rFonts w:ascii="Arial" w:cs="Arial" w:eastAsia="Arial" w:hAnsi="Arial"/>
          <w:sz w:val="18"/>
          <w:szCs w:val="18"/>
          <w:color w:val="auto"/>
        </w:rPr>
        <w:t>. The obligation of each Lender and the L/C Issuer to honor any Request for Credit Extension (other than a</w:t>
      </w:r>
      <w:r>
        <w:rPr>
          <w:rFonts w:ascii="Arial" w:cs="Arial" w:eastAsia="Arial" w:hAnsi="Arial"/>
          <w:sz w:val="18"/>
          <w:szCs w:val="18"/>
          <w:b w:val="1"/>
          <w:bCs w:val="1"/>
          <w:color w:val="auto"/>
        </w:rPr>
        <w:t xml:space="preserve"> </w:t>
      </w:r>
      <w:r>
        <w:rPr>
          <w:rFonts w:ascii="Arial" w:cs="Arial" w:eastAsia="Arial" w:hAnsi="Arial"/>
          <w:sz w:val="18"/>
          <w:szCs w:val="18"/>
          <w:color w:val="auto"/>
        </w:rPr>
        <w:t>Loan Notice requesting only a conversion of Loans to the other Type, or a continuation of Eurodollar Rate Loans) is subject to the following conditions precedent:</w:t>
      </w:r>
    </w:p>
    <w:p>
      <w:pPr>
        <w:spacing w:after="0" w:line="138" w:lineRule="exact"/>
        <w:rPr>
          <w:sz w:val="20"/>
          <w:szCs w:val="20"/>
          <w:color w:val="auto"/>
        </w:rPr>
      </w:pPr>
    </w:p>
    <w:p>
      <w:pPr>
        <w:jc w:val="both"/>
        <w:ind w:firstLine="921"/>
        <w:spacing w:after="0" w:line="253" w:lineRule="auto"/>
        <w:tabs>
          <w:tab w:leader="none" w:pos="115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the Borrower and each other Loan Party contained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or any other Loan Document, or which are contained in any document furnished at any time under or in connection herewith or therewith, shall be true and correct on and as of the date of such Credit Extension, (i) except to the extent that such representations and warranties specifically refer to an earlier date, in which case they shall be true and correct as of such earlier date, (ii) except that for purposes of this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the representations and warranties contained in subsections (a) and (b) of </w:t>
      </w:r>
      <w:r>
        <w:rPr>
          <w:rFonts w:ascii="Arial" w:cs="Arial" w:eastAsia="Arial" w:hAnsi="Arial"/>
          <w:sz w:val="18"/>
          <w:szCs w:val="18"/>
          <w:u w:val="single" w:color="auto"/>
          <w:color w:val="auto"/>
        </w:rPr>
        <w:t>Section 5.05</w:t>
      </w:r>
      <w:r>
        <w:rPr>
          <w:rFonts w:ascii="Arial" w:cs="Arial" w:eastAsia="Arial" w:hAnsi="Arial"/>
          <w:sz w:val="18"/>
          <w:szCs w:val="18"/>
          <w:color w:val="auto"/>
        </w:rPr>
        <w:t xml:space="preserve"> shall be deemed to refer to the most recent statements furnished pursuant to subsections (a) and (b), respectively, of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and (iii) together with any additional items that will be disclosed on updated Schedules delivered on the next scheduled delivery date, as to which the Borrower has notified the Administrative Agent in writing.</w:t>
      </w:r>
    </w:p>
    <w:p>
      <w:pPr>
        <w:spacing w:after="0" w:line="147" w:lineRule="exact"/>
        <w:rPr>
          <w:rFonts w:ascii="Arial" w:cs="Arial" w:eastAsia="Arial" w:hAnsi="Arial"/>
          <w:sz w:val="18"/>
          <w:szCs w:val="18"/>
          <w:color w:val="auto"/>
        </w:rPr>
      </w:pPr>
    </w:p>
    <w:p>
      <w:pPr>
        <w:ind w:left="1160" w:hanging="239"/>
        <w:spacing w:after="0"/>
        <w:tabs>
          <w:tab w:leader="none" w:pos="11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No Default shall exist, or would result from such proposed Credit Extension or from the application of the proceeds thereof.</w:t>
      </w:r>
    </w:p>
    <w:p>
      <w:pPr>
        <w:spacing w:after="0" w:line="171" w:lineRule="exact"/>
        <w:rPr>
          <w:rFonts w:ascii="Arial" w:cs="Arial" w:eastAsia="Arial" w:hAnsi="Arial"/>
          <w:sz w:val="18"/>
          <w:szCs w:val="18"/>
          <w:color w:val="auto"/>
        </w:rPr>
      </w:pPr>
    </w:p>
    <w:p>
      <w:pPr>
        <w:ind w:firstLine="921"/>
        <w:spacing w:after="0" w:line="268" w:lineRule="auto"/>
        <w:tabs>
          <w:tab w:leader="none" w:pos="117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Administrative Agent and, if applicable, the L/C Issuer or the Swing Line Lender shall have received a Request for Credit Extension in accordance with the requirements hereof.</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Each Request for Credit Extension (other than a Loan Notice requesting only a conversion of Loans to the other Type or a continuation of Eurodollar Rate Loans) submitted by the Borrower shall be deemed to be a representation and warranty that the conditions specified in </w:t>
      </w:r>
      <w:r>
        <w:rPr>
          <w:rFonts w:ascii="Arial" w:cs="Arial" w:eastAsia="Arial" w:hAnsi="Arial"/>
          <w:sz w:val="18"/>
          <w:szCs w:val="18"/>
          <w:u w:val="single" w:color="auto"/>
          <w:color w:val="auto"/>
        </w:rPr>
        <w:t>Sections 4.02(a)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have been satisfied on and as of the date of the applicable Credit Extension.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280"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Borrower represents and warrants to the Administrative Agent and the Lenders that:</w:t>
      </w:r>
    </w:p>
    <w:p>
      <w:pPr>
        <w:spacing w:after="0" w:line="165" w:lineRule="exact"/>
        <w:rPr>
          <w:sz w:val="20"/>
          <w:szCs w:val="20"/>
          <w:color w:val="auto"/>
        </w:rPr>
      </w:pPr>
    </w:p>
    <w:p>
      <w:pPr>
        <w:jc w:val="both"/>
        <w:ind w:firstLine="913"/>
        <w:spacing w:after="0" w:line="289" w:lineRule="auto"/>
        <w:rPr>
          <w:sz w:val="20"/>
          <w:szCs w:val="20"/>
          <w:color w:val="auto"/>
        </w:rPr>
      </w:pPr>
      <w:r>
        <w:rPr>
          <w:rFonts w:ascii="Arial" w:cs="Arial" w:eastAsia="Arial" w:hAnsi="Arial"/>
          <w:sz w:val="16"/>
          <w:szCs w:val="16"/>
          <w:b w:val="1"/>
          <w:bCs w:val="1"/>
          <w:color w:val="auto"/>
        </w:rPr>
        <w:t xml:space="preserve">5.01 Existence, Qualification and Power. </w:t>
      </w:r>
      <w:r>
        <w:rPr>
          <w:rFonts w:ascii="Arial" w:cs="Arial" w:eastAsia="Arial" w:hAnsi="Arial"/>
          <w:sz w:val="16"/>
          <w:szCs w:val="16"/>
          <w:color w:val="auto"/>
        </w:rPr>
        <w:t>Each of the Borrower and its Subsidiaries (a) is duly organized or formed, validly existing and in good</w:t>
      </w:r>
      <w:r>
        <w:rPr>
          <w:rFonts w:ascii="Arial" w:cs="Arial" w:eastAsia="Arial" w:hAnsi="Arial"/>
          <w:sz w:val="16"/>
          <w:szCs w:val="16"/>
          <w:b w:val="1"/>
          <w:bCs w:val="1"/>
          <w:color w:val="auto"/>
        </w:rPr>
        <w:t xml:space="preserve"> </w:t>
      </w:r>
      <w:r>
        <w:rPr>
          <w:rFonts w:ascii="Arial" w:cs="Arial" w:eastAsia="Arial" w:hAnsi="Arial"/>
          <w:sz w:val="16"/>
          <w:szCs w:val="16"/>
          <w:color w:val="auto"/>
        </w:rPr>
        <w:t>standing under the Laws of the jurisdiction of its incorporation or organization, (b) has all requisite power and authority and all requisite governmental licenses, accreditations, authorizations, consents and approvals to (i) own or lease its assets and carry on its business as presently conducted, except where a failure to have such power and authority or to have such governmental licenses, accreditations, authorizations, consents and approvals, individually or in the aggregate, could not reasonably be expected to result in a Material Adverse Effect, and (ii) execute, deliver and perform its obligations under the Loan Documents to which it is a party, and (c) is duly qualified and in good standing under the Laws of each jurisdiction where its ownership, lease or operation of properties or the conduct of its business requires such qualification except in such jurisdictions where failure to so qualify or be in good standing, individually or in the aggregate, could not reasonably be expected to result in a Material Adverse Effect. There is no existing default under any Organization Document of the Borrower or any of its Subsidiaries or any event which, with the giving of notice or passage of time or both, would constitute a default thereunder.</w:t>
      </w:r>
    </w:p>
    <w:p>
      <w:pPr>
        <w:spacing w:after="0" w:line="113"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5"/>
          <w:szCs w:val="15"/>
          <w:b w:val="1"/>
          <w:bCs w:val="1"/>
          <w:color w:val="auto"/>
        </w:rPr>
        <w:t xml:space="preserve">5.02 Authorization; No Contravention. </w:t>
      </w:r>
      <w:r>
        <w:rPr>
          <w:rFonts w:ascii="Arial" w:cs="Arial" w:eastAsia="Arial" w:hAnsi="Arial"/>
          <w:sz w:val="15"/>
          <w:szCs w:val="15"/>
          <w:color w:val="auto"/>
        </w:rPr>
        <w:t>The execution, delivery and performance by each Loan Party of each Loan Document to which such</w:t>
      </w:r>
      <w:r>
        <w:rPr>
          <w:rFonts w:ascii="Arial" w:cs="Arial" w:eastAsia="Arial" w:hAnsi="Arial"/>
          <w:sz w:val="15"/>
          <w:szCs w:val="15"/>
          <w:b w:val="1"/>
          <w:bCs w:val="1"/>
          <w:color w:val="auto"/>
        </w:rPr>
        <w:t xml:space="preserve"> </w:t>
      </w:r>
      <w:r>
        <w:rPr>
          <w:rFonts w:ascii="Arial" w:cs="Arial" w:eastAsia="Arial" w:hAnsi="Arial"/>
          <w:sz w:val="15"/>
          <w:szCs w:val="15"/>
          <w:color w:val="auto"/>
        </w:rPr>
        <w:t>Person is party, have been duly authorized by all necessary corporate or other organizational action. The execution, delivery and performance by each Loan Party of each Loan Document to which it is a party, and the consummation of the transactions contemplated hereby with respect to each Loan Party, do not and will not:</w:t>
      </w:r>
    </w:p>
    <w:p>
      <w:pPr>
        <w:spacing w:after="0" w:line="1" w:lineRule="exact"/>
        <w:rPr>
          <w:sz w:val="20"/>
          <w:szCs w:val="20"/>
          <w:color w:val="auto"/>
        </w:rPr>
      </w:pPr>
    </w:p>
    <w:p>
      <w:pPr>
        <w:jc w:val="both"/>
        <w:ind w:firstLine="8"/>
        <w:spacing w:after="0" w:line="288" w:lineRule="auto"/>
        <w:tabs>
          <w:tab w:leader="none" w:pos="248" w:val="left"/>
        </w:tabs>
        <w:numPr>
          <w:ilvl w:val="0"/>
          <w:numId w:val="129"/>
        </w:numPr>
        <w:rPr>
          <w:rFonts w:ascii="Arial" w:cs="Arial" w:eastAsia="Arial" w:hAnsi="Arial"/>
          <w:sz w:val="16"/>
          <w:szCs w:val="16"/>
          <w:color w:val="auto"/>
        </w:rPr>
      </w:pPr>
      <w:r>
        <w:rPr>
          <w:rFonts w:ascii="Arial" w:cs="Arial" w:eastAsia="Arial" w:hAnsi="Arial"/>
          <w:sz w:val="16"/>
          <w:szCs w:val="16"/>
          <w:color w:val="auto"/>
        </w:rPr>
        <w:t>contravene the terms of any of such Person’s Organization Documents; (b) conflict with or result in any breach or contravention of, or (except for the Liens created under the Loan Documents) the creation of any Lien under, or require any payment to be made under (i) any Contractual Obligation to which such Person or such Person’s Affiliate is a party or affecting such Person or the properties of such Person or any of its subsidiaries or (ii) any order, injunction, writ or decree of any Governmental Authority or any arbitral award to which such Person or its property is subject; or (c) violate any Law. Each Loan Party and each Subsidiary thereof is in compliance with all Contractual Obligations referred to in clause (b)(i), except to the extent that failure to do so could not reasonably be expected to have a Material Adverse Effect. No Subsidiary of the Borrower is in violation of any Law or in breach of any Contractual Obligation, the violation or breach of which could be reasonably likely to have a Material Adverse Effect.</w:t>
      </w:r>
    </w:p>
    <w:p>
      <w:pPr>
        <w:spacing w:after="0" w:line="117" w:lineRule="exact"/>
        <w:rPr>
          <w:sz w:val="20"/>
          <w:szCs w:val="20"/>
          <w:color w:val="auto"/>
        </w:rPr>
      </w:pPr>
    </w:p>
    <w:p>
      <w:pPr>
        <w:jc w:val="both"/>
        <w:ind w:firstLine="913"/>
        <w:spacing w:after="0" w:line="284" w:lineRule="auto"/>
        <w:rPr>
          <w:sz w:val="20"/>
          <w:szCs w:val="20"/>
          <w:color w:val="auto"/>
        </w:rPr>
      </w:pPr>
      <w:r>
        <w:rPr>
          <w:rFonts w:ascii="Arial" w:cs="Arial" w:eastAsia="Arial" w:hAnsi="Arial"/>
          <w:sz w:val="16"/>
          <w:szCs w:val="16"/>
          <w:b w:val="1"/>
          <w:bCs w:val="1"/>
          <w:color w:val="auto"/>
        </w:rPr>
        <w:t xml:space="preserve">5.03 Governmental Authorization; Other Consents. </w:t>
      </w:r>
      <w:r>
        <w:rPr>
          <w:rFonts w:ascii="Arial" w:cs="Arial" w:eastAsia="Arial" w:hAnsi="Arial"/>
          <w:sz w:val="16"/>
          <w:szCs w:val="16"/>
          <w:color w:val="auto"/>
        </w:rPr>
        <w:t>No approval, consent, exemption, authorization, or other action by, or notice to, or filing,</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registration, qualification or accreditation with, any Governmental Authority (including, without limitation, exchange control) or any other Person (including any party to any contract or agreement to which the Borrower or any of its Subsidiaries or any of their respective Affiliates is a party) is necessary or required in connection with (a) the execution, delivery or performance by, or enforcement against, any Loan Party of this Agreement or any other Loan Document (other than those that have been obtained), (b) the validity or enforceability of any Loan Documents against the Loan Parties (except such filings or notices as are necessary in connection with the perfection of the Liens created by such Loan Documents), or (c) the consummation of the transactions contemplated hereby, other than</w:t>
      </w:r>
    </w:p>
    <w:p>
      <w:pPr>
        <w:spacing w:after="0" w:line="3" w:lineRule="exact"/>
        <w:rPr>
          <w:sz w:val="20"/>
          <w:szCs w:val="20"/>
          <w:color w:val="auto"/>
        </w:rPr>
      </w:pPr>
    </w:p>
    <w:p>
      <w:pPr>
        <w:ind w:firstLine="8"/>
        <w:spacing w:after="0" w:line="261" w:lineRule="auto"/>
        <w:tabs>
          <w:tab w:leader="none" w:pos="21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the filing of financing statements in the UCC filing offices of each jurisdiction referred to in Schedule 3.1(a)(i) to the Security Agreement, and (ii) those listed on </w:t>
      </w:r>
      <w:r>
        <w:rPr>
          <w:rFonts w:ascii="Arial" w:cs="Arial" w:eastAsia="Arial" w:hAnsi="Arial"/>
          <w:sz w:val="18"/>
          <w:szCs w:val="18"/>
          <w:u w:val="single" w:color="auto"/>
          <w:color w:val="auto"/>
        </w:rPr>
        <w:t>Schedule 5.03</w:t>
      </w:r>
      <w:r>
        <w:rPr>
          <w:rFonts w:ascii="Arial" w:cs="Arial" w:eastAsia="Arial" w:hAnsi="Arial"/>
          <w:sz w:val="18"/>
          <w:szCs w:val="18"/>
          <w:color w:val="auto"/>
        </w:rPr>
        <w:t xml:space="preserve"> hereto, all of which have been obtained.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274" w:right="239" w:bottom="1440" w:gutter="0" w:footer="0" w:header="0"/>
        </w:sectPr>
      </w:pPr>
    </w:p>
    <w:bookmarkStart w:id="119" w:name="page120"/>
    <w:bookmarkEnd w:id="119"/>
    <w:p>
      <w:pPr>
        <w:jc w:val="both"/>
        <w:ind w:firstLine="913"/>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5.04 Binding Effect. </w:t>
      </w:r>
      <w:r>
        <w:rPr>
          <w:rFonts w:ascii="Arial" w:cs="Arial" w:eastAsia="Arial" w:hAnsi="Arial"/>
          <w:sz w:val="18"/>
          <w:szCs w:val="18"/>
          <w:color w:val="auto"/>
        </w:rPr>
        <w:t>This Agreement has been, and each other Loan Document when delivered hereunder, will have been, duly executed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by each Loan Party that is party thereto. This Agreement constitutes, and each other Loan Document to which any Loan Party is a party when so delivered will constitute, a legal, valid and binding obligation of such Loan Party, enforceable against each such Person in accordance with its terms, subject to equitable principles and Debtor Relief Laws.</w:t>
      </w:r>
    </w:p>
    <w:p>
      <w:pPr>
        <w:spacing w:after="0" w:line="136" w:lineRule="exact"/>
        <w:rPr>
          <w:sz w:val="20"/>
          <w:szCs w:val="20"/>
          <w:color w:val="auto"/>
        </w:rPr>
      </w:pPr>
    </w:p>
    <w:p>
      <w:pPr>
        <w:jc w:val="both"/>
        <w:ind w:firstLine="913"/>
        <w:spacing w:after="0" w:line="293" w:lineRule="auto"/>
        <w:rPr>
          <w:sz w:val="20"/>
          <w:szCs w:val="20"/>
          <w:color w:val="auto"/>
        </w:rPr>
      </w:pPr>
      <w:r>
        <w:rPr>
          <w:rFonts w:ascii="Arial" w:cs="Arial" w:eastAsia="Arial" w:hAnsi="Arial"/>
          <w:sz w:val="16"/>
          <w:szCs w:val="16"/>
          <w:b w:val="1"/>
          <w:bCs w:val="1"/>
          <w:color w:val="auto"/>
        </w:rPr>
        <w:t xml:space="preserve">5.05 Financial Statements; No Material Adverse Effect; No Internal Control Event. </w:t>
      </w:r>
      <w:r>
        <w:rPr>
          <w:rFonts w:ascii="Arial" w:cs="Arial" w:eastAsia="Arial" w:hAnsi="Arial"/>
          <w:sz w:val="16"/>
          <w:szCs w:val="16"/>
          <w:color w:val="auto"/>
        </w:rPr>
        <w:t>(a) The Audited Financial Statements furnished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Administrative Agent and each Lender (i) were prepared in accordance with GAAP consistently applied throughout the period covered thereby, except as otherwise expressly noted therein, (ii) fairly present the financial condition of the Borrower and its Consolidated Subsidiaries as of the date thereof, and their results of operations for the period covered thereby in accordance with GAAP consistently applied throughout the period covered thereby, except as otherwise expressly noted therein, and (iii) show all material indebtedness and other material liabilities (to the extent required to be shown by GAAP), direct or contingent, of the Borrower and its Consolidated Subsidiaries as of the date thereof, including liabilities for taxes, material commitments and Indebtedness.</w:t>
      </w:r>
    </w:p>
    <w:p>
      <w:pPr>
        <w:spacing w:after="0" w:line="117" w:lineRule="exact"/>
        <w:rPr>
          <w:sz w:val="20"/>
          <w:szCs w:val="20"/>
          <w:color w:val="auto"/>
        </w:rPr>
      </w:pPr>
    </w:p>
    <w:p>
      <w:pPr>
        <w:jc w:val="both"/>
        <w:ind w:firstLine="921"/>
        <w:spacing w:after="0" w:line="291" w:lineRule="auto"/>
        <w:tabs>
          <w:tab w:leader="none" w:pos="1194"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Unaudited Financial Statements furnished to the Administrative Agent and each Lender (i) were prepared in accordance with GAAP consistently applied throughout the period covered thereby, except as otherwise expressly noted therein, and (ii) fairly present the financial condition, when read together with the notes therein, of the Borrower and its Consolidated Subsidiaries as of the date thereof, and their results of operations for the period covered thereby, subject, in the case of clauses (i) and (ii) above, to the absence of footnotes, required formatting, and to normal year-end audit adjustments and (iii) show all material indebtedness and other material liabilities (to the extent required to be shown by GAAP), direct or contingent, of the Borrower and its Consolidated Subsidiaries as of the date of such financial statements, including liabilities for taxes, material commitments and Indebtedness.</w:t>
      </w:r>
    </w:p>
    <w:p>
      <w:pPr>
        <w:spacing w:after="0" w:line="120" w:lineRule="exact"/>
        <w:rPr>
          <w:rFonts w:ascii="Arial" w:cs="Arial" w:eastAsia="Arial" w:hAnsi="Arial"/>
          <w:sz w:val="16"/>
          <w:szCs w:val="16"/>
          <w:color w:val="auto"/>
        </w:rPr>
      </w:pPr>
    </w:p>
    <w:p>
      <w:pPr>
        <w:jc w:val="both"/>
        <w:ind w:firstLine="921"/>
        <w:spacing w:after="0" w:line="259" w:lineRule="auto"/>
        <w:tabs>
          <w:tab w:leader="none" w:pos="116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Since the date of the Audited Financial Statements, no Internal Control Event has occurred which has not been corrected within 180 days or, if the event giving rise to such Internal Control Event can only be tested on an annual basis, as of the date of the report to the SEC describing and disclosing the remediation.</w:t>
      </w:r>
    </w:p>
    <w:p>
      <w:pPr>
        <w:spacing w:after="0" w:line="140" w:lineRule="exact"/>
        <w:rPr>
          <w:rFonts w:ascii="Arial" w:cs="Arial" w:eastAsia="Arial" w:hAnsi="Arial"/>
          <w:sz w:val="18"/>
          <w:szCs w:val="18"/>
          <w:color w:val="auto"/>
        </w:rPr>
      </w:pPr>
    </w:p>
    <w:p>
      <w:pPr>
        <w:ind w:firstLine="921"/>
        <w:spacing w:after="0" w:line="268" w:lineRule="auto"/>
        <w:tabs>
          <w:tab w:leader="none" w:pos="1169"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Since the date of the most recent Audited Financial Statements, there has been no event or circumstance, either individually or in the aggregate, that has had or could reasonably be expected to have a Material Adverse Effect.</w:t>
      </w:r>
    </w:p>
    <w:p>
      <w:pPr>
        <w:spacing w:after="0" w:line="131" w:lineRule="exact"/>
        <w:rPr>
          <w:rFonts w:ascii="Arial" w:cs="Arial" w:eastAsia="Arial" w:hAnsi="Arial"/>
          <w:sz w:val="18"/>
          <w:szCs w:val="18"/>
          <w:color w:val="auto"/>
        </w:rPr>
      </w:pPr>
    </w:p>
    <w:p>
      <w:pPr>
        <w:jc w:val="both"/>
        <w:ind w:firstLine="921"/>
        <w:spacing w:after="0" w:line="256" w:lineRule="auto"/>
        <w:tabs>
          <w:tab w:leader="none" w:pos="117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The financial statements delivered to the Administrative Agent and each Lender pursuant to </w:t>
      </w:r>
      <w:r>
        <w:rPr>
          <w:rFonts w:ascii="Arial" w:cs="Arial" w:eastAsia="Arial" w:hAnsi="Arial"/>
          <w:sz w:val="18"/>
          <w:szCs w:val="18"/>
          <w:u w:val="single" w:color="auto"/>
          <w:color w:val="auto"/>
        </w:rPr>
        <w:t>Sections 6.01(a)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(i) will be prepared in accordance with GAAP, except as otherwise noted therein and except as otherwise permitted by </w:t>
      </w:r>
      <w:r>
        <w:rPr>
          <w:rFonts w:ascii="Arial" w:cs="Arial" w:eastAsia="Arial" w:hAnsi="Arial"/>
          <w:sz w:val="18"/>
          <w:szCs w:val="18"/>
          <w:u w:val="single" w:color="auto"/>
          <w:color w:val="auto"/>
        </w:rPr>
        <w:t>Section 6.01(a) and (b)</w:t>
      </w:r>
      <w:r>
        <w:rPr>
          <w:rFonts w:ascii="Arial" w:cs="Arial" w:eastAsia="Arial" w:hAnsi="Arial"/>
          <w:sz w:val="18"/>
          <w:szCs w:val="18"/>
          <w:color w:val="auto"/>
        </w:rPr>
        <w:t xml:space="preserve"> and (ii) will fairly present the financial condition of the Borrower and its Consolidated Subsidiaries as of the date thereof and their results of operations for the period covered thereby in accordance with GAAP.</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274" w:right="239" w:bottom="1440" w:gutter="0" w:footer="0" w:header="0"/>
        </w:sectPr>
      </w:pPr>
    </w:p>
    <w:bookmarkStart w:id="120" w:name="page121"/>
    <w:bookmarkEnd w:id="120"/>
    <w:p>
      <w:pPr>
        <w:jc w:val="both"/>
        <w:ind w:firstLine="913"/>
        <w:spacing w:after="0" w:line="29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5.06 Litigation. </w:t>
      </w:r>
      <w:r>
        <w:rPr>
          <w:rFonts w:ascii="Arial" w:cs="Arial" w:eastAsia="Arial" w:hAnsi="Arial"/>
          <w:sz w:val="16"/>
          <w:szCs w:val="16"/>
          <w:color w:val="auto"/>
        </w:rPr>
        <w:t>To the knowledge of the Borrower after due and diligent investigation, there are no actions, suits, proceedings, investigations,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litigations, claims, disputes or proceedings, pending or threatened or contemplated, at law, in equity, in arbitration or before any Governmental Authority, by or against the Borrower or any of its Subsidiaries or against any of their respective properties or revenues or orders, decrees, judgments, rulings, injunctions, writs, temporary restraining orders or other orders of any nature issued by any court or Governmental Authority that (a) purport to affect, pertain to or enjoin or restrain the execution, delivery or performance of the Loan Documents, or any of the transactions contemplated hereby or thereby, (b) either individually or in the aggregate, could reasonably be expected to have a Material Adverse Effect, or (c) purport to affect the legality, validity or enforceability of the Loan Documents or the consummation of the transactions contemplated hereby and thereby.</w:t>
      </w:r>
    </w:p>
    <w:p>
      <w:pPr>
        <w:spacing w:after="0" w:line="113" w:lineRule="exact"/>
        <w:rPr>
          <w:sz w:val="20"/>
          <w:szCs w:val="20"/>
          <w:color w:val="auto"/>
        </w:rPr>
      </w:pPr>
    </w:p>
    <w:p>
      <w:pPr>
        <w:jc w:val="both"/>
        <w:ind w:right="20" w:firstLine="913"/>
        <w:spacing w:after="0" w:line="275" w:lineRule="auto"/>
        <w:rPr>
          <w:sz w:val="20"/>
          <w:szCs w:val="20"/>
          <w:color w:val="auto"/>
        </w:rPr>
      </w:pPr>
      <w:r>
        <w:rPr>
          <w:rFonts w:ascii="Arial" w:cs="Arial" w:eastAsia="Arial" w:hAnsi="Arial"/>
          <w:sz w:val="18"/>
          <w:szCs w:val="18"/>
          <w:b w:val="1"/>
          <w:bCs w:val="1"/>
          <w:color w:val="auto"/>
        </w:rPr>
        <w:t xml:space="preserve">5.07 No Default. </w:t>
      </w:r>
      <w:r>
        <w:rPr>
          <w:rFonts w:ascii="Arial" w:cs="Arial" w:eastAsia="Arial" w:hAnsi="Arial"/>
          <w:sz w:val="18"/>
          <w:szCs w:val="18"/>
          <w:color w:val="auto"/>
        </w:rPr>
        <w:t>No Default has occurred and is continuing or would result from the consummation of the transactions contemplated by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any other Loan Document.</w:t>
      </w:r>
    </w:p>
    <w:p>
      <w:pPr>
        <w:spacing w:after="0" w:line="120" w:lineRule="exact"/>
        <w:rPr>
          <w:sz w:val="20"/>
          <w:szCs w:val="20"/>
          <w:color w:val="auto"/>
        </w:rPr>
      </w:pPr>
    </w:p>
    <w:p>
      <w:pPr>
        <w:jc w:val="both"/>
        <w:ind w:firstLine="913"/>
        <w:spacing w:after="0" w:line="293" w:lineRule="auto"/>
        <w:rPr>
          <w:sz w:val="20"/>
          <w:szCs w:val="20"/>
          <w:color w:val="auto"/>
        </w:rPr>
      </w:pPr>
      <w:r>
        <w:rPr>
          <w:rFonts w:ascii="Arial" w:cs="Arial" w:eastAsia="Arial" w:hAnsi="Arial"/>
          <w:sz w:val="16"/>
          <w:szCs w:val="16"/>
          <w:b w:val="1"/>
          <w:bCs w:val="1"/>
          <w:color w:val="auto"/>
        </w:rPr>
        <w:t xml:space="preserve">5.08 Subsidiaries and Equity Investments. </w:t>
      </w:r>
      <w:r>
        <w:rPr>
          <w:rFonts w:ascii="Arial" w:cs="Arial" w:eastAsia="Arial" w:hAnsi="Arial"/>
          <w:sz w:val="16"/>
          <w:szCs w:val="16"/>
          <w:color w:val="auto"/>
        </w:rPr>
        <w:t>The Borrower has no Subsidiaries other than those specifically disclosed in Part (a)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5.08</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(including the jurisdiction of organization, classes of Equity Interests, options, warrants, rights of subscription, conversion and exchangeability and other similar rights, ownership and ownership percentages thereof), and neither the Borrower nor any of its Subsidiaries has equity investments in any other corporation or entity other than (x) those specifically disclosed in Part (b) of </w:t>
      </w:r>
      <w:r>
        <w:rPr>
          <w:rFonts w:ascii="Arial" w:cs="Arial" w:eastAsia="Arial" w:hAnsi="Arial"/>
          <w:sz w:val="16"/>
          <w:szCs w:val="16"/>
          <w:u w:val="single" w:color="auto"/>
          <w:color w:val="auto"/>
        </w:rPr>
        <w:t>Schedule 5.08</w:t>
      </w:r>
      <w:r>
        <w:rPr>
          <w:rFonts w:ascii="Arial" w:cs="Arial" w:eastAsia="Arial" w:hAnsi="Arial"/>
          <w:sz w:val="16"/>
          <w:szCs w:val="16"/>
          <w:color w:val="auto"/>
        </w:rPr>
        <w:t xml:space="preserve"> and (y) Minority Equity Interests. The outstanding shares of Equity Interests shown on Part (a) of </w:t>
      </w:r>
      <w:r>
        <w:rPr>
          <w:rFonts w:ascii="Arial" w:cs="Arial" w:eastAsia="Arial" w:hAnsi="Arial"/>
          <w:sz w:val="16"/>
          <w:szCs w:val="16"/>
          <w:u w:val="single" w:color="auto"/>
          <w:color w:val="auto"/>
        </w:rPr>
        <w:t>Schedule 5.08</w:t>
      </w:r>
      <w:r>
        <w:rPr>
          <w:rFonts w:ascii="Arial" w:cs="Arial" w:eastAsia="Arial" w:hAnsi="Arial"/>
          <w:sz w:val="16"/>
          <w:szCs w:val="16"/>
          <w:color w:val="auto"/>
        </w:rPr>
        <w:t xml:space="preserve"> have been validly issued, fully-paid and are non-assessable and owned free and clear of Liens. The outstanding shares of Equity Interests shown are not subject to buy-sell, voting trust or other shareholder agreement, except as specifically disclosed in Part (c) of </w:t>
      </w:r>
      <w:r>
        <w:rPr>
          <w:rFonts w:ascii="Arial" w:cs="Arial" w:eastAsia="Arial" w:hAnsi="Arial"/>
          <w:sz w:val="16"/>
          <w:szCs w:val="16"/>
          <w:u w:val="single" w:color="auto"/>
          <w:color w:val="auto"/>
        </w:rPr>
        <w:t>Schedule 5.08</w:t>
      </w:r>
      <w:r>
        <w:rPr>
          <w:rFonts w:ascii="Arial" w:cs="Arial" w:eastAsia="Arial" w:hAnsi="Arial"/>
          <w:sz w:val="16"/>
          <w:szCs w:val="16"/>
          <w:color w:val="auto"/>
        </w:rPr>
        <w:t>.</w:t>
      </w:r>
    </w:p>
    <w:p>
      <w:pPr>
        <w:spacing w:after="0" w:line="111" w:lineRule="exact"/>
        <w:rPr>
          <w:sz w:val="20"/>
          <w:szCs w:val="20"/>
          <w:color w:val="auto"/>
        </w:rPr>
      </w:pPr>
    </w:p>
    <w:p>
      <w:pPr>
        <w:jc w:val="both"/>
        <w:ind w:firstLine="913"/>
        <w:spacing w:after="0" w:line="293" w:lineRule="auto"/>
        <w:rPr>
          <w:sz w:val="20"/>
          <w:szCs w:val="20"/>
          <w:color w:val="auto"/>
        </w:rPr>
      </w:pPr>
      <w:r>
        <w:rPr>
          <w:rFonts w:ascii="Arial" w:cs="Arial" w:eastAsia="Arial" w:hAnsi="Arial"/>
          <w:sz w:val="16"/>
          <w:szCs w:val="16"/>
          <w:b w:val="1"/>
          <w:bCs w:val="1"/>
          <w:color w:val="auto"/>
        </w:rPr>
        <w:t xml:space="preserve">5.09 Ownership. </w:t>
      </w:r>
      <w:r>
        <w:rPr>
          <w:rFonts w:ascii="Arial" w:cs="Arial" w:eastAsia="Arial" w:hAnsi="Arial"/>
          <w:sz w:val="16"/>
          <w:szCs w:val="16"/>
          <w:color w:val="auto"/>
        </w:rPr>
        <w:t>The authorized Equity Interests of the Borrower consists of 60,000,000 shares of the common stock, $0.01 par value, of which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approximately 29,000,000 shares are issued and outstanding on the Closing Date. The outstanding shares of common stock of the Borrower have been duly and validly authorized and issued, are fully paid and nonassessable and were not issued in violation of the preemptive rights of any stockholder that owns more than one percent (1%) of the issued and outstanding Equity Interests of the Borrower. Except as set forth on </w:t>
      </w:r>
      <w:r>
        <w:rPr>
          <w:rFonts w:ascii="Arial" w:cs="Arial" w:eastAsia="Arial" w:hAnsi="Arial"/>
          <w:sz w:val="16"/>
          <w:szCs w:val="16"/>
          <w:u w:val="single" w:color="auto"/>
          <w:color w:val="auto"/>
        </w:rPr>
        <w:t>Schedule 5.09</w:t>
      </w:r>
      <w:r>
        <w:rPr>
          <w:rFonts w:ascii="Arial" w:cs="Arial" w:eastAsia="Arial" w:hAnsi="Arial"/>
          <w:sz w:val="16"/>
          <w:szCs w:val="16"/>
          <w:color w:val="auto"/>
        </w:rPr>
        <w:t xml:space="preserve"> or as permitted by Section 7.06, the Borrower has no other outstanding capital stock or Equity Interests, no incentive units, phantom stock or similar arrangements and no calls, commitments or claims of any character binding on the Borrower relating to its Equity Interests.</w:t>
      </w:r>
    </w:p>
    <w:p>
      <w:pPr>
        <w:spacing w:after="0" w:line="111"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b w:val="1"/>
          <w:bCs w:val="1"/>
          <w:color w:val="auto"/>
        </w:rPr>
        <w:t xml:space="preserve">5.10 Ownership of Personal Property; Liens. </w:t>
      </w:r>
      <w:r>
        <w:rPr>
          <w:rFonts w:ascii="Arial" w:cs="Arial" w:eastAsia="Arial" w:hAnsi="Arial"/>
          <w:sz w:val="18"/>
          <w:szCs w:val="18"/>
          <w:color w:val="auto"/>
        </w:rPr>
        <w:t>Except as could not reasonably be expected to have a Material Adverse Effect, each of the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and its Subsidiaries has good title to all of its respective personal properties and assets, free and clear of any Liens, except for Permitted Liens. Each of the Borrower and its Subsidiaries has obtained all permits, licenses, franchises or other certifications, accreditations, consents, approvals and authorizations, governmental or private, necessary to the ownership of such properties and assets and the conduct of its business, except where any failure to do so could not reasonably be expected to have a Material Adverse Effect.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274" w:right="239" w:bottom="1440" w:gutter="0" w:footer="0" w:header="0"/>
        </w:sectPr>
      </w:pPr>
    </w:p>
    <w:bookmarkStart w:id="121" w:name="page122"/>
    <w:bookmarkEnd w:id="121"/>
    <w:p>
      <w:pPr>
        <w:jc w:val="both"/>
        <w:ind w:firstLine="913"/>
        <w:spacing w:after="0" w:line="313"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5.11 Intellectual Property; Licenses; Etc. </w:t>
      </w:r>
      <w:r>
        <w:rPr>
          <w:rFonts w:ascii="Arial" w:cs="Arial" w:eastAsia="Arial" w:hAnsi="Arial"/>
          <w:sz w:val="15"/>
          <w:szCs w:val="15"/>
          <w:color w:val="auto"/>
        </w:rPr>
        <w:t>Except as could not reasonably be expected to have a Material Adverse Effect, each of the Borrower and</w:t>
      </w:r>
      <w:r>
        <w:rPr>
          <w:rFonts w:ascii="Arial" w:cs="Arial" w:eastAsia="Arial" w:hAnsi="Arial"/>
          <w:sz w:val="15"/>
          <w:szCs w:val="15"/>
          <w:b w:val="1"/>
          <w:bCs w:val="1"/>
          <w:color w:val="auto"/>
        </w:rPr>
        <w:t xml:space="preserve"> </w:t>
      </w:r>
      <w:r>
        <w:rPr>
          <w:rFonts w:ascii="Arial" w:cs="Arial" w:eastAsia="Arial" w:hAnsi="Arial"/>
          <w:sz w:val="15"/>
          <w:szCs w:val="15"/>
          <w:color w:val="auto"/>
        </w:rPr>
        <w:t>its Subsidiaries owns, or possesses the right to use, all of the trademarks, service marks, trade names, copyrights, patents, patent rights, franchises, licenses and other intellectual property rights (collectively, “</w:t>
      </w:r>
      <w:r>
        <w:rPr>
          <w:rFonts w:ascii="Arial" w:cs="Arial" w:eastAsia="Arial" w:hAnsi="Arial"/>
          <w:sz w:val="15"/>
          <w:szCs w:val="15"/>
          <w:u w:val="single" w:color="auto"/>
          <w:color w:val="auto"/>
        </w:rPr>
        <w:t>IP Rights</w:t>
      </w:r>
      <w:r>
        <w:rPr>
          <w:rFonts w:ascii="Arial" w:cs="Arial" w:eastAsia="Arial" w:hAnsi="Arial"/>
          <w:sz w:val="15"/>
          <w:szCs w:val="15"/>
          <w:color w:val="auto"/>
        </w:rPr>
        <w:t>”) that is reasonably necessary for the operation of its businesses as presently conducted, without conflict with the rights of any other Person. To the best knowledge of the Borrower and except as could not reasonably be expected to have a Material Adverse Effect, no slogan or other advertising device, product, process, method, substance, part or other material now employed, or now contemplated to be employed, by the Borrower or any of its Subsidiaries infringes upon any rights held by any other Person. To the best knowledge of the Borrower, no claim or litigation regarding any of the foregoing is pending or threatened, which, either individually or in the aggregate, could reasonably be expected to have a Material Adverse Effect.</w:t>
      </w:r>
    </w:p>
    <w:p>
      <w:pPr>
        <w:spacing w:after="0" w:line="100" w:lineRule="exact"/>
        <w:rPr>
          <w:sz w:val="20"/>
          <w:szCs w:val="20"/>
          <w:color w:val="auto"/>
        </w:rPr>
      </w:pPr>
    </w:p>
    <w:p>
      <w:pPr>
        <w:jc w:val="both"/>
        <w:ind w:firstLine="913"/>
        <w:spacing w:after="0" w:line="262" w:lineRule="auto"/>
        <w:rPr>
          <w:sz w:val="20"/>
          <w:szCs w:val="20"/>
          <w:color w:val="auto"/>
        </w:rPr>
      </w:pPr>
      <w:r>
        <w:rPr>
          <w:rFonts w:ascii="Arial" w:cs="Arial" w:eastAsia="Arial" w:hAnsi="Arial"/>
          <w:sz w:val="18"/>
          <w:szCs w:val="18"/>
          <w:b w:val="1"/>
          <w:bCs w:val="1"/>
          <w:color w:val="auto"/>
        </w:rPr>
        <w:t xml:space="preserve">5.12 Real Estate; Lease. </w:t>
      </w:r>
      <w:r>
        <w:rPr>
          <w:rFonts w:ascii="Arial" w:cs="Arial" w:eastAsia="Arial" w:hAnsi="Arial"/>
          <w:sz w:val="18"/>
          <w:szCs w:val="18"/>
          <w:color w:val="auto"/>
        </w:rPr>
        <w:t>(a) Except as could not reasonably be expected to have a Material Adverse Effect, each of the Borrower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has (i) good and marketable fee title to all of its owned Real Property Assets and (ii) good and valid title to the leasehold estates in all of the leased Real Property Assets, in each case free and clear of all Liens except Permitted Liens.</w:t>
      </w:r>
    </w:p>
    <w:p>
      <w:pPr>
        <w:spacing w:after="0" w:line="138" w:lineRule="exact"/>
        <w:rPr>
          <w:sz w:val="20"/>
          <w:szCs w:val="20"/>
          <w:color w:val="auto"/>
        </w:rPr>
      </w:pPr>
    </w:p>
    <w:p>
      <w:pPr>
        <w:jc w:val="both"/>
        <w:ind w:firstLine="921"/>
        <w:spacing w:after="0" w:line="253" w:lineRule="auto"/>
        <w:tabs>
          <w:tab w:leader="none" w:pos="120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Except as could not reasonably be expected to have a Material Adverse Effect, all permits, licenses, franchises or other certifications, accreditations, consents, approvals and authorizations, governmental or private, with respect to the Real Property Assets, necessary to enable the Borrower and its Subsidiaries to lawfully occupy and use such property for all of the purposes for which it is currently occupied and used have been lawfully issued and are in full force and effect. Except as could not reasonably be expected to have a Material Adverse Effect, all the Real Property Assets are in compliance in all material respects with all applicable legal requirements, including the Americans with Disabilities Act of 1990. No consent or approval of any landlord or other third party in connection with any leased Real Property Assets is necessary for any Loan Party to enter into and execute, or the parties thereto to enforce, the Loan Documents.</w:t>
      </w:r>
    </w:p>
    <w:p>
      <w:pPr>
        <w:spacing w:after="0" w:line="147" w:lineRule="exact"/>
        <w:rPr>
          <w:rFonts w:ascii="Arial" w:cs="Arial" w:eastAsia="Arial" w:hAnsi="Arial"/>
          <w:sz w:val="18"/>
          <w:szCs w:val="18"/>
          <w:color w:val="auto"/>
        </w:rPr>
      </w:pPr>
    </w:p>
    <w:p>
      <w:pPr>
        <w:jc w:val="both"/>
        <w:ind w:firstLine="921"/>
        <w:spacing w:after="0" w:line="259" w:lineRule="auto"/>
        <w:tabs>
          <w:tab w:leader="none" w:pos="116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Except as could not reasonably be expected to have a Material Adverse Effect, all easements, cross easements, licenses, air rights and rights-of way or other similar property interests, if any, necessary for the full utilization of the improvements for their intended purposes have been obtained and are in full force and effect.</w:t>
      </w:r>
    </w:p>
    <w:p>
      <w:pPr>
        <w:spacing w:after="0" w:line="13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5.13 Environmental Matters. </w:t>
      </w:r>
      <w:r>
        <w:rPr>
          <w:rFonts w:ascii="Arial" w:cs="Arial" w:eastAsia="Arial" w:hAnsi="Arial"/>
          <w:sz w:val="18"/>
          <w:szCs w:val="18"/>
          <w:color w:val="auto"/>
        </w:rPr>
        <w:t>Except as disclosed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5.13</w:t>
      </w:r>
      <w:r>
        <w:rPr>
          <w:rFonts w:ascii="Arial" w:cs="Arial" w:eastAsia="Arial" w:hAnsi="Arial"/>
          <w:sz w:val="18"/>
          <w:szCs w:val="18"/>
          <w:color w:val="auto"/>
        </w:rPr>
        <w:t>,</w:t>
      </w:r>
    </w:p>
    <w:p>
      <w:pPr>
        <w:spacing w:after="0" w:line="177" w:lineRule="exact"/>
        <w:rPr>
          <w:sz w:val="20"/>
          <w:szCs w:val="20"/>
          <w:color w:val="auto"/>
        </w:rPr>
      </w:pPr>
    </w:p>
    <w:p>
      <w:pPr>
        <w:jc w:val="both"/>
        <w:ind w:firstLine="921"/>
        <w:spacing w:after="0" w:line="255" w:lineRule="auto"/>
        <w:tabs>
          <w:tab w:leader="none" w:pos="115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Except as could not reasonably be expected to have a Material Adverse Effect, each of the facilities and properties owned, leased or operated by any of the Borrower and its Subsidiaries (the “</w:t>
      </w:r>
      <w:r>
        <w:rPr>
          <w:rFonts w:ascii="Arial" w:cs="Arial" w:eastAsia="Arial" w:hAnsi="Arial"/>
          <w:sz w:val="18"/>
          <w:szCs w:val="18"/>
          <w:u w:val="single" w:color="auto"/>
          <w:color w:val="auto"/>
        </w:rPr>
        <w:t>Subject Properties</w:t>
      </w:r>
      <w:r>
        <w:rPr>
          <w:rFonts w:ascii="Arial" w:cs="Arial" w:eastAsia="Arial" w:hAnsi="Arial"/>
          <w:sz w:val="18"/>
          <w:szCs w:val="18"/>
          <w:color w:val="auto"/>
        </w:rPr>
        <w:t>”) and all operations at the Subject Properties are in compliance with all applicable Environmental Laws, and there is no violation of any Environmental Law by the Borrower or any of its Subsidiaries with respect to the Subject Properties or the businesses operated by them (the “</w:t>
      </w:r>
      <w:r>
        <w:rPr>
          <w:rFonts w:ascii="Arial" w:cs="Arial" w:eastAsia="Arial" w:hAnsi="Arial"/>
          <w:sz w:val="18"/>
          <w:szCs w:val="18"/>
          <w:u w:val="single" w:color="auto"/>
          <w:color w:val="auto"/>
        </w:rPr>
        <w:t>Businesses</w:t>
      </w:r>
      <w:r>
        <w:rPr>
          <w:rFonts w:ascii="Arial" w:cs="Arial" w:eastAsia="Arial" w:hAnsi="Arial"/>
          <w:sz w:val="18"/>
          <w:szCs w:val="18"/>
          <w:color w:val="auto"/>
        </w:rPr>
        <w:t>”), and there are no conditions relating to the Businesses or Subject Properties that could give rise to liability under any applicable Environmental Laws.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274" w:right="239" w:bottom="1440" w:gutter="0" w:footer="0" w:header="0"/>
        </w:sectPr>
      </w:pPr>
    </w:p>
    <w:bookmarkStart w:id="122" w:name="page123"/>
    <w:bookmarkEnd w:id="122"/>
    <w:p>
      <w:pPr>
        <w:jc w:val="both"/>
        <w:ind w:firstLine="921"/>
        <w:spacing w:after="0" w:line="294" w:lineRule="auto"/>
        <w:tabs>
          <w:tab w:leader="none" w:pos="1170" w:val="left"/>
        </w:tabs>
        <w:numPr>
          <w:ilvl w:val="0"/>
          <w:numId w:val="1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None of the Borrower or any of its Subsidiaries has received any written notice of, or inquiry from any Governmental Authority regarding, any violation, alleged violation, non-compliance, liability or potential liability regarding environmental matters or compliance with Environmental Laws with regard to any of the Subject Properties or the Businesses, other than those that have been resolved and those which could not reasonably be expected to have a Material Adverse Effect nor does the Borrower or any of its Subsidiaries have knowledge or reason to believe that any such notice will be received or is being threatened with respect to any matter the resolution of which could reasonably be expected to have a Material Adverse Effect.</w:t>
      </w:r>
    </w:p>
    <w:p>
      <w:pPr>
        <w:spacing w:after="0" w:line="115" w:lineRule="exact"/>
        <w:rPr>
          <w:rFonts w:ascii="Arial" w:cs="Arial" w:eastAsia="Arial" w:hAnsi="Arial"/>
          <w:sz w:val="16"/>
          <w:szCs w:val="16"/>
          <w:color w:val="auto"/>
        </w:rPr>
      </w:pPr>
    </w:p>
    <w:p>
      <w:pPr>
        <w:jc w:val="both"/>
        <w:ind w:firstLine="921"/>
        <w:spacing w:after="0" w:line="256" w:lineRule="auto"/>
        <w:tabs>
          <w:tab w:leader="none" w:pos="1162" w:val="left"/>
        </w:tabs>
        <w:numPr>
          <w:ilvl w:val="0"/>
          <w:numId w:val="134"/>
        </w:numPr>
        <w:rPr>
          <w:rFonts w:ascii="Arial" w:cs="Arial" w:eastAsia="Arial" w:hAnsi="Arial"/>
          <w:sz w:val="18"/>
          <w:szCs w:val="18"/>
          <w:color w:val="auto"/>
        </w:rPr>
      </w:pPr>
      <w:r>
        <w:rPr>
          <w:rFonts w:ascii="Arial" w:cs="Arial" w:eastAsia="Arial" w:hAnsi="Arial"/>
          <w:sz w:val="18"/>
          <w:szCs w:val="18"/>
          <w:color w:val="auto"/>
        </w:rPr>
        <w:t>Hazardous Materials have not been transported or disposed of from the Subject Properties, or generated, treated, stored or disposed of at, on or under any of the Subject Properties or any other location, in each case by or on behalf of any of the Borrower or its Subsidiaries in violation of, or in a manner that would be reasonably likely to give rise to liability under, any applicable Environmental Law and which could reasonably be expected to have a Material Adverse Effect.</w:t>
      </w:r>
    </w:p>
    <w:p>
      <w:pPr>
        <w:spacing w:after="0" w:line="137" w:lineRule="exact"/>
        <w:rPr>
          <w:sz w:val="20"/>
          <w:szCs w:val="20"/>
          <w:color w:val="auto"/>
        </w:rPr>
      </w:pPr>
    </w:p>
    <w:p>
      <w:pPr>
        <w:jc w:val="both"/>
        <w:ind w:firstLine="913"/>
        <w:spacing w:after="0" w:line="296" w:lineRule="auto"/>
        <w:rPr>
          <w:sz w:val="20"/>
          <w:szCs w:val="20"/>
          <w:color w:val="auto"/>
        </w:rPr>
      </w:pPr>
      <w:r>
        <w:rPr>
          <w:rFonts w:ascii="Arial" w:cs="Arial" w:eastAsia="Arial" w:hAnsi="Arial"/>
          <w:sz w:val="16"/>
          <w:szCs w:val="16"/>
          <w:b w:val="1"/>
          <w:bCs w:val="1"/>
          <w:color w:val="auto"/>
        </w:rPr>
        <w:t xml:space="preserve">5.14 Security Documents. </w:t>
      </w:r>
      <w:r>
        <w:rPr>
          <w:rFonts w:ascii="Arial" w:cs="Arial" w:eastAsia="Arial" w:hAnsi="Arial"/>
          <w:sz w:val="16"/>
          <w:szCs w:val="16"/>
          <w:color w:val="auto"/>
        </w:rPr>
        <w:t>(a) The Security Agreement is effective to create in favor of the Administrative Agent, for the ratable benefit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Secured Parties, a legal, valid and enforceable first priority security interest in the Collateral identified therein owned by each Loan Party who is a party thereto, and, when financing statements in appropriate form are filed as provided in </w:t>
      </w:r>
      <w:r>
        <w:rPr>
          <w:rFonts w:ascii="Arial" w:cs="Arial" w:eastAsia="Arial" w:hAnsi="Arial"/>
          <w:sz w:val="16"/>
          <w:szCs w:val="16"/>
          <w:u w:val="single" w:color="auto"/>
          <w:color w:val="auto"/>
        </w:rPr>
        <w:t>Section 5.03</w:t>
      </w:r>
      <w:r>
        <w:rPr>
          <w:rFonts w:ascii="Arial" w:cs="Arial" w:eastAsia="Arial" w:hAnsi="Arial"/>
          <w:sz w:val="16"/>
          <w:szCs w:val="16"/>
          <w:color w:val="auto"/>
        </w:rPr>
        <w:t>, the Security Agreement shall constitute a fully perfected Lien on, and security interest in, all right, title and interest of the grantors thereunder in such Collateral that may be perfected by filing, recording or registering a financing statement under the UCC, in each case prior and superior in right to any other Lien on any Collateral other than Permitted Liens.</w:t>
      </w:r>
    </w:p>
    <w:p>
      <w:pPr>
        <w:spacing w:after="0" w:line="114" w:lineRule="exact"/>
        <w:rPr>
          <w:sz w:val="20"/>
          <w:szCs w:val="20"/>
          <w:color w:val="auto"/>
        </w:rPr>
      </w:pPr>
    </w:p>
    <w:p>
      <w:pPr>
        <w:jc w:val="both"/>
        <w:ind w:firstLine="921"/>
        <w:spacing w:after="0" w:line="254" w:lineRule="auto"/>
        <w:tabs>
          <w:tab w:leader="none" w:pos="116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Pledge Agreement is effective to create in favor of the Administrative Agent, for the ratable benefit of the Secured Parties, a legal, valid and enforceable security interest in the Pledged Equity Interests and Pledged Notes (each as defined in the Pledge Agreement) identified therein, and, when such Pledged Equity Interests which are certificated securities and such Pledged Notes are delivered to the Administrative Agent (and so long as they continue to be properly held by the Administrative Agent), the Pledge Agreement shall constitute a fully perfected first priority Lien on, and security interest in, all right, title and interest of the pledgors thereunder in such Pledged Equity Interests and Pledged Notes (each as defined in the Pledge Agreement), in each case subject to no other Lien.</w:t>
      </w:r>
    </w:p>
    <w:p>
      <w:pPr>
        <w:spacing w:after="0" w:line="138" w:lineRule="exact"/>
        <w:rPr>
          <w:sz w:val="20"/>
          <w:szCs w:val="20"/>
          <w:color w:val="auto"/>
        </w:rPr>
      </w:pPr>
    </w:p>
    <w:p>
      <w:pPr>
        <w:jc w:val="both"/>
        <w:ind w:firstLine="913"/>
        <w:spacing w:after="0" w:line="293" w:lineRule="auto"/>
        <w:rPr>
          <w:sz w:val="20"/>
          <w:szCs w:val="20"/>
          <w:color w:val="auto"/>
        </w:rPr>
      </w:pPr>
      <w:r>
        <w:rPr>
          <w:rFonts w:ascii="Arial" w:cs="Arial" w:eastAsia="Arial" w:hAnsi="Arial"/>
          <w:sz w:val="16"/>
          <w:szCs w:val="16"/>
          <w:b w:val="1"/>
          <w:bCs w:val="1"/>
          <w:color w:val="auto"/>
        </w:rPr>
        <w:t xml:space="preserve">5.15 Insurance. </w:t>
      </w:r>
      <w:r>
        <w:rPr>
          <w:rFonts w:ascii="Arial" w:cs="Arial" w:eastAsia="Arial" w:hAnsi="Arial"/>
          <w:sz w:val="16"/>
          <w:szCs w:val="16"/>
          <w:color w:val="auto"/>
        </w:rPr>
        <w:t>Each of the Borrower and its Subsidiaries maintains, with financially sound and reputable insurance companies not Affiliates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Borrower or any of its Subsidiaries, insurance (including liability insurance and casualty insurance), with respect to its properties and business against loss or damage of the kinds customarily insured against by Persons engaged in the same or similar businesses and owning similar properties in localities where the Borrower or any of its Subsidiaries operates, of such types and in such amounts, with such deductibles and covering such risks, as are customarily carried under similar circumstances by such other Persons (or otherwise required in the Collateral Documents) or with self-insurance programs in the ordinary course of business that are customary for companies in similar businesses and of similar size;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with respect to general liability or product liability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280" w:right="239" w:bottom="1440" w:gutter="0" w:footer="0" w:header="0"/>
        </w:sectPr>
      </w:pPr>
    </w:p>
    <w:bookmarkStart w:id="123" w:name="page124"/>
    <w:bookmarkEnd w:id="123"/>
    <w:p>
      <w:pPr>
        <w:jc w:val="both"/>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insurance, self-insurance exposure does not exceed $10,000,000 in the aggregate for any fiscal year. All such policies are in full force and effect, all premiums due and payable thereon have been paid, and no notice of cancellation or termination has been received with respect to any such policy which has not been replaced on substantially similar terms prior to the date of such cancellation or termination. The activities and operations of the Borrower and its Subsidiaries have been conducted in a manner so as to conform in all material respects to all applicable provisions of such insurance policies.</w:t>
      </w:r>
    </w:p>
    <w:p>
      <w:pPr>
        <w:spacing w:after="0" w:line="107" w:lineRule="exact"/>
        <w:rPr>
          <w:sz w:val="20"/>
          <w:szCs w:val="20"/>
          <w:color w:val="auto"/>
        </w:rPr>
      </w:pPr>
    </w:p>
    <w:p>
      <w:pPr>
        <w:jc w:val="both"/>
        <w:ind w:firstLine="913"/>
        <w:spacing w:after="0" w:line="310" w:lineRule="auto"/>
        <w:rPr>
          <w:sz w:val="20"/>
          <w:szCs w:val="20"/>
          <w:color w:val="auto"/>
        </w:rPr>
      </w:pPr>
      <w:r>
        <w:rPr>
          <w:rFonts w:ascii="Arial" w:cs="Arial" w:eastAsia="Arial" w:hAnsi="Arial"/>
          <w:sz w:val="16"/>
          <w:szCs w:val="16"/>
          <w:b w:val="1"/>
          <w:bCs w:val="1"/>
          <w:color w:val="auto"/>
        </w:rPr>
        <w:t xml:space="preserve">5.16 Transactions with Affiliates. </w:t>
      </w:r>
      <w:r>
        <w:rPr>
          <w:rFonts w:ascii="Arial" w:cs="Arial" w:eastAsia="Arial" w:hAnsi="Arial"/>
          <w:sz w:val="16"/>
          <w:szCs w:val="16"/>
          <w:color w:val="auto"/>
        </w:rPr>
        <w:t>Except as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5.16</w:t>
      </w:r>
      <w:r>
        <w:rPr>
          <w:rFonts w:ascii="Arial" w:cs="Arial" w:eastAsia="Arial" w:hAnsi="Arial"/>
          <w:sz w:val="16"/>
          <w:szCs w:val="16"/>
          <w:b w:val="1"/>
          <w:bCs w:val="1"/>
          <w:color w:val="auto"/>
        </w:rPr>
        <w:t xml:space="preserve"> </w:t>
      </w:r>
      <w:r>
        <w:rPr>
          <w:rFonts w:ascii="Arial" w:cs="Arial" w:eastAsia="Arial" w:hAnsi="Arial"/>
          <w:sz w:val="16"/>
          <w:szCs w:val="16"/>
          <w:color w:val="auto"/>
        </w:rPr>
        <w:t>or permitted by</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7.09</w:t>
      </w:r>
      <w:r>
        <w:rPr>
          <w:rFonts w:ascii="Arial" w:cs="Arial" w:eastAsia="Arial" w:hAnsi="Arial"/>
          <w:sz w:val="16"/>
          <w:szCs w:val="16"/>
          <w:color w:val="auto"/>
        </w:rPr>
        <w:t>, none of the Borrower or any of its Subsidiaries</w:t>
      </w:r>
      <w:r>
        <w:rPr>
          <w:rFonts w:ascii="Arial" w:cs="Arial" w:eastAsia="Arial" w:hAnsi="Arial"/>
          <w:sz w:val="16"/>
          <w:szCs w:val="16"/>
          <w:b w:val="1"/>
          <w:bCs w:val="1"/>
          <w:color w:val="auto"/>
        </w:rPr>
        <w:t xml:space="preserve"> </w:t>
      </w:r>
      <w:r>
        <w:rPr>
          <w:rFonts w:ascii="Arial" w:cs="Arial" w:eastAsia="Arial" w:hAnsi="Arial"/>
          <w:sz w:val="16"/>
          <w:szCs w:val="16"/>
          <w:color w:val="auto"/>
        </w:rPr>
        <w:t>is a party to or engaged in any transaction with, and none of the properties and assets of Borrower or any of its Subsidiaries will be subject to or bound by any agreement or arrangement with, (a) any Subsidiary or Affiliate of Borrower or any of its Subsidiaries or (b) any Affiliate of such Subsidiary or Affiliate.</w:t>
      </w:r>
    </w:p>
    <w:p>
      <w:pPr>
        <w:spacing w:after="0" w:line="97"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b w:val="1"/>
          <w:bCs w:val="1"/>
          <w:color w:val="auto"/>
        </w:rPr>
        <w:t xml:space="preserve">5.17 Taxes. </w:t>
      </w:r>
      <w:r>
        <w:rPr>
          <w:rFonts w:ascii="Arial" w:cs="Arial" w:eastAsia="Arial" w:hAnsi="Arial"/>
          <w:sz w:val="18"/>
          <w:szCs w:val="18"/>
          <w:color w:val="auto"/>
        </w:rPr>
        <w:t>Each of the Borrower and its Subsidiaries has timely filed all Federal, state and other material tax returns and reports required to be filed,</w:t>
      </w:r>
      <w:r>
        <w:rPr>
          <w:rFonts w:ascii="Arial" w:cs="Arial" w:eastAsia="Arial" w:hAnsi="Arial"/>
          <w:sz w:val="18"/>
          <w:szCs w:val="18"/>
          <w:b w:val="1"/>
          <w:bCs w:val="1"/>
          <w:color w:val="auto"/>
        </w:rPr>
        <w:t xml:space="preserve"> </w:t>
      </w:r>
      <w:r>
        <w:rPr>
          <w:rFonts w:ascii="Arial" w:cs="Arial" w:eastAsia="Arial" w:hAnsi="Arial"/>
          <w:sz w:val="18"/>
          <w:szCs w:val="18"/>
          <w:color w:val="auto"/>
        </w:rPr>
        <w:t>and have timely paid all Federal, state and other material taxes, assessments, fees and other governmental charges levied or imposed upon them or their properties, income or assets otherwise due and payable, whether or not shown on any tax return, except those which are being contested in good faith by appropriate actions or proceedings reasonably conducted and for which adequate reserves have been provided in accordance with GAAP. There is no proposed tax assessment against the Borrower or any of its Subsidiaries that would, if made, have a Material Adverse Effect. Neither any Loan Party nor any Subsidiary thereof is a party to any tax sharing agreement.</w:t>
      </w:r>
    </w:p>
    <w:p>
      <w:pPr>
        <w:spacing w:after="0" w:line="139" w:lineRule="exact"/>
        <w:rPr>
          <w:sz w:val="20"/>
          <w:szCs w:val="20"/>
          <w:color w:val="auto"/>
        </w:rPr>
      </w:pPr>
    </w:p>
    <w:p>
      <w:pPr>
        <w:jc w:val="both"/>
        <w:ind w:firstLine="913"/>
        <w:spacing w:after="0" w:line="289" w:lineRule="auto"/>
        <w:rPr>
          <w:sz w:val="20"/>
          <w:szCs w:val="20"/>
          <w:color w:val="auto"/>
        </w:rPr>
      </w:pPr>
      <w:r>
        <w:rPr>
          <w:rFonts w:ascii="Arial" w:cs="Arial" w:eastAsia="Arial" w:hAnsi="Arial"/>
          <w:sz w:val="16"/>
          <w:szCs w:val="16"/>
          <w:b w:val="1"/>
          <w:bCs w:val="1"/>
          <w:color w:val="auto"/>
        </w:rPr>
        <w:t xml:space="preserve">5.18 ERISA Compliance. </w:t>
      </w:r>
      <w:r>
        <w:rPr>
          <w:rFonts w:ascii="Arial" w:cs="Arial" w:eastAsia="Arial" w:hAnsi="Arial"/>
          <w:sz w:val="16"/>
          <w:szCs w:val="16"/>
          <w:color w:val="auto"/>
        </w:rPr>
        <w:t>(a) Except as could not reasonably be expected to result in liability of the Borrower or any of its Subsidiaries in an</w:t>
      </w:r>
      <w:r>
        <w:rPr>
          <w:rFonts w:ascii="Arial" w:cs="Arial" w:eastAsia="Arial" w:hAnsi="Arial"/>
          <w:sz w:val="16"/>
          <w:szCs w:val="16"/>
          <w:b w:val="1"/>
          <w:bCs w:val="1"/>
          <w:color w:val="auto"/>
        </w:rPr>
        <w:t xml:space="preserve"> </w:t>
      </w:r>
      <w:r>
        <w:rPr>
          <w:rFonts w:ascii="Arial" w:cs="Arial" w:eastAsia="Arial" w:hAnsi="Arial"/>
          <w:sz w:val="16"/>
          <w:szCs w:val="16"/>
          <w:color w:val="auto"/>
        </w:rPr>
        <w:t>aggregate amount equal to or in excess of the Threshold Amount: (i) each Plan is in compliance in all material respects with the applicable provisions of ERISA, the Code and other Federal or state Laws; (ii) each Plan that is intended to be a qualified plan under Section 401(a) of the Code has received a favorable determination letter (or, to the extent that such Plan qualifies as a prototype or volume submitter plan, as classified by the Code, ERISA and applicable guidance promulgated thereunder, an advisory opinion letter) from the IRS to the effect that the form of such Plan is qualified or acceptable under Section 401 of the Code, or an application for such a letter is currently being processed by the IRS with respect thereto, and, to the best knowledge of the Borrower, nothing has occurred which would prevent, or cause the loss of, such tax-qualified status; and (iii) each of the Borrower and its Subsidiaries and each of their respective ERISA Affiliates have made all required contributions to each Pension Plan subject to Section 412 of the Code, and no application for a funding waiver or an extension of any amortization period pursuant to Section 412 of the Code has been made with respect to any Pension Plan.</w:t>
      </w:r>
    </w:p>
    <w:p>
      <w:pPr>
        <w:spacing w:after="0" w:line="119" w:lineRule="exact"/>
        <w:rPr>
          <w:sz w:val="20"/>
          <w:szCs w:val="20"/>
          <w:color w:val="auto"/>
        </w:rPr>
      </w:pPr>
    </w:p>
    <w:p>
      <w:pPr>
        <w:jc w:val="both"/>
        <w:ind w:firstLine="921"/>
        <w:spacing w:after="0" w:line="306" w:lineRule="auto"/>
        <w:tabs>
          <w:tab w:leader="none" w:pos="1163"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There are no pending or, to the best knowledge of the Borrower,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280" w:right="239" w:bottom="1440" w:gutter="0" w:footer="0" w:header="0"/>
        </w:sectPr>
      </w:pPr>
    </w:p>
    <w:bookmarkStart w:id="124" w:name="page125"/>
    <w:bookmarkEnd w:id="124"/>
    <w:p>
      <w:pPr>
        <w:jc w:val="both"/>
        <w:ind w:firstLine="921"/>
        <w:spacing w:after="0" w:line="286" w:lineRule="auto"/>
        <w:tabs>
          <w:tab w:leader="none" w:pos="1159" w:val="left"/>
        </w:tabs>
        <w:numPr>
          <w:ilvl w:val="0"/>
          <w:numId w:val="13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could not reasonably be expected to result in liability of the Borrower or any of its Subsidiaries in an aggregate amount equal to or in excess of the Threshold Amount: (i) no ERISA Event has occurred, and neither the Borrower nor any ERISA Affiliate is aware of any fact, event or circumstance that could reasonably be expected to constitute or result in an ERISA Event with respect to any Pension Plan; (ii) the Borrower and each ERISA Affiliate has met all applicable requirements under the Pension Funding Rules in respect of each Pension Plan, and no waiver of the minimum funding standards under the Pension Funding Rules has been applied for or obtained; (iii) as of the most recent valuation date for any Pension Plan, the funding target attainment percentage (as defined in Section 430(d)(2) of the Code) is 60% or higher and neither the Borrower nor any ERISA Affiliate knows of any facts or circumstances that could reasonably be expected to cause the funding target attainment percentage for any such plan to drop below 60% as of the most recent valuation date; (iv) neither the Borrower nor any ERISA Affiliate has incurred any liability to the PBGC (other than for the payment of premiums due and not delinquent under Section 4007 of ERISA); (v) neither the Borrower nor any ERISA Affiliate has engaged in a transaction that could be subject to Section 4069 or Section 4212(c) of ERISA; and (vi) no Pension Plan has been terminated by the plan administrator thereof nor by the PBGC, and no event or circumstance has occurred or exists that could reasonably be expected to cause the PBGC to institute proceedings under Title IV of ERISA to terminate any Pension Plan.</w:t>
      </w:r>
    </w:p>
    <w:p>
      <w:pPr>
        <w:spacing w:after="0" w:line="127" w:lineRule="exact"/>
        <w:rPr>
          <w:rFonts w:ascii="Arial" w:cs="Arial" w:eastAsia="Arial" w:hAnsi="Arial"/>
          <w:sz w:val="16"/>
          <w:szCs w:val="16"/>
          <w:color w:val="auto"/>
        </w:rPr>
      </w:pPr>
    </w:p>
    <w:p>
      <w:pPr>
        <w:ind w:right="20" w:firstLine="921"/>
        <w:spacing w:after="0" w:line="268" w:lineRule="auto"/>
        <w:tabs>
          <w:tab w:leader="none" w:pos="116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Neither the Borrower or any ERISA Affiliate maintains or contributes to, or has any unsatisfied obligation to contribute to, or liability under, any active or terminated Pension Plan other than, on the Closing Date, those listed on </w:t>
      </w:r>
      <w:r>
        <w:rPr>
          <w:rFonts w:ascii="Arial" w:cs="Arial" w:eastAsia="Arial" w:hAnsi="Arial"/>
          <w:sz w:val="18"/>
          <w:szCs w:val="18"/>
          <w:u w:val="single" w:color="auto"/>
          <w:color w:val="auto"/>
        </w:rPr>
        <w:t>Schedule 5.18</w:t>
      </w:r>
      <w:r>
        <w:rPr>
          <w:rFonts w:ascii="Arial" w:cs="Arial" w:eastAsia="Arial" w:hAnsi="Arial"/>
          <w:sz w:val="18"/>
          <w:szCs w:val="18"/>
          <w:color w:val="auto"/>
        </w:rPr>
        <w:t xml:space="preserve"> hereto.</w:t>
      </w:r>
    </w:p>
    <w:p>
      <w:pPr>
        <w:spacing w:after="0" w:line="126" w:lineRule="exact"/>
        <w:rPr>
          <w:sz w:val="20"/>
          <w:szCs w:val="20"/>
          <w:color w:val="auto"/>
        </w:rPr>
      </w:pPr>
    </w:p>
    <w:p>
      <w:pPr>
        <w:jc w:val="both"/>
        <w:ind w:firstLine="913"/>
        <w:spacing w:after="0" w:line="301" w:lineRule="auto"/>
        <w:rPr>
          <w:sz w:val="20"/>
          <w:szCs w:val="20"/>
          <w:color w:val="auto"/>
        </w:rPr>
      </w:pPr>
      <w:r>
        <w:rPr>
          <w:rFonts w:ascii="Arial" w:cs="Arial" w:eastAsia="Arial" w:hAnsi="Arial"/>
          <w:sz w:val="16"/>
          <w:szCs w:val="16"/>
          <w:b w:val="1"/>
          <w:bCs w:val="1"/>
          <w:color w:val="auto"/>
        </w:rPr>
        <w:t xml:space="preserve">5.19 Purpose of Loans and Letters of Credit. </w:t>
      </w:r>
      <w:r>
        <w:rPr>
          <w:rFonts w:ascii="Arial" w:cs="Arial" w:eastAsia="Arial" w:hAnsi="Arial"/>
          <w:sz w:val="16"/>
          <w:szCs w:val="16"/>
          <w:color w:val="auto"/>
        </w:rPr>
        <w:t>The proceeds of any Loans made are to be used solely to repay the existing term loans and refinance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existing revolving credit loans under the Existing Credit Agreement, to pay fees and expenses incurred in connection with the transactions contemplated hereby, to finance transactions permitted by </w:t>
      </w:r>
      <w:r>
        <w:rPr>
          <w:rFonts w:ascii="Arial" w:cs="Arial" w:eastAsia="Arial" w:hAnsi="Arial"/>
          <w:sz w:val="16"/>
          <w:szCs w:val="16"/>
          <w:u w:val="single" w:color="auto"/>
          <w:color w:val="auto"/>
        </w:rPr>
        <w:t>Section 7.04</w:t>
      </w:r>
      <w:r>
        <w:rPr>
          <w:rFonts w:ascii="Arial" w:cs="Arial" w:eastAsia="Arial" w:hAnsi="Arial"/>
          <w:sz w:val="16"/>
          <w:szCs w:val="16"/>
          <w:color w:val="auto"/>
        </w:rPr>
        <w:t xml:space="preserve">, to refinance the Convertible Notes (2012) and other Indebtedness permitted by </w:t>
      </w:r>
      <w:r>
        <w:rPr>
          <w:rFonts w:ascii="Arial" w:cs="Arial" w:eastAsia="Arial" w:hAnsi="Arial"/>
          <w:sz w:val="16"/>
          <w:szCs w:val="16"/>
          <w:u w:val="single" w:color="auto"/>
          <w:color w:val="auto"/>
        </w:rPr>
        <w:t>Section 7.03</w:t>
      </w:r>
      <w:r>
        <w:rPr>
          <w:rFonts w:ascii="Arial" w:cs="Arial" w:eastAsia="Arial" w:hAnsi="Arial"/>
          <w:sz w:val="16"/>
          <w:szCs w:val="16"/>
          <w:color w:val="auto"/>
        </w:rPr>
        <w:t>, to provide for working capital and for other lawful corporate purposes of the Borrower and its Subsidiaries.</w:t>
      </w:r>
    </w:p>
    <w:p>
      <w:pPr>
        <w:spacing w:after="0" w:line="103" w:lineRule="exact"/>
        <w:rPr>
          <w:sz w:val="20"/>
          <w:szCs w:val="20"/>
          <w:color w:val="auto"/>
        </w:rPr>
      </w:pPr>
    </w:p>
    <w:p>
      <w:pPr>
        <w:jc w:val="both"/>
        <w:ind w:firstLine="913"/>
        <w:spacing w:after="0" w:line="301" w:lineRule="auto"/>
        <w:rPr>
          <w:sz w:val="20"/>
          <w:szCs w:val="20"/>
          <w:color w:val="auto"/>
        </w:rPr>
      </w:pPr>
      <w:r>
        <w:rPr>
          <w:rFonts w:ascii="Arial" w:cs="Arial" w:eastAsia="Arial" w:hAnsi="Arial"/>
          <w:sz w:val="16"/>
          <w:szCs w:val="16"/>
          <w:b w:val="1"/>
          <w:bCs w:val="1"/>
          <w:color w:val="auto"/>
        </w:rPr>
        <w:t xml:space="preserve">5.20 Margin Regulations; Investment Company Act; Public Utility Holding Company Act. </w:t>
      </w:r>
      <w:r>
        <w:rPr>
          <w:rFonts w:ascii="Arial" w:cs="Arial" w:eastAsia="Arial" w:hAnsi="Arial"/>
          <w:sz w:val="16"/>
          <w:szCs w:val="16"/>
          <w:color w:val="auto"/>
        </w:rPr>
        <w:t>(a) None of the Borrower or any of its Subsidiaries</w:t>
      </w:r>
      <w:r>
        <w:rPr>
          <w:rFonts w:ascii="Arial" w:cs="Arial" w:eastAsia="Arial" w:hAnsi="Arial"/>
          <w:sz w:val="16"/>
          <w:szCs w:val="16"/>
          <w:b w:val="1"/>
          <w:bCs w:val="1"/>
          <w:color w:val="auto"/>
        </w:rPr>
        <w:t xml:space="preserve"> </w:t>
      </w:r>
      <w:r>
        <w:rPr>
          <w:rFonts w:ascii="Arial" w:cs="Arial" w:eastAsia="Arial" w:hAnsi="Arial"/>
          <w:sz w:val="16"/>
          <w:szCs w:val="16"/>
          <w:color w:val="auto"/>
        </w:rPr>
        <w:t>is engaged and will engage, principally or as one of its important activities, in the business of purchasing or carrying margin stock (within the meaning of Regulation U issued by the FRB), or extending credit for the purpose of purchasing or carrying margin stock, and no proceeds of any Loans or drawings under any Letter of Credit will be used to purchase or carry any margin stock or to extend credit to others for the purpose of purchasing or carrying margin stock.</w:t>
      </w:r>
    </w:p>
    <w:p>
      <w:pPr>
        <w:spacing w:after="0" w:line="109" w:lineRule="exact"/>
        <w:rPr>
          <w:sz w:val="20"/>
          <w:szCs w:val="20"/>
          <w:color w:val="auto"/>
        </w:rPr>
      </w:pPr>
    </w:p>
    <w:p>
      <w:pPr>
        <w:jc w:val="both"/>
        <w:ind w:firstLine="921"/>
        <w:spacing w:after="0" w:line="306" w:lineRule="auto"/>
        <w:tabs>
          <w:tab w:leader="none" w:pos="1163" w:val="left"/>
        </w:tabs>
        <w:numPr>
          <w:ilvl w:val="0"/>
          <w:numId w:val="138"/>
        </w:numPr>
        <w:rPr>
          <w:rFonts w:ascii="Arial" w:cs="Arial" w:eastAsia="Arial" w:hAnsi="Arial"/>
          <w:sz w:val="16"/>
          <w:szCs w:val="16"/>
          <w:color w:val="auto"/>
        </w:rPr>
      </w:pPr>
      <w:r>
        <w:rPr>
          <w:rFonts w:ascii="Arial" w:cs="Arial" w:eastAsia="Arial" w:hAnsi="Arial"/>
          <w:sz w:val="16"/>
          <w:szCs w:val="16"/>
          <w:color w:val="auto"/>
        </w:rPr>
        <w:t>None of the Borrower or any of its Subsidiaries is or is required to be registered as an “investment company” under the Investment Company Act of 1940. Neither the making of the Loans, nor the issuance of the Letters of Credit or the application of the proceeds or repayment thereof by the Borrower, nor the consummation of other transactions contemplated hereunder, will violate any provision of any such Act or any rule, regulation or order of the SEC.</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280" w:right="239" w:bottom="1440" w:gutter="0" w:footer="0" w:header="0"/>
        </w:sectPr>
      </w:pPr>
    </w:p>
    <w:bookmarkStart w:id="125" w:name="page126"/>
    <w:bookmarkEnd w:id="125"/>
    <w:p>
      <w:pPr>
        <w:jc w:val="both"/>
        <w:ind w:firstLine="913"/>
        <w:spacing w:after="0" w:line="28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5.21 Disclosure. </w:t>
      </w:r>
      <w:r>
        <w:rPr>
          <w:rFonts w:ascii="Arial" w:cs="Arial" w:eastAsia="Arial" w:hAnsi="Arial"/>
          <w:sz w:val="16"/>
          <w:szCs w:val="16"/>
          <w:color w:val="auto"/>
        </w:rPr>
        <w:t>Each of the Borrower and its Subsidiaries has disclosed to the Administrative Agent and the Lenders all agreements, instruments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corporate or other restrictions to which it or any of its Subsidiaries is subject, and all other matters known to it, that, individually or in the aggregate, are material to the business of the Borrower and its Subsidiaries or could reasonably be expected to result in a Material Adverse Effect. No written report, financial statement, certificate or other information furnished by or, to the knowledge of Borrower, on behalf of the Borrower or any of its Subsidiaries to the Administrative Agent or any Lender in connection with the transactions contemplated hereby and the negotiation of this Agreement and the other Loan Documents or delivered hereunder or thereunder or under any other Loan Document (in each case,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projected financial information, the Borrower represents only that such information was prepared in good faith based upon assumptions believed to be reasonable at the time.</w:t>
      </w:r>
    </w:p>
    <w:p>
      <w:pPr>
        <w:spacing w:after="0" w:line="113" w:lineRule="exact"/>
        <w:rPr>
          <w:sz w:val="20"/>
          <w:szCs w:val="20"/>
          <w:color w:val="auto"/>
        </w:rPr>
      </w:pPr>
    </w:p>
    <w:p>
      <w:pPr>
        <w:jc w:val="both"/>
        <w:ind w:firstLine="913"/>
        <w:spacing w:after="0" w:line="301" w:lineRule="auto"/>
        <w:rPr>
          <w:sz w:val="20"/>
          <w:szCs w:val="20"/>
          <w:color w:val="auto"/>
        </w:rPr>
      </w:pPr>
      <w:r>
        <w:rPr>
          <w:rFonts w:ascii="Arial" w:cs="Arial" w:eastAsia="Arial" w:hAnsi="Arial"/>
          <w:sz w:val="16"/>
          <w:szCs w:val="16"/>
          <w:b w:val="1"/>
          <w:bCs w:val="1"/>
          <w:color w:val="auto"/>
        </w:rPr>
        <w:t xml:space="preserve">5.22 Compliance with Laws. </w:t>
      </w:r>
      <w:r>
        <w:rPr>
          <w:rFonts w:ascii="Arial" w:cs="Arial" w:eastAsia="Arial" w:hAnsi="Arial"/>
          <w:sz w:val="16"/>
          <w:szCs w:val="16"/>
          <w:color w:val="auto"/>
        </w:rPr>
        <w:t>Each of the Borrower and its Subsidiaries is in compliance in all material respects with the requirements of all Laws</w:t>
      </w:r>
      <w:r>
        <w:rPr>
          <w:rFonts w:ascii="Arial" w:cs="Arial" w:eastAsia="Arial" w:hAnsi="Arial"/>
          <w:sz w:val="16"/>
          <w:szCs w:val="16"/>
          <w:b w:val="1"/>
          <w:bCs w:val="1"/>
          <w:color w:val="auto"/>
        </w:rPr>
        <w:t xml:space="preserve"> </w:t>
      </w:r>
      <w:r>
        <w:rPr>
          <w:rFonts w:ascii="Arial" w:cs="Arial" w:eastAsia="Arial" w:hAnsi="Arial"/>
          <w:sz w:val="16"/>
          <w:szCs w:val="16"/>
          <w:color w:val="auto"/>
        </w:rPr>
        <w:t>and all orders, writs, injunctions and decrees applicable to it or to its properties, except in such instances in which (a) such requirement of Law or order, writ, injunction or decree is being contested in good faith by appropriate actions or proceedings reasonably conducted or (b) the failure to comply therewith, either individually or in the aggregate, could not reasonably be expected to have a Material Adverse Effect.</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5.23 Labor Matters. </w:t>
      </w:r>
      <w:r>
        <w:rPr>
          <w:rFonts w:ascii="Arial" w:cs="Arial" w:eastAsia="Arial" w:hAnsi="Arial"/>
          <w:sz w:val="18"/>
          <w:szCs w:val="18"/>
          <w:color w:val="auto"/>
        </w:rPr>
        <w:t>Except as would not reasonably be expected to have a Material Adverse Effect:</w:t>
      </w:r>
    </w:p>
    <w:p>
      <w:pPr>
        <w:spacing w:after="0" w:line="177" w:lineRule="exact"/>
        <w:rPr>
          <w:sz w:val="20"/>
          <w:szCs w:val="20"/>
          <w:color w:val="auto"/>
        </w:rPr>
      </w:pPr>
    </w:p>
    <w:p>
      <w:pPr>
        <w:ind w:left="1160" w:hanging="239"/>
        <w:spacing w:after="0"/>
        <w:tabs>
          <w:tab w:leader="none" w:pos="116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There are no strikes or lockouts against the Borrower or any of its Subsidiaries pending or, to the best knowledge of the Borrower, threatened.</w:t>
      </w:r>
    </w:p>
    <w:p>
      <w:pPr>
        <w:spacing w:after="0" w:line="194" w:lineRule="exact"/>
        <w:rPr>
          <w:rFonts w:ascii="Arial" w:cs="Arial" w:eastAsia="Arial" w:hAnsi="Arial"/>
          <w:sz w:val="16"/>
          <w:szCs w:val="16"/>
          <w:color w:val="auto"/>
        </w:rPr>
      </w:pPr>
    </w:p>
    <w:p>
      <w:pPr>
        <w:jc w:val="both"/>
        <w:ind w:right="20" w:firstLine="921"/>
        <w:spacing w:after="0" w:line="259" w:lineRule="auto"/>
        <w:tabs>
          <w:tab w:leader="none" w:pos="1189"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hours worked by and payments made to employees of the Borrower and its Subsidiaries have not been in violation of the Fair Labor Standards Act or any other applicable federal, state, local or foreign Law dealing with such matters in any case where a Material Adverse Effect would reasonably be expected to occur as a result of the violation thereof.</w:t>
      </w:r>
    </w:p>
    <w:p>
      <w:pPr>
        <w:spacing w:after="0" w:line="140" w:lineRule="exact"/>
        <w:rPr>
          <w:rFonts w:ascii="Arial" w:cs="Arial" w:eastAsia="Arial" w:hAnsi="Arial"/>
          <w:sz w:val="18"/>
          <w:szCs w:val="18"/>
          <w:color w:val="auto"/>
        </w:rPr>
      </w:pPr>
    </w:p>
    <w:p>
      <w:pPr>
        <w:jc w:val="both"/>
        <w:ind w:firstLine="921"/>
        <w:spacing w:after="0" w:line="259" w:lineRule="auto"/>
        <w:tabs>
          <w:tab w:leader="none" w:pos="118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All payments due from the Borrower or any of its Subsidiaries, or for which any claim may be made against the Borrower or any of its Subsidiaries, on account of wages and employee health and welfare insurance and other benefits, have been paid or accrued as a liability on the books of the Borrower or such Subsidiary to the extent required by GAAP.</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5.23</w:t>
      </w:r>
      <w:r>
        <w:rPr>
          <w:rFonts w:ascii="Arial" w:cs="Arial" w:eastAsia="Arial" w:hAnsi="Arial"/>
          <w:sz w:val="16"/>
          <w:szCs w:val="16"/>
          <w:color w:val="auto"/>
        </w:rPr>
        <w:t>, none of the Borrower or any of its Subsidiaries is a party to a collective bargaining agreement.</w:t>
      </w:r>
    </w:p>
    <w:p>
      <w:pPr>
        <w:spacing w:after="0" w:line="19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Set forth on </w:t>
      </w:r>
      <w:r>
        <w:rPr>
          <w:rFonts w:ascii="Arial" w:cs="Arial" w:eastAsia="Arial" w:hAnsi="Arial"/>
          <w:sz w:val="18"/>
          <w:szCs w:val="18"/>
          <w:u w:val="single" w:color="auto"/>
          <w:color w:val="auto"/>
        </w:rPr>
        <w:t>Schedule 5.23</w:t>
      </w:r>
      <w:r>
        <w:rPr>
          <w:rFonts w:ascii="Arial" w:cs="Arial" w:eastAsia="Arial" w:hAnsi="Arial"/>
          <w:sz w:val="18"/>
          <w:szCs w:val="18"/>
          <w:color w:val="auto"/>
        </w:rPr>
        <w:t xml:space="preserve"> is a summary of all material labor matters to the best knowledge of the Borrower pending before any Governmental Authority or threatened by or against the Borrower or any of its Subsidiaries, and none of such labor matters, individually or in the aggregate, would reasonably be expected to have a Material Adverse Effect.</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274" w:right="239" w:bottom="1440" w:gutter="0" w:footer="0" w:header="0"/>
        </w:sectPr>
      </w:pPr>
    </w:p>
    <w:bookmarkStart w:id="126" w:name="page127"/>
    <w:bookmarkEnd w:id="126"/>
    <w:p>
      <w:pPr>
        <w:jc w:val="both"/>
        <w:ind w:firstLine="913"/>
        <w:spacing w:after="0" w:line="29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5.24 Solvency. </w:t>
      </w:r>
      <w:r>
        <w:rPr>
          <w:rFonts w:ascii="Arial" w:cs="Arial" w:eastAsia="Arial" w:hAnsi="Arial"/>
          <w:sz w:val="16"/>
          <w:szCs w:val="16"/>
          <w:color w:val="auto"/>
        </w:rPr>
        <w:t>Immediately after giving effect to the initial Credit Extension made on the Closing Date and any other transactions occurring on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Closing Date, (a) the fair value of the assets of each Loan Party will exceed its debts and liabilities, subordinated, contingent or otherwise, (b) the present fair saleable value of the property of each Loan Party will be greater than the amount that will be required to pay the probable liability of its debts and other liabilities, subordinated, contingent or otherwise, as such debts and other liabilities become absolute and matured and (c) each Loan Party will not have unreasonably small capital with which to conduct its business in which it is engaged as such business is now conducted and is proposed to be conducted following the Closing Date. For purposes of this </w:t>
      </w:r>
      <w:r>
        <w:rPr>
          <w:rFonts w:ascii="Arial" w:cs="Arial" w:eastAsia="Arial" w:hAnsi="Arial"/>
          <w:sz w:val="16"/>
          <w:szCs w:val="16"/>
          <w:u w:val="single" w:color="auto"/>
          <w:color w:val="auto"/>
        </w:rPr>
        <w:t>Section 5.24</w:t>
      </w:r>
      <w:r>
        <w:rPr>
          <w:rFonts w:ascii="Arial" w:cs="Arial" w:eastAsia="Arial" w:hAnsi="Arial"/>
          <w:sz w:val="16"/>
          <w:szCs w:val="16"/>
          <w:color w:val="auto"/>
        </w:rPr>
        <w:t>, the amount of any contingent liabilities of any Loan Party (including liabilities in respect of litigation, guaranties and pension plans) shall be calculated as the maximum reasonably anticipated liability in respect thereof as determined by such Loan Party in good faith, in light of all the facts and circumstances existing at the time.</w:t>
      </w:r>
    </w:p>
    <w:p>
      <w:pPr>
        <w:spacing w:after="0" w:line="112" w:lineRule="exact"/>
        <w:rPr>
          <w:sz w:val="20"/>
          <w:szCs w:val="20"/>
          <w:color w:val="auto"/>
        </w:rPr>
      </w:pPr>
    </w:p>
    <w:p>
      <w:pPr>
        <w:jc w:val="both"/>
        <w:ind w:firstLine="913"/>
        <w:spacing w:after="0" w:line="326" w:lineRule="auto"/>
        <w:rPr>
          <w:sz w:val="20"/>
          <w:szCs w:val="20"/>
          <w:color w:val="auto"/>
        </w:rPr>
      </w:pPr>
      <w:r>
        <w:rPr>
          <w:rFonts w:ascii="Arial" w:cs="Arial" w:eastAsia="Arial" w:hAnsi="Arial"/>
          <w:sz w:val="15"/>
          <w:szCs w:val="15"/>
          <w:b w:val="1"/>
          <w:bCs w:val="1"/>
          <w:color w:val="auto"/>
        </w:rPr>
        <w:t xml:space="preserve">5.25 Material Contracts. </w:t>
      </w:r>
      <w:r>
        <w:rPr>
          <w:rFonts w:ascii="Arial" w:cs="Arial" w:eastAsia="Arial" w:hAnsi="Arial"/>
          <w:sz w:val="15"/>
          <w:szCs w:val="15"/>
          <w:color w:val="auto"/>
        </w:rPr>
        <w:t>Set forth on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Schedule 5.25</w:t>
      </w:r>
      <w:r>
        <w:rPr>
          <w:rFonts w:ascii="Arial" w:cs="Arial" w:eastAsia="Arial" w:hAnsi="Arial"/>
          <w:sz w:val="15"/>
          <w:szCs w:val="15"/>
          <w:b w:val="1"/>
          <w:bCs w:val="1"/>
          <w:color w:val="auto"/>
        </w:rPr>
        <w:t xml:space="preserve"> </w:t>
      </w:r>
      <w:r>
        <w:rPr>
          <w:rFonts w:ascii="Arial" w:cs="Arial" w:eastAsia="Arial" w:hAnsi="Arial"/>
          <w:sz w:val="15"/>
          <w:szCs w:val="15"/>
          <w:color w:val="auto"/>
        </w:rPr>
        <w:t>is a complete and accurate list of all Material Contracts of each of the Loan Parties, showing as</w:t>
      </w:r>
      <w:r>
        <w:rPr>
          <w:rFonts w:ascii="Arial" w:cs="Arial" w:eastAsia="Arial" w:hAnsi="Arial"/>
          <w:sz w:val="15"/>
          <w:szCs w:val="15"/>
          <w:b w:val="1"/>
          <w:bCs w:val="1"/>
          <w:color w:val="auto"/>
        </w:rPr>
        <w:t xml:space="preserve"> </w:t>
      </w:r>
      <w:r>
        <w:rPr>
          <w:rFonts w:ascii="Arial" w:cs="Arial" w:eastAsia="Arial" w:hAnsi="Arial"/>
          <w:sz w:val="15"/>
          <w:szCs w:val="15"/>
          <w:color w:val="auto"/>
        </w:rPr>
        <w:t>of the date hereof, the name thereof, the parties, the subject matter and the term. Each such Material Contract has been duly authorized, executed and delivered by the Borrower or applicable Subsidiary (and to Borrower’s knowledge, by the other parties thereto), is in full force and effect and is binding upon and enforceable against the Borrower and its Subsidiaries that are parties thereto (and to Borrower’s knowledge, against the other parties thereto) in accordance with its terms.</w:t>
      </w:r>
    </w:p>
    <w:p>
      <w:pPr>
        <w:spacing w:after="0" w:line="89" w:lineRule="exact"/>
        <w:rPr>
          <w:sz w:val="20"/>
          <w:szCs w:val="20"/>
          <w:color w:val="auto"/>
        </w:rPr>
      </w:pPr>
    </w:p>
    <w:p>
      <w:pPr>
        <w:jc w:val="both"/>
        <w:ind w:firstLine="913"/>
        <w:spacing w:after="0" w:line="262" w:lineRule="auto"/>
        <w:rPr>
          <w:sz w:val="20"/>
          <w:szCs w:val="20"/>
          <w:color w:val="auto"/>
        </w:rPr>
      </w:pPr>
      <w:r>
        <w:rPr>
          <w:rFonts w:ascii="Arial" w:cs="Arial" w:eastAsia="Arial" w:hAnsi="Arial"/>
          <w:sz w:val="18"/>
          <w:szCs w:val="18"/>
          <w:b w:val="1"/>
          <w:bCs w:val="1"/>
          <w:color w:val="auto"/>
        </w:rPr>
        <w:t xml:space="preserve">5.26 Nature of Business. </w:t>
      </w:r>
      <w:r>
        <w:rPr>
          <w:rFonts w:ascii="Arial" w:cs="Arial" w:eastAsia="Arial" w:hAnsi="Arial"/>
          <w:sz w:val="18"/>
          <w:szCs w:val="18"/>
          <w:color w:val="auto"/>
        </w:rPr>
        <w:t>As of the Closing Date, the Borrower and its Subsidiaries, other than inactive Subsidiaries that are Excluded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are engaged in the business of developing, manufacturing and marketing medical devices, implants and biomaterials for use in surgery or other medical treatment, or activities related, ancillary or complementary thereto.</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AFFIRMATIVE COVENANTS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So long as any Lender shall have any Commitment hereunder, any Loan or other Obligation hereunder shall remain unpaid or unsatisfied, or any Letter of Credit shall remain outstanding, the Borrower shall, and shall (except in the case of the covenants set forth in </w:t>
      </w:r>
      <w:r>
        <w:rPr>
          <w:rFonts w:ascii="Arial" w:cs="Arial" w:eastAsia="Arial" w:hAnsi="Arial"/>
          <w:sz w:val="18"/>
          <w:szCs w:val="18"/>
          <w:u w:val="single" w:color="auto"/>
          <w:color w:val="auto"/>
        </w:rPr>
        <w:t>Sections 6.01, 6.02, 6.03 and 6.14</w:t>
      </w:r>
      <w:r>
        <w:rPr>
          <w:rFonts w:ascii="Arial" w:cs="Arial" w:eastAsia="Arial" w:hAnsi="Arial"/>
          <w:sz w:val="18"/>
          <w:szCs w:val="18"/>
          <w:color w:val="auto"/>
        </w:rPr>
        <w:t>) cause each Subsidiary to:</w:t>
      </w:r>
    </w:p>
    <w:p>
      <w:pPr>
        <w:spacing w:after="0" w:line="134"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6.01 Financial Statements. </w:t>
      </w:r>
      <w:r>
        <w:rPr>
          <w:rFonts w:ascii="Arial" w:cs="Arial" w:eastAsia="Arial" w:hAnsi="Arial"/>
          <w:sz w:val="16"/>
          <w:szCs w:val="16"/>
          <w:color w:val="auto"/>
        </w:rPr>
        <w:t>Deliver to the Administrative Agent (for further distribution to each Lender), in form and detail satisfactory to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and the Required Lenders:</w:t>
      </w:r>
    </w:p>
    <w:p>
      <w:pPr>
        <w:spacing w:after="0" w:line="165" w:lineRule="exact"/>
        <w:rPr>
          <w:sz w:val="20"/>
          <w:szCs w:val="20"/>
          <w:color w:val="auto"/>
        </w:rPr>
      </w:pPr>
    </w:p>
    <w:p>
      <w:pPr>
        <w:jc w:val="both"/>
        <w:ind w:firstLine="921"/>
        <w:spacing w:after="0" w:line="259" w:lineRule="auto"/>
        <w:tabs>
          <w:tab w:leader="none" w:pos="1183"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as soon as available, but in any event within one hundred (100) days after the end of each fiscal year thereafter of the Borrower and its Consolidated Subsidiaries (or, if earlier, the date that is five (5) days after the reporting date for such information required by the SEC), a consolidated (but not consolidating) balance sheet of the Borrower and its Consolidated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274" w:right="239" w:bottom="1440" w:gutter="0" w:footer="0" w:header="0"/>
        </w:sectPr>
      </w:pPr>
    </w:p>
    <w:bookmarkStart w:id="127" w:name="page128"/>
    <w:bookmarkEnd w:id="127"/>
    <w:p>
      <w:pPr>
        <w:jc w:val="both"/>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Subsidiaries as at the end of such fiscal year, and the respective related consolidated (but not consolidating) statements of income or operations, shareholders’ equity and cash flows for such fiscal year, setting forth in each case in comparative form the figures for the previous fiscal year, all in reasonable detail and prepared in accordance with GAAP, such consolidated balance sheet and statements to be audited and accompanied by (i) a report and opinion of a Registered Public Accounting Firm of nationally recognized standing, which report and opinion shall be prepared in accordance with generally accepted auditing standards and applicable Securities Laws and shall not be subject to any “going concern” or like qualification or exception or any qualification or exception as to the scope of such audit and (ii) if required by applicable law, an attestation report of such Registered Public Accounting Firm as to the Borrower’s internal controls pursuant to Section 404 of Sarbanes-Oxley; and</w:t>
      </w:r>
    </w:p>
    <w:p>
      <w:pPr>
        <w:spacing w:after="0" w:line="118" w:lineRule="exact"/>
        <w:rPr>
          <w:sz w:val="20"/>
          <w:szCs w:val="20"/>
          <w:color w:val="auto"/>
        </w:rPr>
      </w:pPr>
    </w:p>
    <w:p>
      <w:pPr>
        <w:jc w:val="both"/>
        <w:ind w:firstLine="921"/>
        <w:spacing w:after="0" w:line="287" w:lineRule="auto"/>
        <w:tabs>
          <w:tab w:leader="none" w:pos="1172" w:val="left"/>
        </w:tabs>
        <w:numPr>
          <w:ilvl w:val="0"/>
          <w:numId w:val="141"/>
        </w:numPr>
        <w:rPr>
          <w:rFonts w:ascii="Arial" w:cs="Arial" w:eastAsia="Arial" w:hAnsi="Arial"/>
          <w:sz w:val="16"/>
          <w:szCs w:val="16"/>
          <w:color w:val="auto"/>
        </w:rPr>
      </w:pPr>
      <w:r>
        <w:rPr>
          <w:rFonts w:ascii="Arial" w:cs="Arial" w:eastAsia="Arial" w:hAnsi="Arial"/>
          <w:sz w:val="16"/>
          <w:szCs w:val="16"/>
          <w:color w:val="auto"/>
        </w:rPr>
        <w:t>as soon as available, but in any event within fifty-five (55) days after the end of each of the first three fiscal quarters of each fiscal year of the Borrower and its Consolidated Subsidiaries (or, if earlier, the date that is five (5) days after the reporting date for such information required by the SEC) commencing with the fiscal quarter ending June 30, 2011, a consolidated (but not consolidating) balance sheet of the Borrower and its Consolidated Subsidiaries as at the end of such fiscal quarter, and the related consolidated (but not consolidating) statements of income or operations for such fiscal quarter and the portion of such fiscal year then ended, as well as shareholders’ equity and cash flows for the portion of such fiscal year then ended, setting forth in comparative form the figures for the corresponding fiscal quarter of the previous fiscal year and the corresponding portion of the previous fiscal year, as the case may be, or in the case of the balance sheet, the end of the previous fiscal year, all in reasonable detail, such consolidated balance sheet and statements to be certified by a Responsible Officer of the Borrower as fairly presenting the financial condition, results of operations, shareholders’ equity and cash flows of the Borrower and its Consolidated Subsidiaries on a consolidated (but not consolidating) basis in accordance with GAAP, subject only to normal year-end audit adjustments, formatting requirements, and the absence of footnotes.</w:t>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 to any information contained in materials furnished pursuant to </w:t>
      </w:r>
      <w:r>
        <w:rPr>
          <w:rFonts w:ascii="Arial" w:cs="Arial" w:eastAsia="Arial" w:hAnsi="Arial"/>
          <w:sz w:val="18"/>
          <w:szCs w:val="18"/>
          <w:u w:val="single" w:color="auto"/>
          <w:color w:val="auto"/>
        </w:rPr>
        <w:t>Section 6.02(d)</w:t>
      </w:r>
      <w:r>
        <w:rPr>
          <w:rFonts w:ascii="Arial" w:cs="Arial" w:eastAsia="Arial" w:hAnsi="Arial"/>
          <w:sz w:val="18"/>
          <w:szCs w:val="18"/>
          <w:color w:val="auto"/>
        </w:rPr>
        <w:t xml:space="preserve">, the Borrower shall not be separately required to furnish such information under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but the foregoing shall not be in derogation of the obligation of the Borrower to furnish the information and materials described in </w:t>
      </w:r>
      <w:r>
        <w:rPr>
          <w:rFonts w:ascii="Arial" w:cs="Arial" w:eastAsia="Arial" w:hAnsi="Arial"/>
          <w:sz w:val="18"/>
          <w:szCs w:val="18"/>
          <w:u w:val="single" w:color="auto"/>
          <w:color w:val="auto"/>
        </w:rPr>
        <w:t>Sections 6.01(a)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at the times specified therein.</w:t>
      </w:r>
    </w:p>
    <w:p>
      <w:pPr>
        <w:spacing w:after="0" w:line="134" w:lineRule="exact"/>
        <w:rPr>
          <w:sz w:val="20"/>
          <w:szCs w:val="20"/>
          <w:color w:val="auto"/>
        </w:rPr>
      </w:pPr>
    </w:p>
    <w:p>
      <w:pPr>
        <w:jc w:val="both"/>
        <w:ind w:firstLine="913"/>
        <w:spacing w:after="0" w:line="275" w:lineRule="auto"/>
        <w:rPr>
          <w:sz w:val="20"/>
          <w:szCs w:val="20"/>
          <w:color w:val="auto"/>
        </w:rPr>
      </w:pPr>
      <w:r>
        <w:rPr>
          <w:rFonts w:ascii="Arial" w:cs="Arial" w:eastAsia="Arial" w:hAnsi="Arial"/>
          <w:sz w:val="18"/>
          <w:szCs w:val="18"/>
          <w:b w:val="1"/>
          <w:bCs w:val="1"/>
          <w:color w:val="auto"/>
        </w:rPr>
        <w:t xml:space="preserve">6.02 Certificates; Other Information. </w:t>
      </w:r>
      <w:r>
        <w:rPr>
          <w:rFonts w:ascii="Arial" w:cs="Arial" w:eastAsia="Arial" w:hAnsi="Arial"/>
          <w:sz w:val="18"/>
          <w:szCs w:val="18"/>
          <w:color w:val="auto"/>
        </w:rPr>
        <w:t>Deliver to the Administrative Agent (for further distribution to each Lender), in form and detail satisfactory</w:t>
      </w:r>
      <w:r>
        <w:rPr>
          <w:rFonts w:ascii="Arial" w:cs="Arial" w:eastAsia="Arial" w:hAnsi="Arial"/>
          <w:sz w:val="18"/>
          <w:szCs w:val="18"/>
          <w:b w:val="1"/>
          <w:bCs w:val="1"/>
          <w:color w:val="auto"/>
        </w:rPr>
        <w:t xml:space="preserve"> </w:t>
      </w:r>
      <w:r>
        <w:rPr>
          <w:rFonts w:ascii="Arial" w:cs="Arial" w:eastAsia="Arial" w:hAnsi="Arial"/>
          <w:sz w:val="18"/>
          <w:szCs w:val="18"/>
          <w:color w:val="auto"/>
        </w:rPr>
        <w:t>to the Administrative Agent and the Required Lenders:</w:t>
      </w:r>
    </w:p>
    <w:p>
      <w:pPr>
        <w:spacing w:after="0" w:line="126" w:lineRule="exact"/>
        <w:rPr>
          <w:sz w:val="20"/>
          <w:szCs w:val="20"/>
          <w:color w:val="auto"/>
        </w:rPr>
      </w:pPr>
    </w:p>
    <w:p>
      <w:pPr>
        <w:jc w:val="both"/>
        <w:ind w:firstLine="921"/>
        <w:spacing w:after="0" w:line="256" w:lineRule="auto"/>
        <w:tabs>
          <w:tab w:leader="none" w:pos="1193"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concurrently with the delivery of the financial statements referred to in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a certificate of its independent certified public accountants certifying such financial statements and stating that in making the examination necessary therefor no knowledge was obtained of any Default under the financial covenants set forth in </w:t>
      </w:r>
      <w:r>
        <w:rPr>
          <w:rFonts w:ascii="Arial" w:cs="Arial" w:eastAsia="Arial" w:hAnsi="Arial"/>
          <w:sz w:val="18"/>
          <w:szCs w:val="18"/>
          <w:u w:val="single" w:color="auto"/>
          <w:color w:val="auto"/>
        </w:rPr>
        <w:t>Section 7.17</w:t>
      </w:r>
      <w:r>
        <w:rPr>
          <w:rFonts w:ascii="Arial" w:cs="Arial" w:eastAsia="Arial" w:hAnsi="Arial"/>
          <w:sz w:val="18"/>
          <w:szCs w:val="18"/>
          <w:color w:val="auto"/>
        </w:rPr>
        <w:t xml:space="preserve"> or, if such knowledge was obtained, stating the nature and status of such Default setting forth the details of such Default and the action of the Borrower has taken or proposes to take with respect thereto;</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280" w:right="239" w:bottom="1440" w:gutter="0" w:footer="0" w:header="0"/>
        </w:sectPr>
      </w:pPr>
    </w:p>
    <w:bookmarkStart w:id="128" w:name="page129"/>
    <w:bookmarkEnd w:id="128"/>
    <w:p>
      <w:pPr>
        <w:jc w:val="both"/>
        <w:ind w:firstLine="921"/>
        <w:spacing w:after="0" w:line="290" w:lineRule="auto"/>
        <w:tabs>
          <w:tab w:leader="none" w:pos="1165" w:val="left"/>
        </w:tabs>
        <w:numPr>
          <w:ilvl w:val="0"/>
          <w:numId w:val="1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concurrently with the delivery of the financial statements referred to in </w:t>
      </w:r>
      <w:r>
        <w:rPr>
          <w:rFonts w:ascii="Arial" w:cs="Arial" w:eastAsia="Arial" w:hAnsi="Arial"/>
          <w:sz w:val="16"/>
          <w:szCs w:val="16"/>
          <w:u w:val="single" w:color="auto"/>
          <w:color w:val="auto"/>
        </w:rPr>
        <w:t>Sections 6.01(a)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 duly completed Compliance Certificate signed by a Responsible Officer of the Borrower. In connection with the delivery by the Borrower of each Compliance Certificate pursuant to this </w:t>
      </w:r>
      <w:r>
        <w:rPr>
          <w:rFonts w:ascii="Arial" w:cs="Arial" w:eastAsia="Arial" w:hAnsi="Arial"/>
          <w:sz w:val="16"/>
          <w:szCs w:val="16"/>
          <w:u w:val="single" w:color="auto"/>
          <w:color w:val="auto"/>
        </w:rPr>
        <w:t>Section 6.02(b)</w:t>
      </w:r>
      <w:r>
        <w:rPr>
          <w:rFonts w:ascii="Arial" w:cs="Arial" w:eastAsia="Arial" w:hAnsi="Arial"/>
          <w:sz w:val="16"/>
          <w:szCs w:val="16"/>
          <w:color w:val="auto"/>
        </w:rPr>
        <w:t xml:space="preserve">, the Borrower shall deliver to the Administrative Agent supplements to </w:t>
      </w:r>
      <w:r>
        <w:rPr>
          <w:rFonts w:ascii="Arial" w:cs="Arial" w:eastAsia="Arial" w:hAnsi="Arial"/>
          <w:sz w:val="16"/>
          <w:szCs w:val="16"/>
          <w:u w:val="single" w:color="auto"/>
          <w:color w:val="auto"/>
        </w:rPr>
        <w:t>Schedules 5.08</w:t>
      </w:r>
      <w:r>
        <w:rPr>
          <w:rFonts w:ascii="Arial" w:cs="Arial" w:eastAsia="Arial" w:hAnsi="Arial"/>
          <w:sz w:val="16"/>
          <w:szCs w:val="16"/>
          <w:color w:val="auto"/>
        </w:rPr>
        <w:t xml:space="preserve">, </w:t>
      </w:r>
      <w:r>
        <w:rPr>
          <w:rFonts w:ascii="Arial" w:cs="Arial" w:eastAsia="Arial" w:hAnsi="Arial"/>
          <w:sz w:val="16"/>
          <w:szCs w:val="16"/>
          <w:u w:val="single" w:color="auto"/>
          <w:color w:val="auto"/>
        </w:rPr>
        <w:t>5.23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5.25</w:t>
      </w:r>
      <w:r>
        <w:rPr>
          <w:rFonts w:ascii="Arial" w:cs="Arial" w:eastAsia="Arial" w:hAnsi="Arial"/>
          <w:sz w:val="16"/>
          <w:szCs w:val="16"/>
          <w:color w:val="auto"/>
        </w:rPr>
        <w:t xml:space="preserve"> and the supplements required by </w:t>
      </w:r>
      <w:r>
        <w:rPr>
          <w:rFonts w:ascii="Arial" w:cs="Arial" w:eastAsia="Arial" w:hAnsi="Arial"/>
          <w:sz w:val="16"/>
          <w:szCs w:val="16"/>
          <w:u w:val="single" w:color="auto"/>
          <w:color w:val="auto"/>
        </w:rPr>
        <w:t>Section 4.15</w:t>
      </w:r>
      <w:r>
        <w:rPr>
          <w:rFonts w:ascii="Arial" w:cs="Arial" w:eastAsia="Arial" w:hAnsi="Arial"/>
          <w:sz w:val="16"/>
          <w:szCs w:val="16"/>
          <w:color w:val="auto"/>
        </w:rPr>
        <w:t xml:space="preserve"> of the Security Agreement and </w:t>
      </w:r>
      <w:r>
        <w:rPr>
          <w:rFonts w:ascii="Arial" w:cs="Arial" w:eastAsia="Arial" w:hAnsi="Arial"/>
          <w:sz w:val="16"/>
          <w:szCs w:val="16"/>
          <w:u w:val="single" w:color="auto"/>
          <w:color w:val="auto"/>
        </w:rPr>
        <w:t>Section 4.16</w:t>
      </w:r>
      <w:r>
        <w:rPr>
          <w:rFonts w:ascii="Arial" w:cs="Arial" w:eastAsia="Arial" w:hAnsi="Arial"/>
          <w:sz w:val="16"/>
          <w:szCs w:val="16"/>
          <w:color w:val="auto"/>
        </w:rPr>
        <w:t xml:space="preserve"> of the Pledge Agreement, together with a statement of a Responsible Officer executing the Compliance Certificate, certifying that, as of the date thereof, after giving effect to the supplements to such Schedules and such report delivered therewith, the representations and warranties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hereof are true and correct in all material respects, except those representations and warranties made as of a date certain which remain true and correct in all material respects as of such date;</w:t>
      </w:r>
    </w:p>
    <w:p>
      <w:pPr>
        <w:spacing w:after="0" w:line="118" w:lineRule="exact"/>
        <w:rPr>
          <w:rFonts w:ascii="Arial" w:cs="Arial" w:eastAsia="Arial" w:hAnsi="Arial"/>
          <w:sz w:val="16"/>
          <w:szCs w:val="16"/>
          <w:color w:val="auto"/>
        </w:rPr>
      </w:pPr>
    </w:p>
    <w:p>
      <w:pPr>
        <w:ind w:left="1160" w:hanging="239"/>
        <w:spacing w:after="0"/>
        <w:tabs>
          <w:tab w:leader="none" w:pos="11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71" w:lineRule="exact"/>
        <w:rPr>
          <w:rFonts w:ascii="Arial" w:cs="Arial" w:eastAsia="Arial" w:hAnsi="Arial"/>
          <w:sz w:val="18"/>
          <w:szCs w:val="18"/>
          <w:color w:val="auto"/>
        </w:rPr>
      </w:pPr>
    </w:p>
    <w:p>
      <w:pPr>
        <w:jc w:val="both"/>
        <w:ind w:firstLine="921"/>
        <w:spacing w:after="0" w:line="289" w:lineRule="auto"/>
        <w:tabs>
          <w:tab w:leader="none" w:pos="1171" w:val="left"/>
        </w:tabs>
        <w:numPr>
          <w:ilvl w:val="0"/>
          <w:numId w:val="143"/>
        </w:numPr>
        <w:rPr>
          <w:rFonts w:ascii="Arial" w:cs="Arial" w:eastAsia="Arial" w:hAnsi="Arial"/>
          <w:sz w:val="16"/>
          <w:szCs w:val="16"/>
          <w:color w:val="auto"/>
        </w:rPr>
      </w:pPr>
      <w:r>
        <w:rPr>
          <w:rFonts w:ascii="Arial" w:cs="Arial" w:eastAsia="Arial" w:hAnsi="Arial"/>
          <w:sz w:val="16"/>
          <w:szCs w:val="16"/>
          <w:color w:val="auto"/>
        </w:rPr>
        <w:t xml:space="preserve">promptly after the same are available to the public, (i) copies of management discussion and analysis in relationship to the financial statements delivered pursuant to </w:t>
      </w:r>
      <w:r>
        <w:rPr>
          <w:rFonts w:ascii="Arial" w:cs="Arial" w:eastAsia="Arial" w:hAnsi="Arial"/>
          <w:sz w:val="16"/>
          <w:szCs w:val="16"/>
          <w:u w:val="single" w:color="auto"/>
          <w:color w:val="auto"/>
        </w:rPr>
        <w:t>Sections 6.01(a)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6.01(b)</w:t>
      </w:r>
      <w:r>
        <w:rPr>
          <w:rFonts w:ascii="Arial" w:cs="Arial" w:eastAsia="Arial" w:hAnsi="Arial"/>
          <w:sz w:val="16"/>
          <w:szCs w:val="16"/>
          <w:color w:val="auto"/>
        </w:rPr>
        <w:t>, (ii) copies of each annual report, proxy or financial statement or other report or communication sent to the stockholders of the Borrower or any of its Subsidiaries, and copies of all annual, regular, periodic and special reports and registration statements which the Borrower or any of its Subsidiaries may file or be required to file with the SEC under Section 13 or 15(d) of the Securities Exchange Act of 1934, and not otherwise required to be delivered to the Administrative Agent pursuant hereto, and (iii) upon the request of the Administrative Agent, all written reports and information concerning material matters to and from the United States Environmental Protection Agency, or any state or local agency responsible for environmental matters, the United States Occupational Health and Safety Administration, or any state or local agency responsible for health and safety matters, or any successor or other agencies or authorities concerning environmental, health or safety matters;</w:t>
      </w:r>
    </w:p>
    <w:p>
      <w:pPr>
        <w:spacing w:after="0" w:line="118" w:lineRule="exact"/>
        <w:rPr>
          <w:rFonts w:ascii="Arial" w:cs="Arial" w:eastAsia="Arial" w:hAnsi="Arial"/>
          <w:sz w:val="16"/>
          <w:szCs w:val="16"/>
          <w:color w:val="auto"/>
        </w:rPr>
      </w:pPr>
    </w:p>
    <w:p>
      <w:pPr>
        <w:jc w:val="both"/>
        <w:ind w:firstLine="921"/>
        <w:spacing w:after="0" w:line="332" w:lineRule="auto"/>
        <w:tabs>
          <w:tab w:leader="none" w:pos="1178" w:val="left"/>
        </w:tabs>
        <w:numPr>
          <w:ilvl w:val="0"/>
          <w:numId w:val="143"/>
        </w:numPr>
        <w:rPr>
          <w:rFonts w:ascii="Arial" w:cs="Arial" w:eastAsia="Arial" w:hAnsi="Arial"/>
          <w:sz w:val="16"/>
          <w:szCs w:val="16"/>
          <w:color w:val="auto"/>
        </w:rPr>
      </w:pPr>
      <w:r>
        <w:rPr>
          <w:rFonts w:ascii="Arial" w:cs="Arial" w:eastAsia="Arial" w:hAnsi="Arial"/>
          <w:sz w:val="16"/>
          <w:szCs w:val="16"/>
          <w:color w:val="auto"/>
        </w:rPr>
        <w:t>within forty-five (45) days following the end of each fiscal year of the Borrower, an annual business plan and forecasts and budget of the Borrower and its Subsidiaries containing, among other things, summary pro forma financial information for the next fiscal year with respect to each fiscal quarter;</w:t>
      </w:r>
    </w:p>
    <w:p>
      <w:pPr>
        <w:spacing w:after="0" w:line="85" w:lineRule="exact"/>
        <w:rPr>
          <w:rFonts w:ascii="Arial" w:cs="Arial" w:eastAsia="Arial" w:hAnsi="Arial"/>
          <w:sz w:val="16"/>
          <w:szCs w:val="16"/>
          <w:color w:val="auto"/>
        </w:rPr>
      </w:pPr>
    </w:p>
    <w:p>
      <w:pPr>
        <w:jc w:val="both"/>
        <w:ind w:firstLine="921"/>
        <w:spacing w:after="0" w:line="259" w:lineRule="auto"/>
        <w:tabs>
          <w:tab w:leader="none" w:pos="115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promptly, upon receipt thereof, copies of all notices of default or termination received by any Loan Party under or pursuant to any Material Contract and, from time to time upon request by the Administrative Agent, such information and reports regarding the Material Contracts as the Administrative Agent may reasonably request; and</w:t>
      </w:r>
    </w:p>
    <w:p>
      <w:pPr>
        <w:spacing w:after="0" w:line="140" w:lineRule="exact"/>
        <w:rPr>
          <w:rFonts w:ascii="Arial" w:cs="Arial" w:eastAsia="Arial" w:hAnsi="Arial"/>
          <w:sz w:val="18"/>
          <w:szCs w:val="18"/>
          <w:color w:val="auto"/>
        </w:rPr>
      </w:pPr>
    </w:p>
    <w:p>
      <w:pPr>
        <w:ind w:right="20" w:firstLine="921"/>
        <w:spacing w:after="0" w:line="332" w:lineRule="auto"/>
        <w:tabs>
          <w:tab w:leader="none" w:pos="1196" w:val="left"/>
        </w:tabs>
        <w:numPr>
          <w:ilvl w:val="0"/>
          <w:numId w:val="143"/>
        </w:numPr>
        <w:rPr>
          <w:rFonts w:ascii="Arial" w:cs="Arial" w:eastAsia="Arial" w:hAnsi="Arial"/>
          <w:sz w:val="16"/>
          <w:szCs w:val="16"/>
          <w:color w:val="auto"/>
        </w:rPr>
      </w:pPr>
      <w:r>
        <w:rPr>
          <w:rFonts w:ascii="Arial" w:cs="Arial" w:eastAsia="Arial" w:hAnsi="Arial"/>
          <w:sz w:val="16"/>
          <w:szCs w:val="16"/>
          <w:color w:val="auto"/>
        </w:rPr>
        <w:t>promptly, such additional information regarding the business, financial or corporate affairs of the Borrower or any of its Subsidiaries, or compliance with the terms of the Loan Documents, as the Administrative Agent or any Lender may from time to time reasonably request.</w:t>
      </w:r>
    </w:p>
    <w:p>
      <w:pPr>
        <w:spacing w:after="0" w:line="8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Documents required to be delivered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6.02(d)</w:t>
      </w:r>
      <w:r>
        <w:rPr>
          <w:rFonts w:ascii="Arial" w:cs="Arial" w:eastAsia="Arial" w:hAnsi="Arial"/>
          <w:sz w:val="18"/>
          <w:szCs w:val="18"/>
          <w:color w:val="auto"/>
        </w:rPr>
        <w:t xml:space="preserve"> (to the extent any such documents are included in materials otherwise filed with the SEC) may be delivered electronically and if so delivered, shall be deemed to have been delivered on the date (i) on which the Borrower posts such documents, or provides a link thereto on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280" w:right="239" w:bottom="1440" w:gutter="0" w:footer="0" w:header="0"/>
        </w:sectPr>
      </w:pPr>
    </w:p>
    <w:bookmarkStart w:id="129" w:name="page130"/>
    <w:bookmarkEnd w:id="129"/>
    <w:p>
      <w:pPr>
        <w:jc w:val="both"/>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Borrower’s website on the Internet at the website address listed on </w:t>
      </w:r>
      <w:r>
        <w:rPr>
          <w:rFonts w:ascii="Arial" w:cs="Arial" w:eastAsia="Arial" w:hAnsi="Arial"/>
          <w:sz w:val="16"/>
          <w:szCs w:val="16"/>
          <w:u w:val="single" w:color="auto"/>
          <w:color w:val="auto"/>
        </w:rPr>
        <w:t>Schedule 10.02</w:t>
      </w:r>
      <w:r>
        <w:rPr>
          <w:rFonts w:ascii="Arial" w:cs="Arial" w:eastAsia="Arial" w:hAnsi="Arial"/>
          <w:sz w:val="16"/>
          <w:szCs w:val="16"/>
          <w:color w:val="auto"/>
        </w:rPr>
        <w:t xml:space="preserve">; or (ii) on which such documents are posted on the Borrower’s behalf on an Internet or intranet website, if any, to which each Lender, the L/C Issuer and the Administrative Agent have access (whether a commercial, third-party website or whether sponsored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Borrower shall deliver paper copies of such documents to the Administrative Agent, the L/C Issuer or any Lender upon receipt by Borrower of a written request from the Administrative Agent, the L/C Issuer or such Lender, and (ii) the Borrower shall notify the Administrative Agent, the L/C Issuer and each Lender (by telecopier or electronic mail) of the posting of any such documents and provide to the Administrative Agent by electronic mail electronic versions (</w:t>
      </w:r>
      <w:r>
        <w:rPr>
          <w:rFonts w:ascii="Arial" w:cs="Arial" w:eastAsia="Arial" w:hAnsi="Arial"/>
          <w:sz w:val="16"/>
          <w:szCs w:val="16"/>
          <w:u w:val="single" w:color="auto"/>
          <w:color w:val="auto"/>
        </w:rPr>
        <w:t>i.e.</w:t>
      </w:r>
      <w:r>
        <w:rPr>
          <w:rFonts w:ascii="Arial" w:cs="Arial" w:eastAsia="Arial" w:hAnsi="Arial"/>
          <w:sz w:val="16"/>
          <w:szCs w:val="16"/>
          <w:color w:val="auto"/>
        </w:rPr>
        <w:t>, soft copies) of such documents. The Administrative Agent shall have no obligation to request the delivery or to maintain copies, of the documents referred to above, and in any event shall have no responsibility to monitor compliance by the Borrower with any such request for delivery, and each Lender shall be solely responsible for requesting delivery to it or maintaining its copies of such documents.</w:t>
      </w:r>
    </w:p>
    <w:p>
      <w:pPr>
        <w:spacing w:after="0" w:line="11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Borrower hereby acknowledges that (a) the Administrative Agent and/or the Arrangers will make available to the Lenders and the L/C Issuer materials and/or information provided by or on behalf of the Borrower hereunder (collectively, “</w:t>
      </w:r>
      <w:r>
        <w:rPr>
          <w:rFonts w:ascii="Arial" w:cs="Arial" w:eastAsia="Arial" w:hAnsi="Arial"/>
          <w:sz w:val="16"/>
          <w:szCs w:val="16"/>
          <w:u w:val="single" w:color="auto"/>
          <w:color w:val="auto"/>
        </w:rPr>
        <w:t>Borrower Materials</w:t>
      </w:r>
      <w:r>
        <w:rPr>
          <w:rFonts w:ascii="Arial" w:cs="Arial" w:eastAsia="Arial" w:hAnsi="Arial"/>
          <w:sz w:val="16"/>
          <w:szCs w:val="16"/>
          <w:color w:val="auto"/>
        </w:rPr>
        <w:t>”) by posting the Borrower Materials on IntraLinks or another similar electronic system (the “</w:t>
      </w:r>
      <w:r>
        <w:rPr>
          <w:rFonts w:ascii="Arial" w:cs="Arial" w:eastAsia="Arial" w:hAnsi="Arial"/>
          <w:sz w:val="16"/>
          <w:szCs w:val="16"/>
          <w:u w:val="single" w:color="auto"/>
          <w:color w:val="auto"/>
        </w:rPr>
        <w:t>Platform</w:t>
      </w:r>
      <w:r>
        <w:rPr>
          <w:rFonts w:ascii="Arial" w:cs="Arial" w:eastAsia="Arial" w:hAnsi="Arial"/>
          <w:sz w:val="16"/>
          <w:szCs w:val="16"/>
          <w:color w:val="auto"/>
        </w:rPr>
        <w:t>”) and (b) certain of the Lenders may be “public-side” Lenders (</w:t>
      </w:r>
      <w:r>
        <w:rPr>
          <w:rFonts w:ascii="Arial" w:cs="Arial" w:eastAsia="Arial" w:hAnsi="Arial"/>
          <w:sz w:val="16"/>
          <w:szCs w:val="16"/>
          <w:u w:val="single" w:color="auto"/>
          <w:color w:val="auto"/>
        </w:rPr>
        <w:t>i.e.</w:t>
      </w:r>
      <w:r>
        <w:rPr>
          <w:rFonts w:ascii="Arial" w:cs="Arial" w:eastAsia="Arial" w:hAnsi="Arial"/>
          <w:sz w:val="16"/>
          <w:szCs w:val="16"/>
          <w:color w:val="auto"/>
        </w:rPr>
        <w:t>, Lenders that do not wish to receive material non-public information with respect to the Borrower or its securities) (each, a “</w:t>
      </w:r>
      <w:r>
        <w:rPr>
          <w:rFonts w:ascii="Arial" w:cs="Arial" w:eastAsia="Arial" w:hAnsi="Arial"/>
          <w:sz w:val="16"/>
          <w:szCs w:val="16"/>
          <w:u w:val="single" w:color="auto"/>
          <w:color w:val="auto"/>
        </w:rPr>
        <w:t>Public Lender</w:t>
      </w:r>
      <w:r>
        <w:rPr>
          <w:rFonts w:ascii="Arial" w:cs="Arial" w:eastAsia="Arial" w:hAnsi="Arial"/>
          <w:sz w:val="16"/>
          <w:szCs w:val="16"/>
          <w:color w:val="auto"/>
        </w:rPr>
        <w:t>”). The Borrower hereby agrees that (i) all Borrower Materials that are to be made available to Public Lenders shall be clearly and conspicuously marked “PUBLIC” which, at a minimum, shall mean that the word “PUBLIC” shall appear prominently on the first page thereof; (ii) by marking Borrower Materials “PUBLIC,” the Borrower shall be deemed to have authorized the Administrative Agent, the Arrangers, the L/C Issuer and the Lenders to treat the Borrower Materials as not containing any material non-public information (although it may be sensitive and proprietary) with respect to the Borrower or its securities for purposes of United States Federal and state securities 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to the extent the Borrower Materials constitute Information, they shall be treated as set forth in </w:t>
      </w:r>
      <w:r>
        <w:rPr>
          <w:rFonts w:ascii="Arial" w:cs="Arial" w:eastAsia="Arial" w:hAnsi="Arial"/>
          <w:sz w:val="16"/>
          <w:szCs w:val="16"/>
          <w:u w:val="single" w:color="auto"/>
          <w:color w:val="auto"/>
        </w:rPr>
        <w:t>Section 10.07</w:t>
      </w:r>
      <w:r>
        <w:rPr>
          <w:rFonts w:ascii="Arial" w:cs="Arial" w:eastAsia="Arial" w:hAnsi="Arial"/>
          <w:sz w:val="16"/>
          <w:szCs w:val="16"/>
          <w:color w:val="auto"/>
        </w:rPr>
        <w:t>); (iii) all Borrower Materials marked “PUBLIC” are permitted to be made available through a portion of the Platform designated “Public Side Information;” and (iv) the Administrative Agent and the Arrangers shall be entitled to treat any Borrower Materials that are not marked “PUBLIC” as being suitable only for posting on a portion of the Platform not designated “Public Side Information.” Notwithstanding the foregoing, the Borrower shall be under no obligation to mark any Borrower Materials “PUBLIC”.</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6.03 Notices. </w:t>
      </w:r>
      <w:r>
        <w:rPr>
          <w:rFonts w:ascii="Arial" w:cs="Arial" w:eastAsia="Arial" w:hAnsi="Arial"/>
          <w:sz w:val="18"/>
          <w:szCs w:val="18"/>
          <w:color w:val="auto"/>
        </w:rPr>
        <w:t>Promptly notify the Administrative Agent upon knowledge of an Executive Officer of any Loan Party:</w:t>
      </w:r>
    </w:p>
    <w:p>
      <w:pPr>
        <w:spacing w:after="0" w:line="177" w:lineRule="exact"/>
        <w:rPr>
          <w:sz w:val="20"/>
          <w:szCs w:val="20"/>
          <w:color w:val="auto"/>
        </w:rPr>
      </w:pPr>
    </w:p>
    <w:p>
      <w:pPr>
        <w:ind w:left="1160" w:hanging="239"/>
        <w:spacing w:after="0"/>
        <w:tabs>
          <w:tab w:leader="none" w:pos="11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of the occurrence of any Default;</w:t>
      </w:r>
    </w:p>
    <w:p>
      <w:pPr>
        <w:spacing w:after="0" w:line="171" w:lineRule="exact"/>
        <w:rPr>
          <w:rFonts w:ascii="Arial" w:cs="Arial" w:eastAsia="Arial" w:hAnsi="Arial"/>
          <w:sz w:val="18"/>
          <w:szCs w:val="18"/>
          <w:color w:val="auto"/>
        </w:rPr>
      </w:pPr>
    </w:p>
    <w:p>
      <w:pPr>
        <w:jc w:val="both"/>
        <w:ind w:firstLine="921"/>
        <w:spacing w:after="0" w:line="298" w:lineRule="auto"/>
        <w:tabs>
          <w:tab w:leader="none" w:pos="1162" w:val="left"/>
        </w:tabs>
        <w:numPr>
          <w:ilvl w:val="0"/>
          <w:numId w:val="144"/>
        </w:numPr>
        <w:rPr>
          <w:rFonts w:ascii="Arial" w:cs="Arial" w:eastAsia="Arial" w:hAnsi="Arial"/>
          <w:sz w:val="16"/>
          <w:szCs w:val="16"/>
          <w:color w:val="auto"/>
        </w:rPr>
      </w:pPr>
      <w:r>
        <w:rPr>
          <w:rFonts w:ascii="Arial" w:cs="Arial" w:eastAsia="Arial" w:hAnsi="Arial"/>
          <w:sz w:val="16"/>
          <w:szCs w:val="16"/>
          <w:color w:val="auto"/>
        </w:rPr>
        <w:t>of any matter that has resulted or could reasonably be expected to result in a Material Adverse Effect, including (i) breach or non-performance of, or any default under, a Material Contract of any Loan Party, (ii) any dispute, action, litigation, investigation, proceeding or suspension between the Borrower or any of its Subsidiaries and any Governmental Authority, or (iii) the commencement of, or any material development in, any action, litigation, investigation or proceeding affecting the Borrower or any of its Subsidiaries, including pursuant to any applicable Environmental Laws;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280" w:right="239" w:bottom="1440" w:gutter="0" w:footer="0" w:header="0"/>
        </w:sectPr>
      </w:pPr>
    </w:p>
    <w:bookmarkStart w:id="130" w:name="page131"/>
    <w:bookmarkEnd w:id="130"/>
    <w:p>
      <w:pPr>
        <w:ind w:firstLine="921"/>
        <w:spacing w:after="0" w:line="332" w:lineRule="auto"/>
        <w:tabs>
          <w:tab w:leader="none" w:pos="1158" w:val="left"/>
        </w:tabs>
        <w:numPr>
          <w:ilvl w:val="0"/>
          <w:numId w:val="1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the occurrence of any ERISA Event that, alone or together with any other ERISA Events that have occurred, could reasonably be expected to result in liability of the Borrower or any of its Subsidiaries in an aggregate amount equal to or in excess of the Threshold Amount;</w:t>
      </w:r>
    </w:p>
    <w:p>
      <w:pPr>
        <w:spacing w:after="0" w:line="85" w:lineRule="exact"/>
        <w:rPr>
          <w:rFonts w:ascii="Arial" w:cs="Arial" w:eastAsia="Arial" w:hAnsi="Arial"/>
          <w:sz w:val="16"/>
          <w:szCs w:val="16"/>
          <w:color w:val="auto"/>
        </w:rPr>
      </w:pPr>
    </w:p>
    <w:p>
      <w:pPr>
        <w:ind w:left="1160" w:hanging="239"/>
        <w:spacing w:after="0"/>
        <w:tabs>
          <w:tab w:leader="none" w:pos="11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of a determination by the Borrower or its auditor of the occurrence of any Internal Control Event; and</w:t>
      </w:r>
    </w:p>
    <w:p>
      <w:pPr>
        <w:spacing w:after="0" w:line="171" w:lineRule="exact"/>
        <w:rPr>
          <w:rFonts w:ascii="Arial" w:cs="Arial" w:eastAsia="Arial" w:hAnsi="Arial"/>
          <w:sz w:val="18"/>
          <w:szCs w:val="18"/>
          <w:color w:val="auto"/>
        </w:rPr>
      </w:pPr>
    </w:p>
    <w:p>
      <w:pPr>
        <w:ind w:left="1180" w:hanging="259"/>
        <w:spacing w:after="0"/>
        <w:tabs>
          <w:tab w:leader="none" w:pos="118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of any material change in accounting policies or financial reporting practices by any Loan Party that are not generally applicable to other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companies;</w:t>
      </w:r>
    </w:p>
    <w:p>
      <w:pPr>
        <w:spacing w:after="0" w:line="164" w:lineRule="exact"/>
        <w:rPr>
          <w:rFonts w:ascii="Arial" w:cs="Arial" w:eastAsia="Arial" w:hAnsi="Arial"/>
          <w:sz w:val="16"/>
          <w:szCs w:val="16"/>
          <w:color w:val="auto"/>
        </w:rPr>
      </w:pPr>
    </w:p>
    <w:p>
      <w:pPr>
        <w:ind w:left="1140" w:hanging="219"/>
        <w:spacing w:after="0"/>
        <w:tabs>
          <w:tab w:leader="none" w:pos="11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71"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 xml:space="preserve">Each notice pursuant to this </w:t>
      </w:r>
      <w:r>
        <w:rPr>
          <w:rFonts w:ascii="Arial" w:cs="Arial" w:eastAsia="Arial" w:hAnsi="Arial"/>
          <w:sz w:val="16"/>
          <w:szCs w:val="16"/>
          <w:u w:val="single" w:color="auto"/>
          <w:color w:val="auto"/>
        </w:rPr>
        <w:t>Section 6.03</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6.03(f)</w:t>
      </w:r>
      <w:r>
        <w:rPr>
          <w:rFonts w:ascii="Arial" w:cs="Arial" w:eastAsia="Arial" w:hAnsi="Arial"/>
          <w:sz w:val="16"/>
          <w:szCs w:val="16"/>
          <w:color w:val="auto"/>
        </w:rPr>
        <w:t xml:space="preserve">) shall be accompanied by a statement of a Responsible Officer of the Borrower setting forth details of the occurrence referred to therein and stating what action the Borrower has taken and proposes to take with respect thereto. Each notice pursuant to </w:t>
      </w:r>
      <w:r>
        <w:rPr>
          <w:rFonts w:ascii="Arial" w:cs="Arial" w:eastAsia="Arial" w:hAnsi="Arial"/>
          <w:sz w:val="16"/>
          <w:szCs w:val="16"/>
          <w:u w:val="single" w:color="auto"/>
          <w:color w:val="auto"/>
        </w:rPr>
        <w:t>Section 6.03(a)</w:t>
      </w:r>
      <w:r>
        <w:rPr>
          <w:rFonts w:ascii="Arial" w:cs="Arial" w:eastAsia="Arial" w:hAnsi="Arial"/>
          <w:sz w:val="16"/>
          <w:szCs w:val="16"/>
          <w:color w:val="auto"/>
        </w:rPr>
        <w:t xml:space="preserve"> shall describe with particularity any and all provisions of this Agreement and any other Loan Document that have been breached.</w:t>
      </w:r>
    </w:p>
    <w:p>
      <w:pPr>
        <w:spacing w:after="0" w:line="101" w:lineRule="exact"/>
        <w:rPr>
          <w:sz w:val="20"/>
          <w:szCs w:val="20"/>
          <w:color w:val="auto"/>
        </w:rPr>
      </w:pPr>
    </w:p>
    <w:p>
      <w:pPr>
        <w:jc w:val="both"/>
        <w:ind w:firstLine="913"/>
        <w:spacing w:after="0" w:line="293" w:lineRule="auto"/>
        <w:rPr>
          <w:sz w:val="20"/>
          <w:szCs w:val="20"/>
          <w:color w:val="auto"/>
        </w:rPr>
      </w:pPr>
      <w:r>
        <w:rPr>
          <w:rFonts w:ascii="Arial" w:cs="Arial" w:eastAsia="Arial" w:hAnsi="Arial"/>
          <w:sz w:val="16"/>
          <w:szCs w:val="16"/>
          <w:b w:val="1"/>
          <w:bCs w:val="1"/>
          <w:color w:val="auto"/>
        </w:rPr>
        <w:t xml:space="preserve">6.04 Payment of Obligations. </w:t>
      </w:r>
      <w:r>
        <w:rPr>
          <w:rFonts w:ascii="Arial" w:cs="Arial" w:eastAsia="Arial" w:hAnsi="Arial"/>
          <w:sz w:val="16"/>
          <w:szCs w:val="16"/>
          <w:color w:val="auto"/>
        </w:rPr>
        <w:t>Pay and discharge, as the same shall become due and payable, all its obligations and liabilities, including (a) 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Federal, state and other material tax liabilities, fees, assessments and governmental charges or levies upon it or its properties or assets, unless the same are being contested in good faith by appropriate actions or proceedings reasonably conducted and adequate reserves in accordance with GAAP are being maintained by the Borrower or such Subsidiary, (b) all lawful claims which, if unpaid, would by Law become a Lien (other than a Permitted Lien) upon its property, and (c) all Indebtedness (other than Indebtedness the non-payment of which would not result in an Event of Default under </w:t>
      </w:r>
      <w:r>
        <w:rPr>
          <w:rFonts w:ascii="Arial" w:cs="Arial" w:eastAsia="Arial" w:hAnsi="Arial"/>
          <w:sz w:val="16"/>
          <w:szCs w:val="16"/>
          <w:u w:val="single" w:color="auto"/>
          <w:color w:val="auto"/>
        </w:rPr>
        <w:t>Section 8.01(e)</w:t>
      </w:r>
      <w:r>
        <w:rPr>
          <w:rFonts w:ascii="Arial" w:cs="Arial" w:eastAsia="Arial" w:hAnsi="Arial"/>
          <w:sz w:val="16"/>
          <w:szCs w:val="16"/>
          <w:color w:val="auto"/>
        </w:rPr>
        <w:t>), as and when due and payable, but subject to any subordination provisions contained in any instrument or agreement evidencing such Indebtedness.</w:t>
      </w:r>
    </w:p>
    <w:p>
      <w:pPr>
        <w:spacing w:after="0" w:line="111" w:lineRule="exact"/>
        <w:rPr>
          <w:sz w:val="20"/>
          <w:szCs w:val="20"/>
          <w:color w:val="auto"/>
        </w:rPr>
      </w:pPr>
    </w:p>
    <w:p>
      <w:pPr>
        <w:jc w:val="both"/>
        <w:ind w:firstLine="913"/>
        <w:spacing w:after="0" w:line="290" w:lineRule="auto"/>
        <w:rPr>
          <w:sz w:val="20"/>
          <w:szCs w:val="20"/>
          <w:color w:val="auto"/>
        </w:rPr>
      </w:pPr>
      <w:r>
        <w:rPr>
          <w:rFonts w:ascii="Arial" w:cs="Arial" w:eastAsia="Arial" w:hAnsi="Arial"/>
          <w:sz w:val="16"/>
          <w:szCs w:val="16"/>
          <w:b w:val="1"/>
          <w:bCs w:val="1"/>
          <w:color w:val="auto"/>
        </w:rPr>
        <w:t xml:space="preserve">6.05 Preservation of Existence, Etc. </w:t>
      </w:r>
      <w:r>
        <w:rPr>
          <w:rFonts w:ascii="Arial" w:cs="Arial" w:eastAsia="Arial" w:hAnsi="Arial"/>
          <w:sz w:val="16"/>
          <w:szCs w:val="16"/>
          <w:color w:val="auto"/>
        </w:rPr>
        <w:t>(a) Preserve, renew and maintain, in full force and effect its legal existence, legal structure, legal name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good standing under the Laws of the jurisdiction of its incorporation or organization, except in a transaction permitted by </w:t>
      </w:r>
      <w:r>
        <w:rPr>
          <w:rFonts w:ascii="Arial" w:cs="Arial" w:eastAsia="Arial" w:hAnsi="Arial"/>
          <w:sz w:val="16"/>
          <w:szCs w:val="16"/>
          <w:u w:val="single" w:color="auto"/>
          <w:color w:val="auto"/>
        </w:rPr>
        <w:t>Sections 7.04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7.05</w:t>
      </w:r>
      <w:r>
        <w:rPr>
          <w:rFonts w:ascii="Arial" w:cs="Arial" w:eastAsia="Arial" w:hAnsi="Arial"/>
          <w:sz w:val="16"/>
          <w:szCs w:val="16"/>
          <w:color w:val="auto"/>
        </w:rPr>
        <w:t xml:space="preserve">; (b) take all reasonable action to maintain all rights, privileges, permits, licenses, approvals and franchises in each case which are necessary or desirable in the normal conduct of its business, except in a transaction permitted by </w:t>
      </w:r>
      <w:r>
        <w:rPr>
          <w:rFonts w:ascii="Arial" w:cs="Arial" w:eastAsia="Arial" w:hAnsi="Arial"/>
          <w:sz w:val="16"/>
          <w:szCs w:val="16"/>
          <w:u w:val="single" w:color="auto"/>
          <w:color w:val="auto"/>
        </w:rPr>
        <w:t>Sections 7.04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7.05</w:t>
      </w:r>
      <w:r>
        <w:rPr>
          <w:rFonts w:ascii="Arial" w:cs="Arial" w:eastAsia="Arial" w:hAnsi="Arial"/>
          <w:sz w:val="16"/>
          <w:szCs w:val="16"/>
          <w:color w:val="auto"/>
        </w:rPr>
        <w:t>; (c) preserve or renew all of its registered patents, trademarks, trade names and service marks, the non-preservation or non-renewal of which could reasonably be expected to have a Material Adverse Effect; and (d) do all things necessary to maintain, renew, extend or continue in effect all Licenses which may at any time and from time to time be necessary for the Borrower or any of its Subsidiaries to operate its business in compliance with all Laws, except, in each case, where the failure to do so, which individually or in the aggregate, would not reasonably be expected to have a Material Adverse Effect.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280" w:right="239" w:bottom="1440" w:gutter="0" w:footer="0" w:header="0"/>
        </w:sectPr>
      </w:pPr>
    </w:p>
    <w:bookmarkStart w:id="131" w:name="page132"/>
    <w:bookmarkEnd w:id="131"/>
    <w:p>
      <w:pPr>
        <w:jc w:val="both"/>
        <w:ind w:firstLine="913"/>
        <w:spacing w:after="0" w:line="29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6.06 Maintenance of Properties. </w:t>
      </w:r>
      <w:r>
        <w:rPr>
          <w:rFonts w:ascii="Arial" w:cs="Arial" w:eastAsia="Arial" w:hAnsi="Arial"/>
          <w:sz w:val="16"/>
          <w:szCs w:val="16"/>
          <w:color w:val="auto"/>
        </w:rPr>
        <w:t>(a) Maintain, preserve and protect all of its material properties and equipment necessary in the operation of its</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in good working order and condition except to the extent the failure to do so could not reasonably be expected to have a material adverse impact on the operations or business of any Loan Party, ordinary wear and tear and Casualty and Condemnation excepted; (b) make all necessary repairs thereto and renewals and replacements thereof except where the failure to do so could not reasonably be expected to have a Material Adverse Effect; and (c) use the standard of care typical in the industry in the operation and maintenance of its facilities.</w:t>
      </w:r>
    </w:p>
    <w:p>
      <w:pPr>
        <w:spacing w:after="0" w:line="108" w:lineRule="exact"/>
        <w:rPr>
          <w:sz w:val="20"/>
          <w:szCs w:val="20"/>
          <w:color w:val="auto"/>
        </w:rPr>
      </w:pPr>
    </w:p>
    <w:p>
      <w:pPr>
        <w:jc w:val="both"/>
        <w:ind w:firstLine="913"/>
        <w:spacing w:after="0" w:line="283" w:lineRule="auto"/>
        <w:rPr>
          <w:sz w:val="20"/>
          <w:szCs w:val="20"/>
          <w:color w:val="auto"/>
        </w:rPr>
      </w:pPr>
      <w:r>
        <w:rPr>
          <w:rFonts w:ascii="Arial" w:cs="Arial" w:eastAsia="Arial" w:hAnsi="Arial"/>
          <w:sz w:val="16"/>
          <w:szCs w:val="16"/>
          <w:b w:val="1"/>
          <w:bCs w:val="1"/>
          <w:color w:val="auto"/>
        </w:rPr>
        <w:t xml:space="preserve">6.07 Maintenance of Insurance; Certain Proceeds. </w:t>
      </w:r>
      <w:r>
        <w:rPr>
          <w:rFonts w:ascii="Arial" w:cs="Arial" w:eastAsia="Arial" w:hAnsi="Arial"/>
          <w:sz w:val="16"/>
          <w:szCs w:val="16"/>
          <w:color w:val="auto"/>
        </w:rPr>
        <w:t>(a) Maintain with financially sound and reputable insurance companies, insurance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liability insurance and casualty insurance), with respect to its properties and business against loss or damage of the kinds customarily insured against by Persons engaged in the same or similar businesses and owning similar properties in localities where such Borrower or such Subsidiary operates, of such types and in such amounts, with such deductibles and covering such risks, as are customarily carried under similar circumstances by such other Persons (or otherwise required in the Collateral Documents) or with self-insurance programs in the ordinary course of business that are customary for companies in similar businesses and of similar size;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with respect to general liability or product liability insurance, self-insurance exposure will not exceed $10,000,000 in the aggregate in any fiscal year. The Administrative Agent shall be an additional insured or loss payee (loss payee status only applying to first party losses greater than $10,000,000) with respect to any such insurance providing coverage in respect of any Collateral, and the Borrower will give the Administrative Agent thirty</w:t>
      </w:r>
    </w:p>
    <w:p>
      <w:pPr>
        <w:spacing w:after="0" w:line="5" w:lineRule="exact"/>
        <w:rPr>
          <w:sz w:val="20"/>
          <w:szCs w:val="20"/>
          <w:color w:val="auto"/>
        </w:rPr>
      </w:pPr>
    </w:p>
    <w:p>
      <w:pPr>
        <w:ind w:left="340" w:hanging="332"/>
        <w:spacing w:after="0"/>
        <w:tabs>
          <w:tab w:leader="none" w:pos="3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days prior written notice before any such policy or policies shall be materially altered or canceled.</w:t>
      </w:r>
    </w:p>
    <w:p>
      <w:pPr>
        <w:spacing w:after="0" w:line="164" w:lineRule="exact"/>
        <w:rPr>
          <w:rFonts w:ascii="Arial" w:cs="Arial" w:eastAsia="Arial" w:hAnsi="Arial"/>
          <w:sz w:val="18"/>
          <w:szCs w:val="18"/>
          <w:color w:val="auto"/>
        </w:rPr>
      </w:pPr>
    </w:p>
    <w:p>
      <w:pPr>
        <w:jc w:val="both"/>
        <w:ind w:firstLine="921"/>
        <w:spacing w:after="0" w:line="302" w:lineRule="auto"/>
        <w:tabs>
          <w:tab w:leader="none" w:pos="1190" w:val="left"/>
        </w:tabs>
        <w:numPr>
          <w:ilvl w:val="1"/>
          <w:numId w:val="146"/>
        </w:numPr>
        <w:rPr>
          <w:rFonts w:ascii="Arial" w:cs="Arial" w:eastAsia="Arial" w:hAnsi="Arial"/>
          <w:sz w:val="15"/>
          <w:szCs w:val="15"/>
          <w:color w:val="auto"/>
        </w:rPr>
      </w:pPr>
      <w:r>
        <w:rPr>
          <w:rFonts w:ascii="Arial" w:cs="Arial" w:eastAsia="Arial" w:hAnsi="Arial"/>
          <w:sz w:val="15"/>
          <w:szCs w:val="15"/>
          <w:color w:val="auto"/>
        </w:rPr>
        <w:t xml:space="preserve">In connection with the covenants set forth in this </w:t>
      </w:r>
      <w:r>
        <w:rPr>
          <w:rFonts w:ascii="Arial" w:cs="Arial" w:eastAsia="Arial" w:hAnsi="Arial"/>
          <w:sz w:val="15"/>
          <w:szCs w:val="15"/>
          <w:u w:val="single" w:color="auto"/>
          <w:color w:val="auto"/>
        </w:rPr>
        <w:t>Section 6.07</w:t>
      </w:r>
      <w:r>
        <w:rPr>
          <w:rFonts w:ascii="Arial" w:cs="Arial" w:eastAsia="Arial" w:hAnsi="Arial"/>
          <w:sz w:val="15"/>
          <w:szCs w:val="15"/>
          <w:color w:val="auto"/>
        </w:rPr>
        <w:t xml:space="preserve">, it is understood and agreed that except for gross negligence or intentional misconduct, none of the Administrative Agent, the Lenders or their respective agents or employees shall be liable for any loss or damage insured by the insurance policies required to be maintained under this </w:t>
      </w:r>
      <w:r>
        <w:rPr>
          <w:rFonts w:ascii="Arial" w:cs="Arial" w:eastAsia="Arial" w:hAnsi="Arial"/>
          <w:sz w:val="15"/>
          <w:szCs w:val="15"/>
          <w:u w:val="single" w:color="auto"/>
          <w:color w:val="auto"/>
        </w:rPr>
        <w:t>Section 6.07</w:t>
      </w:r>
      <w:r>
        <w:rPr>
          <w:rFonts w:ascii="Arial" w:cs="Arial" w:eastAsia="Arial" w:hAnsi="Arial"/>
          <w:sz w:val="15"/>
          <w:szCs w:val="15"/>
          <w:color w:val="auto"/>
        </w:rPr>
        <w:t>, it being understood that (A) except for gross negligence or intentional misconduct, the Borrower and its Subsidiaries shall look solely to their insurance companies or any other parties other than the aforesaid parties for the recovery of such loss or damage and</w:t>
      </w:r>
    </w:p>
    <w:p>
      <w:pPr>
        <w:spacing w:after="0" w:line="2" w:lineRule="exact"/>
        <w:rPr>
          <w:rFonts w:ascii="Arial" w:cs="Arial" w:eastAsia="Arial" w:hAnsi="Arial"/>
          <w:sz w:val="15"/>
          <w:szCs w:val="15"/>
          <w:color w:val="auto"/>
        </w:rPr>
      </w:pPr>
    </w:p>
    <w:p>
      <w:pPr>
        <w:jc w:val="both"/>
        <w:spacing w:after="0" w:line="254" w:lineRule="auto"/>
        <w:rPr>
          <w:rFonts w:ascii="Arial" w:cs="Arial" w:eastAsia="Arial" w:hAnsi="Arial"/>
          <w:sz w:val="15"/>
          <w:szCs w:val="15"/>
          <w:color w:val="auto"/>
        </w:rPr>
      </w:pPr>
      <w:r>
        <w:rPr>
          <w:rFonts w:ascii="Arial" w:cs="Arial" w:eastAsia="Arial" w:hAnsi="Arial"/>
          <w:sz w:val="18"/>
          <w:szCs w:val="18"/>
          <w:color w:val="auto"/>
        </w:rPr>
        <w:t>(B) to the extent provided in such policies, such insurance companies shall have no rights of subrogation against the Administrative Agent, the Lenders or their agents or employees. If, however, the insurance policies do not provide waiver of subrogation rights against such parties, as required above, then the Borrower shall, and shall cause each Subsidiary to, waive its right to recovery, if any, against the Administrative Agent, the Lenders and their agents and employees, to the extent permitted by Law.</w:t>
      </w:r>
    </w:p>
    <w:p>
      <w:pPr>
        <w:spacing w:after="0" w:line="138" w:lineRule="exact"/>
        <w:rPr>
          <w:sz w:val="20"/>
          <w:szCs w:val="20"/>
          <w:color w:val="auto"/>
        </w:rPr>
      </w:pPr>
    </w:p>
    <w:p>
      <w:pPr>
        <w:jc w:val="both"/>
        <w:ind w:firstLine="913"/>
        <w:spacing w:after="0" w:line="258" w:lineRule="auto"/>
        <w:rPr>
          <w:sz w:val="20"/>
          <w:szCs w:val="20"/>
          <w:color w:val="auto"/>
        </w:rPr>
      </w:pPr>
      <w:r>
        <w:rPr>
          <w:rFonts w:ascii="Arial" w:cs="Arial" w:eastAsia="Arial" w:hAnsi="Arial"/>
          <w:sz w:val="18"/>
          <w:szCs w:val="18"/>
          <w:b w:val="1"/>
          <w:bCs w:val="1"/>
          <w:color w:val="auto"/>
        </w:rPr>
        <w:t xml:space="preserve">6.08 Compliance with Laws. </w:t>
      </w:r>
      <w:r>
        <w:rPr>
          <w:rFonts w:ascii="Arial" w:cs="Arial" w:eastAsia="Arial" w:hAnsi="Arial"/>
          <w:sz w:val="18"/>
          <w:szCs w:val="18"/>
          <w:color w:val="auto"/>
        </w:rPr>
        <w:t>Comply in all material respects with the requirements of all Laws and all orders, writs, injunctions and decrees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to it or to its business or property, except in such instances in which (a) such requirement of Law or order, writ, injunction or decree is being contested in good faith by appropriate actions or proceedings reasonably conducted or (b) the failure to comply therewith could not be reasonably expected to have a Material Adverse Effect.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274" w:right="239" w:bottom="1440" w:gutter="0" w:footer="0" w:header="0"/>
        </w:sectPr>
      </w:pPr>
    </w:p>
    <w:bookmarkStart w:id="132" w:name="page133"/>
    <w:bookmarkEnd w:id="132"/>
    <w:p>
      <w:pPr>
        <w:jc w:val="both"/>
        <w:ind w:firstLine="913"/>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6.09 Books and Records. </w:t>
      </w:r>
      <w:r>
        <w:rPr>
          <w:rFonts w:ascii="Arial" w:cs="Arial" w:eastAsia="Arial" w:hAnsi="Arial"/>
          <w:sz w:val="18"/>
          <w:szCs w:val="18"/>
          <w:color w:val="auto"/>
        </w:rPr>
        <w:t>(a) Maintain proper books of record and account, in which full, true and correct entries in conformity with GAAP</w:t>
      </w:r>
      <w:r>
        <w:rPr>
          <w:rFonts w:ascii="Arial" w:cs="Arial" w:eastAsia="Arial" w:hAnsi="Arial"/>
          <w:sz w:val="18"/>
          <w:szCs w:val="18"/>
          <w:b w:val="1"/>
          <w:bCs w:val="1"/>
          <w:color w:val="auto"/>
        </w:rPr>
        <w:t xml:space="preserve"> </w:t>
      </w:r>
      <w:r>
        <w:rPr>
          <w:rFonts w:ascii="Arial" w:cs="Arial" w:eastAsia="Arial" w:hAnsi="Arial"/>
          <w:sz w:val="18"/>
          <w:szCs w:val="18"/>
          <w:color w:val="auto"/>
        </w:rPr>
        <w:t>consistently applied shall be made of all financial transactions and matters involving the assets and business of the Borrower and its Subsidiaries, as the case may be; and (b) maintain such books of record and account in material conformity with all applicable requirements of any Governmental Authority having regulatory jurisdiction over the Borrower and its Subsidiaries.</w:t>
      </w:r>
    </w:p>
    <w:p>
      <w:pPr>
        <w:spacing w:after="0" w:line="136" w:lineRule="exact"/>
        <w:rPr>
          <w:sz w:val="20"/>
          <w:szCs w:val="20"/>
          <w:color w:val="auto"/>
        </w:rPr>
      </w:pPr>
    </w:p>
    <w:p>
      <w:pPr>
        <w:jc w:val="both"/>
        <w:ind w:firstLine="913"/>
        <w:spacing w:after="0" w:line="290" w:lineRule="auto"/>
        <w:rPr>
          <w:sz w:val="20"/>
          <w:szCs w:val="20"/>
          <w:color w:val="auto"/>
        </w:rPr>
      </w:pPr>
      <w:r>
        <w:rPr>
          <w:rFonts w:ascii="Arial" w:cs="Arial" w:eastAsia="Arial" w:hAnsi="Arial"/>
          <w:sz w:val="16"/>
          <w:szCs w:val="16"/>
          <w:b w:val="1"/>
          <w:bCs w:val="1"/>
          <w:color w:val="auto"/>
        </w:rPr>
        <w:t xml:space="preserve">6.10 Inspection Rights. </w:t>
      </w:r>
      <w:r>
        <w:rPr>
          <w:rFonts w:ascii="Arial" w:cs="Arial" w:eastAsia="Arial" w:hAnsi="Arial"/>
          <w:sz w:val="16"/>
          <w:szCs w:val="16"/>
          <w:color w:val="auto"/>
        </w:rPr>
        <w:t>Permit representatives and independent contractors of the Administrative Agent and each Lender to visit and inspect any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its properties, to examine its corporate, financial and operating records, and make copies thereof or abstracts therefrom, and to discuss its affairs, finances and accounts with its directors, officers, and independent public accountants, all at the expense of Administrative Agent or such Lender and at such reasonable times during normal business hours and as often as may be reasonably desired, upon reasonable advance notice to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when an Event of Default exists the Administrative Agent or any Lender (or any of their respective representatives or independent contractors) may do any of the foregoing at the expense of the Borrower at any time during normal business hours and without advance notice. The Borrower agrees that the Administrative Agent and its representatives may conduct an annual audit of the Collateral, at the expense of the Borrower. Administrative Agent, Lenders and such contractors shall comply with any safety or confidentiality rules adopted by Borrower.</w:t>
      </w:r>
    </w:p>
    <w:p>
      <w:pPr>
        <w:spacing w:after="0" w:line="112"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5"/>
          <w:szCs w:val="15"/>
          <w:b w:val="1"/>
          <w:bCs w:val="1"/>
          <w:color w:val="auto"/>
        </w:rPr>
        <w:t xml:space="preserve">6.11 Further Assurances with Respect to Additional Loan Parties. </w:t>
      </w:r>
      <w:r>
        <w:rPr>
          <w:rFonts w:ascii="Arial" w:cs="Arial" w:eastAsia="Arial" w:hAnsi="Arial"/>
          <w:sz w:val="15"/>
          <w:szCs w:val="15"/>
          <w:color w:val="auto"/>
        </w:rPr>
        <w:t>(a) (i) Notify the Administrative Agent at the time that any Person becomes a</w:t>
      </w:r>
      <w:r>
        <w:rPr>
          <w:rFonts w:ascii="Arial" w:cs="Arial" w:eastAsia="Arial" w:hAnsi="Arial"/>
          <w:sz w:val="15"/>
          <w:szCs w:val="15"/>
          <w:b w:val="1"/>
          <w:bCs w:val="1"/>
          <w:color w:val="auto"/>
        </w:rPr>
        <w:t xml:space="preserve"> </w:t>
      </w:r>
      <w:r>
        <w:rPr>
          <w:rFonts w:ascii="Arial" w:cs="Arial" w:eastAsia="Arial" w:hAnsi="Arial"/>
          <w:sz w:val="15"/>
          <w:szCs w:val="15"/>
          <w:color w:val="auto"/>
        </w:rPr>
        <w:t>direct or indirect Subsidiary of a Loan Party, (ii) promptly thereafter (and in any event within sixty (60) days), cause such Person, unless such Person is an Excluded Subsidiary, to execute and deliver a Joinder Agreement and such other documents as the Administrative Agent shall deem appropriate for such purpose,</w:t>
      </w:r>
    </w:p>
    <w:p>
      <w:pPr>
        <w:spacing w:after="0" w:line="1" w:lineRule="exact"/>
        <w:rPr>
          <w:sz w:val="20"/>
          <w:szCs w:val="20"/>
          <w:color w:val="auto"/>
        </w:rPr>
      </w:pPr>
    </w:p>
    <w:p>
      <w:pPr>
        <w:jc w:val="both"/>
        <w:ind w:firstLine="8"/>
        <w:spacing w:after="0" w:line="286" w:lineRule="auto"/>
        <w:tabs>
          <w:tab w:leader="none" w:pos="32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 xml:space="preserve">promptly thereafter (and in any event within sixty (60) days), unless such Person is an Excluded Subsidiary, pledge and maintain a pledge of one hundred percent (100%) of the Equity Interests of such Subsidiary (subject to no Liens), and (iv) promptly thereafter (and in any event within sixty (60) days), unless such Person is an Excluded Subsidiary, deliver, and cause such Person to deliver, to the Administrative Agent documents of the types referred to in clauses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w:t>
      </w:r>
      <w:r>
        <w:rPr>
          <w:rFonts w:ascii="Arial" w:cs="Arial" w:eastAsia="Arial" w:hAnsi="Arial"/>
          <w:sz w:val="16"/>
          <w:szCs w:val="16"/>
          <w:u w:val="single" w:color="auto"/>
          <w:color w:val="auto"/>
        </w:rPr>
        <w:t>(ix)</w:t>
      </w:r>
      <w:r>
        <w:rPr>
          <w:rFonts w:ascii="Arial" w:cs="Arial" w:eastAsia="Arial" w:hAnsi="Arial"/>
          <w:sz w:val="16"/>
          <w:szCs w:val="16"/>
          <w:color w:val="auto"/>
        </w:rPr>
        <w:t xml:space="preserve">, </w:t>
      </w:r>
      <w:r>
        <w:rPr>
          <w:rFonts w:ascii="Arial" w:cs="Arial" w:eastAsia="Arial" w:hAnsi="Arial"/>
          <w:sz w:val="16"/>
          <w:szCs w:val="16"/>
          <w:u w:val="single" w:color="auto"/>
          <w:color w:val="auto"/>
        </w:rPr>
        <w:t>(x)</w:t>
      </w:r>
      <w:r>
        <w:rPr>
          <w:rFonts w:ascii="Arial" w:cs="Arial" w:eastAsia="Arial" w:hAnsi="Arial"/>
          <w:sz w:val="16"/>
          <w:szCs w:val="16"/>
          <w:color w:val="auto"/>
        </w:rPr>
        <w:t xml:space="preserve">, </w:t>
      </w:r>
      <w:r>
        <w:rPr>
          <w:rFonts w:ascii="Arial" w:cs="Arial" w:eastAsia="Arial" w:hAnsi="Arial"/>
          <w:sz w:val="16"/>
          <w:szCs w:val="16"/>
          <w:u w:val="single" w:color="auto"/>
          <w:color w:val="auto"/>
        </w:rPr>
        <w:t>(xi)</w:t>
      </w:r>
      <w:r>
        <w:rPr>
          <w:rFonts w:ascii="Arial" w:cs="Arial" w:eastAsia="Arial" w:hAnsi="Arial"/>
          <w:sz w:val="16"/>
          <w:szCs w:val="16"/>
          <w:color w:val="auto"/>
        </w:rPr>
        <w:t xml:space="preserve">, </w:t>
      </w:r>
      <w:r>
        <w:rPr>
          <w:rFonts w:ascii="Arial" w:cs="Arial" w:eastAsia="Arial" w:hAnsi="Arial"/>
          <w:sz w:val="16"/>
          <w:szCs w:val="16"/>
          <w:u w:val="single" w:color="auto"/>
          <w:color w:val="auto"/>
        </w:rPr>
        <w:t>(xii)</w:t>
      </w:r>
      <w:r>
        <w:rPr>
          <w:rFonts w:ascii="Arial" w:cs="Arial" w:eastAsia="Arial" w:hAnsi="Arial"/>
          <w:sz w:val="16"/>
          <w:szCs w:val="16"/>
          <w:color w:val="auto"/>
        </w:rPr>
        <w:t xml:space="preserve">, </w:t>
      </w:r>
      <w:r>
        <w:rPr>
          <w:rFonts w:ascii="Arial" w:cs="Arial" w:eastAsia="Arial" w:hAnsi="Arial"/>
          <w:sz w:val="16"/>
          <w:szCs w:val="16"/>
          <w:u w:val="single" w:color="auto"/>
          <w:color w:val="auto"/>
        </w:rPr>
        <w:t>(xiii)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(xiv)</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4.01(a)</w:t>
      </w:r>
      <w:r>
        <w:rPr>
          <w:rFonts w:ascii="Arial" w:cs="Arial" w:eastAsia="Arial" w:hAnsi="Arial"/>
          <w:sz w:val="16"/>
          <w:szCs w:val="16"/>
          <w:color w:val="auto"/>
        </w:rPr>
        <w:t xml:space="preserve"> and favorable opinions of counsel to the Borrower and such Subsidiary (which shall cover, among other things, the legality, validity, binding effect and enforceability of the documentation referred to in subsection (a) of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all in form, content and scope reasonably satisfactory to the Administrative Agent. It is understood and agreed that Property acquired (x) in a Permitted Acquisition that secures Indebtedness permitted pursuant to </w:t>
      </w:r>
      <w:r>
        <w:rPr>
          <w:rFonts w:ascii="Arial" w:cs="Arial" w:eastAsia="Arial" w:hAnsi="Arial"/>
          <w:sz w:val="16"/>
          <w:szCs w:val="16"/>
          <w:u w:val="single" w:color="auto"/>
          <w:color w:val="auto"/>
        </w:rPr>
        <w:t>Section 7.03(g)(x)</w:t>
      </w:r>
      <w:r>
        <w:rPr>
          <w:rFonts w:ascii="Arial" w:cs="Arial" w:eastAsia="Arial" w:hAnsi="Arial"/>
          <w:sz w:val="16"/>
          <w:szCs w:val="16"/>
          <w:color w:val="auto"/>
        </w:rPr>
        <w:t xml:space="preserve"> and (y) with purchase money Indebtedness permitted pursuant to </w:t>
      </w:r>
      <w:r>
        <w:rPr>
          <w:rFonts w:ascii="Arial" w:cs="Arial" w:eastAsia="Arial" w:hAnsi="Arial"/>
          <w:sz w:val="16"/>
          <w:szCs w:val="16"/>
          <w:u w:val="single" w:color="auto"/>
          <w:color w:val="auto"/>
        </w:rPr>
        <w:t>Section 7.03(g)(y)</w:t>
      </w:r>
      <w:r>
        <w:rPr>
          <w:rFonts w:ascii="Arial" w:cs="Arial" w:eastAsia="Arial" w:hAnsi="Arial"/>
          <w:sz w:val="16"/>
          <w:szCs w:val="16"/>
          <w:color w:val="auto"/>
        </w:rPr>
        <w:t xml:space="preserve"> (collectively, “</w:t>
      </w:r>
      <w:r>
        <w:rPr>
          <w:rFonts w:ascii="Arial" w:cs="Arial" w:eastAsia="Arial" w:hAnsi="Arial"/>
          <w:sz w:val="16"/>
          <w:szCs w:val="16"/>
          <w:u w:val="single" w:color="auto"/>
          <w:color w:val="auto"/>
        </w:rPr>
        <w:t>Liened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Property</w:t>
      </w:r>
      <w:r>
        <w:rPr>
          <w:rFonts w:ascii="Arial" w:cs="Arial" w:eastAsia="Arial" w:hAnsi="Arial"/>
          <w:sz w:val="16"/>
          <w:szCs w:val="16"/>
          <w:color w:val="auto"/>
        </w:rPr>
        <w:t xml:space="preserve">”), that is of the same type as the Collateral securing the Obligations, is not required to be Collateral for the Obligations until the date that is thirty (30) days following the date the Indebtedness that the Liened Property secures is repaid. Any UCC financing statements required to be delivered pursuant to </w:t>
      </w:r>
      <w:r>
        <w:rPr>
          <w:rFonts w:ascii="Arial" w:cs="Arial" w:eastAsia="Arial" w:hAnsi="Arial"/>
          <w:sz w:val="16"/>
          <w:szCs w:val="16"/>
          <w:u w:val="single" w:color="auto"/>
          <w:color w:val="auto"/>
        </w:rPr>
        <w:t>Section 4.01(a)(xii)</w:t>
      </w:r>
      <w:r>
        <w:rPr>
          <w:rFonts w:ascii="Arial" w:cs="Arial" w:eastAsia="Arial" w:hAnsi="Arial"/>
          <w:sz w:val="16"/>
          <w:szCs w:val="16"/>
          <w:color w:val="auto"/>
        </w:rPr>
        <w:t xml:space="preserve"> shall not cover any Liened Property until required by the terms of this </w:t>
      </w:r>
      <w:r>
        <w:rPr>
          <w:rFonts w:ascii="Arial" w:cs="Arial" w:eastAsia="Arial" w:hAnsi="Arial"/>
          <w:sz w:val="16"/>
          <w:szCs w:val="16"/>
          <w:u w:val="single" w:color="auto"/>
          <w:color w:val="auto"/>
        </w:rPr>
        <w:t>Section 6.11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6.12</w:t>
      </w:r>
      <w:r>
        <w:rPr>
          <w:rFonts w:ascii="Arial" w:cs="Arial" w:eastAsia="Arial" w:hAnsi="Arial"/>
          <w:sz w:val="16"/>
          <w:szCs w:val="16"/>
          <w:color w:val="auto"/>
        </w:rPr>
        <w:t>.</w:t>
      </w:r>
    </w:p>
    <w:p>
      <w:pPr>
        <w:spacing w:after="0" w:line="124" w:lineRule="exact"/>
        <w:rPr>
          <w:rFonts w:ascii="Arial" w:cs="Arial" w:eastAsia="Arial" w:hAnsi="Arial"/>
          <w:sz w:val="16"/>
          <w:szCs w:val="16"/>
          <w:color w:val="auto"/>
        </w:rPr>
      </w:pPr>
    </w:p>
    <w:p>
      <w:pPr>
        <w:ind w:firstLine="464"/>
        <w:spacing w:after="0" w:line="268" w:lineRule="auto"/>
        <w:tabs>
          <w:tab w:leader="none" w:pos="724" w:val="left"/>
        </w:tabs>
        <w:numPr>
          <w:ilvl w:val="1"/>
          <w:numId w:val="147"/>
        </w:numPr>
        <w:rPr>
          <w:rFonts w:ascii="Arial" w:cs="Arial" w:eastAsia="Arial" w:hAnsi="Arial"/>
          <w:sz w:val="18"/>
          <w:szCs w:val="18"/>
          <w:color w:val="auto"/>
        </w:rPr>
      </w:pPr>
      <w:r>
        <w:rPr>
          <w:rFonts w:ascii="Arial" w:cs="Arial" w:eastAsia="Arial" w:hAnsi="Arial"/>
          <w:sz w:val="18"/>
          <w:szCs w:val="18"/>
          <w:color w:val="auto"/>
        </w:rPr>
        <w:t xml:space="preserve">If at the time of delivery of a Compliance Certificate in accordance with </w:t>
      </w:r>
      <w:r>
        <w:rPr>
          <w:rFonts w:ascii="Arial" w:cs="Arial" w:eastAsia="Arial" w:hAnsi="Arial"/>
          <w:sz w:val="18"/>
          <w:szCs w:val="18"/>
          <w:u w:val="single" w:color="auto"/>
          <w:color w:val="auto"/>
        </w:rPr>
        <w:t>Section 6.02(b)</w:t>
      </w:r>
      <w:r>
        <w:rPr>
          <w:rFonts w:ascii="Arial" w:cs="Arial" w:eastAsia="Arial" w:hAnsi="Arial"/>
          <w:sz w:val="18"/>
          <w:szCs w:val="18"/>
          <w:color w:val="auto"/>
        </w:rPr>
        <w:t xml:space="preserve"> the Consolidated EBITDA for the four consecutive fiscal quarters then ended of all Excluded Subsidiaries that are Domestic Subsidiaries exceeds five percent (5.0%) of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274" w:right="239" w:bottom="1440" w:gutter="0" w:footer="0" w:header="0"/>
        </w:sectPr>
      </w:pPr>
    </w:p>
    <w:bookmarkStart w:id="133" w:name="page134"/>
    <w:bookmarkEnd w:id="13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Consolidated EBITDA for such period of the Borrower and its Domestic Subsidiaries, the Borrower shall deliver notice to the Administrative Agent within five</w:t>
      </w:r>
    </w:p>
    <w:p>
      <w:pPr>
        <w:spacing w:after="0" w:line="38" w:lineRule="exact"/>
        <w:rPr>
          <w:sz w:val="20"/>
          <w:szCs w:val="20"/>
          <w:color w:val="auto"/>
        </w:rPr>
      </w:pPr>
    </w:p>
    <w:p>
      <w:pPr>
        <w:jc w:val="both"/>
        <w:ind w:firstLine="8"/>
        <w:spacing w:after="0" w:line="285" w:lineRule="auto"/>
        <w:tabs>
          <w:tab w:leader="none" w:pos="256" w:val="left"/>
        </w:tabs>
        <w:numPr>
          <w:ilvl w:val="0"/>
          <w:numId w:val="148"/>
        </w:numPr>
        <w:rPr>
          <w:rFonts w:ascii="Arial" w:cs="Arial" w:eastAsia="Arial" w:hAnsi="Arial"/>
          <w:sz w:val="16"/>
          <w:szCs w:val="16"/>
          <w:color w:val="auto"/>
        </w:rPr>
      </w:pPr>
      <w:r>
        <w:rPr>
          <w:rFonts w:ascii="Arial" w:cs="Arial" w:eastAsia="Arial" w:hAnsi="Arial"/>
          <w:sz w:val="16"/>
          <w:szCs w:val="16"/>
          <w:color w:val="auto"/>
        </w:rPr>
        <w:t xml:space="preserve">Business Days of such date designating one or more Domestic Subsidiaries that will be removed as Excluded Subsidiaries so that the Consolidated EBITDA of all remaining Excluded Subsidiaries that are Domestic Subsidiaries does not exceed five percent (5.0%) of the Consolidated EBITDA for such period of the Borrower and its Domestic Subsidiaries. In addition, Borrower, at its option at any time from time to time, may deliver notice to the Administrative Agent that it is designating a Domestic Subsidiary as an Excluded Subsidiary or discontinuing the designation of a Domestic Subsidiary as an Excluded Subsidiary so long as, after giving effect to such designations or discontinuation of designations, the Consolidated EBITDA for the consecutive four quarter period most recently ended of all Excluded Subsidiaries that are Domestic Subsidiaries does not exceed five percent (5.0%) of the Consolidated EBITDA for such period of the Borrower and its Domestic Subsidiaries, calculated on a Pro Forma Basis as of such date. The removal of the designation of any Domestic Subsidiary as an Excluded Subsidiary at any time in accordance herewith (and, to the extent such removal of designation must be effective to permit the designation of another Domestic Subsidiary as an Excluded Subsidiary in accordance herewith, such designation) only shall become effective on the date that the Borrower has complied with </w:t>
      </w:r>
      <w:r>
        <w:rPr>
          <w:rFonts w:ascii="Arial" w:cs="Arial" w:eastAsia="Arial" w:hAnsi="Arial"/>
          <w:sz w:val="16"/>
          <w:szCs w:val="16"/>
          <w:u w:val="single" w:color="auto"/>
          <w:color w:val="auto"/>
        </w:rPr>
        <w:t>Section 6.11(a)</w:t>
      </w:r>
      <w:r>
        <w:rPr>
          <w:rFonts w:ascii="Arial" w:cs="Arial" w:eastAsia="Arial" w:hAnsi="Arial"/>
          <w:sz w:val="16"/>
          <w:szCs w:val="16"/>
          <w:color w:val="auto"/>
        </w:rPr>
        <w:t xml:space="preserve"> with respect to such Domestic Subsidiary. For the avoidance of doubt, designation of a Domestic Subsidiary as an Excluded Subsidiary in accordance herewith may be used to effect a cure of any Default or Event of Default arising solely with respect to such Domestic Subsidiary (so long as the event giving rise to such Default or Event of Default would not constitute, and the designation of such Domestic Subsidiary as an Excluded Subsidiary would not otherwise give rise to, a Default or Event of Default with respect to Excluded Subsidiaries).</w:t>
      </w:r>
    </w:p>
    <w:p>
      <w:pPr>
        <w:spacing w:after="0" w:line="119" w:lineRule="exact"/>
        <w:rPr>
          <w:sz w:val="20"/>
          <w:szCs w:val="20"/>
          <w:color w:val="auto"/>
        </w:rPr>
      </w:pPr>
    </w:p>
    <w:p>
      <w:pPr>
        <w:jc w:val="both"/>
        <w:ind w:firstLine="913"/>
        <w:spacing w:after="0" w:line="288" w:lineRule="auto"/>
        <w:rPr>
          <w:sz w:val="20"/>
          <w:szCs w:val="20"/>
          <w:color w:val="auto"/>
        </w:rPr>
      </w:pPr>
      <w:r>
        <w:rPr>
          <w:rFonts w:ascii="Arial" w:cs="Arial" w:eastAsia="Arial" w:hAnsi="Arial"/>
          <w:sz w:val="16"/>
          <w:szCs w:val="16"/>
          <w:b w:val="1"/>
          <w:bCs w:val="1"/>
          <w:color w:val="auto"/>
        </w:rPr>
        <w:t xml:space="preserve">6.12 Further Assurances with Respect to Additional Collateral. </w:t>
      </w:r>
      <w:r>
        <w:rPr>
          <w:rFonts w:ascii="Arial" w:cs="Arial" w:eastAsia="Arial" w:hAnsi="Arial"/>
          <w:sz w:val="16"/>
          <w:szCs w:val="16"/>
          <w:color w:val="auto"/>
        </w:rPr>
        <w:t>Execute, any and all further documents, financing statements, agreements and</w:t>
      </w:r>
      <w:r>
        <w:rPr>
          <w:rFonts w:ascii="Arial" w:cs="Arial" w:eastAsia="Arial" w:hAnsi="Arial"/>
          <w:sz w:val="16"/>
          <w:szCs w:val="16"/>
          <w:b w:val="1"/>
          <w:bCs w:val="1"/>
          <w:color w:val="auto"/>
        </w:rPr>
        <w:t xml:space="preserve"> </w:t>
      </w:r>
      <w:r>
        <w:rPr>
          <w:rFonts w:ascii="Arial" w:cs="Arial" w:eastAsia="Arial" w:hAnsi="Arial"/>
          <w:sz w:val="16"/>
          <w:szCs w:val="16"/>
          <w:color w:val="auto"/>
        </w:rPr>
        <w:t>instruments, and take all such further actions (including the filing and recording of financing statements and other documents), which may be required under any applicable Law, or which the Administrative Agent or the Required Lenders may reasonably request, to comply with the terms of this Agreement and the other Loan Documents, including causing, to the fullest extent permitted by Law, (i) the Collateral to be subject to a first priority security interest in favor of the Administrative Agent (subject, in the case of non-possessory security interests, to the Permitted Liens) and (ii) the pledge of the Equity Interests of the Borrower and its Subsidiaries which is subject to a pledge pursuant to the Pledge Agreement, in each case to secure all the Obligations, all at the expense of the Borrower. The Borrower also agrees to provide to the Administrative Agent, from time to time upon the Administrative Agent’s reasonable request, evidence reasonably satisfactory to the Administrative Agent as to the validity, perfection and priority of the Liens created or intended to be created by the Loan Documents. It is understood and agreed that Liened Property that is of the same type as the Collateral securing the Obligations is not required to be Collateral for the Obligations until the date that is ten (10) Business Days following the date the Indebtedness that the Liened Property secures is repaid.</w:t>
      </w:r>
    </w:p>
    <w:p>
      <w:pPr>
        <w:spacing w:after="0" w:line="115" w:lineRule="exact"/>
        <w:rPr>
          <w:sz w:val="20"/>
          <w:szCs w:val="20"/>
          <w:color w:val="auto"/>
        </w:rPr>
      </w:pPr>
    </w:p>
    <w:p>
      <w:pPr>
        <w:jc w:val="both"/>
        <w:ind w:firstLine="913"/>
        <w:spacing w:after="0" w:line="258" w:lineRule="auto"/>
        <w:rPr>
          <w:sz w:val="20"/>
          <w:szCs w:val="20"/>
          <w:color w:val="auto"/>
        </w:rPr>
      </w:pPr>
      <w:r>
        <w:rPr>
          <w:rFonts w:ascii="Arial" w:cs="Arial" w:eastAsia="Arial" w:hAnsi="Arial"/>
          <w:sz w:val="18"/>
          <w:szCs w:val="18"/>
          <w:b w:val="1"/>
          <w:bCs w:val="1"/>
          <w:color w:val="auto"/>
        </w:rPr>
        <w:t xml:space="preserve">6.13 Performance of Material Contracts, etc. </w:t>
      </w:r>
      <w:r>
        <w:rPr>
          <w:rFonts w:ascii="Arial" w:cs="Arial" w:eastAsia="Arial" w:hAnsi="Arial"/>
          <w:sz w:val="18"/>
          <w:szCs w:val="18"/>
          <w:color w:val="auto"/>
        </w:rPr>
        <w:t>Do the following: (a) perform and observe all the terms and provisions of each Material Contract to</w:t>
      </w:r>
      <w:r>
        <w:rPr>
          <w:rFonts w:ascii="Arial" w:cs="Arial" w:eastAsia="Arial" w:hAnsi="Arial"/>
          <w:sz w:val="18"/>
          <w:szCs w:val="18"/>
          <w:b w:val="1"/>
          <w:bCs w:val="1"/>
          <w:color w:val="auto"/>
        </w:rPr>
        <w:t xml:space="preserve"> </w:t>
      </w:r>
      <w:r>
        <w:rPr>
          <w:rFonts w:ascii="Arial" w:cs="Arial" w:eastAsia="Arial" w:hAnsi="Arial"/>
          <w:sz w:val="18"/>
          <w:szCs w:val="18"/>
          <w:color w:val="auto"/>
        </w:rPr>
        <w:t>be performed or observed by it; and (b) maintain each such Material Contract in full force and effect and enforce each such Material Contract in accordance with its terms, except, in the case of either (a) or (b), where the failure to do so, either individually or in the aggregate, and after giving effect to any replacement thereof, could not be reasonably likely to have a Material Adverse Effect.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280" w:right="239" w:bottom="1440" w:gutter="0" w:footer="0" w:header="0"/>
        </w:sectPr>
      </w:pPr>
    </w:p>
    <w:bookmarkStart w:id="134" w:name="page135"/>
    <w:bookmarkEnd w:id="134"/>
    <w:p>
      <w:pPr>
        <w:jc w:val="both"/>
        <w:ind w:firstLine="913"/>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6.14 Use of Proceeds. </w:t>
      </w:r>
      <w:r>
        <w:rPr>
          <w:rFonts w:ascii="Arial" w:cs="Arial" w:eastAsia="Arial" w:hAnsi="Arial"/>
          <w:sz w:val="18"/>
          <w:szCs w:val="18"/>
          <w:color w:val="auto"/>
        </w:rPr>
        <w:t>Use the proceeds of the Loans solely for the purposes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5.19</w:t>
      </w:r>
      <w:r>
        <w:rPr>
          <w:rFonts w:ascii="Arial" w:cs="Arial" w:eastAsia="Arial" w:hAnsi="Arial"/>
          <w:sz w:val="18"/>
          <w:szCs w:val="18"/>
          <w:color w:val="auto"/>
        </w:rPr>
        <w:t>. Use the proceeds of the Swing Line Loans</w:t>
      </w:r>
      <w:r>
        <w:rPr>
          <w:rFonts w:ascii="Arial" w:cs="Arial" w:eastAsia="Arial" w:hAnsi="Arial"/>
          <w:sz w:val="18"/>
          <w:szCs w:val="18"/>
          <w:b w:val="1"/>
          <w:bCs w:val="1"/>
          <w:color w:val="auto"/>
        </w:rPr>
        <w:t xml:space="preserve"> </w:t>
      </w:r>
      <w:r>
        <w:rPr>
          <w:rFonts w:ascii="Arial" w:cs="Arial" w:eastAsia="Arial" w:hAnsi="Arial"/>
          <w:sz w:val="18"/>
          <w:szCs w:val="18"/>
          <w:color w:val="auto"/>
        </w:rPr>
        <w:t>solely to provide for the working capital requirements of the Borrower and its Subsidiaries and for the general corporate purposes of the Borrower and its Subsidiaries not in contravention of Laws or any Loan Document. Use the Letters of Credit only for or in connection with appeal bonds, reimbursement obligations arising in connection with surety and reclamation bonds, reinsurance, trade transactions and other obligations relating to transactions entered into by the Borrower and its Subsidiaries in the ordinary course of business.</w:t>
      </w:r>
    </w:p>
    <w:p>
      <w:pPr>
        <w:spacing w:after="0" w:line="139" w:lineRule="exact"/>
        <w:rPr>
          <w:sz w:val="20"/>
          <w:szCs w:val="20"/>
          <w:color w:val="auto"/>
        </w:rPr>
      </w:pPr>
    </w:p>
    <w:p>
      <w:pPr>
        <w:jc w:val="both"/>
        <w:ind w:firstLine="913"/>
        <w:spacing w:after="0" w:line="290" w:lineRule="auto"/>
        <w:rPr>
          <w:sz w:val="20"/>
          <w:szCs w:val="20"/>
          <w:color w:val="auto"/>
        </w:rPr>
      </w:pPr>
      <w:r>
        <w:rPr>
          <w:rFonts w:ascii="Arial" w:cs="Arial" w:eastAsia="Arial" w:hAnsi="Arial"/>
          <w:sz w:val="16"/>
          <w:szCs w:val="16"/>
          <w:b w:val="1"/>
          <w:bCs w:val="1"/>
          <w:color w:val="auto"/>
        </w:rPr>
        <w:t xml:space="preserve">6.15 Environmental. </w:t>
      </w:r>
      <w:r>
        <w:rPr>
          <w:rFonts w:ascii="Arial" w:cs="Arial" w:eastAsia="Arial" w:hAnsi="Arial"/>
          <w:sz w:val="16"/>
          <w:szCs w:val="16"/>
          <w:color w:val="auto"/>
        </w:rPr>
        <w:t>(a) Upon the reasonable written request of the Administrative Agent following the occurrence of any event or the discovery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any condition that the Administrative Agent or the Required Lenders reasonably believe has caused (or could be reasonably expected to cause) the representations and warranties set forth in </w:t>
      </w:r>
      <w:r>
        <w:rPr>
          <w:rFonts w:ascii="Arial" w:cs="Arial" w:eastAsia="Arial" w:hAnsi="Arial"/>
          <w:sz w:val="16"/>
          <w:szCs w:val="16"/>
          <w:u w:val="single" w:color="auto"/>
          <w:color w:val="auto"/>
        </w:rPr>
        <w:t>Section 5.13</w:t>
      </w:r>
      <w:r>
        <w:rPr>
          <w:rFonts w:ascii="Arial" w:cs="Arial" w:eastAsia="Arial" w:hAnsi="Arial"/>
          <w:sz w:val="16"/>
          <w:szCs w:val="16"/>
          <w:color w:val="auto"/>
        </w:rPr>
        <w:t xml:space="preserve"> to be untrue in any material respect, furnish or cause to be furnished to the Administrative Agent, at the Borrower’s expense, a report of an environmental assessment of reasonable scope, form and depth, (including, where required by applicable Laws, invasive soil or groundwater sampling) by a consultant reasonably acceptable to the Administrative Agent as to the nature and extent of the presence of Hazardous Materials on the applicable Subject Property and as to the compliance by the Borrower and its Subsidiaries with Environmental Laws at such Subject Property; provided that if Borrower is in the process of working with a Governmental Authority to address such event or condition, Borrower shall provide Administrative Agent with copies of all assessments, reports and other materials being provided to such Governmental Authority in lieu of the environmental assessments required above.</w:t>
      </w:r>
    </w:p>
    <w:p>
      <w:pPr>
        <w:spacing w:after="0" w:line="118" w:lineRule="exact"/>
        <w:rPr>
          <w:sz w:val="20"/>
          <w:szCs w:val="20"/>
          <w:color w:val="auto"/>
        </w:rPr>
      </w:pPr>
    </w:p>
    <w:p>
      <w:pPr>
        <w:jc w:val="both"/>
        <w:ind w:firstLine="921"/>
        <w:spacing w:after="0" w:line="256" w:lineRule="auto"/>
        <w:tabs>
          <w:tab w:leader="none" w:pos="118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Conduct and complete all investigations, studies, sampling, and testing and all remedial, removal, and other actions necessary to address all Hazardous Materials on, from or affecting any of the Subject Properties to the extent necessary to be in compliance with all Environmental Laws and with the validly issued orders and directives of all Governmental Authorities with jurisdiction over such Subject Properties to the extent any failure could have a Material Adverse Effect.</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NEGATIVE COVENANTS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So long as any Lender shall have any Commitment hereunder, any Loan or other Obligation hereunder shall remain unpaid or unsatisfied, or 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Letter of Credit shall remain outstanding, the Borrower shall not, directly or indirectly, nor shall it permit any Subsidiary to, directly or indirectly:</w:t>
      </w:r>
    </w:p>
    <w:p>
      <w:pPr>
        <w:spacing w:after="0" w:line="159" w:lineRule="exact"/>
        <w:rPr>
          <w:sz w:val="20"/>
          <w:szCs w:val="20"/>
          <w:color w:val="auto"/>
        </w:rPr>
      </w:pPr>
    </w:p>
    <w:p>
      <w:pPr>
        <w:ind w:firstLine="913"/>
        <w:spacing w:after="0" w:line="275" w:lineRule="auto"/>
        <w:rPr>
          <w:sz w:val="20"/>
          <w:szCs w:val="20"/>
          <w:color w:val="auto"/>
        </w:rPr>
      </w:pPr>
      <w:r>
        <w:rPr>
          <w:rFonts w:ascii="Arial" w:cs="Arial" w:eastAsia="Arial" w:hAnsi="Arial"/>
          <w:sz w:val="18"/>
          <w:szCs w:val="18"/>
          <w:b w:val="1"/>
          <w:bCs w:val="1"/>
          <w:color w:val="auto"/>
        </w:rPr>
        <w:t xml:space="preserve">7.01 Liens. </w:t>
      </w:r>
      <w:r>
        <w:rPr>
          <w:rFonts w:ascii="Arial" w:cs="Arial" w:eastAsia="Arial" w:hAnsi="Arial"/>
          <w:sz w:val="18"/>
          <w:szCs w:val="18"/>
          <w:color w:val="auto"/>
        </w:rPr>
        <w:t>Create, incur, assume or suffer to exist any Lien upon any of its property, assets or revenues, whether now owned or hereafter acquired,</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 the following (with such Liens described below being referred to herein as “</w:t>
      </w:r>
      <w:r>
        <w:rPr>
          <w:rFonts w:ascii="Arial" w:cs="Arial" w:eastAsia="Arial" w:hAnsi="Arial"/>
          <w:sz w:val="18"/>
          <w:szCs w:val="18"/>
          <w:u w:val="single" w:color="auto"/>
          <w:color w:val="auto"/>
        </w:rPr>
        <w:t>Permitted Liens</w:t>
      </w:r>
      <w:r>
        <w:rPr>
          <w:rFonts w:ascii="Arial" w:cs="Arial" w:eastAsia="Arial" w:hAnsi="Arial"/>
          <w:sz w:val="18"/>
          <w:szCs w:val="18"/>
          <w:color w:val="auto"/>
        </w:rPr>
        <w:t>”):</w:t>
      </w:r>
    </w:p>
    <w:p>
      <w:pPr>
        <w:spacing w:after="0" w:line="12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Liens pursuant to any Loan Document;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274" w:right="239" w:bottom="1440" w:gutter="0" w:footer="0" w:header="0"/>
        </w:sectPr>
      </w:pPr>
    </w:p>
    <w:bookmarkStart w:id="135" w:name="page136"/>
    <w:bookmarkEnd w:id="135"/>
    <w:p>
      <w:pPr>
        <w:jc w:val="both"/>
        <w:ind w:firstLine="921"/>
        <w:spacing w:after="0" w:line="306" w:lineRule="auto"/>
        <w:tabs>
          <w:tab w:leader="none" w:pos="1175" w:val="left"/>
        </w:tabs>
        <w:numPr>
          <w:ilvl w:val="1"/>
          <w:numId w:val="15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Liens existing on the Closing Date and listed on </w:t>
      </w:r>
      <w:r>
        <w:rPr>
          <w:rFonts w:ascii="Arial" w:cs="Arial" w:eastAsia="Arial" w:hAnsi="Arial"/>
          <w:sz w:val="16"/>
          <w:szCs w:val="16"/>
          <w:u w:val="single" w:color="auto"/>
          <w:color w:val="auto"/>
        </w:rPr>
        <w:t>Schedule 7.01</w:t>
      </w:r>
      <w:r>
        <w:rPr>
          <w:rFonts w:ascii="Arial" w:cs="Arial" w:eastAsia="Arial" w:hAnsi="Arial"/>
          <w:sz w:val="16"/>
          <w:szCs w:val="16"/>
          <w:color w:val="auto"/>
        </w:rPr>
        <w:t xml:space="preserve"> and any renewals or extensions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property covered thereby is not broadened, (ii) the amount secured or benefited thereby is not increased, (iii) the direct or any contingent obligor with respect thereto is not changed, and (iv) any renewal or extension of the obligations secured or benefited thereby is permitted by </w:t>
      </w:r>
      <w:r>
        <w:rPr>
          <w:rFonts w:ascii="Arial" w:cs="Arial" w:eastAsia="Arial" w:hAnsi="Arial"/>
          <w:sz w:val="16"/>
          <w:szCs w:val="16"/>
          <w:u w:val="single" w:color="auto"/>
          <w:color w:val="auto"/>
        </w:rPr>
        <w:t>Section 7.03(k)</w:t>
      </w:r>
      <w:r>
        <w:rPr>
          <w:rFonts w:ascii="Arial" w:cs="Arial" w:eastAsia="Arial" w:hAnsi="Arial"/>
          <w:sz w:val="16"/>
          <w:szCs w:val="16"/>
          <w:color w:val="auto"/>
        </w:rPr>
        <w:t>;</w:t>
      </w:r>
    </w:p>
    <w:p>
      <w:pPr>
        <w:spacing w:after="0" w:line="106" w:lineRule="exact"/>
        <w:rPr>
          <w:rFonts w:ascii="Arial" w:cs="Arial" w:eastAsia="Arial" w:hAnsi="Arial"/>
          <w:sz w:val="16"/>
          <w:szCs w:val="16"/>
          <w:color w:val="auto"/>
        </w:rPr>
      </w:pPr>
    </w:p>
    <w:p>
      <w:pPr>
        <w:jc w:val="both"/>
        <w:ind w:firstLine="921"/>
        <w:spacing w:after="0" w:line="306" w:lineRule="auto"/>
        <w:tabs>
          <w:tab w:leader="none" w:pos="1154" w:val="left"/>
        </w:tabs>
        <w:numPr>
          <w:ilvl w:val="1"/>
          <w:numId w:val="150"/>
        </w:numPr>
        <w:rPr>
          <w:rFonts w:ascii="Arial" w:cs="Arial" w:eastAsia="Arial" w:hAnsi="Arial"/>
          <w:sz w:val="16"/>
          <w:szCs w:val="16"/>
          <w:color w:val="auto"/>
        </w:rPr>
      </w:pPr>
      <w:r>
        <w:rPr>
          <w:rFonts w:ascii="Arial" w:cs="Arial" w:eastAsia="Arial" w:hAnsi="Arial"/>
          <w:sz w:val="16"/>
          <w:szCs w:val="16"/>
          <w:color w:val="auto"/>
        </w:rPr>
        <w:t xml:space="preserve">Liens for taxes, fees, assessments or other governmental charges that (i) do not exceed, when added to the Liens existing pursuant to clause (d)(i) below, $15,000,000 in the aggregate at any time or (ii) are not yet due or which are not delinquent or remain payable without penalty, or to the extent non-payment thereof is permitted by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no notice of lien has been filed or recorded under the Code or other applicable Law;</w:t>
      </w:r>
    </w:p>
    <w:p>
      <w:pPr>
        <w:spacing w:after="0" w:line="106" w:lineRule="exact"/>
        <w:rPr>
          <w:rFonts w:ascii="Arial" w:cs="Arial" w:eastAsia="Arial" w:hAnsi="Arial"/>
          <w:sz w:val="16"/>
          <w:szCs w:val="16"/>
          <w:color w:val="auto"/>
        </w:rPr>
      </w:pPr>
    </w:p>
    <w:p>
      <w:pPr>
        <w:ind w:left="1180" w:hanging="259"/>
        <w:spacing w:after="0"/>
        <w:tabs>
          <w:tab w:leader="none" w:pos="1180" w:val="left"/>
        </w:tabs>
        <w:numPr>
          <w:ilvl w:val="1"/>
          <w:numId w:val="150"/>
        </w:numPr>
        <w:rPr>
          <w:rFonts w:ascii="Arial" w:cs="Arial" w:eastAsia="Arial" w:hAnsi="Arial"/>
          <w:sz w:val="16"/>
          <w:szCs w:val="16"/>
          <w:color w:val="auto"/>
        </w:rPr>
      </w:pPr>
      <w:r>
        <w:rPr>
          <w:rFonts w:ascii="Arial" w:cs="Arial" w:eastAsia="Arial" w:hAnsi="Arial"/>
          <w:sz w:val="16"/>
          <w:szCs w:val="16"/>
          <w:color w:val="auto"/>
        </w:rPr>
        <w:t>carriers’, warehousemen’s, mechanics’, materialmen’s, repairmen’s, landlord’s or other like Liens arising in the ordinary course of business that</w:t>
      </w:r>
    </w:p>
    <w:p>
      <w:pPr>
        <w:spacing w:after="0" w:line="38" w:lineRule="exact"/>
        <w:rPr>
          <w:rFonts w:ascii="Arial" w:cs="Arial" w:eastAsia="Arial" w:hAnsi="Arial"/>
          <w:sz w:val="16"/>
          <w:szCs w:val="16"/>
          <w:color w:val="auto"/>
        </w:rPr>
      </w:pPr>
    </w:p>
    <w:p>
      <w:pPr>
        <w:jc w:val="both"/>
        <w:ind w:firstLine="8"/>
        <w:spacing w:after="0" w:line="302" w:lineRule="auto"/>
        <w:tabs>
          <w:tab w:leader="none" w:pos="219" w:val="left"/>
        </w:tabs>
        <w:numPr>
          <w:ilvl w:val="0"/>
          <w:numId w:val="151"/>
        </w:numPr>
        <w:rPr>
          <w:rFonts w:ascii="Arial" w:cs="Arial" w:eastAsia="Arial" w:hAnsi="Arial"/>
          <w:sz w:val="16"/>
          <w:szCs w:val="16"/>
          <w:color w:val="auto"/>
        </w:rPr>
      </w:pPr>
      <w:r>
        <w:rPr>
          <w:rFonts w:ascii="Arial" w:cs="Arial" w:eastAsia="Arial" w:hAnsi="Arial"/>
          <w:sz w:val="16"/>
          <w:szCs w:val="16"/>
          <w:color w:val="auto"/>
        </w:rPr>
        <w:t>do not exceed, when added to the Liens existing pursuant to clause (c)(i) above, $15,000,000 in the aggregate at any time or (ii) which are not delinquent or which are being contested in good faith and by appropriate actions or proceedings which proceedings have the effect of preventing the forfeiture or sale of the property subject thereto and for which adequate reserves with respect thereto are maintained on the books of the applicable person in accordance with GAAP;</w:t>
      </w:r>
    </w:p>
    <w:p>
      <w:pPr>
        <w:spacing w:after="0" w:line="109" w:lineRule="exact"/>
        <w:rPr>
          <w:rFonts w:ascii="Arial" w:cs="Arial" w:eastAsia="Arial" w:hAnsi="Arial"/>
          <w:sz w:val="16"/>
          <w:szCs w:val="16"/>
          <w:color w:val="auto"/>
        </w:rPr>
      </w:pPr>
    </w:p>
    <w:p>
      <w:pPr>
        <w:ind w:firstLine="921"/>
        <w:spacing w:after="0" w:line="268" w:lineRule="auto"/>
        <w:tabs>
          <w:tab w:leader="none" w:pos="1152" w:val="left"/>
        </w:tabs>
        <w:numPr>
          <w:ilvl w:val="1"/>
          <w:numId w:val="151"/>
        </w:numPr>
        <w:rPr>
          <w:rFonts w:ascii="Arial" w:cs="Arial" w:eastAsia="Arial" w:hAnsi="Arial"/>
          <w:sz w:val="18"/>
          <w:szCs w:val="18"/>
          <w:color w:val="auto"/>
        </w:rPr>
      </w:pPr>
      <w:r>
        <w:rPr>
          <w:rFonts w:ascii="Arial" w:cs="Arial" w:eastAsia="Arial" w:hAnsi="Arial"/>
          <w:sz w:val="18"/>
          <w:szCs w:val="18"/>
          <w:color w:val="auto"/>
        </w:rPr>
        <w:t>pledges or deposits made by the Borrower or any of its Subsidiaries in the ordinary course of business in connection with workers’ compensation, unemployment insurance and other social security legislation, other than any Lien imposed by ERISA;</w:t>
      </w:r>
    </w:p>
    <w:p>
      <w:pPr>
        <w:spacing w:after="0" w:line="131" w:lineRule="exact"/>
        <w:rPr>
          <w:rFonts w:ascii="Arial" w:cs="Arial" w:eastAsia="Arial" w:hAnsi="Arial"/>
          <w:sz w:val="18"/>
          <w:szCs w:val="18"/>
          <w:color w:val="auto"/>
        </w:rPr>
      </w:pPr>
    </w:p>
    <w:p>
      <w:pPr>
        <w:jc w:val="both"/>
        <w:ind w:firstLine="921"/>
        <w:spacing w:after="0" w:line="298" w:lineRule="auto"/>
        <w:tabs>
          <w:tab w:leader="none" w:pos="1158" w:val="left"/>
        </w:tabs>
        <w:numPr>
          <w:ilvl w:val="1"/>
          <w:numId w:val="151"/>
        </w:numPr>
        <w:rPr>
          <w:rFonts w:ascii="Arial" w:cs="Arial" w:eastAsia="Arial" w:hAnsi="Arial"/>
          <w:sz w:val="16"/>
          <w:szCs w:val="16"/>
          <w:color w:val="auto"/>
        </w:rPr>
      </w:pPr>
      <w:r>
        <w:rPr>
          <w:rFonts w:ascii="Arial" w:cs="Arial" w:eastAsia="Arial" w:hAnsi="Arial"/>
          <w:sz w:val="16"/>
          <w:szCs w:val="16"/>
          <w:color w:val="auto"/>
        </w:rPr>
        <w:t xml:space="preserve">deposits to secure the performance of bids, trade contracts and leases (other than Indebtedness, excluding balancing payments), commercial letters of credit, letters of credit for the account of a Foreign Subsidiary (where the amount of such deposits do not exceed, when added to the amount of all Guarantees issued and outstanding at such time pursuant to </w:t>
      </w:r>
      <w:r>
        <w:rPr>
          <w:rFonts w:ascii="Arial" w:cs="Arial" w:eastAsia="Arial" w:hAnsi="Arial"/>
          <w:sz w:val="16"/>
          <w:szCs w:val="16"/>
          <w:u w:val="single" w:color="auto"/>
          <w:color w:val="auto"/>
        </w:rPr>
        <w:t>Section 7.03(c)(i)(B)</w:t>
      </w:r>
      <w:r>
        <w:rPr>
          <w:rFonts w:ascii="Arial" w:cs="Arial" w:eastAsia="Arial" w:hAnsi="Arial"/>
          <w:sz w:val="16"/>
          <w:szCs w:val="16"/>
          <w:color w:val="auto"/>
        </w:rPr>
        <w:t>, $15,000,000), statutory obligations, surety and appeal bonds, performance bonds and other obligations of a like nature incurred in the ordinary course of business;</w:t>
      </w:r>
    </w:p>
    <w:p>
      <w:pPr>
        <w:spacing w:after="0" w:line="112" w:lineRule="exact"/>
        <w:rPr>
          <w:rFonts w:ascii="Arial" w:cs="Arial" w:eastAsia="Arial" w:hAnsi="Arial"/>
          <w:sz w:val="16"/>
          <w:szCs w:val="16"/>
          <w:color w:val="auto"/>
        </w:rPr>
      </w:pPr>
    </w:p>
    <w:p>
      <w:pPr>
        <w:ind w:firstLine="921"/>
        <w:spacing w:after="0" w:line="268" w:lineRule="auto"/>
        <w:tabs>
          <w:tab w:leader="none" w:pos="1166" w:val="left"/>
        </w:tabs>
        <w:numPr>
          <w:ilvl w:val="1"/>
          <w:numId w:val="151"/>
        </w:numPr>
        <w:rPr>
          <w:rFonts w:ascii="Arial" w:cs="Arial" w:eastAsia="Arial" w:hAnsi="Arial"/>
          <w:sz w:val="18"/>
          <w:szCs w:val="18"/>
          <w:color w:val="auto"/>
        </w:rPr>
      </w:pPr>
      <w:r>
        <w:rPr>
          <w:rFonts w:ascii="Arial" w:cs="Arial" w:eastAsia="Arial" w:hAnsi="Arial"/>
          <w:sz w:val="18"/>
          <w:szCs w:val="18"/>
          <w:color w:val="auto"/>
        </w:rPr>
        <w:t>easements, rights-of-way, restrictions and other similar encumbrances affecting real property of the Borrower or any of its Subsidiaries which do not materially interfere with the ordinary conduct of the business of the applicable Person;</w:t>
      </w:r>
    </w:p>
    <w:p>
      <w:pPr>
        <w:spacing w:after="0" w:line="131" w:lineRule="exact"/>
        <w:rPr>
          <w:rFonts w:ascii="Arial" w:cs="Arial" w:eastAsia="Arial" w:hAnsi="Arial"/>
          <w:sz w:val="18"/>
          <w:szCs w:val="18"/>
          <w:color w:val="auto"/>
        </w:rPr>
      </w:pPr>
    </w:p>
    <w:p>
      <w:pPr>
        <w:ind w:right="20" w:firstLine="921"/>
        <w:spacing w:after="0" w:line="268" w:lineRule="auto"/>
        <w:tabs>
          <w:tab w:leader="none" w:pos="1176" w:val="left"/>
        </w:tabs>
        <w:numPr>
          <w:ilvl w:val="1"/>
          <w:numId w:val="151"/>
        </w:numPr>
        <w:rPr>
          <w:rFonts w:ascii="Arial" w:cs="Arial" w:eastAsia="Arial" w:hAnsi="Arial"/>
          <w:sz w:val="18"/>
          <w:szCs w:val="18"/>
          <w:color w:val="auto"/>
        </w:rPr>
      </w:pPr>
      <w:r>
        <w:rPr>
          <w:rFonts w:ascii="Arial" w:cs="Arial" w:eastAsia="Arial" w:hAnsi="Arial"/>
          <w:sz w:val="18"/>
          <w:szCs w:val="18"/>
          <w:color w:val="auto"/>
        </w:rPr>
        <w:t xml:space="preserve">Liens securing judgments for the payment of money not constituting an Event of Default under </w:t>
      </w:r>
      <w:r>
        <w:rPr>
          <w:rFonts w:ascii="Arial" w:cs="Arial" w:eastAsia="Arial" w:hAnsi="Arial"/>
          <w:sz w:val="18"/>
          <w:szCs w:val="18"/>
          <w:u w:val="single" w:color="auto"/>
          <w:color w:val="auto"/>
        </w:rPr>
        <w:t>Section 8.01(h)</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enforcement of such Liens is effectively stayed;</w:t>
      </w:r>
    </w:p>
    <w:p>
      <w:pPr>
        <w:spacing w:after="0" w:line="131" w:lineRule="exact"/>
        <w:rPr>
          <w:rFonts w:ascii="Arial" w:cs="Arial" w:eastAsia="Arial" w:hAnsi="Arial"/>
          <w:sz w:val="18"/>
          <w:szCs w:val="18"/>
          <w:color w:val="auto"/>
        </w:rPr>
      </w:pPr>
    </w:p>
    <w:p>
      <w:pPr>
        <w:ind w:left="1140" w:hanging="219"/>
        <w:spacing w:after="0"/>
        <w:tabs>
          <w:tab w:leader="none" w:pos="114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under </w:t>
      </w:r>
      <w:r>
        <w:rPr>
          <w:rFonts w:ascii="Arial" w:cs="Arial" w:eastAsia="Arial" w:hAnsi="Arial"/>
          <w:sz w:val="18"/>
          <w:szCs w:val="18"/>
          <w:u w:val="single" w:color="auto"/>
          <w:color w:val="auto"/>
        </w:rPr>
        <w:t>Section 7.03(d)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7.03(g)</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firstLine="921"/>
        <w:spacing w:after="0" w:line="268" w:lineRule="auto"/>
        <w:tabs>
          <w:tab w:leader="none" w:pos="1143" w:val="left"/>
        </w:tabs>
        <w:numPr>
          <w:ilvl w:val="1"/>
          <w:numId w:val="151"/>
        </w:numPr>
        <w:rPr>
          <w:rFonts w:ascii="Arial" w:cs="Arial" w:eastAsia="Arial" w:hAnsi="Arial"/>
          <w:sz w:val="18"/>
          <w:szCs w:val="18"/>
          <w:color w:val="auto"/>
        </w:rPr>
      </w:pPr>
      <w:r>
        <w:rPr>
          <w:rFonts w:ascii="Arial" w:cs="Arial" w:eastAsia="Arial" w:hAnsi="Arial"/>
          <w:sz w:val="18"/>
          <w:szCs w:val="18"/>
          <w:color w:val="auto"/>
        </w:rPr>
        <w:t>Liens arising from precautionary UCC financing statement filings with respect to operating leases entered into by the Borrower or any of its Subsidiaries in the ordinary course of business;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280" w:right="239" w:bottom="1440" w:gutter="0" w:footer="0" w:header="0"/>
        </w:sectPr>
      </w:pPr>
    </w:p>
    <w:bookmarkStart w:id="136" w:name="page137"/>
    <w:bookmarkEnd w:id="136"/>
    <w:p>
      <w:pPr>
        <w:ind w:firstLine="921"/>
        <w:spacing w:after="0" w:line="268" w:lineRule="auto"/>
        <w:tabs>
          <w:tab w:leader="none" w:pos="1163" w:val="left"/>
        </w:tabs>
        <w:numPr>
          <w:ilvl w:val="0"/>
          <w:numId w:val="1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customary rights of lien and setoff with respect to deposits with banks or other depository institutions and with respect to securities and cash held by brokers and dealers; and</w:t>
      </w:r>
    </w:p>
    <w:p>
      <w:pPr>
        <w:spacing w:after="0" w:line="131" w:lineRule="exact"/>
        <w:rPr>
          <w:rFonts w:ascii="Arial" w:cs="Arial" w:eastAsia="Arial" w:hAnsi="Arial"/>
          <w:sz w:val="18"/>
          <w:szCs w:val="18"/>
          <w:color w:val="auto"/>
        </w:rPr>
      </w:pPr>
    </w:p>
    <w:p>
      <w:pPr>
        <w:ind w:left="1140" w:hanging="219"/>
        <w:spacing w:after="0"/>
        <w:tabs>
          <w:tab w:leader="none" w:pos="11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other Liens securing Indebtedness in an aggregate principal amount at any time outstanding not to exceed $15,000,000.</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7.02 Investments. </w:t>
      </w:r>
      <w:r>
        <w:rPr>
          <w:rFonts w:ascii="Arial" w:cs="Arial" w:eastAsia="Arial" w:hAnsi="Arial"/>
          <w:sz w:val="18"/>
          <w:szCs w:val="18"/>
          <w:color w:val="auto"/>
        </w:rPr>
        <w:t>Make or hold any Investments in any Person, except:</w:t>
      </w:r>
    </w:p>
    <w:p>
      <w:pPr>
        <w:spacing w:after="0" w:line="177" w:lineRule="exact"/>
        <w:rPr>
          <w:sz w:val="20"/>
          <w:szCs w:val="20"/>
          <w:color w:val="auto"/>
        </w:rPr>
      </w:pPr>
    </w:p>
    <w:p>
      <w:pPr>
        <w:ind w:left="1160" w:hanging="239"/>
        <w:spacing w:after="0"/>
        <w:tabs>
          <w:tab w:leader="none" w:pos="11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Investments by the Borrower or any Subsidiary Guarantor held in the form of Cash Equivalents;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Investments made prior to the Closing Date set forth in </w:t>
      </w:r>
      <w:r>
        <w:rPr>
          <w:rFonts w:ascii="Arial" w:cs="Arial" w:eastAsia="Arial" w:hAnsi="Arial"/>
          <w:sz w:val="18"/>
          <w:szCs w:val="18"/>
          <w:u w:val="single" w:color="auto"/>
          <w:color w:val="auto"/>
        </w:rPr>
        <w:t>Schedule 7.02</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firstLine="921"/>
        <w:spacing w:after="0" w:line="294" w:lineRule="auto"/>
        <w:tabs>
          <w:tab w:leader="none" w:pos="1178" w:val="left"/>
        </w:tabs>
        <w:numPr>
          <w:ilvl w:val="0"/>
          <w:numId w:val="153"/>
        </w:numPr>
        <w:rPr>
          <w:rFonts w:ascii="Arial" w:cs="Arial" w:eastAsia="Arial" w:hAnsi="Arial"/>
          <w:sz w:val="16"/>
          <w:szCs w:val="16"/>
          <w:color w:val="auto"/>
        </w:rPr>
      </w:pPr>
      <w:r>
        <w:rPr>
          <w:rFonts w:ascii="Arial" w:cs="Arial" w:eastAsia="Arial" w:hAnsi="Arial"/>
          <w:sz w:val="16"/>
          <w:szCs w:val="16"/>
          <w:color w:val="auto"/>
        </w:rPr>
        <w:t xml:space="preserve">Advances to directors, officers, employees and consultants of the Borrower or any other Subsidiary for payroll, travel and to cover similar matters, each of which is expected at the time of such advance to be treated as an expense for accounting purposes and that are made in the ordinary course of business and loans to directors, officers, employees and consultants of the Borrower or any Subsidiary Guarantor in the ordinary course of business as presently conducted, such advances and loans in an aggregate principal amount not to exceed $2,000,000 in the aggregate at any one time 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such advances or loans to directors or executive officers shall only be permitted to the extent allowable under Sarbanes-Oxley;</w:t>
      </w:r>
    </w:p>
    <w:p>
      <w:pPr>
        <w:spacing w:after="0" w:line="115" w:lineRule="exact"/>
        <w:rPr>
          <w:rFonts w:ascii="Arial" w:cs="Arial" w:eastAsia="Arial" w:hAnsi="Arial"/>
          <w:sz w:val="16"/>
          <w:szCs w:val="16"/>
          <w:color w:val="auto"/>
        </w:rPr>
      </w:pPr>
    </w:p>
    <w:p>
      <w:pPr>
        <w:jc w:val="both"/>
        <w:ind w:firstLine="921"/>
        <w:spacing w:after="0" w:line="255" w:lineRule="auto"/>
        <w:tabs>
          <w:tab w:leader="none" w:pos="1181"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Investments by any Loan Party in and to the Borrower or any other Loan Party in the form of contributions to capital or loans or advances;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immediately before and after giving effect thereto, no Event of Default exists or would result therefrom, (ii) each such item of intercompany Indebtedness shall be unsecured and (iii) each such item of intercompany Indebtedness owed to the Borrower from another Loan Party shall be evidenced by an Intercompany Note which shall be pledged as security for the Obligations of the holder thereof under the Loan Documents and delivered to the Administrative Agent pursuant to the terms of the Collateral Documents;</w:t>
      </w:r>
    </w:p>
    <w:p>
      <w:pPr>
        <w:spacing w:after="0" w:line="142" w:lineRule="exact"/>
        <w:rPr>
          <w:rFonts w:ascii="Arial" w:cs="Arial" w:eastAsia="Arial" w:hAnsi="Arial"/>
          <w:sz w:val="18"/>
          <w:szCs w:val="18"/>
          <w:color w:val="auto"/>
        </w:rPr>
      </w:pPr>
    </w:p>
    <w:p>
      <w:pPr>
        <w:ind w:left="1160" w:hanging="239"/>
        <w:spacing w:after="0"/>
        <w:tabs>
          <w:tab w:leader="none" w:pos="11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Investments by any Excluded Subsidiary in and to the Borrower or any other Subsidiary of the Borrower;</w:t>
      </w:r>
    </w:p>
    <w:p>
      <w:pPr>
        <w:spacing w:after="0" w:line="171" w:lineRule="exact"/>
        <w:rPr>
          <w:rFonts w:ascii="Arial" w:cs="Arial" w:eastAsia="Arial" w:hAnsi="Arial"/>
          <w:sz w:val="18"/>
          <w:szCs w:val="18"/>
          <w:color w:val="auto"/>
        </w:rPr>
      </w:pPr>
    </w:p>
    <w:p>
      <w:pPr>
        <w:jc w:val="both"/>
        <w:ind w:firstLine="921"/>
        <w:spacing w:after="0" w:line="256" w:lineRule="auto"/>
        <w:tabs>
          <w:tab w:leader="none" w:pos="116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Other than Investments permitted pursuant to clause (g) below, Investments by any Loan Party in and to Excluded Subsidiaries of up to $15,000,000 in the aggregate in each fiscal year;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within any fiscal year if any portion of an Investment made pursuant to this clause (f) is repaid to a Loan Party, then such repaid amount may be reinvested under this clause (f) during such fiscal year as long as the amount of Investments in all Excluded Subsidiaries in such fiscal year does not exceed $15,000,000 in the aggregate;</w:t>
      </w:r>
    </w:p>
    <w:p>
      <w:pPr>
        <w:spacing w:after="0" w:line="143" w:lineRule="exact"/>
        <w:rPr>
          <w:rFonts w:ascii="Arial" w:cs="Arial" w:eastAsia="Arial" w:hAnsi="Arial"/>
          <w:sz w:val="18"/>
          <w:szCs w:val="18"/>
          <w:color w:val="auto"/>
        </w:rPr>
      </w:pPr>
    </w:p>
    <w:p>
      <w:pPr>
        <w:ind w:firstLine="921"/>
        <w:spacing w:after="0" w:line="268" w:lineRule="auto"/>
        <w:tabs>
          <w:tab w:leader="none" w:pos="119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Investments that constitute Permitted Acquisitions (including Investments in Foreign Subsidiaries for the purpose of effecting a Permitted Acquisition) and Investments in Minority Equity Interests;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280" w:right="239" w:bottom="1440" w:gutter="0" w:footer="0" w:header="0"/>
        </w:sectPr>
      </w:pPr>
    </w:p>
    <w:bookmarkStart w:id="137" w:name="page138"/>
    <w:bookmarkEnd w:id="137"/>
    <w:p>
      <w:pPr>
        <w:ind w:left="1160" w:hanging="239"/>
        <w:spacing w:after="0"/>
        <w:tabs>
          <w:tab w:leader="none" w:pos="11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Investments in Swap Contracts permitted under </w:t>
      </w:r>
      <w:r>
        <w:rPr>
          <w:rFonts w:ascii="Arial" w:cs="Arial" w:eastAsia="Arial" w:hAnsi="Arial"/>
          <w:sz w:val="18"/>
          <w:szCs w:val="18"/>
          <w:u w:val="single" w:color="auto"/>
          <w:color w:val="auto"/>
        </w:rPr>
        <w:t>Section 7.03(d)</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Guarantees permitted by </w:t>
      </w:r>
      <w:r>
        <w:rPr>
          <w:rFonts w:ascii="Arial" w:cs="Arial" w:eastAsia="Arial" w:hAnsi="Arial"/>
          <w:sz w:val="18"/>
          <w:szCs w:val="18"/>
          <w:u w:val="single" w:color="auto"/>
          <w:color w:val="auto"/>
        </w:rPr>
        <w:t>Section 7.03</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firstLine="921"/>
        <w:spacing w:after="0" w:line="306" w:lineRule="auto"/>
        <w:tabs>
          <w:tab w:leader="none" w:pos="1132" w:val="left"/>
        </w:tabs>
        <w:numPr>
          <w:ilvl w:val="0"/>
          <w:numId w:val="154"/>
        </w:numPr>
        <w:rPr>
          <w:rFonts w:ascii="Arial" w:cs="Arial" w:eastAsia="Arial" w:hAnsi="Arial"/>
          <w:sz w:val="16"/>
          <w:szCs w:val="16"/>
          <w:color w:val="auto"/>
        </w:rPr>
      </w:pPr>
      <w:r>
        <w:rPr>
          <w:rFonts w:ascii="Arial" w:cs="Arial" w:eastAsia="Arial" w:hAnsi="Arial"/>
          <w:sz w:val="16"/>
          <w:szCs w:val="16"/>
          <w:color w:val="auto"/>
        </w:rPr>
        <w:t xml:space="preserve">Investments made as a result of the receipt of non-cash consideration from a Disposition that was made pursuant to and in compliance with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at no time shall Investments of this type exceed $15,000,000 in the aggregate (it being understood that earn-outs negotiated in the ordinary course of business as part of a Disposition shall not be considered “non-cash consideration” for purposes of this </w:t>
      </w:r>
      <w:r>
        <w:rPr>
          <w:rFonts w:ascii="Arial" w:cs="Arial" w:eastAsia="Arial" w:hAnsi="Arial"/>
          <w:sz w:val="16"/>
          <w:szCs w:val="16"/>
          <w:u w:val="single" w:color="auto"/>
          <w:color w:val="auto"/>
        </w:rPr>
        <w:t>Section 7.02(j)</w:t>
      </w:r>
      <w:r>
        <w:rPr>
          <w:rFonts w:ascii="Arial" w:cs="Arial" w:eastAsia="Arial" w:hAnsi="Arial"/>
          <w:sz w:val="16"/>
          <w:szCs w:val="16"/>
          <w:color w:val="auto"/>
        </w:rPr>
        <w:t>);</w:t>
      </w:r>
    </w:p>
    <w:p>
      <w:pPr>
        <w:spacing w:after="0" w:line="106" w:lineRule="exact"/>
        <w:rPr>
          <w:rFonts w:ascii="Arial" w:cs="Arial" w:eastAsia="Arial" w:hAnsi="Arial"/>
          <w:sz w:val="16"/>
          <w:szCs w:val="16"/>
          <w:color w:val="auto"/>
        </w:rPr>
      </w:pPr>
    </w:p>
    <w:p>
      <w:pPr>
        <w:ind w:left="1160" w:hanging="239"/>
        <w:spacing w:after="0"/>
        <w:tabs>
          <w:tab w:leader="none" w:pos="11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Extensions of credit to customers in the ordinary course of business;</w:t>
      </w:r>
    </w:p>
    <w:p>
      <w:pPr>
        <w:spacing w:after="0" w:line="171" w:lineRule="exact"/>
        <w:rPr>
          <w:rFonts w:ascii="Arial" w:cs="Arial" w:eastAsia="Arial" w:hAnsi="Arial"/>
          <w:sz w:val="18"/>
          <w:szCs w:val="18"/>
          <w:color w:val="auto"/>
        </w:rPr>
      </w:pPr>
    </w:p>
    <w:p>
      <w:pPr>
        <w:jc w:val="both"/>
        <w:ind w:firstLine="921"/>
        <w:spacing w:after="0" w:line="285" w:lineRule="auto"/>
        <w:tabs>
          <w:tab w:leader="none" w:pos="1134" w:val="left"/>
        </w:tabs>
        <w:numPr>
          <w:ilvl w:val="0"/>
          <w:numId w:val="154"/>
        </w:numPr>
        <w:rPr>
          <w:rFonts w:ascii="Arial" w:cs="Arial" w:eastAsia="Arial" w:hAnsi="Arial"/>
          <w:sz w:val="16"/>
          <w:szCs w:val="16"/>
          <w:color w:val="auto"/>
        </w:rPr>
      </w:pPr>
      <w:r>
        <w:rPr>
          <w:rFonts w:ascii="Arial" w:cs="Arial" w:eastAsia="Arial" w:hAnsi="Arial"/>
          <w:sz w:val="16"/>
          <w:szCs w:val="16"/>
          <w:color w:val="auto"/>
        </w:rPr>
        <w:t xml:space="preserve">Investments made out of the proceeds of an issuance of Qualified Equity Interests of the Borrower substantially concurrent with such issuance;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(A) the Property acquired (or the Property of the Person acquired) in such transaction shall be used or useful in the same or similar line of business as the Loan Parties on the Closing Date, including activities ancillary, related or complementary thereto, (B) after giving effect to such transaction on a Pro Forma Basis, the total equity and debt investments of the Borrower and its Domestic Subsidiaries in the Foreign Subsidiaries does not exceed fifty percent (50%) of the aggregate book value of the total assets of the Borrower and its Domestic Subsidiaries, all as determined in accordance with GAAP, (C) in the case of an Acquisition of the Equity Interests of another Person, (i) the board of directors (or other comparable governing body) of such other Person shall have duly approved such Acquisition and (ii) with respect to any Acquisition in excess of $50,000,000, the Borrower shall have delivered to the Administrative Agent, a Compliance Certificate signed by a Responsible Officer of the Borrower demonstrating compliance with the financial covenants hereunder after giving effect to the transaction on a Pro Forma Basis, and reaffirming that the representations are true and correct in all material respects as of such date, except those representations and warranties made as of a date certain, which shall remain true and correct in all material respects as of such date, (D) no Event of Default has occurred and is continuing or would result therefrom; (E) the Borrower and its Consolidated Subsidiaries shall be in compliance on a Pro Forma Basis with </w:t>
      </w:r>
      <w:r>
        <w:rPr>
          <w:rFonts w:ascii="Arial" w:cs="Arial" w:eastAsia="Arial" w:hAnsi="Arial"/>
          <w:sz w:val="16"/>
          <w:szCs w:val="16"/>
          <w:u w:val="single" w:color="auto"/>
          <w:color w:val="auto"/>
        </w:rPr>
        <w:t>Section 7.17</w:t>
      </w:r>
      <w:r>
        <w:rPr>
          <w:rFonts w:ascii="Arial" w:cs="Arial" w:eastAsia="Arial" w:hAnsi="Arial"/>
          <w:sz w:val="16"/>
          <w:szCs w:val="16"/>
          <w:color w:val="auto"/>
        </w:rPr>
        <w:t xml:space="preserve"> after giving effect to such transaction, (F) the transaction shall not involve the acquisition of an interest in a general partnership or joint venture or have a requirement that any Loan Party be a general or joint venture partner other than in compliance with </w:t>
      </w:r>
      <w:r>
        <w:rPr>
          <w:rFonts w:ascii="Arial" w:cs="Arial" w:eastAsia="Arial" w:hAnsi="Arial"/>
          <w:sz w:val="16"/>
          <w:szCs w:val="16"/>
          <w:u w:val="single" w:color="auto"/>
          <w:color w:val="auto"/>
        </w:rPr>
        <w:t>Section 7.16</w:t>
      </w:r>
      <w:r>
        <w:rPr>
          <w:rFonts w:ascii="Arial" w:cs="Arial" w:eastAsia="Arial" w:hAnsi="Arial"/>
          <w:sz w:val="16"/>
          <w:szCs w:val="16"/>
          <w:color w:val="auto"/>
        </w:rPr>
        <w:t xml:space="preserve">, and (G) the Loan Parties shall, and shall cause the party that is the subject of the transaction to, execute and deliver such joinder and pledge agreements, security agreements and intercompany notes and take such other actions as may be necessary for compliance with the provisions of </w:t>
      </w:r>
      <w:r>
        <w:rPr>
          <w:rFonts w:ascii="Arial" w:cs="Arial" w:eastAsia="Arial" w:hAnsi="Arial"/>
          <w:sz w:val="16"/>
          <w:szCs w:val="16"/>
          <w:u w:val="single" w:color="auto"/>
          <w:color w:val="auto"/>
        </w:rPr>
        <w:t>Sections 6.11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6.12</w:t>
      </w:r>
      <w:r>
        <w:rPr>
          <w:rFonts w:ascii="Arial" w:cs="Arial" w:eastAsia="Arial" w:hAnsi="Arial"/>
          <w:sz w:val="16"/>
          <w:szCs w:val="16"/>
          <w:color w:val="auto"/>
        </w:rPr>
        <w:t>;</w:t>
      </w:r>
    </w:p>
    <w:p>
      <w:pPr>
        <w:spacing w:after="0" w:line="126" w:lineRule="exact"/>
        <w:rPr>
          <w:rFonts w:ascii="Arial" w:cs="Arial" w:eastAsia="Arial" w:hAnsi="Arial"/>
          <w:sz w:val="16"/>
          <w:szCs w:val="16"/>
          <w:color w:val="auto"/>
        </w:rPr>
      </w:pPr>
    </w:p>
    <w:p>
      <w:pPr>
        <w:ind w:left="1220" w:hanging="299"/>
        <w:spacing w:after="0"/>
        <w:tabs>
          <w:tab w:leader="none" w:pos="12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Investments of a nature not contemplated in the foregoing subsections in an amount not to exceed $15,000,000 per annum;</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Investments made by Excluded Subsidiaries; and</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Permitted Bond Hedge Transactions that constitute Investments.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280" w:right="239" w:bottom="1440" w:gutter="0" w:footer="0" w:header="0"/>
        </w:sectPr>
      </w:pPr>
    </w:p>
    <w:bookmarkStart w:id="138" w:name="page139"/>
    <w:bookmarkEnd w:id="138"/>
    <w:p>
      <w:pPr>
        <w:ind w:lef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7.03 Indebtedness. </w:t>
      </w:r>
      <w:r>
        <w:rPr>
          <w:rFonts w:ascii="Arial" w:cs="Arial" w:eastAsia="Arial" w:hAnsi="Arial"/>
          <w:sz w:val="18"/>
          <w:szCs w:val="18"/>
          <w:color w:val="auto"/>
        </w:rPr>
        <w:t>Create, incur, assume or suffer to exist any Indebtedness, except:</w:t>
      </w:r>
    </w:p>
    <w:p>
      <w:pPr>
        <w:spacing w:after="0" w:line="177" w:lineRule="exact"/>
        <w:rPr>
          <w:sz w:val="20"/>
          <w:szCs w:val="20"/>
          <w:color w:val="auto"/>
        </w:rPr>
      </w:pPr>
    </w:p>
    <w:p>
      <w:pPr>
        <w:ind w:left="1160" w:hanging="239"/>
        <w:spacing w:after="0"/>
        <w:tabs>
          <w:tab w:leader="none" w:pos="116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Indebtedness under the Loan Documents;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 xml:space="preserve">Indebtedness listed on </w:t>
      </w:r>
      <w:r>
        <w:rPr>
          <w:rFonts w:ascii="Arial" w:cs="Arial" w:eastAsia="Arial" w:hAnsi="Arial"/>
          <w:sz w:val="18"/>
          <w:szCs w:val="18"/>
          <w:u w:val="single" w:color="auto"/>
          <w:color w:val="auto"/>
        </w:rPr>
        <w:t>Schedule 7.03</w:t>
      </w:r>
      <w:r>
        <w:rPr>
          <w:rFonts w:ascii="Arial" w:cs="Arial" w:eastAsia="Arial" w:hAnsi="Arial"/>
          <w:sz w:val="18"/>
          <w:szCs w:val="18"/>
          <w:color w:val="auto"/>
        </w:rPr>
        <w:t xml:space="preserve"> that is outstanding on the Closing Date;</w:t>
      </w:r>
    </w:p>
    <w:p>
      <w:pPr>
        <w:spacing w:after="0" w:line="171" w:lineRule="exact"/>
        <w:rPr>
          <w:rFonts w:ascii="Arial" w:cs="Arial" w:eastAsia="Arial" w:hAnsi="Arial"/>
          <w:sz w:val="18"/>
          <w:szCs w:val="18"/>
          <w:color w:val="auto"/>
        </w:rPr>
      </w:pPr>
    </w:p>
    <w:p>
      <w:pPr>
        <w:jc w:val="both"/>
        <w:ind w:firstLine="921"/>
        <w:spacing w:after="0" w:line="294" w:lineRule="auto"/>
        <w:tabs>
          <w:tab w:leader="none" w:pos="1162" w:val="left"/>
        </w:tabs>
        <w:numPr>
          <w:ilvl w:val="1"/>
          <w:numId w:val="155"/>
        </w:numPr>
        <w:rPr>
          <w:rFonts w:ascii="Arial" w:cs="Arial" w:eastAsia="Arial" w:hAnsi="Arial"/>
          <w:sz w:val="16"/>
          <w:szCs w:val="16"/>
          <w:color w:val="auto"/>
        </w:rPr>
      </w:pPr>
      <w:r>
        <w:rPr>
          <w:rFonts w:ascii="Arial" w:cs="Arial" w:eastAsia="Arial" w:hAnsi="Arial"/>
          <w:sz w:val="16"/>
          <w:szCs w:val="16"/>
          <w:color w:val="auto"/>
        </w:rPr>
        <w:t xml:space="preserve">Guarantees of the Borrower or any of its Subsidiaries in respect of Indebtedness of the Borrower or any of its Subsidiaries otherwise permitted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Loan Parties may (A) issue Guarantees under this clause only in respect of Indebtedness of other Loan Parties and (B) issue Guarantees of Indebtedness of Excluded Subsidiaries that does not exceed, when added to the amount of all deposits to secure letters of credit for the account of a Foreign Subsidiary under </w:t>
      </w:r>
      <w:r>
        <w:rPr>
          <w:rFonts w:ascii="Arial" w:cs="Arial" w:eastAsia="Arial" w:hAnsi="Arial"/>
          <w:sz w:val="16"/>
          <w:szCs w:val="16"/>
          <w:u w:val="single" w:color="auto"/>
          <w:color w:val="auto"/>
        </w:rPr>
        <w:t>Section 7.01(f)</w:t>
      </w:r>
      <w:r>
        <w:rPr>
          <w:rFonts w:ascii="Arial" w:cs="Arial" w:eastAsia="Arial" w:hAnsi="Arial"/>
          <w:sz w:val="16"/>
          <w:szCs w:val="16"/>
          <w:color w:val="auto"/>
        </w:rPr>
        <w:t>, $15,000,000 in the aggregate at any time outstanding, and (ii) Excluded Subsidiaries may issue Guarantees of Indebtedness of other Subsidiaries so long as such Indebtedness is permitted hereunder;</w:t>
      </w:r>
    </w:p>
    <w:p>
      <w:pPr>
        <w:spacing w:after="0" w:line="115" w:lineRule="exact"/>
        <w:rPr>
          <w:rFonts w:ascii="Arial" w:cs="Arial" w:eastAsia="Arial" w:hAnsi="Arial"/>
          <w:sz w:val="16"/>
          <w:szCs w:val="16"/>
          <w:color w:val="auto"/>
        </w:rPr>
      </w:pPr>
    </w:p>
    <w:p>
      <w:pPr>
        <w:jc w:val="both"/>
        <w:ind w:firstLine="921"/>
        <w:spacing w:after="0" w:line="255" w:lineRule="auto"/>
        <w:tabs>
          <w:tab w:leader="none" w:pos="1163" w:val="left"/>
        </w:tabs>
        <w:numPr>
          <w:ilvl w:val="1"/>
          <w:numId w:val="155"/>
        </w:numPr>
        <w:rPr>
          <w:rFonts w:ascii="Arial" w:cs="Arial" w:eastAsia="Arial" w:hAnsi="Arial"/>
          <w:sz w:val="18"/>
          <w:szCs w:val="18"/>
          <w:color w:val="auto"/>
        </w:rPr>
      </w:pPr>
      <w:r>
        <w:rPr>
          <w:rFonts w:ascii="Arial" w:cs="Arial" w:eastAsia="Arial" w:hAnsi="Arial"/>
          <w:sz w:val="18"/>
          <w:szCs w:val="18"/>
          <w:color w:val="auto"/>
        </w:rPr>
        <w:t xml:space="preserve">obligations (contingent or otherwise) existing or arising under any Swap Contract;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obligations are (or were) entered into by such Person for the purpose of directly mitigating risks associated with liabilities, commitments, investments, assets, or property held or reasonably anticipated by such Person, or changes in the value of securities issued by such Person, and not for purposes of speculation or taking a “market view,” and (ii) such Swap Contract does not contain any provision exonerating the non-defaulting party from its obligation to make payments on outstanding transactions to the defaulting party;</w:t>
      </w:r>
    </w:p>
    <w:p>
      <w:pPr>
        <w:spacing w:after="0" w:line="142" w:lineRule="exact"/>
        <w:rPr>
          <w:rFonts w:ascii="Arial" w:cs="Arial" w:eastAsia="Arial" w:hAnsi="Arial"/>
          <w:sz w:val="18"/>
          <w:szCs w:val="18"/>
          <w:color w:val="auto"/>
        </w:rPr>
      </w:pPr>
    </w:p>
    <w:p>
      <w:pPr>
        <w:ind w:left="1160" w:hanging="239"/>
        <w:spacing w:after="0"/>
        <w:tabs>
          <w:tab w:leader="none" w:pos="116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 xml:space="preserve">intercompany Indebtedness constituting an Investment that is permitted under </w:t>
      </w:r>
      <w:r>
        <w:rPr>
          <w:rFonts w:ascii="Arial" w:cs="Arial" w:eastAsia="Arial" w:hAnsi="Arial"/>
          <w:sz w:val="18"/>
          <w:szCs w:val="18"/>
          <w:u w:val="single" w:color="auto"/>
          <w:color w:val="auto"/>
        </w:rPr>
        <w:t>Sections 7.02(d), (e), (f) or (g)</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firstLine="921"/>
        <w:spacing w:after="0" w:line="284" w:lineRule="auto"/>
        <w:tabs>
          <w:tab w:leader="none" w:pos="1140" w:val="left"/>
        </w:tabs>
        <w:numPr>
          <w:ilvl w:val="1"/>
          <w:numId w:val="155"/>
        </w:numPr>
        <w:rPr>
          <w:rFonts w:ascii="Arial" w:cs="Arial" w:eastAsia="Arial" w:hAnsi="Arial"/>
          <w:sz w:val="16"/>
          <w:szCs w:val="16"/>
          <w:color w:val="auto"/>
        </w:rPr>
      </w:pPr>
      <w:r>
        <w:rPr>
          <w:rFonts w:ascii="Arial" w:cs="Arial" w:eastAsia="Arial" w:hAnsi="Arial"/>
          <w:sz w:val="16"/>
          <w:szCs w:val="16"/>
          <w:color w:val="auto"/>
        </w:rPr>
        <w:t xml:space="preserve">unsecured Indebtedness of any Loan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after giving effect to such Indebtedness, (A) the Consolidated Total Leverage Ratio calculated on a Pro Forma Basis is less than (1) 3.50 to 1.00 at any time on or before March 31, 2012, and (2) 3.25 to 1.00 at any time thereafter, and (B) the Borrower and its Subsidiaries are in compliance with all covenants set forth herein, (ii) the scheduled maturity date of such Indebtedness is no earlier than three</w:t>
      </w:r>
    </w:p>
    <w:p>
      <w:pPr>
        <w:spacing w:after="0" w:line="1" w:lineRule="exact"/>
        <w:rPr>
          <w:rFonts w:ascii="Arial" w:cs="Arial" w:eastAsia="Arial" w:hAnsi="Arial"/>
          <w:sz w:val="16"/>
          <w:szCs w:val="16"/>
          <w:color w:val="auto"/>
        </w:rPr>
      </w:pPr>
    </w:p>
    <w:p>
      <w:pPr>
        <w:jc w:val="both"/>
        <w:ind w:firstLine="8"/>
        <w:spacing w:after="0" w:line="290" w:lineRule="auto"/>
        <w:tabs>
          <w:tab w:leader="none" w:pos="254" w:val="left"/>
        </w:tabs>
        <w:numPr>
          <w:ilvl w:val="0"/>
          <w:numId w:val="156"/>
        </w:numPr>
        <w:rPr>
          <w:rFonts w:ascii="Arial" w:cs="Arial" w:eastAsia="Arial" w:hAnsi="Arial"/>
          <w:sz w:val="16"/>
          <w:szCs w:val="16"/>
          <w:color w:val="auto"/>
        </w:rPr>
      </w:pPr>
      <w:r>
        <w:rPr>
          <w:rFonts w:ascii="Arial" w:cs="Arial" w:eastAsia="Arial" w:hAnsi="Arial"/>
          <w:sz w:val="16"/>
          <w:szCs w:val="16"/>
          <w:color w:val="auto"/>
        </w:rPr>
        <w:t>months after the Maturity Date and such Indebtedness does not contain any provisions providing for a holder put right or mandatory repurchase obligation of any Loan Party prior to such date (other than customary asset sale and change of control repurchase obligations), (iii) the financial covenants and other negative covenants in the definitive documentation for such Indebtedness shall be no more restrictive than the financial and other negative covenants set forth herein in the reasonable determination of the Borrower, (iv) the other terms and conditions of the definitive documentation for such Indebtedness, taken as a whole, shall be customary for definitive documentation of Indebtedness of similarly situated issuers of similar forms of Indebtedness at such time in the reasonable determination of the Borrower, and (v) no Default has occurred and is continuing or could reasonably be expected to result therefrom;</w:t>
      </w:r>
    </w:p>
    <w:p>
      <w:pPr>
        <w:spacing w:after="0" w:line="118" w:lineRule="exact"/>
        <w:rPr>
          <w:rFonts w:ascii="Arial" w:cs="Arial" w:eastAsia="Arial" w:hAnsi="Arial"/>
          <w:sz w:val="16"/>
          <w:szCs w:val="16"/>
          <w:color w:val="auto"/>
        </w:rPr>
      </w:pPr>
    </w:p>
    <w:p>
      <w:pPr>
        <w:jc w:val="both"/>
        <w:ind w:firstLine="921"/>
        <w:spacing w:after="0" w:line="256" w:lineRule="auto"/>
        <w:tabs>
          <w:tab w:leader="none" w:pos="1198" w:val="left"/>
        </w:tabs>
        <w:numPr>
          <w:ilvl w:val="1"/>
          <w:numId w:val="156"/>
        </w:numPr>
        <w:rPr>
          <w:rFonts w:ascii="Arial" w:cs="Arial" w:eastAsia="Arial" w:hAnsi="Arial"/>
          <w:sz w:val="18"/>
          <w:szCs w:val="18"/>
          <w:color w:val="auto"/>
        </w:rPr>
      </w:pPr>
      <w:r>
        <w:rPr>
          <w:rFonts w:ascii="Arial" w:cs="Arial" w:eastAsia="Arial" w:hAnsi="Arial"/>
          <w:sz w:val="18"/>
          <w:szCs w:val="18"/>
          <w:color w:val="auto"/>
        </w:rPr>
        <w:t xml:space="preserve">so long as (i) no Event of Default has occurred and is continuing or would result therefrom and (ii) the Borrower and its Consolidated Subsidiaries shall be in compliance on a Pro Forma Basis with </w:t>
      </w:r>
      <w:r>
        <w:rPr>
          <w:rFonts w:ascii="Arial" w:cs="Arial" w:eastAsia="Arial" w:hAnsi="Arial"/>
          <w:sz w:val="18"/>
          <w:szCs w:val="18"/>
          <w:u w:val="single" w:color="auto"/>
          <w:color w:val="auto"/>
        </w:rPr>
        <w:t>Section 7.17</w:t>
      </w:r>
      <w:r>
        <w:rPr>
          <w:rFonts w:ascii="Arial" w:cs="Arial" w:eastAsia="Arial" w:hAnsi="Arial"/>
          <w:sz w:val="18"/>
          <w:szCs w:val="18"/>
          <w:color w:val="auto"/>
        </w:rPr>
        <w:t xml:space="preserve"> after giving effect to such transaction, secured Indebtedness in an aggregate principal amount not to exceed $50,000,000 at any time outstanding;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Indebtedness is not contractually senior in right of payment to the payment of the Indebtedness arising under this Agreement and the Loan Documents and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274" w:right="239" w:bottom="1440" w:gutter="0" w:footer="0" w:header="0"/>
        </w:sectPr>
      </w:pPr>
    </w:p>
    <w:bookmarkStart w:id="139" w:name="page140"/>
    <w:bookmarkEnd w:id="139"/>
    <w:p>
      <w:pPr>
        <w:jc w:val="both"/>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either (x) was assumed or existed in connection with a Permitted Acquisition and the Liens securing such Indebtedness do not at any time encumber any Property other than the Property acquired in such Permitted Acquisition, or (y) is purchase money Indebtedness (including Capitalized Leases or Off-Balance Sheet Obligations) so long as (i) such Indebtedness, when incurred, shall not exceed 100% of the cost or fair market value, whichever is lower, of the Property being acquired on the date of acquisition plus fees and expenses reasonably incurred in connection with such acquisition, (ii) such Indebtedness is created and any Lien attaches to such Property concurrently with or within forty-five (45) days of the acquisition thereof, and (iii) such Lien does not at any time encumber any Property other than the Property financed by such Indebtedness;</w:t>
      </w:r>
    </w:p>
    <w:p>
      <w:pPr>
        <w:spacing w:after="0" w:line="120" w:lineRule="exact"/>
        <w:rPr>
          <w:sz w:val="20"/>
          <w:szCs w:val="20"/>
          <w:color w:val="auto"/>
        </w:rPr>
      </w:pPr>
    </w:p>
    <w:p>
      <w:pPr>
        <w:jc w:val="both"/>
        <w:ind w:firstLine="921"/>
        <w:spacing w:after="0" w:line="294" w:lineRule="auto"/>
        <w:tabs>
          <w:tab w:leader="none" w:pos="1198" w:val="left"/>
        </w:tabs>
        <w:numPr>
          <w:ilvl w:val="1"/>
          <w:numId w:val="157"/>
        </w:numPr>
        <w:rPr>
          <w:rFonts w:ascii="Arial" w:cs="Arial" w:eastAsia="Arial" w:hAnsi="Arial"/>
          <w:sz w:val="16"/>
          <w:szCs w:val="16"/>
          <w:color w:val="auto"/>
        </w:rPr>
      </w:pPr>
      <w:r>
        <w:rPr>
          <w:rFonts w:ascii="Arial" w:cs="Arial" w:eastAsia="Arial" w:hAnsi="Arial"/>
          <w:sz w:val="16"/>
          <w:szCs w:val="16"/>
          <w:color w:val="auto"/>
        </w:rPr>
        <w:t xml:space="preserve">so long as (i) no Event of Default has occurred and is continuing or would result therefrom and (ii) the Borrower and its Consolidated Subsidiaries shall be in compliance on a Pro Forma Basis with </w:t>
      </w:r>
      <w:r>
        <w:rPr>
          <w:rFonts w:ascii="Arial" w:cs="Arial" w:eastAsia="Arial" w:hAnsi="Arial"/>
          <w:sz w:val="16"/>
          <w:szCs w:val="16"/>
          <w:u w:val="single" w:color="auto"/>
          <w:color w:val="auto"/>
        </w:rPr>
        <w:t>Section 7.17</w:t>
      </w:r>
      <w:r>
        <w:rPr>
          <w:rFonts w:ascii="Arial" w:cs="Arial" w:eastAsia="Arial" w:hAnsi="Arial"/>
          <w:sz w:val="16"/>
          <w:szCs w:val="16"/>
          <w:color w:val="auto"/>
        </w:rPr>
        <w:t xml:space="preserve"> after giving effect to such transaction, unsecured Indebtedness (including reimbursement obligations under letters of credit and obligations in respect of performance bonds and completion guarantees) of the Loan Parties in an aggregate principal amount not to exceed $50,000,000 at any time 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that such Indebtedness is not contractually senior in right of payment to the payment of the Indebtedness arising under this Agreement and the Loan Documents;</w:t>
      </w:r>
    </w:p>
    <w:p>
      <w:pPr>
        <w:spacing w:after="0" w:line="115" w:lineRule="exact"/>
        <w:rPr>
          <w:rFonts w:ascii="Arial" w:cs="Arial" w:eastAsia="Arial" w:hAnsi="Arial"/>
          <w:sz w:val="16"/>
          <w:szCs w:val="16"/>
          <w:color w:val="auto"/>
        </w:rPr>
      </w:pPr>
    </w:p>
    <w:p>
      <w:pPr>
        <w:jc w:val="both"/>
        <w:ind w:right="20" w:firstLine="921"/>
        <w:spacing w:after="0" w:line="259" w:lineRule="auto"/>
        <w:tabs>
          <w:tab w:leader="none" w:pos="1123" w:val="left"/>
        </w:tabs>
        <w:numPr>
          <w:ilvl w:val="1"/>
          <w:numId w:val="157"/>
        </w:numPr>
        <w:rPr>
          <w:rFonts w:ascii="Arial" w:cs="Arial" w:eastAsia="Arial" w:hAnsi="Arial"/>
          <w:sz w:val="18"/>
          <w:szCs w:val="18"/>
          <w:color w:val="auto"/>
        </w:rPr>
      </w:pPr>
      <w:r>
        <w:rPr>
          <w:rFonts w:ascii="Arial" w:cs="Arial" w:eastAsia="Arial" w:hAnsi="Arial"/>
          <w:sz w:val="18"/>
          <w:szCs w:val="18"/>
          <w:color w:val="auto"/>
        </w:rPr>
        <w:t>Indebtedness arising from any agreement entered into by the Borrower or any Subsidiary providing for customary indemnification, purchase price adjustment, contingent consideration or similar obligations, in each case, incurred or assumed in connection with an Acquisition or Disposition permitted hereunder;</w:t>
      </w:r>
    </w:p>
    <w:p>
      <w:pPr>
        <w:spacing w:after="0" w:line="140" w:lineRule="exact"/>
        <w:rPr>
          <w:rFonts w:ascii="Arial" w:cs="Arial" w:eastAsia="Arial" w:hAnsi="Arial"/>
          <w:sz w:val="18"/>
          <w:szCs w:val="18"/>
          <w:color w:val="auto"/>
        </w:rPr>
      </w:pPr>
    </w:p>
    <w:p>
      <w:pPr>
        <w:ind w:left="1140" w:hanging="219"/>
        <w:spacing w:after="0"/>
        <w:tabs>
          <w:tab w:leader="none" w:pos="114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securities issued in a Convertible Note Exchange;</w:t>
      </w:r>
    </w:p>
    <w:p>
      <w:pPr>
        <w:spacing w:after="0" w:line="171" w:lineRule="exact"/>
        <w:rPr>
          <w:rFonts w:ascii="Arial" w:cs="Arial" w:eastAsia="Arial" w:hAnsi="Arial"/>
          <w:sz w:val="18"/>
          <w:szCs w:val="18"/>
          <w:color w:val="auto"/>
        </w:rPr>
      </w:pPr>
    </w:p>
    <w:p>
      <w:pPr>
        <w:ind w:left="1180" w:hanging="259"/>
        <w:spacing w:after="0"/>
        <w:tabs>
          <w:tab w:leader="none" w:pos="1180" w:val="left"/>
        </w:tabs>
        <w:numPr>
          <w:ilvl w:val="1"/>
          <w:numId w:val="157"/>
        </w:numPr>
        <w:rPr>
          <w:rFonts w:ascii="Arial" w:cs="Arial" w:eastAsia="Arial" w:hAnsi="Arial"/>
          <w:sz w:val="16"/>
          <w:szCs w:val="16"/>
          <w:color w:val="auto"/>
        </w:rPr>
      </w:pPr>
      <w:r>
        <w:rPr>
          <w:rFonts w:ascii="Arial" w:cs="Arial" w:eastAsia="Arial" w:hAnsi="Arial"/>
          <w:sz w:val="16"/>
          <w:szCs w:val="16"/>
          <w:color w:val="auto"/>
        </w:rPr>
        <w:t>Indebtedness representing a refinancing, refunding, renewal or extension of Indebtedness (x) permitted by clause (b), (f) or (j) above or clause</w:t>
      </w:r>
    </w:p>
    <w:p>
      <w:pPr>
        <w:spacing w:after="0" w:line="38" w:lineRule="exact"/>
        <w:rPr>
          <w:rFonts w:ascii="Arial" w:cs="Arial" w:eastAsia="Arial" w:hAnsi="Arial"/>
          <w:sz w:val="16"/>
          <w:szCs w:val="16"/>
          <w:color w:val="auto"/>
        </w:rPr>
      </w:pPr>
    </w:p>
    <w:p>
      <w:pPr>
        <w:jc w:val="both"/>
        <w:ind w:firstLine="8"/>
        <w:spacing w:after="0" w:line="286" w:lineRule="auto"/>
        <w:tabs>
          <w:tab w:leader="none" w:pos="23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 xml:space="preserve">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amount of such Indebtedness is not increased at the time of such refinancing, refunding, renewal or extension, (ii) the terms relating to principal amount, amortization, maturity, collateral (if any) and subordination (if any), and other material terms taken as a whole, of any such refinancing, refunding, renewing or extending Indebtedness, and of any agreement entered into and of any instrument issued in connection therewith, are no less favorable in any material respect to the Loan Parties or the Lenders than the terms of any agreement or instrument governing the Indebtedness being refinanced, refunded, renewed or extended and the interest rate applicable to any such refinancing, refunding, renewing or extending Indebtedness does not exceed the then applicable market interest rate, (iii) with respect to the Convertible Notes (2012) and any debt incurred pursuant to </w:t>
      </w:r>
      <w:r>
        <w:rPr>
          <w:rFonts w:ascii="Arial" w:cs="Arial" w:eastAsia="Arial" w:hAnsi="Arial"/>
          <w:sz w:val="16"/>
          <w:szCs w:val="16"/>
          <w:u w:val="single" w:color="auto"/>
          <w:color w:val="auto"/>
        </w:rPr>
        <w:t>Section 7.03(f)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(j)</w:t>
      </w:r>
      <w:r>
        <w:rPr>
          <w:rFonts w:ascii="Arial" w:cs="Arial" w:eastAsia="Arial" w:hAnsi="Arial"/>
          <w:sz w:val="16"/>
          <w:szCs w:val="16"/>
          <w:color w:val="auto"/>
        </w:rPr>
        <w:t xml:space="preserve">, the maturity date is no earlier than three (3) months after the Maturity Date, and (iv) with respect to any Indebtedness incurred pursuant to </w:t>
      </w:r>
      <w:r>
        <w:rPr>
          <w:rFonts w:ascii="Arial" w:cs="Arial" w:eastAsia="Arial" w:hAnsi="Arial"/>
          <w:sz w:val="16"/>
          <w:szCs w:val="16"/>
          <w:u w:val="single" w:color="auto"/>
          <w:color w:val="auto"/>
        </w:rPr>
        <w:t>Section 7.03(f)</w:t>
      </w:r>
      <w:r>
        <w:rPr>
          <w:rFonts w:ascii="Arial" w:cs="Arial" w:eastAsia="Arial" w:hAnsi="Arial"/>
          <w:sz w:val="16"/>
          <w:szCs w:val="16"/>
          <w:color w:val="auto"/>
        </w:rPr>
        <w:t xml:space="preserve"> above as long as the conditions to the incurrence thereof as set forth in clause (f) remain true and correct at the time of and after giving effect to such refinancing, renewal or extension, and (y) permitted by clause (h) above, as long as the conditions to the incurrence thereof remain true and correct at the time of and after giving effect to such refinancing, renewal or extensions;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280" w:right="239" w:bottom="1440" w:gutter="0" w:footer="0" w:header="0"/>
        </w:sectPr>
      </w:pPr>
    </w:p>
    <w:bookmarkStart w:id="140" w:name="page141"/>
    <w:bookmarkEnd w:id="140"/>
    <w:p>
      <w:pPr>
        <w:jc w:val="both"/>
        <w:ind w:firstLine="921"/>
        <w:spacing w:after="0" w:line="259" w:lineRule="auto"/>
        <w:tabs>
          <w:tab w:leader="none" w:pos="1135" w:val="left"/>
        </w:tabs>
        <w:numPr>
          <w:ilvl w:val="0"/>
          <w:numId w:val="1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Indebtedness of Excluded Subsidiaries in an aggregate principal amount not to exceed $50,000,000 at any time outstanding;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 Indebtedness available under </w:t>
      </w:r>
      <w:r>
        <w:rPr>
          <w:rFonts w:ascii="Arial" w:cs="Arial" w:eastAsia="Arial" w:hAnsi="Arial"/>
          <w:sz w:val="18"/>
          <w:szCs w:val="18"/>
          <w:u w:val="single" w:color="auto"/>
          <w:color w:val="auto"/>
        </w:rPr>
        <w:t>Section 7.03(h)</w:t>
      </w:r>
      <w:r>
        <w:rPr>
          <w:rFonts w:ascii="Arial" w:cs="Arial" w:eastAsia="Arial" w:hAnsi="Arial"/>
          <w:sz w:val="18"/>
          <w:szCs w:val="18"/>
          <w:color w:val="auto"/>
        </w:rPr>
        <w:t xml:space="preserve"> shall be reduced dollar for dollar by the amount of Indebtedness in excess of $25,000,000 outstanding under this </w:t>
      </w:r>
      <w:r>
        <w:rPr>
          <w:rFonts w:ascii="Arial" w:cs="Arial" w:eastAsia="Arial" w:hAnsi="Arial"/>
          <w:sz w:val="18"/>
          <w:szCs w:val="18"/>
          <w:u w:val="single" w:color="auto"/>
          <w:color w:val="auto"/>
        </w:rPr>
        <w:t>Section 7.03(l)</w:t>
      </w:r>
      <w:r>
        <w:rPr>
          <w:rFonts w:ascii="Arial" w:cs="Arial" w:eastAsia="Arial" w:hAnsi="Arial"/>
          <w:sz w:val="18"/>
          <w:szCs w:val="18"/>
          <w:color w:val="auto"/>
        </w:rPr>
        <w:t>; and</w:t>
      </w:r>
    </w:p>
    <w:p>
      <w:pPr>
        <w:spacing w:after="0" w:line="140" w:lineRule="exact"/>
        <w:rPr>
          <w:rFonts w:ascii="Arial" w:cs="Arial" w:eastAsia="Arial" w:hAnsi="Arial"/>
          <w:sz w:val="18"/>
          <w:szCs w:val="18"/>
          <w:color w:val="auto"/>
        </w:rPr>
      </w:pPr>
    </w:p>
    <w:p>
      <w:pPr>
        <w:ind w:left="1220" w:hanging="299"/>
        <w:spacing w:after="0"/>
        <w:tabs>
          <w:tab w:leader="none" w:pos="12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Permitted Warrant Transactions that constitute Indebtedness.</w:t>
      </w:r>
    </w:p>
    <w:p>
      <w:pPr>
        <w:spacing w:after="0" w:line="24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7.04 Fundamental Changes and Acquisitions.</w:t>
      </w:r>
    </w:p>
    <w:p>
      <w:pPr>
        <w:spacing w:after="0" w:line="96" w:lineRule="exact"/>
        <w:rPr>
          <w:sz w:val="20"/>
          <w:szCs w:val="20"/>
          <w:color w:val="auto"/>
        </w:rPr>
      </w:pPr>
    </w:p>
    <w:p>
      <w:pPr>
        <w:jc w:val="both"/>
        <w:ind w:firstLine="921"/>
        <w:spacing w:after="0" w:line="256" w:lineRule="auto"/>
        <w:tabs>
          <w:tab w:leader="none" w:pos="1157" w:val="left"/>
        </w:tabs>
        <w:numPr>
          <w:ilvl w:val="1"/>
          <w:numId w:val="160"/>
        </w:numPr>
        <w:rPr>
          <w:rFonts w:ascii="Arial" w:cs="Arial" w:eastAsia="Arial" w:hAnsi="Arial"/>
          <w:sz w:val="18"/>
          <w:szCs w:val="18"/>
          <w:color w:val="auto"/>
        </w:rPr>
      </w:pPr>
      <w:r>
        <w:rPr>
          <w:rFonts w:ascii="Arial" w:cs="Arial" w:eastAsia="Arial" w:hAnsi="Arial"/>
          <w:sz w:val="18"/>
          <w:szCs w:val="18"/>
          <w:color w:val="auto"/>
        </w:rPr>
        <w:t xml:space="preserve">Merge, dissolve, liquidate, consolidate with or into another Person, or Dispose of (whether in one transaction or in a series of transactions) all or substantially all of its assets (whether now owned or hereafter acquired) to or in favor of any Person, except that, so long as (x) no Default or Event of Default has occurred and is continuing or would result therefrom and (y) the Borrower and its Consolidated Subsidiaries shall be in compliance with </w:t>
      </w:r>
      <w:r>
        <w:rPr>
          <w:rFonts w:ascii="Arial" w:cs="Arial" w:eastAsia="Arial" w:hAnsi="Arial"/>
          <w:sz w:val="18"/>
          <w:szCs w:val="18"/>
          <w:u w:val="single" w:color="auto"/>
          <w:color w:val="auto"/>
        </w:rPr>
        <w:t>Section 7.17</w:t>
      </w:r>
      <w:r>
        <w:rPr>
          <w:rFonts w:ascii="Arial" w:cs="Arial" w:eastAsia="Arial" w:hAnsi="Arial"/>
          <w:sz w:val="18"/>
          <w:szCs w:val="18"/>
          <w:color w:val="auto"/>
        </w:rPr>
        <w:t xml:space="preserve"> after giving effect to such transaction on a Pro Forma Basis:</w:t>
      </w:r>
    </w:p>
    <w:p>
      <w:pPr>
        <w:spacing w:after="0" w:line="62" w:lineRule="exact"/>
        <w:rPr>
          <w:rFonts w:ascii="Arial" w:cs="Arial" w:eastAsia="Arial" w:hAnsi="Arial"/>
          <w:sz w:val="18"/>
          <w:szCs w:val="18"/>
          <w:color w:val="auto"/>
        </w:rPr>
      </w:pPr>
    </w:p>
    <w:p>
      <w:pPr>
        <w:jc w:val="both"/>
        <w:ind w:left="460" w:firstLine="443"/>
        <w:spacing w:after="0" w:line="259" w:lineRule="auto"/>
        <w:tabs>
          <w:tab w:leader="none" w:pos="1121"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the Borrower may merge or consolidate with any of its Wholly-Owned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Borrower shall be the continuing or surviving Person, and (B) the Loan Parties shall cause to be delivered such documents, instruments and certificates as to cause the Loan Parties to be in compliance with the terms of </w:t>
      </w:r>
      <w:r>
        <w:rPr>
          <w:rFonts w:ascii="Arial" w:cs="Arial" w:eastAsia="Arial" w:hAnsi="Arial"/>
          <w:sz w:val="18"/>
          <w:szCs w:val="18"/>
          <w:u w:val="single" w:color="auto"/>
          <w:color w:val="auto"/>
        </w:rPr>
        <w:t>Sections 6.11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6.12</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jc w:val="both"/>
        <w:ind w:left="460" w:firstLine="443"/>
        <w:spacing w:after="0" w:line="256" w:lineRule="auto"/>
        <w:tabs>
          <w:tab w:leader="none" w:pos="1159"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any Wholly-Owned Subsidiary of the Borrower may be party to a transaction of merger or consolidation with a Wholly-Owned Subsidiary of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if one of such Subsidiaries is a Loan Party, such Loan Party shall be the continuing or surviving Person, and (B) the Loan Parties shall cause to be delivered such documents, instruments and certificates as to cause the Loan Parties to be in compliance with the terms of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6.11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6.12</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jc w:val="both"/>
        <w:ind w:left="460" w:firstLine="443"/>
        <w:spacing w:after="0" w:line="259" w:lineRule="auto"/>
        <w:tabs>
          <w:tab w:leader="none" w:pos="120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a Subsidiary may be a party to a transaction of merger or consolidation with a Person other than the Borrower or any Subsidiary of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surviving entity shall be a Wholly-Owned Subsidiary of the Borrower, and (B) the transaction shall otherwise constitute a Permitted Acquisition;</w:t>
      </w:r>
    </w:p>
    <w:p>
      <w:pPr>
        <w:spacing w:after="0" w:line="59" w:lineRule="exact"/>
        <w:rPr>
          <w:rFonts w:ascii="Arial" w:cs="Arial" w:eastAsia="Arial" w:hAnsi="Arial"/>
          <w:sz w:val="18"/>
          <w:szCs w:val="18"/>
          <w:color w:val="auto"/>
        </w:rPr>
      </w:pPr>
    </w:p>
    <w:p>
      <w:pPr>
        <w:jc w:val="both"/>
        <w:ind w:left="460" w:right="20" w:firstLine="443"/>
        <w:spacing w:after="0" w:line="259" w:lineRule="auto"/>
        <w:tabs>
          <w:tab w:leader="none" w:pos="12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the Borrower may be a party to a transaction of merger or consolidation with a Person other than a Subsidiary of the Borrower in order to effect an Acquisition;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(A) the surviving entity shall be the Borrower and (B) such Acquisition shall otherwise comply with clauses (a), (b), (c), (d), (e), (f), (g) and (i)(1) of the definition of “Permitted Acquisition”.</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a Subsidiary may enter into a Disposition permitted under </w:t>
      </w:r>
      <w:r>
        <w:rPr>
          <w:rFonts w:ascii="Arial" w:cs="Arial" w:eastAsia="Arial" w:hAnsi="Arial"/>
          <w:sz w:val="18"/>
          <w:szCs w:val="18"/>
          <w:u w:val="single" w:color="auto"/>
          <w:color w:val="auto"/>
        </w:rPr>
        <w:t>Sections 7.05(d)</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(k)</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the Borrower may enter into a Disposition permitted under </w:t>
      </w:r>
      <w:r>
        <w:rPr>
          <w:rFonts w:ascii="Arial" w:cs="Arial" w:eastAsia="Arial" w:hAnsi="Arial"/>
          <w:sz w:val="18"/>
          <w:szCs w:val="18"/>
          <w:u w:val="single" w:color="auto"/>
          <w:color w:val="auto"/>
        </w:rPr>
        <w:t>Sections 7.05(d)</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(k)</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an Excluded Subsidiary may be voluntarily dissolved or liquidated into any other Subsidiary;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280" w:right="239" w:bottom="1440" w:gutter="0" w:footer="0" w:header="0"/>
        </w:sectPr>
      </w:pPr>
    </w:p>
    <w:bookmarkStart w:id="141" w:name="page142"/>
    <w:bookmarkEnd w:id="141"/>
    <w:p>
      <w:pPr>
        <w:ind w:left="1300" w:hanging="397"/>
        <w:spacing w:after="0"/>
        <w:tabs>
          <w:tab w:leader="none" w:pos="13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domestic Excluded Subsidiary may merge or consolidate into any other domestic Excluded Subsidiary;</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any Foreign Subsidiary may merge or consolidate into any other Foreign Subsidiary;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any Subsidiary of the Borrower may transfer a Foreign Subsidiary to any other Subsidiary of the Borrower.</w:t>
      </w:r>
    </w:p>
    <w:p>
      <w:pPr>
        <w:spacing w:after="0" w:line="171" w:lineRule="exact"/>
        <w:rPr>
          <w:sz w:val="20"/>
          <w:szCs w:val="20"/>
          <w:color w:val="auto"/>
        </w:rPr>
      </w:pPr>
    </w:p>
    <w:p>
      <w:pPr>
        <w:ind w:left="1180" w:hanging="259"/>
        <w:spacing w:after="0"/>
        <w:tabs>
          <w:tab w:leader="none" w:pos="1180" w:val="left"/>
        </w:tabs>
        <w:numPr>
          <w:ilvl w:val="1"/>
          <w:numId w:val="163"/>
        </w:numPr>
        <w:rPr>
          <w:rFonts w:ascii="Arial" w:cs="Arial" w:eastAsia="Arial" w:hAnsi="Arial"/>
          <w:sz w:val="16"/>
          <w:szCs w:val="16"/>
          <w:color w:val="auto"/>
        </w:rPr>
      </w:pPr>
      <w:r>
        <w:rPr>
          <w:rFonts w:ascii="Arial" w:cs="Arial" w:eastAsia="Arial" w:hAnsi="Arial"/>
          <w:sz w:val="16"/>
          <w:szCs w:val="16"/>
          <w:color w:val="auto"/>
        </w:rPr>
        <w:t xml:space="preserve">Make or permit any Subsidiary to make any Acquisition other than (i) a Permitted Acquisition, (ii) an Acquisition permitted by </w:t>
      </w:r>
      <w:r>
        <w:rPr>
          <w:rFonts w:ascii="Arial" w:cs="Arial" w:eastAsia="Arial" w:hAnsi="Arial"/>
          <w:sz w:val="16"/>
          <w:szCs w:val="16"/>
          <w:u w:val="single" w:color="auto"/>
          <w:color w:val="auto"/>
        </w:rPr>
        <w:t>Section 7.04(a)</w:t>
      </w:r>
      <w:r>
        <w:rPr>
          <w:rFonts w:ascii="Arial" w:cs="Arial" w:eastAsia="Arial" w:hAnsi="Arial"/>
          <w:sz w:val="16"/>
          <w:szCs w:val="16"/>
          <w:color w:val="auto"/>
        </w:rPr>
        <w:t>,</w:t>
      </w:r>
    </w:p>
    <w:p>
      <w:pPr>
        <w:spacing w:after="0" w:line="38" w:lineRule="exact"/>
        <w:rPr>
          <w:rFonts w:ascii="Arial" w:cs="Arial" w:eastAsia="Arial" w:hAnsi="Arial"/>
          <w:sz w:val="16"/>
          <w:szCs w:val="16"/>
          <w:color w:val="auto"/>
        </w:rPr>
      </w:pPr>
    </w:p>
    <w:p>
      <w:pPr>
        <w:ind w:right="20" w:firstLine="8"/>
        <w:spacing w:after="0" w:line="261" w:lineRule="auto"/>
        <w:tabs>
          <w:tab w:leader="none" w:pos="318"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an Investment permitted by </w:t>
      </w:r>
      <w:r>
        <w:rPr>
          <w:rFonts w:ascii="Arial" w:cs="Arial" w:eastAsia="Arial" w:hAnsi="Arial"/>
          <w:sz w:val="18"/>
          <w:szCs w:val="18"/>
          <w:u w:val="single" w:color="auto"/>
          <w:color w:val="auto"/>
        </w:rPr>
        <w:t>Section 7.02(l)</w:t>
      </w:r>
      <w:r>
        <w:rPr>
          <w:rFonts w:ascii="Arial" w:cs="Arial" w:eastAsia="Arial" w:hAnsi="Arial"/>
          <w:sz w:val="18"/>
          <w:szCs w:val="18"/>
          <w:color w:val="auto"/>
        </w:rPr>
        <w:t xml:space="preserve"> that constitutes an Acquisition or (iv) the acquisition of intellectual property in the ordinary course of business that constitutes an Acquisition.</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7.05 Dispositions. </w:t>
      </w:r>
      <w:r>
        <w:rPr>
          <w:rFonts w:ascii="Arial" w:cs="Arial" w:eastAsia="Arial" w:hAnsi="Arial"/>
          <w:sz w:val="16"/>
          <w:szCs w:val="16"/>
          <w:color w:val="auto"/>
        </w:rPr>
        <w:t>Make any Disposition (other than any Casualty or Condemnation) or enter into any agreement to make any Disposition, except:</w:t>
      </w:r>
    </w:p>
    <w:p>
      <w:pPr>
        <w:spacing w:after="0" w:line="200" w:lineRule="exact"/>
        <w:rPr>
          <w:sz w:val="20"/>
          <w:szCs w:val="20"/>
          <w:color w:val="auto"/>
        </w:rPr>
      </w:pPr>
    </w:p>
    <w:p>
      <w:pPr>
        <w:ind w:left="1160" w:hanging="239"/>
        <w:spacing w:after="0"/>
        <w:tabs>
          <w:tab w:leader="none" w:pos="11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Dispositions of obsolete or worn out property, whether now owned or hereafter acquired, in the ordinary course of business;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Dispositions of inventory in the ordinary course of business;</w:t>
      </w:r>
    </w:p>
    <w:p>
      <w:pPr>
        <w:spacing w:after="0" w:line="171" w:lineRule="exact"/>
        <w:rPr>
          <w:rFonts w:ascii="Arial" w:cs="Arial" w:eastAsia="Arial" w:hAnsi="Arial"/>
          <w:sz w:val="18"/>
          <w:szCs w:val="18"/>
          <w:color w:val="auto"/>
        </w:rPr>
      </w:pPr>
    </w:p>
    <w:p>
      <w:pPr>
        <w:jc w:val="both"/>
        <w:ind w:firstLine="921"/>
        <w:spacing w:after="0" w:line="259" w:lineRule="auto"/>
        <w:tabs>
          <w:tab w:leader="none" w:pos="1161" w:val="left"/>
        </w:tabs>
        <w:numPr>
          <w:ilvl w:val="0"/>
          <w:numId w:val="165"/>
        </w:numPr>
        <w:rPr>
          <w:rFonts w:ascii="Arial" w:cs="Arial" w:eastAsia="Arial" w:hAnsi="Arial"/>
          <w:sz w:val="18"/>
          <w:szCs w:val="18"/>
          <w:color w:val="auto"/>
        </w:rPr>
      </w:pPr>
      <w:r>
        <w:rPr>
          <w:rFonts w:ascii="Arial" w:cs="Arial" w:eastAsia="Arial" w:hAnsi="Arial"/>
          <w:sz w:val="18"/>
          <w:szCs w:val="18"/>
          <w:color w:val="auto"/>
        </w:rPr>
        <w:t>Dispositions of equipment or real property in the ordinary course of business to the extent that (i) such property is exchanged for credit against the purchase price of similar replacement property or (ii) the proceeds of such Disposition are reasonably applied to the purchase price of similar replacement property within 180 days of such Disposition;</w:t>
      </w:r>
    </w:p>
    <w:p>
      <w:pPr>
        <w:spacing w:after="0" w:line="140" w:lineRule="exact"/>
        <w:rPr>
          <w:rFonts w:ascii="Arial" w:cs="Arial" w:eastAsia="Arial" w:hAnsi="Arial"/>
          <w:sz w:val="18"/>
          <w:szCs w:val="18"/>
          <w:color w:val="auto"/>
        </w:rPr>
      </w:pPr>
    </w:p>
    <w:p>
      <w:pPr>
        <w:ind w:firstLine="921"/>
        <w:spacing w:after="0" w:line="268" w:lineRule="auto"/>
        <w:tabs>
          <w:tab w:leader="none" w:pos="1167" w:val="left"/>
        </w:tabs>
        <w:numPr>
          <w:ilvl w:val="0"/>
          <w:numId w:val="165"/>
        </w:numPr>
        <w:rPr>
          <w:rFonts w:ascii="Arial" w:cs="Arial" w:eastAsia="Arial" w:hAnsi="Arial"/>
          <w:sz w:val="18"/>
          <w:szCs w:val="18"/>
          <w:color w:val="auto"/>
        </w:rPr>
      </w:pPr>
      <w:r>
        <w:rPr>
          <w:rFonts w:ascii="Arial" w:cs="Arial" w:eastAsia="Arial" w:hAnsi="Arial"/>
          <w:sz w:val="18"/>
          <w:szCs w:val="18"/>
          <w:color w:val="auto"/>
        </w:rPr>
        <w:t>Dispositions of property (i) by the Borrower or a Subsidiary of the Borrower to the Borrower or a Subsidiary Guarantor and (ii) by an Excluded Subsidiary to the Borrower or another Subsidiary;</w:t>
      </w:r>
    </w:p>
    <w:p>
      <w:pPr>
        <w:spacing w:after="0" w:line="131" w:lineRule="exact"/>
        <w:rPr>
          <w:rFonts w:ascii="Arial" w:cs="Arial" w:eastAsia="Arial" w:hAnsi="Arial"/>
          <w:sz w:val="18"/>
          <w:szCs w:val="18"/>
          <w:color w:val="auto"/>
        </w:rPr>
      </w:pPr>
    </w:p>
    <w:p>
      <w:pPr>
        <w:ind w:firstLine="921"/>
        <w:spacing w:after="0" w:line="268" w:lineRule="auto"/>
        <w:tabs>
          <w:tab w:leader="none" w:pos="1163"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Dispositions that constitute Investments permitted by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or Restricted Payments permitted by Section 7.06 and Dispositions made in connection with transactions permitted by </w:t>
      </w:r>
      <w:r>
        <w:rPr>
          <w:rFonts w:ascii="Arial" w:cs="Arial" w:eastAsia="Arial" w:hAnsi="Arial"/>
          <w:sz w:val="18"/>
          <w:szCs w:val="18"/>
          <w:u w:val="single" w:color="auto"/>
          <w:color w:val="auto"/>
        </w:rPr>
        <w:t>Section 7.04</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jc w:val="both"/>
        <w:ind w:firstLine="921"/>
        <w:spacing w:after="0" w:line="259" w:lineRule="auto"/>
        <w:tabs>
          <w:tab w:leader="none" w:pos="1139" w:val="left"/>
        </w:tabs>
        <w:numPr>
          <w:ilvl w:val="0"/>
          <w:numId w:val="165"/>
        </w:numPr>
        <w:rPr>
          <w:rFonts w:ascii="Arial" w:cs="Arial" w:eastAsia="Arial" w:hAnsi="Arial"/>
          <w:sz w:val="18"/>
          <w:szCs w:val="18"/>
          <w:color w:val="auto"/>
        </w:rPr>
      </w:pPr>
      <w:r>
        <w:rPr>
          <w:rFonts w:ascii="Arial" w:cs="Arial" w:eastAsia="Arial" w:hAnsi="Arial"/>
          <w:sz w:val="18"/>
          <w:szCs w:val="18"/>
          <w:color w:val="auto"/>
        </w:rPr>
        <w:t>other Dispositions (including charitable donations) as long as the aggregate proceeds of all such Dispositions made pursuant to this clause (f) by the Borrower and its Subsidiaries during the term of this Agreement does not exceed, in the aggregate, an amount equal to fifteen percent (15%) of the aggregate book value of all tangible assets of the Borrower and its Subsidiaries as of the date of such Disposition;</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licensing (including sublicensing) of intellectual property in the ordinary course of business,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lease or sublease of real property in the ordinary course of business;</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exchanges of Cash Equivalents for other Cash Equivalents;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280" w:right="239" w:bottom="1440" w:gutter="0" w:footer="0" w:header="0"/>
        </w:sectPr>
      </w:pPr>
    </w:p>
    <w:bookmarkStart w:id="142" w:name="page143"/>
    <w:bookmarkEnd w:id="142"/>
    <w:p>
      <w:pPr>
        <w:ind w:left="1140" w:hanging="219"/>
        <w:spacing w:after="0"/>
        <w:tabs>
          <w:tab w:leader="none" w:pos="11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assignments of contract rights in the ordinary course of business;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Dispositions of Minority Equity Interests; and</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settlement or early termination of any Permitted Bond Hedge Transaction and/or any Permitted Warrant Transaction in accordance with its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terms;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any Disposition pursuant to subsections (a) through (l) shall be for fair market value (other than charitable donations made pursuant to clause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 above).</w:t>
      </w:r>
    </w:p>
    <w:p>
      <w:pPr>
        <w:spacing w:after="0" w:line="159" w:lineRule="exact"/>
        <w:rPr>
          <w:sz w:val="20"/>
          <w:szCs w:val="20"/>
          <w:color w:val="auto"/>
        </w:rPr>
      </w:pPr>
    </w:p>
    <w:p>
      <w:pPr>
        <w:jc w:val="both"/>
        <w:ind w:firstLine="913"/>
        <w:spacing w:after="0" w:line="262" w:lineRule="auto"/>
        <w:rPr>
          <w:sz w:val="20"/>
          <w:szCs w:val="20"/>
          <w:color w:val="auto"/>
        </w:rPr>
      </w:pPr>
      <w:r>
        <w:rPr>
          <w:rFonts w:ascii="Arial" w:cs="Arial" w:eastAsia="Arial" w:hAnsi="Arial"/>
          <w:sz w:val="18"/>
          <w:szCs w:val="18"/>
          <w:b w:val="1"/>
          <w:bCs w:val="1"/>
          <w:color w:val="auto"/>
        </w:rPr>
        <w:t xml:space="preserve">7.06 Restricted Payments. </w:t>
      </w:r>
      <w:r>
        <w:rPr>
          <w:rFonts w:ascii="Arial" w:cs="Arial" w:eastAsia="Arial" w:hAnsi="Arial"/>
          <w:sz w:val="18"/>
          <w:szCs w:val="18"/>
          <w:color w:val="auto"/>
        </w:rPr>
        <w:t>Declare or make any Restricted Payment or incur any obligation contingent or otherwise to do so, or issue or sell any</w:t>
      </w:r>
      <w:r>
        <w:rPr>
          <w:rFonts w:ascii="Arial" w:cs="Arial" w:eastAsia="Arial" w:hAnsi="Arial"/>
          <w:sz w:val="18"/>
          <w:szCs w:val="18"/>
          <w:b w:val="1"/>
          <w:bCs w:val="1"/>
          <w:color w:val="auto"/>
        </w:rPr>
        <w:t xml:space="preserve"> </w:t>
      </w:r>
      <w:r>
        <w:rPr>
          <w:rFonts w:ascii="Arial" w:cs="Arial" w:eastAsia="Arial" w:hAnsi="Arial"/>
          <w:sz w:val="18"/>
          <w:szCs w:val="18"/>
          <w:color w:val="auto"/>
        </w:rPr>
        <w:t>Equity Interests, or enter into a Voluntary Convertible Note Repurchase, except that so long as no Event of Default shall have occurred and be continuing at the time of any action described below or would result therefrom:</w:t>
      </w:r>
    </w:p>
    <w:p>
      <w:pPr>
        <w:spacing w:after="0" w:line="138" w:lineRule="exact"/>
        <w:rPr>
          <w:sz w:val="20"/>
          <w:szCs w:val="20"/>
          <w:color w:val="auto"/>
        </w:rPr>
      </w:pPr>
    </w:p>
    <w:p>
      <w:pPr>
        <w:ind w:firstLine="921"/>
        <w:spacing w:after="0" w:line="268" w:lineRule="auto"/>
        <w:tabs>
          <w:tab w:leader="none" w:pos="1177"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 Borrower or any of its Subsidiaries may declare and pay dividends and distributions payable solely in Qualified Equity Interests of the Borrower or such Subsidiary;</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any Subsidiary of the Borrower may declare and pay dividends to the Borrower or any Subsidiary of the Borrower;</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71" w:lineRule="exact"/>
        <w:rPr>
          <w:rFonts w:ascii="Arial" w:cs="Arial" w:eastAsia="Arial" w:hAnsi="Arial"/>
          <w:sz w:val="18"/>
          <w:szCs w:val="18"/>
          <w:color w:val="auto"/>
        </w:rPr>
      </w:pPr>
    </w:p>
    <w:p>
      <w:pPr>
        <w:jc w:val="both"/>
        <w:ind w:firstLine="921"/>
        <w:spacing w:after="0" w:line="282" w:lineRule="auto"/>
        <w:tabs>
          <w:tab w:leader="none" w:pos="1198" w:val="left"/>
        </w:tabs>
        <w:numPr>
          <w:ilvl w:val="1"/>
          <w:numId w:val="167"/>
        </w:numPr>
        <w:rPr>
          <w:rFonts w:ascii="Arial" w:cs="Arial" w:eastAsia="Arial" w:hAnsi="Arial"/>
          <w:sz w:val="16"/>
          <w:szCs w:val="16"/>
          <w:color w:val="auto"/>
        </w:rPr>
      </w:pPr>
      <w:r>
        <w:rPr>
          <w:rFonts w:ascii="Arial" w:cs="Arial" w:eastAsia="Arial" w:hAnsi="Arial"/>
          <w:sz w:val="16"/>
          <w:szCs w:val="16"/>
          <w:color w:val="auto"/>
        </w:rPr>
        <w:t xml:space="preserve">the Borrower may at any time, and from time to time after the Closing Date, make Restricted Payments or Voluntary Convertible Note Repurchases (i) in an aggregate amount not to exceed $75,000,000 in any fiscal year if, after giving effect thereto as of the date of such Restricted Payment or Voluntary Convertible Note Repurchase, the Borrower’s Consolidated Total Leverage Ratio is greater than or equal to 2.50 to 1.00, or (ii) in an aggregate amount not to exceed $200,000,000 in any fiscal year if, after giving effect thereto as of the date of such Restricted Payment or Voluntary Convertible Note Repurchase, the Borrower’s Consolidated Total Leverage Ratio is less than 2.50 to 1.00;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it is understood that the Borrower may make Restricted Payments in the form of (1) the repurchase, redemption or retirement of any outstanding Equity Interest of the Borrower with the proceeds of subordinated indebtedness, the issuance of which is permitted pursuant to </w:t>
      </w:r>
      <w:r>
        <w:rPr>
          <w:rFonts w:ascii="Arial" w:cs="Arial" w:eastAsia="Arial" w:hAnsi="Arial"/>
          <w:sz w:val="16"/>
          <w:szCs w:val="16"/>
          <w:u w:val="single" w:color="auto"/>
          <w:color w:val="auto"/>
        </w:rPr>
        <w:t>Section 7.03(f)</w:t>
      </w:r>
      <w:r>
        <w:rPr>
          <w:rFonts w:ascii="Arial" w:cs="Arial" w:eastAsia="Arial" w:hAnsi="Arial"/>
          <w:sz w:val="16"/>
          <w:szCs w:val="16"/>
          <w:color w:val="auto"/>
        </w:rPr>
        <w:t>, (2) the withholding, repurchase, redemption or retirement of any restricted Qualified Equity Interests issued to employees, directors and consultants of the Loan Parties, pursuant to the Borrower’s equity incentive plans approved by the Borrower’s Board of Directors and withheld by the Borrower to satisfy tax obligations of such employees, directors and/or consultants at the time such tax obligation arises or otherwise at the time the forfeiture and transferability restrictions cease, and (3) a purchase of Permitted Bond Hedge Transactions as provided in subclause</w:t>
      </w:r>
    </w:p>
    <w:p>
      <w:pPr>
        <w:spacing w:after="0" w:line="5" w:lineRule="exact"/>
        <w:rPr>
          <w:rFonts w:ascii="Arial" w:cs="Arial" w:eastAsia="Arial" w:hAnsi="Arial"/>
          <w:sz w:val="16"/>
          <w:szCs w:val="16"/>
          <w:color w:val="auto"/>
        </w:rPr>
      </w:pPr>
    </w:p>
    <w:p>
      <w:pPr>
        <w:ind w:left="220" w:hanging="212"/>
        <w:spacing w:after="0"/>
        <w:tabs>
          <w:tab w:leader="none" w:pos="220" w:val="left"/>
        </w:tabs>
        <w:numPr>
          <w:ilvl w:val="0"/>
          <w:numId w:val="168"/>
        </w:numPr>
        <w:rPr>
          <w:rFonts w:ascii="Arial" w:cs="Arial" w:eastAsia="Arial" w:hAnsi="Arial"/>
          <w:sz w:val="15"/>
          <w:szCs w:val="15"/>
          <w:color w:val="auto"/>
        </w:rPr>
      </w:pPr>
      <w:r>
        <w:rPr>
          <w:rFonts w:ascii="Arial" w:cs="Arial" w:eastAsia="Arial" w:hAnsi="Arial"/>
          <w:sz w:val="15"/>
          <w:szCs w:val="15"/>
          <w:color w:val="auto"/>
        </w:rPr>
        <w:t>below, and in the case of each of clauses (1), (2), and (3) above, without regard to, and without decreasing the availability of, the baskets set forth in subclauses</w:t>
      </w:r>
    </w:p>
    <w:p>
      <w:pPr>
        <w:spacing w:after="0" w:line="43" w:lineRule="exact"/>
        <w:rPr>
          <w:rFonts w:ascii="Arial" w:cs="Arial" w:eastAsia="Arial" w:hAnsi="Arial"/>
          <w:sz w:val="15"/>
          <w:szCs w:val="15"/>
          <w:color w:val="auto"/>
        </w:rPr>
      </w:pPr>
    </w:p>
    <w:p>
      <w:pPr>
        <w:ind w:left="220" w:hanging="212"/>
        <w:spacing w:after="0"/>
        <w:tabs>
          <w:tab w:leader="none" w:pos="2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and (ii) above;</w:t>
      </w:r>
    </w:p>
    <w:p>
      <w:pPr>
        <w:spacing w:after="0" w:line="164" w:lineRule="exact"/>
        <w:rPr>
          <w:rFonts w:ascii="Arial" w:cs="Arial" w:eastAsia="Arial" w:hAnsi="Arial"/>
          <w:sz w:val="18"/>
          <w:szCs w:val="18"/>
          <w:color w:val="auto"/>
        </w:rPr>
      </w:pPr>
    </w:p>
    <w:p>
      <w:pPr>
        <w:ind w:firstLine="921"/>
        <w:spacing w:after="0" w:line="268" w:lineRule="auto"/>
        <w:tabs>
          <w:tab w:leader="none" w:pos="1154" w:val="left"/>
        </w:tabs>
        <w:numPr>
          <w:ilvl w:val="1"/>
          <w:numId w:val="169"/>
        </w:numPr>
        <w:rPr>
          <w:rFonts w:ascii="Arial" w:cs="Arial" w:eastAsia="Arial" w:hAnsi="Arial"/>
          <w:sz w:val="18"/>
          <w:szCs w:val="18"/>
          <w:color w:val="auto"/>
        </w:rPr>
      </w:pPr>
      <w:r>
        <w:rPr>
          <w:rFonts w:ascii="Arial" w:cs="Arial" w:eastAsia="Arial" w:hAnsi="Arial"/>
          <w:sz w:val="18"/>
          <w:szCs w:val="18"/>
          <w:color w:val="auto"/>
        </w:rPr>
        <w:t xml:space="preserve">the Borrower may issue or sell (x) Qualified Equity Interests so long as such issuance or sale does not result in a Change of Control and (y) other Equity Interests to the extent permitted by </w:t>
      </w:r>
      <w:r>
        <w:rPr>
          <w:rFonts w:ascii="Arial" w:cs="Arial" w:eastAsia="Arial" w:hAnsi="Arial"/>
          <w:sz w:val="18"/>
          <w:szCs w:val="18"/>
          <w:u w:val="single" w:color="auto"/>
          <w:color w:val="auto"/>
        </w:rPr>
        <w:t>Section 7.03(f)</w:t>
      </w:r>
      <w:r>
        <w:rPr>
          <w:rFonts w:ascii="Arial" w:cs="Arial" w:eastAsia="Arial" w:hAnsi="Arial"/>
          <w:sz w:val="18"/>
          <w:szCs w:val="18"/>
          <w:color w:val="auto"/>
        </w:rPr>
        <w:t xml:space="preserve">, </w:t>
      </w:r>
      <w:r>
        <w:rPr>
          <w:rFonts w:ascii="Arial" w:cs="Arial" w:eastAsia="Arial" w:hAnsi="Arial"/>
          <w:sz w:val="18"/>
          <w:szCs w:val="18"/>
          <w:u w:val="single" w:color="auto"/>
          <w:color w:val="auto"/>
        </w:rPr>
        <w:t>(h)</w:t>
      </w:r>
      <w:r>
        <w:rPr>
          <w:rFonts w:ascii="Arial" w:cs="Arial" w:eastAsia="Arial" w:hAnsi="Arial"/>
          <w:sz w:val="18"/>
          <w:szCs w:val="18"/>
          <w:color w:val="auto"/>
        </w:rPr>
        <w:t xml:space="preserve">, </w:t>
      </w:r>
      <w:r>
        <w:rPr>
          <w:rFonts w:ascii="Arial" w:cs="Arial" w:eastAsia="Arial" w:hAnsi="Arial"/>
          <w:sz w:val="18"/>
          <w:szCs w:val="18"/>
          <w:u w:val="single" w:color="auto"/>
          <w:color w:val="auto"/>
        </w:rPr>
        <w:t>(k)</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(l)</w:t>
      </w:r>
      <w:r>
        <w:rPr>
          <w:rFonts w:ascii="Arial" w:cs="Arial" w:eastAsia="Arial" w:hAnsi="Arial"/>
          <w:sz w:val="18"/>
          <w:szCs w:val="18"/>
          <w:color w:val="auto"/>
        </w:rPr>
        <w: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280" w:right="239" w:bottom="1440" w:gutter="0" w:footer="0" w:header="0"/>
        </w:sectPr>
      </w:pPr>
    </w:p>
    <w:bookmarkStart w:id="143" w:name="page144"/>
    <w:bookmarkEnd w:id="143"/>
    <w:p>
      <w:pPr>
        <w:ind w:left="1140" w:hanging="219"/>
        <w:spacing w:after="0"/>
        <w:tabs>
          <w:tab w:leader="none" w:pos="1140" w:val="left"/>
        </w:tabs>
        <w:numPr>
          <w:ilvl w:val="0"/>
          <w:numId w:val="17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Borrower and its Subsidiaries may issue Qualified Equity Interests in connection with a transaction permitted by </w:t>
      </w:r>
      <w:r>
        <w:rPr>
          <w:rFonts w:ascii="Arial" w:cs="Arial" w:eastAsia="Arial" w:hAnsi="Arial"/>
          <w:sz w:val="16"/>
          <w:szCs w:val="16"/>
          <w:u w:val="single" w:color="auto"/>
          <w:color w:val="auto"/>
        </w:rPr>
        <w:t>Section 7.04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7.05</w:t>
      </w:r>
      <w:r>
        <w:rPr>
          <w:rFonts w:ascii="Arial" w:cs="Arial" w:eastAsia="Arial" w:hAnsi="Arial"/>
          <w:sz w:val="16"/>
          <w:szCs w:val="16"/>
          <w:color w:val="auto"/>
        </w:rPr>
        <w:t>; and</w:t>
      </w:r>
    </w:p>
    <w:p>
      <w:pPr>
        <w:spacing w:after="0" w:line="194" w:lineRule="exact"/>
        <w:rPr>
          <w:rFonts w:ascii="Arial" w:cs="Arial" w:eastAsia="Arial" w:hAnsi="Arial"/>
          <w:sz w:val="16"/>
          <w:szCs w:val="16"/>
          <w:color w:val="auto"/>
        </w:rPr>
      </w:pPr>
    </w:p>
    <w:p>
      <w:pPr>
        <w:jc w:val="both"/>
        <w:ind w:firstLine="921"/>
        <w:spacing w:after="0" w:line="306" w:lineRule="auto"/>
        <w:tabs>
          <w:tab w:leader="none" w:pos="1177" w:val="left"/>
        </w:tabs>
        <w:numPr>
          <w:ilvl w:val="0"/>
          <w:numId w:val="170"/>
        </w:numPr>
        <w:rPr>
          <w:rFonts w:ascii="Arial" w:cs="Arial" w:eastAsia="Arial" w:hAnsi="Arial"/>
          <w:sz w:val="16"/>
          <w:szCs w:val="16"/>
          <w:color w:val="auto"/>
        </w:rPr>
      </w:pPr>
      <w:r>
        <w:rPr>
          <w:rFonts w:ascii="Arial" w:cs="Arial" w:eastAsia="Arial" w:hAnsi="Arial"/>
          <w:sz w:val="16"/>
          <w:szCs w:val="16"/>
          <w:color w:val="auto"/>
        </w:rPr>
        <w:t xml:space="preserve">the Borrower may repurchase or refinance (x) its outstanding Equity Interests out of the proceeds of a substantially concurrent issue of, or an exchange for, Qualified Equity Interests and (y) Equity Interests or Indebtedness issued pursuant to </w:t>
      </w:r>
      <w:r>
        <w:rPr>
          <w:rFonts w:ascii="Arial" w:cs="Arial" w:eastAsia="Arial" w:hAnsi="Arial"/>
          <w:sz w:val="16"/>
          <w:szCs w:val="16"/>
          <w:u w:val="single" w:color="auto"/>
          <w:color w:val="auto"/>
        </w:rPr>
        <w:t>Section 7.03(f)</w:t>
      </w:r>
      <w:r>
        <w:rPr>
          <w:rFonts w:ascii="Arial" w:cs="Arial" w:eastAsia="Arial" w:hAnsi="Arial"/>
          <w:sz w:val="16"/>
          <w:szCs w:val="16"/>
          <w:color w:val="auto"/>
        </w:rPr>
        <w:t xml:space="preserve">, </w:t>
      </w:r>
      <w:r>
        <w:rPr>
          <w:rFonts w:ascii="Arial" w:cs="Arial" w:eastAsia="Arial" w:hAnsi="Arial"/>
          <w:sz w:val="16"/>
          <w:szCs w:val="16"/>
          <w:u w:val="single" w:color="auto"/>
          <w:color w:val="auto"/>
        </w:rPr>
        <w:t>(k)</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(l)</w:t>
      </w:r>
      <w:r>
        <w:rPr>
          <w:rFonts w:ascii="Arial" w:cs="Arial" w:eastAsia="Arial" w:hAnsi="Arial"/>
          <w:sz w:val="16"/>
          <w:szCs w:val="16"/>
          <w:color w:val="auto"/>
        </w:rPr>
        <w:t xml:space="preserve"> with the proceeds of the issuance of Qualified Equity Interests or other Indebtedness permitted by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(and which complies with the terms of </w:t>
      </w:r>
      <w:r>
        <w:rPr>
          <w:rFonts w:ascii="Arial" w:cs="Arial" w:eastAsia="Arial" w:hAnsi="Arial"/>
          <w:sz w:val="16"/>
          <w:szCs w:val="16"/>
          <w:u w:val="single" w:color="auto"/>
          <w:color w:val="auto"/>
        </w:rPr>
        <w:t>Section 7.03(k)</w:t>
      </w:r>
      <w:r>
        <w:rPr>
          <w:rFonts w:ascii="Arial" w:cs="Arial" w:eastAsia="Arial" w:hAnsi="Arial"/>
          <w:sz w:val="16"/>
          <w:szCs w:val="16"/>
          <w:color w:val="auto"/>
        </w:rPr>
        <w:t>);</w:t>
      </w:r>
    </w:p>
    <w:p>
      <w:pPr>
        <w:spacing w:after="0" w:line="106" w:lineRule="exact"/>
        <w:rPr>
          <w:rFonts w:ascii="Arial" w:cs="Arial" w:eastAsia="Arial" w:hAnsi="Arial"/>
          <w:sz w:val="16"/>
          <w:szCs w:val="16"/>
          <w:color w:val="auto"/>
        </w:rPr>
      </w:pPr>
    </w:p>
    <w:p>
      <w:pPr>
        <w:ind w:left="1160" w:hanging="239"/>
        <w:spacing w:after="0"/>
        <w:tabs>
          <w:tab w:leader="none" w:pos="11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the Borrower may repurchase or refinance Equity Interests that evidence Indebtedness issued pursuant to </w:t>
      </w:r>
      <w:r>
        <w:rPr>
          <w:rFonts w:ascii="Arial" w:cs="Arial" w:eastAsia="Arial" w:hAnsi="Arial"/>
          <w:sz w:val="18"/>
          <w:szCs w:val="18"/>
          <w:u w:val="single" w:color="auto"/>
          <w:color w:val="auto"/>
        </w:rPr>
        <w:t>Section 7.03(h)</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firstLine="921"/>
        <w:spacing w:after="0" w:line="306" w:lineRule="auto"/>
        <w:tabs>
          <w:tab w:leader="none" w:pos="1125"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Borrower may purchase Permitted Bond Hedge Transactions and enter into any related Permitted Warrant Transactions in connection with the issuance of Convertible Indebtedness permitted hereunder and make any payments and/or issue common stock in connection with the settlement or early termination of any such Permitted Bond Hedge Transactions or Permitted Warrant Transactions in accordance with its terms;</w:t>
      </w:r>
    </w:p>
    <w:p>
      <w:pPr>
        <w:spacing w:after="0" w:line="106" w:lineRule="exact"/>
        <w:rPr>
          <w:rFonts w:ascii="Arial" w:cs="Arial" w:eastAsia="Arial" w:hAnsi="Arial"/>
          <w:sz w:val="16"/>
          <w:szCs w:val="16"/>
          <w:color w:val="auto"/>
        </w:rPr>
      </w:pPr>
    </w:p>
    <w:p>
      <w:pPr>
        <w:ind w:left="1140" w:hanging="219"/>
        <w:spacing w:after="0"/>
        <w:tabs>
          <w:tab w:leader="none" w:pos="11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Borrower may issue common stock upon conversion of any Convertible Indebtedness;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[Intentionally Omitted]; and</w:t>
      </w:r>
    </w:p>
    <w:p>
      <w:pPr>
        <w:spacing w:after="0" w:line="171" w:lineRule="exact"/>
        <w:rPr>
          <w:rFonts w:ascii="Arial" w:cs="Arial" w:eastAsia="Arial" w:hAnsi="Arial"/>
          <w:sz w:val="18"/>
          <w:szCs w:val="18"/>
          <w:color w:val="auto"/>
        </w:rPr>
      </w:pPr>
    </w:p>
    <w:p>
      <w:pPr>
        <w:ind w:firstLine="921"/>
        <w:spacing w:after="0" w:line="332" w:lineRule="auto"/>
        <w:tabs>
          <w:tab w:leader="none" w:pos="1129" w:val="left"/>
        </w:tabs>
        <w:numPr>
          <w:ilvl w:val="0"/>
          <w:numId w:val="170"/>
        </w:numPr>
        <w:rPr>
          <w:rFonts w:ascii="Arial" w:cs="Arial" w:eastAsia="Arial" w:hAnsi="Arial"/>
          <w:sz w:val="16"/>
          <w:szCs w:val="16"/>
          <w:color w:val="auto"/>
        </w:rPr>
      </w:pPr>
      <w:r>
        <w:rPr>
          <w:rFonts w:ascii="Arial" w:cs="Arial" w:eastAsia="Arial" w:hAnsi="Arial"/>
          <w:sz w:val="16"/>
          <w:szCs w:val="16"/>
          <w:color w:val="auto"/>
        </w:rPr>
        <w:t>solely in connection with the issuance of any Convertible Indebtedness permitted hereunder, the Borrower may make Restricted Payments in the form of repurchases of common Equity Interests of the Borrower in an aggregate amount not to exceed $75,000,000 in any fiscal year.</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7.07 Amendment, Etc. of Indebtedness; Other Material Contracts and Constitutive Documents and Payments in respect of Indebtedness.</w:t>
      </w:r>
    </w:p>
    <w:p>
      <w:pPr>
        <w:spacing w:after="0" w:line="200" w:lineRule="exact"/>
        <w:rPr>
          <w:sz w:val="20"/>
          <w:szCs w:val="20"/>
          <w:color w:val="auto"/>
        </w:rPr>
      </w:pPr>
    </w:p>
    <w:p>
      <w:pPr>
        <w:jc w:val="both"/>
        <w:ind w:firstLine="921"/>
        <w:spacing w:after="0" w:line="255" w:lineRule="auto"/>
        <w:tabs>
          <w:tab w:leader="none" w:pos="1188"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After the issuance thereof, amend or modify (or permit the amendment or modification of (including any waivers of)), the terms of the Convertible Notes (2012) or any subordinated Indebtedness (including any Indebtedness issued pursuant to the terms of </w:t>
      </w:r>
      <w:r>
        <w:rPr>
          <w:rFonts w:ascii="Arial" w:cs="Arial" w:eastAsia="Arial" w:hAnsi="Arial"/>
          <w:sz w:val="18"/>
          <w:szCs w:val="18"/>
          <w:u w:val="single" w:color="auto"/>
          <w:color w:val="auto"/>
        </w:rPr>
        <w:t>Section 7.03(f)</w:t>
      </w:r>
      <w:r>
        <w:rPr>
          <w:rFonts w:ascii="Arial" w:cs="Arial" w:eastAsia="Arial" w:hAnsi="Arial"/>
          <w:sz w:val="18"/>
          <w:szCs w:val="18"/>
          <w:color w:val="auto"/>
        </w:rPr>
        <w:t xml:space="preserve">) in a manner adverse to the interests of the Lenders (including, without limitation, specifically shortening any maturity or average life to maturity or requiring any payment sooner than previously scheduled or increasing the interest rate or fees applicable thereto or granting collateral as security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Convertible Notes (2012) may be amended to permit the Convertible Note Exchange.</w:t>
      </w:r>
    </w:p>
    <w:p>
      <w:pPr>
        <w:spacing w:after="0" w:line="142" w:lineRule="exact"/>
        <w:rPr>
          <w:rFonts w:ascii="Arial" w:cs="Arial" w:eastAsia="Arial" w:hAnsi="Arial"/>
          <w:sz w:val="18"/>
          <w:szCs w:val="18"/>
          <w:color w:val="auto"/>
        </w:rPr>
      </w:pPr>
    </w:p>
    <w:p>
      <w:pPr>
        <w:jc w:val="both"/>
        <w:ind w:firstLine="921"/>
        <w:spacing w:after="0" w:line="255" w:lineRule="auto"/>
        <w:tabs>
          <w:tab w:leader="none" w:pos="1171"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7.07(a)</w:t>
      </w:r>
      <w:r>
        <w:rPr>
          <w:rFonts w:ascii="Arial" w:cs="Arial" w:eastAsia="Arial" w:hAnsi="Arial"/>
          <w:sz w:val="18"/>
          <w:szCs w:val="18"/>
          <w:color w:val="auto"/>
        </w:rPr>
        <w:t>, cancel or terminate any Material Contract (other than the Permitted Swap Termination) or consent to or accept any cancellation or termination thereof by any Consolidated Party, amend or modify (or permit the amendment or modification of (including any waivers of)), any Material Contract, waive any default under or breach of any Material Contract, or take any other action in connection with any Material Contract, unless, in each case, any such cancellation, termination, amendment or modification, or consent, waiver or approval thereunder, could not reasonably be expected to have a Material Adverse Effect.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280" w:right="239" w:bottom="1440" w:gutter="0" w:footer="0" w:header="0"/>
        </w:sectPr>
      </w:pPr>
    </w:p>
    <w:bookmarkStart w:id="144" w:name="page145"/>
    <w:bookmarkEnd w:id="144"/>
    <w:p>
      <w:pPr>
        <w:ind w:left="1160" w:hanging="239"/>
        <w:spacing w:after="0"/>
        <w:tabs>
          <w:tab w:leader="none" w:pos="1160" w:val="left"/>
        </w:tabs>
        <w:numPr>
          <w:ilvl w:val="0"/>
          <w:numId w:val="17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 its Organization Documents, unless, in each case, any such amendment is not adverse in any material respect to the Lenders.</w:t>
      </w:r>
    </w:p>
    <w:p>
      <w:pPr>
        <w:spacing w:after="0" w:line="194" w:lineRule="exact"/>
        <w:rPr>
          <w:rFonts w:ascii="Arial" w:cs="Arial" w:eastAsia="Arial" w:hAnsi="Arial"/>
          <w:sz w:val="16"/>
          <w:szCs w:val="16"/>
          <w:color w:val="auto"/>
        </w:rPr>
      </w:pPr>
    </w:p>
    <w:p>
      <w:pPr>
        <w:ind w:left="1160" w:hanging="239"/>
        <w:spacing w:after="0"/>
        <w:tabs>
          <w:tab w:leader="none" w:pos="11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Make any payment in contravention of the terms of any subordination with respect to any Indebtedness.</w:t>
      </w:r>
    </w:p>
    <w:p>
      <w:pPr>
        <w:spacing w:after="0" w:line="171" w:lineRule="exact"/>
        <w:rPr>
          <w:rFonts w:ascii="Arial" w:cs="Arial" w:eastAsia="Arial" w:hAnsi="Arial"/>
          <w:sz w:val="18"/>
          <w:szCs w:val="18"/>
          <w:color w:val="auto"/>
        </w:rPr>
      </w:pPr>
    </w:p>
    <w:p>
      <w:pPr>
        <w:jc w:val="both"/>
        <w:ind w:firstLine="921"/>
        <w:spacing w:after="0" w:line="289" w:lineRule="auto"/>
        <w:tabs>
          <w:tab w:leader="none" w:pos="116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 xml:space="preserve">Make any prepayment, redemption, defeasance or acquisition for value (including, without limitation, by way of depositing money or securities with the trustee with respect thereto before due for the purpose of paying when due), or refund, refinance or exchange of any Indebtedness permitted under </w:t>
      </w:r>
      <w:r>
        <w:rPr>
          <w:rFonts w:ascii="Arial" w:cs="Arial" w:eastAsia="Arial" w:hAnsi="Arial"/>
          <w:sz w:val="16"/>
          <w:szCs w:val="16"/>
          <w:u w:val="single" w:color="auto"/>
          <w:color w:val="auto"/>
        </w:rPr>
        <w:t>Sections 7.03(b)</w:t>
      </w:r>
      <w:r>
        <w:rPr>
          <w:rFonts w:ascii="Arial" w:cs="Arial" w:eastAsia="Arial" w:hAnsi="Arial"/>
          <w:sz w:val="16"/>
          <w:szCs w:val="16"/>
          <w:color w:val="auto"/>
        </w:rPr>
        <w:t xml:space="preserve">, </w:t>
      </w:r>
      <w:r>
        <w:rPr>
          <w:rFonts w:ascii="Arial" w:cs="Arial" w:eastAsia="Arial" w:hAnsi="Arial"/>
          <w:sz w:val="16"/>
          <w:szCs w:val="16"/>
          <w:u w:val="single" w:color="auto"/>
          <w:color w:val="auto"/>
        </w:rPr>
        <w:t>7.03(f)</w:t>
      </w:r>
      <w:r>
        <w:rPr>
          <w:rFonts w:ascii="Arial" w:cs="Arial" w:eastAsia="Arial" w:hAnsi="Arial"/>
          <w:sz w:val="16"/>
          <w:szCs w:val="16"/>
          <w:color w:val="auto"/>
        </w:rPr>
        <w:t xml:space="preserve">, </w:t>
      </w:r>
      <w:r>
        <w:rPr>
          <w:rFonts w:ascii="Arial" w:cs="Arial" w:eastAsia="Arial" w:hAnsi="Arial"/>
          <w:sz w:val="16"/>
          <w:szCs w:val="16"/>
          <w:u w:val="single" w:color="auto"/>
          <w:color w:val="auto"/>
        </w:rPr>
        <w:t>7.03(j)</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7.03(l)</w:t>
      </w:r>
      <w:r>
        <w:rPr>
          <w:rFonts w:ascii="Arial" w:cs="Arial" w:eastAsia="Arial" w:hAnsi="Arial"/>
          <w:sz w:val="16"/>
          <w:szCs w:val="16"/>
          <w:color w:val="auto"/>
        </w:rPr>
        <w:t xml:space="preserve"> (including any Indebtedness incurred in connection with a refinancing thereof pursuant to </w:t>
      </w:r>
      <w:r>
        <w:rPr>
          <w:rFonts w:ascii="Arial" w:cs="Arial" w:eastAsia="Arial" w:hAnsi="Arial"/>
          <w:sz w:val="16"/>
          <w:szCs w:val="16"/>
          <w:u w:val="single" w:color="auto"/>
          <w:color w:val="auto"/>
        </w:rPr>
        <w:t>Section 7.03(k)</w:t>
      </w:r>
      <w:r>
        <w:rPr>
          <w:rFonts w:ascii="Arial" w:cs="Arial" w:eastAsia="Arial" w:hAnsi="Arial"/>
          <w:sz w:val="16"/>
          <w:szCs w:val="16"/>
          <w:color w:val="auto"/>
        </w:rPr>
        <w:t xml:space="preserve">) other than regularly scheduled payments of principal and interest on such Indebtedness, refinancings thereof permitted pursuant to </w:t>
      </w:r>
      <w:r>
        <w:rPr>
          <w:rFonts w:ascii="Arial" w:cs="Arial" w:eastAsia="Arial" w:hAnsi="Arial"/>
          <w:sz w:val="16"/>
          <w:szCs w:val="16"/>
          <w:u w:val="single" w:color="auto"/>
          <w:color w:val="auto"/>
        </w:rPr>
        <w:t>Section 7.03(k)</w:t>
      </w:r>
      <w:r>
        <w:rPr>
          <w:rFonts w:ascii="Arial" w:cs="Arial" w:eastAsia="Arial" w:hAnsi="Arial"/>
          <w:sz w:val="16"/>
          <w:szCs w:val="16"/>
          <w:color w:val="auto"/>
        </w:rPr>
        <w:t xml:space="preserve"> and prepayments of such Indebtedness with the proceeds of a substantially concurrent issuance of Qualified Equity Interests;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the Borrower may (x) make cash payments in lieu of issuing fractional shares in connection with a conversion of Convertible Indebtedness, make cash payments in connection with any conversion of Convertible Indebtedness and exchange the Convertible Notes (2012) in any Convertible Note Exchange and (y) make Restricted Payments and/or Voluntary Convertible Note Repurchases permitted by </w:t>
      </w:r>
      <w:r>
        <w:rPr>
          <w:rFonts w:ascii="Arial" w:cs="Arial" w:eastAsia="Arial" w:hAnsi="Arial"/>
          <w:sz w:val="16"/>
          <w:szCs w:val="16"/>
          <w:u w:val="single" w:color="auto"/>
          <w:color w:val="auto"/>
        </w:rPr>
        <w:t>Section 7.06</w:t>
      </w:r>
      <w:r>
        <w:rPr>
          <w:rFonts w:ascii="Arial" w:cs="Arial" w:eastAsia="Arial" w:hAnsi="Arial"/>
          <w:sz w:val="16"/>
          <w:szCs w:val="16"/>
          <w:color w:val="auto"/>
        </w:rPr>
        <w:t>.</w:t>
      </w:r>
    </w:p>
    <w:p>
      <w:pPr>
        <w:spacing w:after="0" w:line="112" w:lineRule="exact"/>
        <w:rPr>
          <w:sz w:val="20"/>
          <w:szCs w:val="20"/>
          <w:color w:val="auto"/>
        </w:rPr>
      </w:pPr>
    </w:p>
    <w:p>
      <w:pPr>
        <w:jc w:val="both"/>
        <w:ind w:firstLine="913"/>
        <w:spacing w:after="0" w:line="339" w:lineRule="auto"/>
        <w:rPr>
          <w:sz w:val="20"/>
          <w:szCs w:val="20"/>
          <w:color w:val="auto"/>
        </w:rPr>
      </w:pPr>
      <w:r>
        <w:rPr>
          <w:rFonts w:ascii="Arial" w:cs="Arial" w:eastAsia="Arial" w:hAnsi="Arial"/>
          <w:sz w:val="16"/>
          <w:szCs w:val="16"/>
          <w:b w:val="1"/>
          <w:bCs w:val="1"/>
          <w:color w:val="auto"/>
        </w:rPr>
        <w:t xml:space="preserve">7.08 Change in Nature of Business. </w:t>
      </w:r>
      <w:r>
        <w:rPr>
          <w:rFonts w:ascii="Arial" w:cs="Arial" w:eastAsia="Arial" w:hAnsi="Arial"/>
          <w:sz w:val="16"/>
          <w:szCs w:val="16"/>
          <w:color w:val="auto"/>
        </w:rPr>
        <w:t>Make any material change in the nature of its business as carried on at the Closing Date; provided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and its Subsidiaries may engage in activities ancillary, related or complementary to the business currently carried on at the Closing Date.</w:t>
      </w:r>
    </w:p>
    <w:p>
      <w:pPr>
        <w:spacing w:after="0" w:line="74" w:lineRule="exact"/>
        <w:rPr>
          <w:sz w:val="20"/>
          <w:szCs w:val="20"/>
          <w:color w:val="auto"/>
        </w:rPr>
      </w:pPr>
    </w:p>
    <w:p>
      <w:pPr>
        <w:jc w:val="both"/>
        <w:ind w:firstLine="913"/>
        <w:spacing w:after="0" w:line="284" w:lineRule="auto"/>
        <w:rPr>
          <w:sz w:val="20"/>
          <w:szCs w:val="20"/>
          <w:color w:val="auto"/>
        </w:rPr>
      </w:pPr>
      <w:r>
        <w:rPr>
          <w:rFonts w:ascii="Arial" w:cs="Arial" w:eastAsia="Arial" w:hAnsi="Arial"/>
          <w:sz w:val="16"/>
          <w:szCs w:val="16"/>
          <w:b w:val="1"/>
          <w:bCs w:val="1"/>
          <w:color w:val="auto"/>
        </w:rPr>
        <w:t xml:space="preserve">7.09 Transactions with Affiliates. </w:t>
      </w:r>
      <w:r>
        <w:rPr>
          <w:rFonts w:ascii="Arial" w:cs="Arial" w:eastAsia="Arial" w:hAnsi="Arial"/>
          <w:sz w:val="16"/>
          <w:szCs w:val="16"/>
          <w:color w:val="auto"/>
        </w:rPr>
        <w:t>Engage in any transaction or series of transactions with (a) any Subsidiary or Affiliate of the Borrower or any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its Subsidiaries, or (b) any Affiliate of any such Subsidiary or Affiliate, whether or not in the ordinary course of business, other than on fair and reasonable terms substantially as favorable to the Borrower or such Subsidiary as would be obtainable by the Borrower or such Subsidiary at the time in a comparable arm’s length transaction with a Person other than an Affiliate;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Section 7.09</w:t>
      </w:r>
      <w:r>
        <w:rPr>
          <w:rFonts w:ascii="Arial" w:cs="Arial" w:eastAsia="Arial" w:hAnsi="Arial"/>
          <w:sz w:val="16"/>
          <w:szCs w:val="16"/>
          <w:color w:val="auto"/>
        </w:rPr>
        <w:t xml:space="preserve"> shall not restrict (i) transactions between Loan Parties, (ii) transactions between Excluded Subsidiaries, (iii) transactions whereby the Borrower or a Subsidiary provides management or administrative services to a Subsidiary, (iv) customary indemnities of officers and directors consistent with Law, payment of reasonable fees to directors and the customary issuance of directors’ shares, or</w:t>
      </w:r>
    </w:p>
    <w:p>
      <w:pPr>
        <w:spacing w:after="0" w:line="3" w:lineRule="exact"/>
        <w:rPr>
          <w:sz w:val="20"/>
          <w:szCs w:val="20"/>
          <w:color w:val="auto"/>
        </w:rPr>
      </w:pPr>
    </w:p>
    <w:p>
      <w:pPr>
        <w:ind w:firstLine="8"/>
        <w:spacing w:after="0" w:line="261" w:lineRule="auto"/>
        <w:tabs>
          <w:tab w:leader="none" w:pos="27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transactions described in clauses (a) and (b) above irrespective of whether or not done on an arms-length basis so long as the aggregate amount of such transactions do not exceed $2,500,000 in any calendar year.</w:t>
      </w:r>
    </w:p>
    <w:p>
      <w:pPr>
        <w:spacing w:after="0" w:line="132" w:lineRule="exact"/>
        <w:rPr>
          <w:sz w:val="20"/>
          <w:szCs w:val="20"/>
          <w:color w:val="auto"/>
        </w:rPr>
      </w:pPr>
    </w:p>
    <w:p>
      <w:pPr>
        <w:jc w:val="both"/>
        <w:ind w:firstLine="913"/>
        <w:spacing w:after="0" w:line="296" w:lineRule="auto"/>
        <w:rPr>
          <w:sz w:val="20"/>
          <w:szCs w:val="20"/>
          <w:color w:val="auto"/>
        </w:rPr>
      </w:pPr>
      <w:r>
        <w:rPr>
          <w:rFonts w:ascii="Arial" w:cs="Arial" w:eastAsia="Arial" w:hAnsi="Arial"/>
          <w:sz w:val="16"/>
          <w:szCs w:val="16"/>
          <w:b w:val="1"/>
          <w:bCs w:val="1"/>
          <w:color w:val="auto"/>
        </w:rPr>
        <w:t xml:space="preserve">7.10 Limitations on Restricted Actions. </w:t>
      </w:r>
      <w:r>
        <w:rPr>
          <w:rFonts w:ascii="Arial" w:cs="Arial" w:eastAsia="Arial" w:hAnsi="Arial"/>
          <w:sz w:val="16"/>
          <w:szCs w:val="16"/>
          <w:color w:val="auto"/>
        </w:rPr>
        <w:t>Enter into or create or otherwise cause to exist (other than by Law) or become effective any agreement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arrangement that: (a) limits the ability (i) of any Consolidated Party to make Restricted Payments to any Loan Party, (ii) of the Borrower or any of its Subsidiaries to act as a guarantor and pledge its assets pursuant to the Loan Documents or (iii) of any Consolidated Party to create, incur, assume or suffer to exist Liens on property of such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clause (iii) shall not prohibit (A) any negative pledge incurred or provided in favor of any holder of Liens permitted under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(but such negative pledge must be limited to the asset that is the subject of such</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280" w:right="239" w:bottom="1440" w:gutter="0" w:footer="0" w:header="0"/>
        </w:sectPr>
      </w:pPr>
    </w:p>
    <w:bookmarkStart w:id="145" w:name="page146"/>
    <w:bookmarkEnd w:id="145"/>
    <w:p>
      <w:pPr>
        <w:jc w:val="both"/>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Permitted Lien) and in favor of any holder of Indebtedness permitted under </w:t>
      </w:r>
      <w:r>
        <w:rPr>
          <w:rFonts w:ascii="Arial" w:cs="Arial" w:eastAsia="Arial" w:hAnsi="Arial"/>
          <w:sz w:val="16"/>
          <w:szCs w:val="16"/>
          <w:u w:val="single" w:color="auto"/>
          <w:color w:val="auto"/>
        </w:rPr>
        <w:t>Section 7.03(g)</w:t>
      </w:r>
      <w:r>
        <w:rPr>
          <w:rFonts w:ascii="Arial" w:cs="Arial" w:eastAsia="Arial" w:hAnsi="Arial"/>
          <w:sz w:val="16"/>
          <w:szCs w:val="16"/>
          <w:color w:val="auto"/>
        </w:rPr>
        <w:t xml:space="preserve"> solely to the extent any such negative pledge relates to the property financed by or the subject of such Indebtedness, (B) restrictions incurred or assumed in connection with the Acquisition of a Foreign Subsidiary, or (C) customary non-assignment provisions in licenses, sublicenses, leases and subleases entered into in the ordinary course of business and consistent with past practices; or (b) requires the grant of a Lien to secure an obligation of such Person if a Lien is granted to secure another obligation of such Person.</w:t>
      </w:r>
    </w:p>
    <w:p>
      <w:pPr>
        <w:spacing w:after="0" w:line="107" w:lineRule="exact"/>
        <w:rPr>
          <w:sz w:val="20"/>
          <w:szCs w:val="20"/>
          <w:color w:val="auto"/>
        </w:rPr>
      </w:pPr>
    </w:p>
    <w:p>
      <w:pPr>
        <w:jc w:val="both"/>
        <w:ind w:right="20" w:firstLine="913"/>
        <w:spacing w:after="0" w:line="339" w:lineRule="auto"/>
        <w:rPr>
          <w:sz w:val="20"/>
          <w:szCs w:val="20"/>
          <w:color w:val="auto"/>
        </w:rPr>
      </w:pPr>
      <w:r>
        <w:rPr>
          <w:rFonts w:ascii="Arial" w:cs="Arial" w:eastAsia="Arial" w:hAnsi="Arial"/>
          <w:sz w:val="16"/>
          <w:szCs w:val="16"/>
          <w:b w:val="1"/>
          <w:bCs w:val="1"/>
          <w:color w:val="auto"/>
        </w:rPr>
        <w:t xml:space="preserve">7.11 Sale-Leasebacks; Off-Balance Sheet Obligation. </w:t>
      </w:r>
      <w:r>
        <w:rPr>
          <w:rFonts w:ascii="Arial" w:cs="Arial" w:eastAsia="Arial" w:hAnsi="Arial"/>
          <w:sz w:val="16"/>
          <w:szCs w:val="16"/>
          <w:color w:val="auto"/>
        </w:rPr>
        <w:t>Enter into any Sale and Leaseback Transaction or Off-Balance Sheet Obligation, unless such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Sale and Leaseback Transaction or Off-Balance Sheet Obligation constitutes Indebtedness permitted by </w:t>
      </w:r>
      <w:r>
        <w:rPr>
          <w:rFonts w:ascii="Arial" w:cs="Arial" w:eastAsia="Arial" w:hAnsi="Arial"/>
          <w:sz w:val="16"/>
          <w:szCs w:val="16"/>
          <w:u w:val="single" w:color="auto"/>
          <w:color w:val="auto"/>
        </w:rPr>
        <w:t>Section 7.03(g)</w:t>
      </w:r>
      <w:r>
        <w:rPr>
          <w:rFonts w:ascii="Arial" w:cs="Arial" w:eastAsia="Arial" w:hAnsi="Arial"/>
          <w:sz w:val="16"/>
          <w:szCs w:val="16"/>
          <w:color w:val="auto"/>
        </w:rPr>
        <w:t>.</w:t>
      </w:r>
    </w:p>
    <w:p>
      <w:pPr>
        <w:spacing w:after="0" w:line="74" w:lineRule="exact"/>
        <w:rPr>
          <w:sz w:val="20"/>
          <w:szCs w:val="20"/>
          <w:color w:val="auto"/>
        </w:rPr>
      </w:pPr>
    </w:p>
    <w:p>
      <w:pPr>
        <w:jc w:val="both"/>
        <w:ind w:firstLine="913"/>
        <w:spacing w:after="0" w:line="262" w:lineRule="auto"/>
        <w:rPr>
          <w:sz w:val="20"/>
          <w:szCs w:val="20"/>
          <w:color w:val="auto"/>
        </w:rPr>
      </w:pPr>
      <w:r>
        <w:rPr>
          <w:rFonts w:ascii="Arial" w:cs="Arial" w:eastAsia="Arial" w:hAnsi="Arial"/>
          <w:sz w:val="18"/>
          <w:szCs w:val="18"/>
          <w:b w:val="1"/>
          <w:bCs w:val="1"/>
          <w:color w:val="auto"/>
        </w:rPr>
        <w:t xml:space="preserve">7.12 Use of Proceeds. </w:t>
      </w:r>
      <w:r>
        <w:rPr>
          <w:rFonts w:ascii="Arial" w:cs="Arial" w:eastAsia="Arial" w:hAnsi="Arial"/>
          <w:sz w:val="18"/>
          <w:szCs w:val="18"/>
          <w:color w:val="auto"/>
        </w:rPr>
        <w:t>Use the proceeds of any Credit Extension, whether directly or indirectly, and whether immediately, incidentally or ultimately,</w:t>
      </w:r>
      <w:r>
        <w:rPr>
          <w:rFonts w:ascii="Arial" w:cs="Arial" w:eastAsia="Arial" w:hAnsi="Arial"/>
          <w:sz w:val="18"/>
          <w:szCs w:val="18"/>
          <w:b w:val="1"/>
          <w:bCs w:val="1"/>
          <w:color w:val="auto"/>
        </w:rPr>
        <w:t xml:space="preserve"> </w:t>
      </w:r>
      <w:r>
        <w:rPr>
          <w:rFonts w:ascii="Arial" w:cs="Arial" w:eastAsia="Arial" w:hAnsi="Arial"/>
          <w:sz w:val="18"/>
          <w:szCs w:val="18"/>
          <w:color w:val="auto"/>
        </w:rPr>
        <w:t>to purchase or carry margin stock (within the meaning of Regulation U of the FRB) or to extend credit to others for the purpose of purchasing or carrying margin stock or to refund indebtedness originally incurred for such purpose.</w:t>
      </w:r>
    </w:p>
    <w:p>
      <w:pPr>
        <w:spacing w:after="0" w:line="132" w:lineRule="exact"/>
        <w:rPr>
          <w:sz w:val="20"/>
          <w:szCs w:val="20"/>
          <w:color w:val="auto"/>
        </w:rPr>
      </w:pPr>
    </w:p>
    <w:p>
      <w:pPr>
        <w:jc w:val="both"/>
        <w:ind w:right="20" w:firstLine="913"/>
        <w:spacing w:after="0" w:line="275" w:lineRule="auto"/>
        <w:rPr>
          <w:sz w:val="20"/>
          <w:szCs w:val="20"/>
          <w:color w:val="auto"/>
        </w:rPr>
      </w:pPr>
      <w:r>
        <w:rPr>
          <w:rFonts w:ascii="Arial" w:cs="Arial" w:eastAsia="Arial" w:hAnsi="Arial"/>
          <w:sz w:val="18"/>
          <w:szCs w:val="18"/>
          <w:b w:val="1"/>
          <w:bCs w:val="1"/>
          <w:color w:val="auto"/>
        </w:rPr>
        <w:t xml:space="preserve">7.13 Impairment of Security Interests. </w:t>
      </w:r>
      <w:r>
        <w:rPr>
          <w:rFonts w:ascii="Arial" w:cs="Arial" w:eastAsia="Arial" w:hAnsi="Arial"/>
          <w:sz w:val="18"/>
          <w:szCs w:val="18"/>
          <w:color w:val="auto"/>
        </w:rPr>
        <w:t>Take or omit to take any action which action or omission might or would materially impair the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interests in favor of the Secured Parties with respect to the Collateral.</w:t>
      </w:r>
    </w:p>
    <w:p>
      <w:pPr>
        <w:spacing w:after="0" w:line="120" w:lineRule="exact"/>
        <w:rPr>
          <w:sz w:val="20"/>
          <w:szCs w:val="20"/>
          <w:color w:val="auto"/>
        </w:rPr>
      </w:pPr>
    </w:p>
    <w:p>
      <w:pPr>
        <w:jc w:val="both"/>
        <w:ind w:firstLine="913"/>
        <w:spacing w:after="0" w:line="275" w:lineRule="auto"/>
        <w:rPr>
          <w:sz w:val="20"/>
          <w:szCs w:val="20"/>
          <w:color w:val="auto"/>
        </w:rPr>
      </w:pPr>
      <w:r>
        <w:rPr>
          <w:rFonts w:ascii="Arial" w:cs="Arial" w:eastAsia="Arial" w:hAnsi="Arial"/>
          <w:sz w:val="18"/>
          <w:szCs w:val="18"/>
          <w:b w:val="1"/>
          <w:bCs w:val="1"/>
          <w:color w:val="auto"/>
        </w:rPr>
        <w:t xml:space="preserve">7.14 Ownership of Foreign Subsidiaries. </w:t>
      </w:r>
      <w:r>
        <w:rPr>
          <w:rFonts w:ascii="Arial" w:cs="Arial" w:eastAsia="Arial" w:hAnsi="Arial"/>
          <w:sz w:val="18"/>
          <w:szCs w:val="18"/>
          <w:color w:val="auto"/>
        </w:rPr>
        <w:t>Notwithstanding any other provision of this Agreement, permit any Foreign Subsidiary to be a direct</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of the Borrower.</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7.15 Fiscal Year. </w:t>
      </w:r>
      <w:r>
        <w:rPr>
          <w:rFonts w:ascii="Arial" w:cs="Arial" w:eastAsia="Arial" w:hAnsi="Arial"/>
          <w:sz w:val="18"/>
          <w:szCs w:val="18"/>
          <w:color w:val="auto"/>
        </w:rPr>
        <w:t>Change its fiscal year unless such change is not adverse in any respect to the Lenders.</w:t>
      </w:r>
    </w:p>
    <w:p>
      <w:pPr>
        <w:spacing w:after="0" w:line="171" w:lineRule="exact"/>
        <w:rPr>
          <w:sz w:val="20"/>
          <w:szCs w:val="20"/>
          <w:color w:val="auto"/>
        </w:rPr>
      </w:pPr>
    </w:p>
    <w:p>
      <w:pPr>
        <w:jc w:val="both"/>
        <w:ind w:firstLine="913"/>
        <w:spacing w:after="0" w:line="262" w:lineRule="auto"/>
        <w:rPr>
          <w:sz w:val="20"/>
          <w:szCs w:val="20"/>
          <w:color w:val="auto"/>
        </w:rPr>
      </w:pPr>
      <w:r>
        <w:rPr>
          <w:rFonts w:ascii="Arial" w:cs="Arial" w:eastAsia="Arial" w:hAnsi="Arial"/>
          <w:sz w:val="18"/>
          <w:szCs w:val="18"/>
          <w:b w:val="1"/>
          <w:bCs w:val="1"/>
          <w:color w:val="auto"/>
        </w:rPr>
        <w:t xml:space="preserve">7.16 Partnerships, etc. </w:t>
      </w:r>
      <w:r>
        <w:rPr>
          <w:rFonts w:ascii="Arial" w:cs="Arial" w:eastAsia="Arial" w:hAnsi="Arial"/>
          <w:sz w:val="18"/>
          <w:szCs w:val="18"/>
          <w:color w:val="auto"/>
        </w:rPr>
        <w:t>Become a general partner or joint venture partner of any Person unless (i) such partnership or joint venture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represents at least 50% of the voting power of such entity and (ii) the Borrower will be in compliance with </w:t>
      </w:r>
      <w:r>
        <w:rPr>
          <w:rFonts w:ascii="Arial" w:cs="Arial" w:eastAsia="Arial" w:hAnsi="Arial"/>
          <w:sz w:val="18"/>
          <w:szCs w:val="18"/>
          <w:u w:val="single" w:color="auto"/>
          <w:color w:val="auto"/>
        </w:rPr>
        <w:t>Section 7.17</w:t>
      </w:r>
      <w:r>
        <w:rPr>
          <w:rFonts w:ascii="Arial" w:cs="Arial" w:eastAsia="Arial" w:hAnsi="Arial"/>
          <w:sz w:val="18"/>
          <w:szCs w:val="18"/>
          <w:color w:val="auto"/>
        </w:rPr>
        <w:t xml:space="preserve"> after giving effect to the incurrence of the liabilities of such partnership or joint venture on a Pro Forma Basis.</w:t>
      </w:r>
    </w:p>
    <w:p>
      <w:pPr>
        <w:spacing w:after="0" w:line="132" w:lineRule="exact"/>
        <w:rPr>
          <w:sz w:val="20"/>
          <w:szCs w:val="20"/>
          <w:color w:val="auto"/>
        </w:rPr>
      </w:pPr>
    </w:p>
    <w:p>
      <w:pPr>
        <w:jc w:val="both"/>
        <w:ind w:firstLine="913"/>
        <w:spacing w:after="0" w:line="262" w:lineRule="auto"/>
        <w:rPr>
          <w:sz w:val="20"/>
          <w:szCs w:val="20"/>
          <w:color w:val="auto"/>
        </w:rPr>
      </w:pPr>
      <w:r>
        <w:rPr>
          <w:rFonts w:ascii="Arial" w:cs="Arial" w:eastAsia="Arial" w:hAnsi="Arial"/>
          <w:sz w:val="18"/>
          <w:szCs w:val="18"/>
          <w:b w:val="1"/>
          <w:bCs w:val="1"/>
          <w:color w:val="auto"/>
        </w:rPr>
        <w:t xml:space="preserve">7.17 Financial Covenants. </w:t>
      </w:r>
      <w:r>
        <w:rPr>
          <w:rFonts w:ascii="Arial" w:cs="Arial" w:eastAsia="Arial" w:hAnsi="Arial"/>
          <w:sz w:val="18"/>
          <w:szCs w:val="18"/>
          <w:color w:val="auto"/>
        </w:rPr>
        <w:t>(a)</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Maximum Consolidated Total Leverage Ratio</w:t>
      </w:r>
      <w:r>
        <w:rPr>
          <w:rFonts w:ascii="Arial" w:cs="Arial" w:eastAsia="Arial" w:hAnsi="Arial"/>
          <w:sz w:val="18"/>
          <w:szCs w:val="18"/>
          <w:color w:val="auto"/>
        </w:rPr>
        <w:t>. Permit the Consolidated Total Leverage Ratio of the Borrower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Subsidiaries at any time during any consecutive four fiscal quarter period to be greater than (i) 3.75 to 1.00 during any such period ending on or before March 31, 2012, or (ii) 3.50 to 1.00 during any period thereafter.</w:t>
      </w:r>
    </w:p>
    <w:p>
      <w:pPr>
        <w:spacing w:after="0" w:line="138" w:lineRule="exact"/>
        <w:rPr>
          <w:sz w:val="20"/>
          <w:szCs w:val="20"/>
          <w:color w:val="auto"/>
        </w:rPr>
      </w:pPr>
    </w:p>
    <w:p>
      <w:pPr>
        <w:ind w:left="1160" w:hanging="239"/>
        <w:spacing w:after="0"/>
        <w:tabs>
          <w:tab w:leader="none" w:pos="11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71" w:lineRule="exact"/>
        <w:rPr>
          <w:rFonts w:ascii="Arial" w:cs="Arial" w:eastAsia="Arial" w:hAnsi="Arial"/>
          <w:sz w:val="18"/>
          <w:szCs w:val="18"/>
          <w:color w:val="auto"/>
        </w:rPr>
      </w:pPr>
    </w:p>
    <w:p>
      <w:pPr>
        <w:ind w:firstLine="921"/>
        <w:spacing w:after="0" w:line="268" w:lineRule="auto"/>
        <w:tabs>
          <w:tab w:leader="none" w:pos="1192"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Minimum Consolidated Fixed Charge Coverage Ratio</w:t>
      </w:r>
      <w:r>
        <w:rPr>
          <w:rFonts w:ascii="Arial" w:cs="Arial" w:eastAsia="Arial" w:hAnsi="Arial"/>
          <w:sz w:val="18"/>
          <w:szCs w:val="18"/>
          <w:color w:val="auto"/>
        </w:rPr>
        <w:t>. Permit the Consolidated Fixed Charge Coverage Ratio of the Borrower and its Consolidated Subsidiaries at any time during any period of four consecutive fiscal quarters to be less than 2.00 to 1.00.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280" w:right="239" w:bottom="1440" w:gutter="0" w:footer="0" w:header="0"/>
        </w:sectPr>
      </w:pPr>
    </w:p>
    <w:bookmarkStart w:id="146" w:name="page147"/>
    <w:bookmarkEnd w:id="146"/>
    <w:p>
      <w:pPr>
        <w:jc w:val="both"/>
        <w:ind w:firstLine="921"/>
        <w:spacing w:after="0" w:line="291" w:lineRule="auto"/>
        <w:tabs>
          <w:tab w:leader="none" w:pos="1175"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Liquidity</w:t>
      </w:r>
      <w:r>
        <w:rPr>
          <w:rFonts w:ascii="Arial" w:cs="Arial" w:eastAsia="Arial" w:hAnsi="Arial"/>
          <w:sz w:val="16"/>
          <w:szCs w:val="16"/>
          <w:color w:val="auto"/>
        </w:rPr>
        <w:t xml:space="preserve">. (i) During the RLL Maintenance Period and until such time as the Convertible Notes (2012) or any other Convertible Indebtedness with a stated maturity date on or prior to the Maturity Date have been redeemed, repaid, repurchased or refinanced as permitted in this Agreement, permit the Liquidity of the Borrower and its Consolidated Subsidiaries to be less than an amount equal to the outstanding amount of the Convertible Notes (2012) or notes issued pursuant to such other Convertible Indebtedness, as the case may be,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$40,000,000, and (ii) after giving effect to any redemption, repurchase or repayment of the Convertible Notes (2012) or any other Convertible Indebtedness with a stated maturity date on or prior to the Maturity Date, permit the Liquidity of the Borrower and its Consolidated Subsidiaries to be less than $40,000,000.</w:t>
      </w:r>
    </w:p>
    <w:p>
      <w:pPr>
        <w:spacing w:after="0" w:line="114" w:lineRule="exact"/>
        <w:rPr>
          <w:sz w:val="20"/>
          <w:szCs w:val="20"/>
          <w:color w:val="auto"/>
        </w:rPr>
      </w:pPr>
    </w:p>
    <w:p>
      <w:pPr>
        <w:jc w:val="both"/>
        <w:ind w:firstLine="913"/>
        <w:spacing w:after="0" w:line="291" w:lineRule="auto"/>
        <w:rPr>
          <w:sz w:val="20"/>
          <w:szCs w:val="20"/>
          <w:color w:val="auto"/>
        </w:rPr>
      </w:pPr>
      <w:r>
        <w:rPr>
          <w:rFonts w:ascii="Arial" w:cs="Arial" w:eastAsia="Arial" w:hAnsi="Arial"/>
          <w:sz w:val="16"/>
          <w:szCs w:val="16"/>
          <w:b w:val="1"/>
          <w:bCs w:val="1"/>
          <w:color w:val="auto"/>
        </w:rPr>
        <w:t xml:space="preserve">7.18 Consolidated Capital Expenditures. </w:t>
      </w:r>
      <w:r>
        <w:rPr>
          <w:rFonts w:ascii="Arial" w:cs="Arial" w:eastAsia="Arial" w:hAnsi="Arial"/>
          <w:sz w:val="16"/>
          <w:szCs w:val="16"/>
          <w:color w:val="auto"/>
        </w:rPr>
        <w:t>Make or become legally obligated to make any Consolidated Capital Expenditures except for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Consolidated Capital Expenditures in the ordinary course of business not exceeding an aggregate amount for the Borrower and its Subsidiaries during any fiscal year of the Borrower equal to ten percent (10.0%) of the revenues of the Borrower and its consolidated Subsidiaries during the immediately preceding fiscal year (based upon the audited financial statements for such fiscal year provided in accordance with </w:t>
      </w:r>
      <w:r>
        <w:rPr>
          <w:rFonts w:ascii="Arial" w:cs="Arial" w:eastAsia="Arial" w:hAnsi="Arial"/>
          <w:sz w:val="16"/>
          <w:szCs w:val="16"/>
          <w:u w:val="single" w:color="auto"/>
          <w:color w:val="auto"/>
        </w:rPr>
        <w:t>Section 6.01(a)</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so long as no Default has occurred and is continuing or would result from such expenditure, any portion of any amount set forth above, if not expended in the fiscal year for which it is permitted above, may be carried over for expenditure in the next following fiscal year;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any such carried-over amount will be deemed used in the applicable subsequent fiscal year only after the entire maximum amount permitted for such fiscal year is applied to such Consolidated Capital Expenditures.</w:t>
      </w:r>
    </w:p>
    <w:p>
      <w:pPr>
        <w:spacing w:after="0" w:line="113" w:lineRule="exact"/>
        <w:rPr>
          <w:sz w:val="20"/>
          <w:szCs w:val="20"/>
          <w:color w:val="auto"/>
        </w:rPr>
      </w:pPr>
    </w:p>
    <w:p>
      <w:pPr>
        <w:jc w:val="both"/>
        <w:ind w:firstLine="913"/>
        <w:spacing w:after="0" w:line="262" w:lineRule="auto"/>
        <w:rPr>
          <w:sz w:val="20"/>
          <w:szCs w:val="20"/>
          <w:color w:val="auto"/>
        </w:rPr>
      </w:pPr>
      <w:r>
        <w:rPr>
          <w:rFonts w:ascii="Arial" w:cs="Arial" w:eastAsia="Arial" w:hAnsi="Arial"/>
          <w:sz w:val="18"/>
          <w:szCs w:val="18"/>
          <w:b w:val="1"/>
          <w:bCs w:val="1"/>
          <w:color w:val="auto"/>
        </w:rPr>
        <w:t xml:space="preserve">7.19 Independent Covenants. </w:t>
      </w:r>
      <w:r>
        <w:rPr>
          <w:rFonts w:ascii="Arial" w:cs="Arial" w:eastAsia="Arial" w:hAnsi="Arial"/>
          <w:sz w:val="18"/>
          <w:szCs w:val="18"/>
          <w:color w:val="auto"/>
        </w:rPr>
        <w:t>All covenants contained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VI</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VII</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shall be given independent effect so that if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particular action or condition is not permitted by one covenant, the fact that such action or condition would be permitted by another covenant shall not avoid the occurrence of a Default if such action is taken or condition exists.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EVENTS OF DEFAULT AND REMEDIES</w:t>
      </w:r>
    </w:p>
    <w:p>
      <w:pPr>
        <w:spacing w:after="0" w:line="15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8.01 Events of Default. </w:t>
      </w:r>
      <w:r>
        <w:rPr>
          <w:rFonts w:ascii="Arial" w:cs="Arial" w:eastAsia="Arial" w:hAnsi="Arial"/>
          <w:sz w:val="18"/>
          <w:szCs w:val="18"/>
          <w:color w:val="auto"/>
        </w:rPr>
        <w:t>Any of the following shall constitute an Event of Default:</w:t>
      </w:r>
    </w:p>
    <w:p>
      <w:pPr>
        <w:spacing w:after="0" w:line="177" w:lineRule="exact"/>
        <w:rPr>
          <w:sz w:val="20"/>
          <w:szCs w:val="20"/>
          <w:color w:val="auto"/>
        </w:rPr>
      </w:pPr>
    </w:p>
    <w:p>
      <w:pPr>
        <w:jc w:val="both"/>
        <w:ind w:firstLine="921"/>
        <w:spacing w:after="0" w:line="256" w:lineRule="auto"/>
        <w:tabs>
          <w:tab w:leader="none" w:pos="1152"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Non-Payment</w:t>
      </w:r>
      <w:r>
        <w:rPr>
          <w:rFonts w:ascii="Arial" w:cs="Arial" w:eastAsia="Arial" w:hAnsi="Arial"/>
          <w:sz w:val="18"/>
          <w:szCs w:val="18"/>
          <w:color w:val="auto"/>
        </w:rPr>
        <w:t>. The Borrower or any other Loan Party fails to pay (i) when and as required to be paid herein, any amount of principal of any Loan or any L/C Obligation or deposit any funds as Cash Collateral in respect of L/C Obligations, or (ii) within three Business Days after the same becomes due, any interest on any Loan or on any L/C Obligation, or any commitment or other fee due hereunder, or (iii) within five Business Days after the same becomes due, any other amount payable hereunder or under any other Loan Document; or</w:t>
      </w:r>
    </w:p>
    <w:p>
      <w:pPr>
        <w:spacing w:after="0" w:line="143" w:lineRule="exact"/>
        <w:rPr>
          <w:rFonts w:ascii="Arial" w:cs="Arial" w:eastAsia="Arial" w:hAnsi="Arial"/>
          <w:sz w:val="18"/>
          <w:szCs w:val="18"/>
          <w:color w:val="auto"/>
        </w:rPr>
      </w:pPr>
    </w:p>
    <w:p>
      <w:pPr>
        <w:jc w:val="both"/>
        <w:ind w:firstLine="921"/>
        <w:spacing w:after="0" w:line="259" w:lineRule="auto"/>
        <w:tabs>
          <w:tab w:leader="none" w:pos="1189"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Specific Covenants</w:t>
      </w:r>
      <w:r>
        <w:rPr>
          <w:rFonts w:ascii="Arial" w:cs="Arial" w:eastAsia="Arial" w:hAnsi="Arial"/>
          <w:sz w:val="18"/>
          <w:szCs w:val="18"/>
          <w:color w:val="auto"/>
        </w:rPr>
        <w:t xml:space="preserve">. The Borrower or any other Loan Party fails to perform or observe any term, covenant or agreement contained in any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6.02(a)</w:t>
      </w:r>
      <w:r>
        <w:rPr>
          <w:rFonts w:ascii="Arial" w:cs="Arial" w:eastAsia="Arial" w:hAnsi="Arial"/>
          <w:sz w:val="18"/>
          <w:szCs w:val="18"/>
          <w:color w:val="auto"/>
        </w:rPr>
        <w:t xml:space="preserve">, 6.02(b), </w:t>
      </w:r>
      <w:r>
        <w:rPr>
          <w:rFonts w:ascii="Arial" w:cs="Arial" w:eastAsia="Arial" w:hAnsi="Arial"/>
          <w:sz w:val="18"/>
          <w:szCs w:val="18"/>
          <w:u w:val="single" w:color="auto"/>
          <w:color w:val="auto"/>
        </w:rPr>
        <w:t>6.03</w:t>
      </w:r>
      <w:r>
        <w:rPr>
          <w:rFonts w:ascii="Arial" w:cs="Arial" w:eastAsia="Arial" w:hAnsi="Arial"/>
          <w:sz w:val="18"/>
          <w:szCs w:val="18"/>
          <w:color w:val="auto"/>
        </w:rPr>
        <w:t xml:space="preserve">, </w:t>
      </w:r>
      <w:r>
        <w:rPr>
          <w:rFonts w:ascii="Arial" w:cs="Arial" w:eastAsia="Arial" w:hAnsi="Arial"/>
          <w:sz w:val="18"/>
          <w:szCs w:val="18"/>
          <w:u w:val="single" w:color="auto"/>
          <w:color w:val="auto"/>
        </w:rPr>
        <w:t>6.05(a)</w:t>
      </w:r>
      <w:r>
        <w:rPr>
          <w:rFonts w:ascii="Arial" w:cs="Arial" w:eastAsia="Arial" w:hAnsi="Arial"/>
          <w:sz w:val="18"/>
          <w:szCs w:val="18"/>
          <w:color w:val="auto"/>
        </w:rPr>
        <w:t xml:space="preserve">, </w:t>
      </w:r>
      <w:r>
        <w:rPr>
          <w:rFonts w:ascii="Arial" w:cs="Arial" w:eastAsia="Arial" w:hAnsi="Arial"/>
          <w:sz w:val="18"/>
          <w:szCs w:val="18"/>
          <w:u w:val="single" w:color="auto"/>
          <w:color w:val="auto"/>
        </w:rPr>
        <w:t>6.10</w:t>
      </w:r>
      <w:r>
        <w:rPr>
          <w:rFonts w:ascii="Arial" w:cs="Arial" w:eastAsia="Arial" w:hAnsi="Arial"/>
          <w:sz w:val="18"/>
          <w:szCs w:val="18"/>
          <w:color w:val="auto"/>
        </w:rPr>
        <w:t xml:space="preserve">, </w:t>
      </w:r>
      <w:r>
        <w:rPr>
          <w:rFonts w:ascii="Arial" w:cs="Arial" w:eastAsia="Arial" w:hAnsi="Arial"/>
          <w:sz w:val="18"/>
          <w:szCs w:val="18"/>
          <w:u w:val="single" w:color="auto"/>
          <w:color w:val="auto"/>
        </w:rPr>
        <w:t>6.11</w:t>
      </w:r>
      <w:r>
        <w:rPr>
          <w:rFonts w:ascii="Arial" w:cs="Arial" w:eastAsia="Arial" w:hAnsi="Arial"/>
          <w:sz w:val="18"/>
          <w:szCs w:val="18"/>
          <w:color w:val="auto"/>
        </w:rPr>
        <w:t xml:space="preserve">, </w:t>
      </w:r>
      <w:r>
        <w:rPr>
          <w:rFonts w:ascii="Arial" w:cs="Arial" w:eastAsia="Arial" w:hAnsi="Arial"/>
          <w:sz w:val="18"/>
          <w:szCs w:val="18"/>
          <w:u w:val="single" w:color="auto"/>
          <w:color w:val="auto"/>
        </w:rPr>
        <w:t>6.12</w:t>
      </w:r>
      <w:r>
        <w:rPr>
          <w:rFonts w:ascii="Arial" w:cs="Arial" w:eastAsia="Arial" w:hAnsi="Arial"/>
          <w:sz w:val="18"/>
          <w:szCs w:val="18"/>
          <w:color w:val="auto"/>
        </w:rPr>
        <w:t xml:space="preserve">, </w:t>
      </w:r>
      <w:r>
        <w:rPr>
          <w:rFonts w:ascii="Arial" w:cs="Arial" w:eastAsia="Arial" w:hAnsi="Arial"/>
          <w:sz w:val="18"/>
          <w:szCs w:val="18"/>
          <w:u w:val="single" w:color="auto"/>
          <w:color w:val="auto"/>
        </w:rPr>
        <w:t>6.14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or any Subsidiary Guarantor fails to perform or observe any term, covenant or agreement contained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of the Subsidiary Guaranty;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964565</wp:posOffset>
            </wp:positionH>
            <wp:positionV relativeFrom="paragraph">
              <wp:posOffset>-170815</wp:posOffset>
            </wp:positionV>
            <wp:extent cx="35306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53060" cy="8890"/>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280" w:right="239" w:bottom="1440" w:gutter="0" w:footer="0" w:header="0"/>
        </w:sectPr>
      </w:pPr>
    </w:p>
    <w:bookmarkStart w:id="147" w:name="page148"/>
    <w:bookmarkEnd w:id="147"/>
    <w:p>
      <w:pPr>
        <w:jc w:val="both"/>
        <w:ind w:firstLine="921"/>
        <w:spacing w:after="0" w:line="256" w:lineRule="auto"/>
        <w:tabs>
          <w:tab w:leader="none" w:pos="1192"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Defaults</w:t>
      </w:r>
      <w:r>
        <w:rPr>
          <w:rFonts w:ascii="Arial" w:cs="Arial" w:eastAsia="Arial" w:hAnsi="Arial"/>
          <w:sz w:val="18"/>
          <w:szCs w:val="18"/>
          <w:color w:val="auto"/>
        </w:rPr>
        <w:t xml:space="preserve">. The Borrower or any other Loan Party fails to perform or observe any other covenant or agreement (not specified in </w:t>
      </w:r>
      <w:r>
        <w:rPr>
          <w:rFonts w:ascii="Arial" w:cs="Arial" w:eastAsia="Arial" w:hAnsi="Arial"/>
          <w:sz w:val="18"/>
          <w:szCs w:val="18"/>
          <w:u w:val="single" w:color="auto"/>
          <w:color w:val="auto"/>
        </w:rPr>
        <w:t>Section 8.01(a)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contained in any Loan Document on its part to be performed or observed and such failure continues for 30 days;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if Borrower or such other Loan Party has commenced a cure for such failure during the initial 30-day cure period and is diligently and continuously pursuing such cure, such initial 30-day cure period may be extended for up to 90 days; or</w:t>
      </w:r>
    </w:p>
    <w:p>
      <w:pPr>
        <w:spacing w:after="0" w:line="143" w:lineRule="exact"/>
        <w:rPr>
          <w:rFonts w:ascii="Arial" w:cs="Arial" w:eastAsia="Arial" w:hAnsi="Arial"/>
          <w:sz w:val="18"/>
          <w:szCs w:val="18"/>
          <w:color w:val="auto"/>
        </w:rPr>
      </w:pPr>
    </w:p>
    <w:p>
      <w:pPr>
        <w:jc w:val="both"/>
        <w:ind w:firstLine="921"/>
        <w:spacing w:after="0" w:line="259" w:lineRule="auto"/>
        <w:tabs>
          <w:tab w:leader="none" w:pos="1175"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Any representation, warranty, certification or statement of fact made or deemed made by or on behalf of the Borrower or any other Loan Party herein, in any other Loan Document, or in any document delivered in connection herewith or therewith shall be incorrect or misleading in any material respect when made or deemed made; or</w:t>
      </w:r>
    </w:p>
    <w:p>
      <w:pPr>
        <w:spacing w:after="0" w:line="140" w:lineRule="exact"/>
        <w:rPr>
          <w:rFonts w:ascii="Arial" w:cs="Arial" w:eastAsia="Arial" w:hAnsi="Arial"/>
          <w:sz w:val="18"/>
          <w:szCs w:val="18"/>
          <w:color w:val="auto"/>
        </w:rPr>
      </w:pPr>
    </w:p>
    <w:p>
      <w:pPr>
        <w:jc w:val="both"/>
        <w:ind w:firstLine="921"/>
        <w:spacing w:after="0" w:line="285" w:lineRule="auto"/>
        <w:tabs>
          <w:tab w:leader="none" w:pos="1179" w:val="left"/>
        </w:tabs>
        <w:numPr>
          <w:ilvl w:val="0"/>
          <w:numId w:val="177"/>
        </w:numPr>
        <w:rPr>
          <w:rFonts w:ascii="Arial" w:cs="Arial" w:eastAsia="Arial" w:hAnsi="Arial"/>
          <w:sz w:val="16"/>
          <w:szCs w:val="16"/>
          <w:color w:val="auto"/>
        </w:rPr>
      </w:pPr>
      <w:r>
        <w:rPr>
          <w:rFonts w:ascii="Arial" w:cs="Arial" w:eastAsia="Arial" w:hAnsi="Arial"/>
          <w:sz w:val="16"/>
          <w:szCs w:val="16"/>
          <w:u w:val="single" w:color="auto"/>
          <w:color w:val="auto"/>
        </w:rPr>
        <w:t>Cross-Default</w:t>
      </w:r>
      <w:r>
        <w:rPr>
          <w:rFonts w:ascii="Arial" w:cs="Arial" w:eastAsia="Arial" w:hAnsi="Arial"/>
          <w:sz w:val="16"/>
          <w:szCs w:val="16"/>
          <w:color w:val="auto"/>
        </w:rPr>
        <w:t xml:space="preserve">. (i) Any default or other event occurs in respect of any Indebtedness or Guarantee (other than Indebtedness hereunder and Indebtedness under Swap Contracts) having an aggregate principal amount (including undrawn committed or available amounts and including amounts owing to all creditors under any combined or syndicated credit arrangement) of more than the Threshold Amount, the effect of which default or other event is to cause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for the avoidance of doubt, conversions of Convertible Indebtedness as a result of a conversion trigger event that does not constitute or arise from a default under the definitive documentation for such Convertible Indebtedness will not constitute such a default or other event; (ii) any Loan Party fails in the performance or observance (beyond the applicable grace period with respect thereto, if any) of any Material Contract (other than those covered in clauses (i) and (iii) hereof) and such default together with any other such defaults, could reasonably be expected to have a Material Adverse Effect; or (iii) there occurs under any Swap Contract an Early Termination Date (as defined in such Swap Contract) resulting from (A) any event of default under such Swap Contract as to which any Loan Party is the Defaulting Party (as defined in such Swap Contract) or (B) except for the Permitted Swap Termination, any Termination Event (as defined in such Swap Contract) under such Swap Contract as to which any Loan Party is an Affected Party (as defined in such Swap Contract) and, in either event, the Swap Termination Value owed by such Loan Party as a result thereof is greater than the Threshold Amount; or</w:t>
      </w:r>
    </w:p>
    <w:p>
      <w:pPr>
        <w:spacing w:after="0" w:line="126" w:lineRule="exact"/>
        <w:rPr>
          <w:rFonts w:ascii="Arial" w:cs="Arial" w:eastAsia="Arial" w:hAnsi="Arial"/>
          <w:sz w:val="16"/>
          <w:szCs w:val="16"/>
          <w:color w:val="auto"/>
        </w:rPr>
      </w:pPr>
    </w:p>
    <w:p>
      <w:pPr>
        <w:jc w:val="both"/>
        <w:ind w:firstLine="921"/>
        <w:spacing w:after="0" w:line="256" w:lineRule="auto"/>
        <w:tabs>
          <w:tab w:leader="none" w:pos="1132"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Insolvency Proceedings, Etc</w:t>
      </w:r>
      <w:r>
        <w:rPr>
          <w:rFonts w:ascii="Arial" w:cs="Arial" w:eastAsia="Arial" w:hAnsi="Arial"/>
          <w:sz w:val="18"/>
          <w:szCs w:val="18"/>
          <w:color w:val="auto"/>
        </w:rPr>
        <w:t>. Any Loan Party (i) institutes or consents to the institution of any proceeding under any Debtor Relief Law, or makes a general assignment for the benefit of creditors or (ii)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280" w:right="239" w:bottom="1440" w:gutter="0" w:footer="0" w:header="0"/>
        </w:sectPr>
      </w:pPr>
    </w:p>
    <w:bookmarkStart w:id="148" w:name="page149"/>
    <w:bookmarkEnd w:id="148"/>
    <w:p>
      <w:pPr>
        <w:jc w:val="both"/>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spacing w:after="0" w:line="140" w:lineRule="exact"/>
        <w:rPr>
          <w:sz w:val="20"/>
          <w:szCs w:val="20"/>
          <w:color w:val="auto"/>
        </w:rPr>
      </w:pPr>
    </w:p>
    <w:p>
      <w:pPr>
        <w:jc w:val="both"/>
        <w:ind w:right="20" w:firstLine="921"/>
        <w:spacing w:after="0" w:line="259" w:lineRule="auto"/>
        <w:tabs>
          <w:tab w:leader="none" w:pos="1161"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Inability to Pay Debts; Attachment</w:t>
      </w:r>
      <w:r>
        <w:rPr>
          <w:rFonts w:ascii="Arial" w:cs="Arial" w:eastAsia="Arial" w:hAnsi="Arial"/>
          <w:sz w:val="18"/>
          <w:szCs w:val="18"/>
          <w:color w:val="auto"/>
        </w:rPr>
        <w:t>. (i) Any Loan Party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30 days after its issue or levy; or</w:t>
      </w:r>
    </w:p>
    <w:p>
      <w:pPr>
        <w:spacing w:after="0" w:line="140" w:lineRule="exact"/>
        <w:rPr>
          <w:rFonts w:ascii="Arial" w:cs="Arial" w:eastAsia="Arial" w:hAnsi="Arial"/>
          <w:sz w:val="18"/>
          <w:szCs w:val="18"/>
          <w:color w:val="auto"/>
        </w:rPr>
      </w:pPr>
    </w:p>
    <w:p>
      <w:pPr>
        <w:jc w:val="both"/>
        <w:ind w:firstLine="921"/>
        <w:spacing w:after="0" w:line="254" w:lineRule="auto"/>
        <w:tabs>
          <w:tab w:leader="none" w:pos="1161"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Judgments</w:t>
      </w:r>
      <w:r>
        <w:rPr>
          <w:rFonts w:ascii="Arial" w:cs="Arial" w:eastAsia="Arial" w:hAnsi="Arial"/>
          <w:sz w:val="18"/>
          <w:szCs w:val="18"/>
          <w:color w:val="auto"/>
        </w:rPr>
        <w:t>. There is entered against any Loan Party (i) a final judgment or order for the payment of money in an aggregate amount exceeding the Threshold Amount (to the extent (x) not covered by independent third-party insurance as to which the insurer does not dispute coverage or (y) the full amount of which judgment is not reserved by the Borrower in cash), or (ii) any one or more non-monetary final judgments that have, or could reasonably be expected to have, individually or in the aggregate, a Material Adverse Effect and, in either case, (A) enforcement proceedings are commenced by any creditor upon such judgment or order, or (B) there is a period of 10 consecutive days during which a stay of enforcement of such judgment, by reason of a pending appeal or otherwise, is not in effect; or</w:t>
      </w:r>
    </w:p>
    <w:p>
      <w:pPr>
        <w:spacing w:after="0" w:line="144" w:lineRule="exact"/>
        <w:rPr>
          <w:rFonts w:ascii="Arial" w:cs="Arial" w:eastAsia="Arial" w:hAnsi="Arial"/>
          <w:sz w:val="18"/>
          <w:szCs w:val="18"/>
          <w:color w:val="auto"/>
        </w:rPr>
      </w:pPr>
    </w:p>
    <w:p>
      <w:pPr>
        <w:jc w:val="both"/>
        <w:ind w:firstLine="921"/>
        <w:spacing w:after="0" w:line="255" w:lineRule="auto"/>
        <w:tabs>
          <w:tab w:leader="none" w:pos="1122"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(i) An ERISA Event occurs with respect to a Pension Plan or Multiemployer Plan which has resulted or could reasonably be expected to result in liability of the Borrower or any of its Subsidiaries under Title IV of ERISA to the Pension Plan, Multiemployer Plan or the PBGC in an aggregate amount in excess of the Threshold Amount, or (ii) the Borrower or any of its Subsidiaries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spacing w:after="0" w:line="142" w:lineRule="exact"/>
        <w:rPr>
          <w:rFonts w:ascii="Arial" w:cs="Arial" w:eastAsia="Arial" w:hAnsi="Arial"/>
          <w:sz w:val="18"/>
          <w:szCs w:val="18"/>
          <w:color w:val="auto"/>
        </w:rPr>
      </w:pPr>
    </w:p>
    <w:p>
      <w:pPr>
        <w:jc w:val="both"/>
        <w:ind w:firstLine="921"/>
        <w:spacing w:after="0" w:line="289" w:lineRule="auto"/>
        <w:tabs>
          <w:tab w:leader="none" w:pos="1122" w:val="left"/>
        </w:tabs>
        <w:numPr>
          <w:ilvl w:val="0"/>
          <w:numId w:val="178"/>
        </w:numPr>
        <w:rPr>
          <w:rFonts w:ascii="Arial" w:cs="Arial" w:eastAsia="Arial" w:hAnsi="Arial"/>
          <w:sz w:val="16"/>
          <w:szCs w:val="16"/>
          <w:color w:val="auto"/>
        </w:rPr>
      </w:pPr>
      <w:r>
        <w:rPr>
          <w:rFonts w:ascii="Arial" w:cs="Arial" w:eastAsia="Arial" w:hAnsi="Arial"/>
          <w:sz w:val="16"/>
          <w:szCs w:val="16"/>
          <w:u w:val="single" w:color="auto"/>
          <w:color w:val="auto"/>
        </w:rPr>
        <w:t>Invalidity of Loan Documents</w:t>
      </w:r>
      <w:r>
        <w:rPr>
          <w:rFonts w:ascii="Arial" w:cs="Arial" w:eastAsia="Arial" w:hAnsi="Arial"/>
          <w:sz w:val="16"/>
          <w:szCs w:val="16"/>
          <w:color w:val="auto"/>
        </w:rPr>
        <w:t xml:space="preserve">. Any provision of any Loan Document (other than Secured Cash Management Services Agreements and Secured Swap Contracts), at any time after its execution and delivery and for any reason other than as expressly permitted hereunder or thereunder or satisfaction in full of all the Obligations, ceases to be in full force and effect; or the Borrower, any of its Subsidiaries or any of their respective Affiliates contests in any manner the validity or enforceability of any provision of any Loan Document; or any Loan Party denies that it has any or further liability or obligation under any provision of any Loan Document, or purports to revoke, terminate or rescind any provision of any Loan Document, or in the case of any Lien granted pursuant to any Collateral Document (including any Lien granted after the Closing Date in accordance with </w:t>
      </w:r>
      <w:r>
        <w:rPr>
          <w:rFonts w:ascii="Arial" w:cs="Arial" w:eastAsia="Arial" w:hAnsi="Arial"/>
          <w:sz w:val="16"/>
          <w:szCs w:val="16"/>
          <w:u w:val="single" w:color="auto"/>
          <w:color w:val="auto"/>
        </w:rPr>
        <w:t>Section 6.11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6.12</w:t>
      </w:r>
      <w:r>
        <w:rPr>
          <w:rFonts w:ascii="Arial" w:cs="Arial" w:eastAsia="Arial" w:hAnsi="Arial"/>
          <w:sz w:val="16"/>
          <w:szCs w:val="16"/>
          <w:color w:val="auto"/>
        </w:rPr>
        <w:t>) in favor of the Administrative Agent, such Lien ceases to have the priority purported to be granted under such Collateral Document or is declared by a court of competent jurisdiction to be null and void, invalid or unenforceable in any respect; or</w:t>
      </w:r>
    </w:p>
    <w:p>
      <w:pPr>
        <w:spacing w:after="0" w:line="118" w:lineRule="exact"/>
        <w:rPr>
          <w:rFonts w:ascii="Arial" w:cs="Arial" w:eastAsia="Arial" w:hAnsi="Arial"/>
          <w:sz w:val="16"/>
          <w:szCs w:val="16"/>
          <w:color w:val="auto"/>
        </w:rPr>
      </w:pPr>
    </w:p>
    <w:p>
      <w:pPr>
        <w:ind w:firstLine="921"/>
        <w:spacing w:after="0" w:line="268" w:lineRule="auto"/>
        <w:tabs>
          <w:tab w:leader="none" w:pos="1161"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Subsidiary Guaranty</w:t>
      </w:r>
      <w:r>
        <w:rPr>
          <w:rFonts w:ascii="Arial" w:cs="Arial" w:eastAsia="Arial" w:hAnsi="Arial"/>
          <w:sz w:val="18"/>
          <w:szCs w:val="18"/>
          <w:color w:val="auto"/>
        </w:rPr>
        <w:t xml:space="preserve">. The Subsidiary Guaranty given by any Subsidiary Guarantors (including any Person that becomes a Subsidiary Guarantor after the Closing Date in accordance with </w:t>
      </w:r>
      <w:r>
        <w:rPr>
          <w:rFonts w:ascii="Arial" w:cs="Arial" w:eastAsia="Arial" w:hAnsi="Arial"/>
          <w:sz w:val="18"/>
          <w:szCs w:val="18"/>
          <w:u w:val="single" w:color="auto"/>
          <w:color w:val="auto"/>
        </w:rPr>
        <w:t>Section 6.11</w:t>
      </w:r>
      <w:r>
        <w:rPr>
          <w:rFonts w:ascii="Arial" w:cs="Arial" w:eastAsia="Arial" w:hAnsi="Arial"/>
          <w:sz w:val="18"/>
          <w:szCs w:val="18"/>
          <w:color w:val="auto"/>
        </w:rPr>
        <w:t>) or any provision thereof shall cease to be in full force and effect,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280" w:right="239" w:bottom="1440" w:gutter="0" w:footer="0" w:header="0"/>
        </w:sectPr>
      </w:pPr>
    </w:p>
    <w:bookmarkStart w:id="149" w:name="page150"/>
    <w:bookmarkEnd w:id="149"/>
    <w:p>
      <w:pPr>
        <w:ind w:right="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or any Subsidiary Guarantor (including any Person that becomes a Subsidiary Guarantor after the Closing Date in accordance with </w:t>
      </w:r>
      <w:r>
        <w:rPr>
          <w:rFonts w:ascii="Arial" w:cs="Arial" w:eastAsia="Arial" w:hAnsi="Arial"/>
          <w:sz w:val="16"/>
          <w:szCs w:val="16"/>
          <w:u w:val="single" w:color="auto"/>
          <w:color w:val="auto"/>
        </w:rPr>
        <w:t>Section 6.11</w:t>
      </w:r>
      <w:r>
        <w:rPr>
          <w:rFonts w:ascii="Arial" w:cs="Arial" w:eastAsia="Arial" w:hAnsi="Arial"/>
          <w:sz w:val="16"/>
          <w:szCs w:val="16"/>
          <w:color w:val="auto"/>
        </w:rPr>
        <w:t>) or any Person acting by or on behalf of such Subsidiary Guarantor shall deny or disaffirm such Subsidiary Guarantor’s obligations under the Subsidiary Guaranty; or</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(l) </w:t>
      </w:r>
      <w:r>
        <w:rPr>
          <w:rFonts w:ascii="Arial" w:cs="Arial" w:eastAsia="Arial" w:hAnsi="Arial"/>
          <w:sz w:val="18"/>
          <w:szCs w:val="18"/>
          <w:u w:val="single" w:color="auto"/>
          <w:color w:val="auto"/>
        </w:rPr>
        <w:t>Change of Control</w:t>
      </w:r>
      <w:r>
        <w:rPr>
          <w:rFonts w:ascii="Arial" w:cs="Arial" w:eastAsia="Arial" w:hAnsi="Arial"/>
          <w:sz w:val="18"/>
          <w:szCs w:val="18"/>
          <w:color w:val="auto"/>
        </w:rPr>
        <w:t>. There occurs any Change of Control.</w:t>
      </w:r>
    </w:p>
    <w:p>
      <w:pPr>
        <w:spacing w:after="0" w:line="165" w:lineRule="exact"/>
        <w:rPr>
          <w:sz w:val="20"/>
          <w:szCs w:val="20"/>
          <w:color w:val="auto"/>
        </w:rPr>
      </w:pPr>
    </w:p>
    <w:p>
      <w:pPr>
        <w:ind w:firstLine="913"/>
        <w:spacing w:after="0" w:line="275" w:lineRule="auto"/>
        <w:rPr>
          <w:sz w:val="20"/>
          <w:szCs w:val="20"/>
          <w:color w:val="auto"/>
        </w:rPr>
      </w:pPr>
      <w:r>
        <w:rPr>
          <w:rFonts w:ascii="Arial" w:cs="Arial" w:eastAsia="Arial" w:hAnsi="Arial"/>
          <w:sz w:val="18"/>
          <w:szCs w:val="18"/>
          <w:b w:val="1"/>
          <w:bCs w:val="1"/>
          <w:color w:val="auto"/>
        </w:rPr>
        <w:t xml:space="preserve">8.02 Remedies Upon Event of Default. </w:t>
      </w:r>
      <w:r>
        <w:rPr>
          <w:rFonts w:ascii="Arial" w:cs="Arial" w:eastAsia="Arial" w:hAnsi="Arial"/>
          <w:sz w:val="18"/>
          <w:szCs w:val="18"/>
          <w:color w:val="auto"/>
        </w:rPr>
        <w:t>If any Event of Default occurs and is continuing, the Administrative Agent shall, at the request of, or may,</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consent of, the Required Lenders, take any or all of the following actions:</w:t>
      </w:r>
    </w:p>
    <w:p>
      <w:pPr>
        <w:spacing w:after="0" w:line="126" w:lineRule="exact"/>
        <w:rPr>
          <w:sz w:val="20"/>
          <w:szCs w:val="20"/>
          <w:color w:val="auto"/>
        </w:rPr>
      </w:pPr>
    </w:p>
    <w:p>
      <w:pPr>
        <w:ind w:right="20" w:firstLine="921"/>
        <w:spacing w:after="0" w:line="268" w:lineRule="auto"/>
        <w:tabs>
          <w:tab w:leader="none" w:pos="116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declare the Commitments of each Lender to make Loans and any obligation of the L/C Issuer to make L/C Credit Extensions to be terminated, whereupon such Commitments and obligation shall be terminated;</w:t>
      </w:r>
    </w:p>
    <w:p>
      <w:pPr>
        <w:spacing w:after="0" w:line="131" w:lineRule="exact"/>
        <w:rPr>
          <w:rFonts w:ascii="Arial" w:cs="Arial" w:eastAsia="Arial" w:hAnsi="Arial"/>
          <w:sz w:val="18"/>
          <w:szCs w:val="18"/>
          <w:color w:val="auto"/>
        </w:rPr>
      </w:pPr>
    </w:p>
    <w:p>
      <w:pPr>
        <w:jc w:val="both"/>
        <w:ind w:firstLine="921"/>
        <w:spacing w:after="0" w:line="259" w:lineRule="auto"/>
        <w:tabs>
          <w:tab w:leader="none" w:pos="117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Loan Parties;</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require that the Borrower Cash Collateralize the L/C Obligations (in an amount equal to the then Outstanding Amount thereof); and</w:t>
      </w:r>
    </w:p>
    <w:p>
      <w:pPr>
        <w:spacing w:after="0" w:line="194" w:lineRule="exact"/>
        <w:rPr>
          <w:rFonts w:ascii="Arial" w:cs="Arial" w:eastAsia="Arial" w:hAnsi="Arial"/>
          <w:sz w:val="16"/>
          <w:szCs w:val="16"/>
          <w:color w:val="auto"/>
        </w:rPr>
      </w:pPr>
    </w:p>
    <w:p>
      <w:pPr>
        <w:ind w:firstLine="921"/>
        <w:spacing w:after="0" w:line="332" w:lineRule="auto"/>
        <w:tabs>
          <w:tab w:leader="none" w:pos="1165" w:val="left"/>
        </w:tabs>
        <w:numPr>
          <w:ilvl w:val="0"/>
          <w:numId w:val="179"/>
        </w:numPr>
        <w:rPr>
          <w:rFonts w:ascii="Arial" w:cs="Arial" w:eastAsia="Arial" w:hAnsi="Arial"/>
          <w:sz w:val="16"/>
          <w:szCs w:val="16"/>
          <w:color w:val="auto"/>
        </w:rPr>
      </w:pPr>
      <w:r>
        <w:rPr>
          <w:rFonts w:ascii="Arial" w:cs="Arial" w:eastAsia="Arial" w:hAnsi="Arial"/>
          <w:sz w:val="16"/>
          <w:szCs w:val="16"/>
          <w:color w:val="auto"/>
        </w:rPr>
        <w:t>exercise on behalf of itself and the Lenders all rights and remedies available to it and the Lenders under the Loan Documents, including, without limitation, all rights and remedies existing under the Collateral Documents and all rights and remedies against any Subsidiary Guarantor;</w:t>
      </w:r>
    </w:p>
    <w:p>
      <w:pPr>
        <w:spacing w:after="0" w:line="85"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upon the occurrence of an actual or deemed entry of an order for relief with respect to any Loan Party under the Bankruptcy Code of the United States, the obligation of each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or any Lender.</w:t>
      </w:r>
    </w:p>
    <w:p>
      <w:pPr>
        <w:spacing w:after="0" w:line="137" w:lineRule="exact"/>
        <w:rPr>
          <w:sz w:val="20"/>
          <w:szCs w:val="20"/>
          <w:color w:val="auto"/>
        </w:rPr>
      </w:pPr>
    </w:p>
    <w:p>
      <w:pPr>
        <w:jc w:val="both"/>
        <w:ind w:firstLine="913"/>
        <w:spacing w:after="0" w:line="301" w:lineRule="auto"/>
        <w:rPr>
          <w:sz w:val="20"/>
          <w:szCs w:val="20"/>
          <w:color w:val="auto"/>
        </w:rPr>
      </w:pPr>
      <w:r>
        <w:rPr>
          <w:rFonts w:ascii="Arial" w:cs="Arial" w:eastAsia="Arial" w:hAnsi="Arial"/>
          <w:sz w:val="16"/>
          <w:szCs w:val="16"/>
          <w:b w:val="1"/>
          <w:bCs w:val="1"/>
          <w:color w:val="auto"/>
        </w:rPr>
        <w:t>8.03 Application of Funds</w:t>
      </w:r>
      <w:r>
        <w:rPr>
          <w:rFonts w:ascii="Arial" w:cs="Arial" w:eastAsia="Arial" w:hAnsi="Arial"/>
          <w:sz w:val="16"/>
          <w:szCs w:val="16"/>
          <w:color w:val="auto"/>
        </w:rPr>
        <w:t>. After the exercise of remedies provided for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8.02</w:t>
      </w:r>
      <w:r>
        <w:rPr>
          <w:rFonts w:ascii="Arial" w:cs="Arial" w:eastAsia="Arial" w:hAnsi="Arial"/>
          <w:sz w:val="16"/>
          <w:szCs w:val="16"/>
          <w:b w:val="1"/>
          <w:bCs w:val="1"/>
          <w:color w:val="auto"/>
        </w:rPr>
        <w:t xml:space="preserve"> </w:t>
      </w:r>
      <w:r>
        <w:rPr>
          <w:rFonts w:ascii="Arial" w:cs="Arial" w:eastAsia="Arial" w:hAnsi="Arial"/>
          <w:sz w:val="16"/>
          <w:szCs w:val="16"/>
          <w:color w:val="auto"/>
        </w:rPr>
        <w:t>(or after the Loans have automatically become immediately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due and payable and the L/C Obligations have automatically been required to be Cash Collateralized as set forth in the proviso to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or if at any time insufficient funds are received by and available to the Administrative Agent to pay fully all Obligations then due hereunder, any amounts received on account of the Obligations shall, subject to the provisions of </w:t>
      </w:r>
      <w:r>
        <w:rPr>
          <w:rFonts w:ascii="Arial" w:cs="Arial" w:eastAsia="Arial" w:hAnsi="Arial"/>
          <w:sz w:val="16"/>
          <w:szCs w:val="16"/>
          <w:u w:val="single" w:color="auto"/>
          <w:color w:val="auto"/>
        </w:rPr>
        <w:t>Sections 2.14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2.15</w:t>
      </w:r>
      <w:r>
        <w:rPr>
          <w:rFonts w:ascii="Arial" w:cs="Arial" w:eastAsia="Arial" w:hAnsi="Arial"/>
          <w:sz w:val="16"/>
          <w:szCs w:val="16"/>
          <w:color w:val="auto"/>
        </w:rPr>
        <w:t>, be applied by the Administrative Agent in the following order:</w:t>
      </w:r>
    </w:p>
    <w:p>
      <w:pPr>
        <w:spacing w:after="0" w:line="28" w:lineRule="exact"/>
        <w:rPr>
          <w:sz w:val="20"/>
          <w:szCs w:val="20"/>
          <w:color w:val="auto"/>
        </w:rPr>
      </w:pPr>
    </w:p>
    <w:p>
      <w:pPr>
        <w:jc w:val="both"/>
        <w:ind w:left="460" w:firstLine="438"/>
        <w:spacing w:after="0" w:line="259" w:lineRule="auto"/>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payment of that portion of the Obligations constituting fees, indemnities, expenses and other amounts (including fees, charges and disbursements of counsel to the Administrative Agent and amounts payable under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hereof and Section 2.5 of the Subsidiary Guaranty) payable to the Administrative Agent in its capacity as such;</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280" w:right="239" w:bottom="1440" w:gutter="0" w:footer="0" w:header="0"/>
        </w:sectPr>
      </w:pPr>
    </w:p>
    <w:bookmarkStart w:id="150" w:name="page151"/>
    <w:bookmarkEnd w:id="150"/>
    <w:p>
      <w:pPr>
        <w:jc w:val="both"/>
        <w:ind w:left="460" w:firstLine="438"/>
        <w:spacing w:after="0" w:line="256"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Second</w:t>
      </w:r>
      <w:r>
        <w:rPr>
          <w:rFonts w:ascii="Arial" w:cs="Arial" w:eastAsia="Arial" w:hAnsi="Arial"/>
          <w:sz w:val="18"/>
          <w:szCs w:val="18"/>
          <w:color w:val="auto"/>
        </w:rPr>
        <w:t xml:space="preserve">, to payment of that portion of the Obligations constituting fees, indemnities and other amounts (other than principal, interest, Letter of Credit Fees and Commitment Fees) payable to the Lenders and the L/C Issuer (including fees, charges and disbursements of counsel to the respective Lenders and the L/C Issuer and amounts payable under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hereof and Section 2.5 of the Subsidiary Guaranty), ratably among them in proportion to the respective amounts described in this clause Second payable to them;</w:t>
      </w:r>
    </w:p>
    <w:p>
      <w:pPr>
        <w:spacing w:after="0" w:line="62" w:lineRule="exact"/>
        <w:rPr>
          <w:sz w:val="20"/>
          <w:szCs w:val="20"/>
          <w:color w:val="auto"/>
        </w:rPr>
      </w:pPr>
    </w:p>
    <w:p>
      <w:pPr>
        <w:jc w:val="both"/>
        <w:ind w:left="460" w:firstLine="438"/>
        <w:spacing w:after="0" w:line="259" w:lineRule="auto"/>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to payment of that portion of the Obligations constituting accrued and unpaid Letter of Credit Fees, Commitment Fees and interest on the Loans, L/C Borrowings and other Obligations, ratably among the Lenders and the L/C Issuer in proportion to the respective amounts described in this clause Third payable to them;</w:t>
      </w:r>
    </w:p>
    <w:p>
      <w:pPr>
        <w:spacing w:after="0" w:line="59" w:lineRule="exact"/>
        <w:rPr>
          <w:sz w:val="20"/>
          <w:szCs w:val="20"/>
          <w:color w:val="auto"/>
        </w:rPr>
      </w:pPr>
    </w:p>
    <w:p>
      <w:pPr>
        <w:jc w:val="both"/>
        <w:ind w:left="460" w:firstLine="438"/>
        <w:spacing w:after="0" w:line="255"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xml:space="preserve">, ratably (i) to payment of that portion of the Obligations constituting unpaid principal of the Loans and the L/C Borrowings, ratably among the Lenders in proportion to the respective amounts described in this subclause (i) to this clause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held by them and (ii) to payment of that portion of the Obligations constituting amounts owing under or in respect of Secured Swap Contracts and Secured Cash Management Services Agreements, ratably among the Swap Banks and Cash Management Banks in proportion to the respective amounts described in this subclause (ii) to this clause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held by them;</w:t>
      </w:r>
    </w:p>
    <w:p>
      <w:pPr>
        <w:spacing w:after="0" w:line="62" w:lineRule="exact"/>
        <w:rPr>
          <w:sz w:val="20"/>
          <w:szCs w:val="20"/>
          <w:color w:val="auto"/>
        </w:rPr>
      </w:pPr>
    </w:p>
    <w:p>
      <w:pPr>
        <w:jc w:val="both"/>
        <w:ind w:left="460" w:firstLine="438"/>
        <w:spacing w:after="0" w:line="332" w:lineRule="auto"/>
        <w:rPr>
          <w:sz w:val="20"/>
          <w:szCs w:val="20"/>
          <w:color w:val="auto"/>
        </w:rPr>
      </w:pPr>
      <w:r>
        <w:rPr>
          <w:rFonts w:ascii="Arial" w:cs="Arial" w:eastAsia="Arial" w:hAnsi="Arial"/>
          <w:sz w:val="16"/>
          <w:szCs w:val="16"/>
          <w:u w:val="single" w:color="auto"/>
          <w:color w:val="auto"/>
        </w:rPr>
        <w:t>Fifth</w:t>
      </w:r>
      <w:r>
        <w:rPr>
          <w:rFonts w:ascii="Arial" w:cs="Arial" w:eastAsia="Arial" w:hAnsi="Arial"/>
          <w:sz w:val="16"/>
          <w:szCs w:val="16"/>
          <w:color w:val="auto"/>
        </w:rPr>
        <w:t xml:space="preserve">, to the Administrative Agent for the account of the L/C Issuer, to Cash Collateralize that portion of L/C Obligations comprised of the aggregate undrawn amount of Letters of Credit to the extent not otherwise Cash Collateralized by the Borrower pursuant to </w:t>
      </w:r>
      <w:r>
        <w:rPr>
          <w:rFonts w:ascii="Arial" w:cs="Arial" w:eastAsia="Arial" w:hAnsi="Arial"/>
          <w:sz w:val="16"/>
          <w:szCs w:val="16"/>
          <w:u w:val="single" w:color="auto"/>
          <w:color w:val="auto"/>
        </w:rPr>
        <w:t>Sections 2.03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2.14</w:t>
      </w:r>
      <w:r>
        <w:rPr>
          <w:rFonts w:ascii="Arial" w:cs="Arial" w:eastAsia="Arial" w:hAnsi="Arial"/>
          <w:sz w:val="16"/>
          <w:szCs w:val="16"/>
          <w:color w:val="auto"/>
        </w:rPr>
        <w:t>; and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Last</w:t>
      </w:r>
      <w:r>
        <w:rPr>
          <w:rFonts w:ascii="Arial" w:cs="Arial" w:eastAsia="Arial" w:hAnsi="Arial"/>
          <w:sz w:val="18"/>
          <w:szCs w:val="18"/>
          <w:color w:val="auto"/>
        </w:rPr>
        <w:t>, the balance, if any, after all of the Obligations have been indefeasibly paid in full, to the Borrower or as otherwise required by Law.</w:t>
      </w:r>
    </w:p>
    <w:p>
      <w:pPr>
        <w:spacing w:after="0" w:line="17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Sections 2.03(c)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2.14</w:t>
      </w:r>
      <w:r>
        <w:rPr>
          <w:rFonts w:ascii="Arial" w:cs="Arial" w:eastAsia="Arial" w:hAnsi="Arial"/>
          <w:sz w:val="16"/>
          <w:szCs w:val="16"/>
          <w:color w:val="auto"/>
        </w:rPr>
        <w:t xml:space="preserve">, amounts used to Cash Collateralize the aggregate undrawn amount of Letters of Credit pursuant to clause </w:t>
      </w:r>
      <w:r>
        <w:rPr>
          <w:rFonts w:ascii="Arial" w:cs="Arial" w:eastAsia="Arial" w:hAnsi="Arial"/>
          <w:sz w:val="16"/>
          <w:szCs w:val="16"/>
          <w:u w:val="single" w:color="auto"/>
          <w:color w:val="auto"/>
        </w:rPr>
        <w:t>Fifth</w:t>
      </w:r>
      <w:r>
        <w:rPr>
          <w:rFonts w:ascii="Arial" w:cs="Arial" w:eastAsia="Arial" w:hAnsi="Arial"/>
          <w:sz w:val="16"/>
          <w:szCs w:val="16"/>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spacing w:after="0" w:line="10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Notwithstanding the foregoing, Obligations arising under Secured Cash Management Services Agreements and Secured Swap Contracts shall be excluded from the application described above if the Administrative Agent has not received written notice thereof, together with such supporting documentation as the Administrative Agent may request, from the applicable Cash Management Bank or Swap Bank, as the case may be. Each Cash Management Bank or Swap Bank not a party to this Agreement that has given the notice contemplated by the preceding sentence shall, by such notice, be deemed to have acknowledged and accepted the appointment of the Administrative Agent pursuant to the terms of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for itself and its Affiliates as if a “Lender” party hereto.</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280" w:right="2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IX</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ADMINISTRATIVE AGENT</w:t>
      </w:r>
    </w:p>
    <w:p>
      <w:pPr>
        <w:spacing w:after="0" w:line="159" w:lineRule="exact"/>
        <w:rPr>
          <w:sz w:val="20"/>
          <w:szCs w:val="20"/>
          <w:color w:val="auto"/>
        </w:rPr>
      </w:pPr>
    </w:p>
    <w:p>
      <w:pPr>
        <w:jc w:val="both"/>
        <w:ind w:firstLine="913"/>
        <w:spacing w:after="0" w:line="296" w:lineRule="auto"/>
        <w:rPr>
          <w:sz w:val="20"/>
          <w:szCs w:val="20"/>
          <w:color w:val="auto"/>
        </w:rPr>
      </w:pPr>
      <w:r>
        <w:rPr>
          <w:rFonts w:ascii="Arial" w:cs="Arial" w:eastAsia="Arial" w:hAnsi="Arial"/>
          <w:sz w:val="16"/>
          <w:szCs w:val="16"/>
          <w:b w:val="1"/>
          <w:bCs w:val="1"/>
          <w:color w:val="auto"/>
        </w:rPr>
        <w:t xml:space="preserve">9.01 Appointment and Authority. </w:t>
      </w:r>
      <w:r>
        <w:rPr>
          <w:rFonts w:ascii="Arial" w:cs="Arial" w:eastAsia="Arial" w:hAnsi="Arial"/>
          <w:sz w:val="16"/>
          <w:szCs w:val="16"/>
          <w:color w:val="auto"/>
        </w:rPr>
        <w:t>(a) Each of the Lenders and the L/C Issuer hereby irrevocably appoints Bank of America to act on its behalf as</w:t>
      </w:r>
      <w:r>
        <w:rPr>
          <w:rFonts w:ascii="Arial" w:cs="Arial" w:eastAsia="Arial" w:hAnsi="Arial"/>
          <w:sz w:val="16"/>
          <w:szCs w:val="16"/>
          <w:b w:val="1"/>
          <w:bCs w:val="1"/>
          <w:color w:val="auto"/>
        </w:rPr>
        <w:t xml:space="preserve"> </w:t>
      </w:r>
      <w:r>
        <w:rPr>
          <w:rFonts w:ascii="Arial" w:cs="Arial" w:eastAsia="Arial" w:hAnsi="Arial"/>
          <w:sz w:val="16"/>
          <w:szCs w:val="16"/>
          <w:color w:val="auto"/>
        </w:rPr>
        <w:t>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 and neither the Borrower nor any other Loan Party shall have rights as a third party beneficiary of any of such provisions.</w:t>
      </w:r>
    </w:p>
    <w:p>
      <w:pPr>
        <w:spacing w:after="0" w:line="114" w:lineRule="exact"/>
        <w:rPr>
          <w:sz w:val="20"/>
          <w:szCs w:val="20"/>
          <w:color w:val="auto"/>
        </w:rPr>
      </w:pPr>
    </w:p>
    <w:p>
      <w:pPr>
        <w:jc w:val="both"/>
        <w:ind w:firstLine="921"/>
        <w:spacing w:after="0" w:line="310" w:lineRule="auto"/>
        <w:tabs>
          <w:tab w:leader="none" w:pos="1166" w:val="left"/>
        </w:tabs>
        <w:numPr>
          <w:ilvl w:val="0"/>
          <w:numId w:val="180"/>
        </w:numPr>
        <w:rPr>
          <w:rFonts w:ascii="Arial" w:cs="Arial" w:eastAsia="Arial" w:hAnsi="Arial"/>
          <w:sz w:val="15"/>
          <w:szCs w:val="15"/>
          <w:color w:val="auto"/>
        </w:rPr>
      </w:pPr>
      <w:r>
        <w:rPr>
          <w:rFonts w:ascii="Arial" w:cs="Arial" w:eastAsia="Arial" w:hAnsi="Arial"/>
          <w:sz w:val="15"/>
          <w:szCs w:val="15"/>
          <w:color w:val="auto"/>
        </w:rPr>
        <w:t>The Administrative Agent shall also act as the “</w:t>
      </w:r>
      <w:r>
        <w:rPr>
          <w:rFonts w:ascii="Arial" w:cs="Arial" w:eastAsia="Arial" w:hAnsi="Arial"/>
          <w:sz w:val="15"/>
          <w:szCs w:val="15"/>
          <w:u w:val="single" w:color="auto"/>
          <w:color w:val="auto"/>
        </w:rPr>
        <w:t>collateral agent</w:t>
      </w:r>
      <w:r>
        <w:rPr>
          <w:rFonts w:ascii="Arial" w:cs="Arial" w:eastAsia="Arial" w:hAnsi="Arial"/>
          <w:sz w:val="15"/>
          <w:szCs w:val="15"/>
          <w:color w:val="auto"/>
        </w:rPr>
        <w:t xml:space="preserve">” under the Loan Documents, and each of the Lenders (including in its capacities as a potential Swap Bank and a potential Cash Management Bank) and the L/C Issuer hereby irrevocably appoints and authorizes the Administrative Agent to act as the agent of such Lender and the L/C Issuer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Arial" w:cs="Arial" w:eastAsia="Arial" w:hAnsi="Arial"/>
          <w:sz w:val="15"/>
          <w:szCs w:val="15"/>
          <w:u w:val="single" w:color="auto"/>
          <w:color w:val="auto"/>
        </w:rPr>
        <w:t>Section 9.05</w:t>
      </w:r>
      <w:r>
        <w:rPr>
          <w:rFonts w:ascii="Arial" w:cs="Arial" w:eastAsia="Arial" w:hAnsi="Arial"/>
          <w:sz w:val="15"/>
          <w:szCs w:val="15"/>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Arial" w:cs="Arial" w:eastAsia="Arial" w:hAnsi="Arial"/>
          <w:sz w:val="15"/>
          <w:szCs w:val="15"/>
          <w:u w:val="single" w:color="auto"/>
          <w:color w:val="auto"/>
        </w:rPr>
        <w:t>Article IX</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Article X</w:t>
      </w:r>
      <w:r>
        <w:rPr>
          <w:rFonts w:ascii="Arial" w:cs="Arial" w:eastAsia="Arial" w:hAnsi="Arial"/>
          <w:sz w:val="15"/>
          <w:szCs w:val="15"/>
          <w:color w:val="auto"/>
        </w:rPr>
        <w:t xml:space="preserve"> (including </w:t>
      </w:r>
      <w:r>
        <w:rPr>
          <w:rFonts w:ascii="Arial" w:cs="Arial" w:eastAsia="Arial" w:hAnsi="Arial"/>
          <w:sz w:val="15"/>
          <w:szCs w:val="15"/>
          <w:u w:val="single" w:color="auto"/>
          <w:color w:val="auto"/>
        </w:rPr>
        <w:t>Section 10.04(c)</w:t>
      </w:r>
      <w:r>
        <w:rPr>
          <w:rFonts w:ascii="Arial" w:cs="Arial" w:eastAsia="Arial" w:hAnsi="Arial"/>
          <w:sz w:val="15"/>
          <w:szCs w:val="15"/>
          <w:color w:val="auto"/>
        </w:rPr>
        <w:t>, as though such co-agents, sub-agents and attorneys-in-fact were the “collateral agent” under the Loan Documents) as if set forth in full herein with respect thereto.</w:t>
      </w:r>
    </w:p>
    <w:p>
      <w:pPr>
        <w:spacing w:after="0" w:line="102"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b w:val="1"/>
          <w:bCs w:val="1"/>
          <w:color w:val="auto"/>
        </w:rPr>
        <w:t xml:space="preserve">9.02 Rights as a Lender. </w:t>
      </w:r>
      <w:r>
        <w:rPr>
          <w:rFonts w:ascii="Arial" w:cs="Arial" w:eastAsia="Arial" w:hAnsi="Arial"/>
          <w:sz w:val="18"/>
          <w:szCs w:val="18"/>
          <w:color w:val="auto"/>
        </w:rPr>
        <w:t>The Person serving as the Administrative Agent hereunder shall have the same rights and powers in its capacity as a</w:t>
      </w:r>
      <w:r>
        <w:rPr>
          <w:rFonts w:ascii="Arial" w:cs="Arial" w:eastAsia="Arial" w:hAnsi="Arial"/>
          <w:sz w:val="18"/>
          <w:szCs w:val="18"/>
          <w:b w:val="1"/>
          <w:bCs w:val="1"/>
          <w:color w:val="auto"/>
        </w:rPr>
        <w:t xml:space="preserve"> </w:t>
      </w:r>
      <w:r>
        <w:rPr>
          <w:rFonts w:ascii="Arial" w:cs="Arial" w:eastAsia="Arial" w:hAnsi="Arial"/>
          <w:sz w:val="18"/>
          <w:szCs w:val="18"/>
          <w:color w:val="auto"/>
        </w:rPr>
        <w:t>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139" w:lineRule="exact"/>
        <w:rPr>
          <w:sz w:val="20"/>
          <w:szCs w:val="20"/>
          <w:color w:val="auto"/>
        </w:rPr>
      </w:pPr>
    </w:p>
    <w:p>
      <w:pPr>
        <w:jc w:val="both"/>
        <w:ind w:firstLine="913"/>
        <w:spacing w:after="0" w:line="275" w:lineRule="auto"/>
        <w:rPr>
          <w:sz w:val="20"/>
          <w:szCs w:val="20"/>
          <w:color w:val="auto"/>
        </w:rPr>
      </w:pPr>
      <w:r>
        <w:rPr>
          <w:rFonts w:ascii="Arial" w:cs="Arial" w:eastAsia="Arial" w:hAnsi="Arial"/>
          <w:sz w:val="18"/>
          <w:szCs w:val="18"/>
          <w:b w:val="1"/>
          <w:bCs w:val="1"/>
          <w:color w:val="auto"/>
        </w:rPr>
        <w:t xml:space="preserve">9.03 Exculpatory Provisions. </w:t>
      </w:r>
      <w:r>
        <w:rPr>
          <w:rFonts w:ascii="Arial" w:cs="Arial" w:eastAsia="Arial" w:hAnsi="Arial"/>
          <w:sz w:val="18"/>
          <w:szCs w:val="18"/>
          <w:color w:val="auto"/>
        </w:rPr>
        <w:t>The Administrative Agent shall not have any duties or obligations except those expressly set forth herein and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Loan Documents. Without limiting the generality of the foregoing, the Administrative Agent:</w:t>
      </w:r>
    </w:p>
    <w:p>
      <w:pPr>
        <w:spacing w:after="0" w:line="126" w:lineRule="exact"/>
        <w:rPr>
          <w:sz w:val="20"/>
          <w:szCs w:val="20"/>
          <w:color w:val="auto"/>
        </w:rPr>
      </w:pPr>
    </w:p>
    <w:p>
      <w:pPr>
        <w:jc w:val="center"/>
        <w:ind w:left="5580" w:right="1580" w:hanging="4659"/>
        <w:spacing w:after="0" w:line="440" w:lineRule="auto"/>
        <w:tabs>
          <w:tab w:leader="none" w:pos="115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shall not be subject to any fiduciary or other implied duties, regardless of whether a Default has occurred and is continuing; 108</w:t>
      </w:r>
    </w:p>
    <w:p>
      <w:pPr>
        <w:sectPr>
          <w:pgSz w:w="11900" w:h="16838" w:orient="portrait"/>
          <w:cols w:equalWidth="0" w:num="1">
            <w:col w:w="11420"/>
          </w:cols>
          <w:pgMar w:left="240" w:top="273" w:right="239" w:bottom="1440" w:gutter="0" w:footer="0" w:header="0"/>
        </w:sectPr>
      </w:pPr>
    </w:p>
    <w:bookmarkStart w:id="152" w:name="page153"/>
    <w:bookmarkEnd w:id="152"/>
    <w:p>
      <w:pPr>
        <w:jc w:val="both"/>
        <w:ind w:firstLine="921"/>
        <w:spacing w:after="0" w:line="255" w:lineRule="auto"/>
        <w:tabs>
          <w:tab w:leader="none" w:pos="1173" w:val="left"/>
        </w:tabs>
        <w:numPr>
          <w:ilvl w:val="0"/>
          <w:numId w:val="1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and</w:t>
      </w:r>
    </w:p>
    <w:p>
      <w:pPr>
        <w:spacing w:after="0" w:line="142" w:lineRule="exact"/>
        <w:rPr>
          <w:rFonts w:ascii="Arial" w:cs="Arial" w:eastAsia="Arial" w:hAnsi="Arial"/>
          <w:sz w:val="18"/>
          <w:szCs w:val="18"/>
          <w:color w:val="auto"/>
        </w:rPr>
      </w:pPr>
    </w:p>
    <w:p>
      <w:pPr>
        <w:jc w:val="both"/>
        <w:ind w:firstLine="921"/>
        <w:spacing w:after="0" w:line="259" w:lineRule="auto"/>
        <w:tabs>
          <w:tab w:leader="none" w:pos="1153"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w:t>
      </w:r>
    </w:p>
    <w:p>
      <w:pPr>
        <w:spacing w:after="0" w:line="140"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8"/>
          <w:szCs w:val="18"/>
          <w:u w:val="single" w:color="auto"/>
          <w:color w:val="auto"/>
        </w:rPr>
        <w:t>Sections 10.01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8.02</w:t>
      </w:r>
      <w:r>
        <w:rPr>
          <w:rFonts w:ascii="Arial" w:cs="Arial" w:eastAsia="Arial" w:hAnsi="Arial"/>
          <w:sz w:val="18"/>
          <w:szCs w:val="18"/>
          <w:color w:val="auto"/>
        </w:rPr>
        <w:t>) or (ii) in the absence of its own gross negligence or willful misconduct. The Administrative Agent shall be deemed not to have knowledge of any Default unless and until notice describing such Default is given to the Administrative Agent by the Borrower, a Lender or the L/C Issuer.</w:t>
      </w:r>
    </w:p>
    <w:p>
      <w:pPr>
        <w:spacing w:after="0" w:line="143" w:lineRule="exact"/>
        <w:rPr>
          <w:sz w:val="20"/>
          <w:szCs w:val="20"/>
          <w:color w:val="auto"/>
        </w:rPr>
      </w:pPr>
    </w:p>
    <w:p>
      <w:pPr>
        <w:jc w:val="both"/>
        <w:ind w:firstLine="913"/>
        <w:spacing w:after="0" w:line="290" w:lineRule="auto"/>
        <w:rPr>
          <w:sz w:val="20"/>
          <w:szCs w:val="20"/>
          <w:color w:val="auto"/>
        </w:rPr>
      </w:pPr>
      <w:r>
        <w:rPr>
          <w:rFonts w:ascii="Arial" w:cs="Arial" w:eastAsia="Arial" w:hAnsi="Arial"/>
          <w:sz w:val="16"/>
          <w:szCs w:val="16"/>
          <w:color w:val="auto"/>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or (v) the satisfaction of any condition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or elsewhere herein, other than to confirm receipt of items expressly required to be delivered to the Administrative Agent.</w:t>
      </w:r>
    </w:p>
    <w:p>
      <w:pPr>
        <w:spacing w:after="0" w:line="112" w:lineRule="exact"/>
        <w:rPr>
          <w:sz w:val="20"/>
          <w:szCs w:val="20"/>
          <w:color w:val="auto"/>
        </w:rPr>
      </w:pPr>
    </w:p>
    <w:p>
      <w:pPr>
        <w:jc w:val="both"/>
        <w:ind w:firstLine="913"/>
        <w:spacing w:after="0" w:line="288" w:lineRule="auto"/>
        <w:rPr>
          <w:sz w:val="20"/>
          <w:szCs w:val="20"/>
          <w:color w:val="auto"/>
        </w:rPr>
      </w:pPr>
      <w:r>
        <w:rPr>
          <w:rFonts w:ascii="Arial" w:cs="Arial" w:eastAsia="Arial" w:hAnsi="Arial"/>
          <w:sz w:val="16"/>
          <w:szCs w:val="16"/>
          <w:b w:val="1"/>
          <w:bCs w:val="1"/>
          <w:color w:val="auto"/>
        </w:rPr>
        <w:t xml:space="preserve">9.04 Reliance by Administrative Agent. </w:t>
      </w:r>
      <w:r>
        <w:rPr>
          <w:rFonts w:ascii="Arial" w:cs="Arial" w:eastAsia="Arial" w:hAnsi="Arial"/>
          <w:sz w:val="16"/>
          <w:szCs w:val="16"/>
          <w:color w:val="auto"/>
        </w:rPr>
        <w:t>The Administrative Agent shall be entitled to rely upon, and shall not incur any liability for relying upon,</w:t>
      </w:r>
      <w:r>
        <w:rPr>
          <w:rFonts w:ascii="Arial" w:cs="Arial" w:eastAsia="Arial" w:hAnsi="Arial"/>
          <w:sz w:val="16"/>
          <w:szCs w:val="16"/>
          <w:b w:val="1"/>
          <w:bCs w:val="1"/>
          <w:color w:val="auto"/>
        </w:rPr>
        <w:t xml:space="preserve"> </w:t>
      </w:r>
      <w:r>
        <w:rPr>
          <w:rFonts w:ascii="Arial" w:cs="Arial" w:eastAsia="Arial" w:hAnsi="Arial"/>
          <w:sz w:val="16"/>
          <w:szCs w:val="16"/>
          <w:color w:val="auto"/>
        </w:rPr>
        <w:t>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 or the L/C Issuer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280" w:right="239" w:bottom="1440" w:gutter="0" w:footer="0" w:header="0"/>
        </w:sectPr>
      </w:pPr>
    </w:p>
    <w:bookmarkStart w:id="153" w:name="page154"/>
    <w:bookmarkEnd w:id="153"/>
    <w:p>
      <w:pPr>
        <w:jc w:val="both"/>
        <w:ind w:firstLine="913"/>
        <w:spacing w:after="0" w:line="29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9.05 Delegation of Duties. </w:t>
      </w:r>
      <w:r>
        <w:rPr>
          <w:rFonts w:ascii="Arial" w:cs="Arial" w:eastAsia="Arial" w:hAnsi="Arial"/>
          <w:sz w:val="16"/>
          <w:szCs w:val="16"/>
          <w:color w:val="auto"/>
        </w:rPr>
        <w:t>The Administrative Agent may perform any and all of its duties and exercise its rights and powers hereunder or under</w:t>
      </w:r>
      <w:r>
        <w:rPr>
          <w:rFonts w:ascii="Arial" w:cs="Arial" w:eastAsia="Arial" w:hAnsi="Arial"/>
          <w:sz w:val="16"/>
          <w:szCs w:val="16"/>
          <w:b w:val="1"/>
          <w:bCs w:val="1"/>
          <w:color w:val="auto"/>
        </w:rPr>
        <w:t xml:space="preserve"> </w:t>
      </w:r>
      <w:r>
        <w:rPr>
          <w:rFonts w:ascii="Arial" w:cs="Arial" w:eastAsia="Arial" w:hAnsi="Arial"/>
          <w:sz w:val="16"/>
          <w:szCs w:val="16"/>
          <w:color w:val="auto"/>
        </w:rPr>
        <w:t>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108" w:lineRule="exact"/>
        <w:rPr>
          <w:sz w:val="20"/>
          <w:szCs w:val="20"/>
          <w:color w:val="auto"/>
        </w:rPr>
      </w:pPr>
    </w:p>
    <w:p>
      <w:pPr>
        <w:jc w:val="both"/>
        <w:ind w:firstLine="913"/>
        <w:spacing w:after="0" w:line="285" w:lineRule="auto"/>
        <w:rPr>
          <w:sz w:val="20"/>
          <w:szCs w:val="20"/>
          <w:color w:val="auto"/>
        </w:rPr>
      </w:pPr>
      <w:r>
        <w:rPr>
          <w:rFonts w:ascii="Arial" w:cs="Arial" w:eastAsia="Arial" w:hAnsi="Arial"/>
          <w:sz w:val="16"/>
          <w:szCs w:val="16"/>
          <w:b w:val="1"/>
          <w:bCs w:val="1"/>
          <w:color w:val="auto"/>
        </w:rPr>
        <w:t xml:space="preserve">9.06 Resignation of Administrative Agent. </w:t>
      </w:r>
      <w:r>
        <w:rPr>
          <w:rFonts w:ascii="Arial" w:cs="Arial" w:eastAsia="Arial" w:hAnsi="Arial"/>
          <w:sz w:val="16"/>
          <w:szCs w:val="16"/>
          <w:color w:val="auto"/>
        </w:rPr>
        <w:t>The Administrative Agent may at any time give notice of its resignation to the Lenders, the L/C Issuer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the Borrower. Upon receipt of any such notice of resignation, the Required Lenders shall have the right, in consultation with the Borrower,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then the retiring Administrative Agent may on behalf of the Lenders and the L/C Issuer, appoint a successor Administrative Agent meeting the qualifications set forth above; provided that if the Administrative Agent shall notify the Borrower and the Lenders that no qualifying Person has accepted such appointment, then such resignation shall nonetheless become effective in accordance with such notice and (a) the retiring Administrative Agent shall be discharged from its duties and obligations hereunder and under the other Loan Documents (except that in the case of any collateral security held by the Administrative Agent on behalf of the Lenders or the L/C Issuer under any of the Loan Documents, the retiring Administrative Agent shall continue to hold such collateral security until such time as a successor Administrative Agent is appointed) and (b) all payments, communications and determinations provided to be made by, to or through the Administrative Agent shall instead be made by or to each Lender and the L/C Issuer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Administrative Agent’s resignation hereunder and under the other Loan Documents, the provisions of this Article and </w:t>
      </w:r>
      <w:r>
        <w:rPr>
          <w:rFonts w:ascii="Arial" w:cs="Arial" w:eastAsia="Arial" w:hAnsi="Arial"/>
          <w:sz w:val="16"/>
          <w:szCs w:val="16"/>
          <w:u w:val="single" w:color="auto"/>
          <w:color w:val="auto"/>
        </w:rPr>
        <w:t>Section 10.04</w:t>
      </w:r>
      <w:r>
        <w:rPr>
          <w:rFonts w:ascii="Arial" w:cs="Arial" w:eastAsia="Arial" w:hAnsi="Arial"/>
          <w:sz w:val="16"/>
          <w:szCs w:val="16"/>
          <w:color w:val="auto"/>
        </w:rPr>
        <w:t xml:space="preserve">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274" w:right="239" w:bottom="1440" w:gutter="0" w:footer="0" w:header="0"/>
        </w:sectPr>
      </w:pPr>
    </w:p>
    <w:bookmarkStart w:id="154" w:name="page155"/>
    <w:bookmarkEnd w:id="154"/>
    <w:p>
      <w:pPr>
        <w:jc w:val="both"/>
        <w:ind w:firstLine="913"/>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resignation by Bank of America as Administrative Agent pursuant to this Section shall also constitute its resignation as L/C Issuer and Swing Line Lender. Upon the acceptance of a successor’s appointment as Administrative Agent hereunder, (a) such successor shall succeed to and become vested with all of the rights, powers, privileges and duties of the retiring L/C Issuer and Swing Line Lender, (b) the retiring L/C Issuer and Swing Line Lender shall be discharged from all of their respective duties and obligations hereunder or under the other Loan Documents, and (c) the successor L/C Issuer shall issue letters of credit in substitution for the Letters of Credit, if any, outstanding at the time of such succession or make other arrangements satisfactory to the retiring L/C Issuer to effectively assume the obligations of the retiring L/C Issuer with respect to such Letters of Credit.</w:t>
      </w:r>
    </w:p>
    <w:p>
      <w:pPr>
        <w:spacing w:after="0" w:line="120" w:lineRule="exact"/>
        <w:rPr>
          <w:sz w:val="20"/>
          <w:szCs w:val="20"/>
          <w:color w:val="auto"/>
        </w:rPr>
      </w:pPr>
    </w:p>
    <w:p>
      <w:pPr>
        <w:jc w:val="both"/>
        <w:ind w:firstLine="913"/>
        <w:spacing w:after="0" w:line="294" w:lineRule="auto"/>
        <w:rPr>
          <w:sz w:val="20"/>
          <w:szCs w:val="20"/>
          <w:color w:val="auto"/>
        </w:rPr>
      </w:pPr>
      <w:r>
        <w:rPr>
          <w:rFonts w:ascii="Arial" w:cs="Arial" w:eastAsia="Arial" w:hAnsi="Arial"/>
          <w:sz w:val="16"/>
          <w:szCs w:val="16"/>
          <w:color w:val="auto"/>
        </w:rPr>
        <w:t>If the Person serving as Administrative Agent is a Defaulting Lender pursuant to clause (d) of the definition of Defaulting Lender, the Required Lenders may, to the extent permitted by applicable law, by notice in writing to the Borrower and such Person, remove such Person as Administrative Agent and, in consultation with the Borrower, appoint a successor. If no such successor shall have been appointed by the Required Lenders and shall have accepted such appointment within thirty (30) days (or such earlier day as shall be agreed by the Required Lenders) (the “</w:t>
      </w:r>
      <w:r>
        <w:rPr>
          <w:rFonts w:ascii="Arial" w:cs="Arial" w:eastAsia="Arial" w:hAnsi="Arial"/>
          <w:sz w:val="16"/>
          <w:szCs w:val="16"/>
          <w:u w:val="single" w:color="auto"/>
          <w:color w:val="auto"/>
        </w:rPr>
        <w:t>Removal Effective Date</w:t>
      </w:r>
      <w:r>
        <w:rPr>
          <w:rFonts w:ascii="Arial" w:cs="Arial" w:eastAsia="Arial" w:hAnsi="Arial"/>
          <w:sz w:val="16"/>
          <w:szCs w:val="16"/>
          <w:color w:val="auto"/>
        </w:rPr>
        <w:t>”), then such removal shall nonetheless become effective in accordance with notice on the Removal Effective Date.</w:t>
      </w:r>
    </w:p>
    <w:p>
      <w:pPr>
        <w:spacing w:after="0" w:line="110" w:lineRule="exact"/>
        <w:rPr>
          <w:sz w:val="20"/>
          <w:szCs w:val="20"/>
          <w:color w:val="auto"/>
        </w:rPr>
      </w:pPr>
    </w:p>
    <w:p>
      <w:pPr>
        <w:jc w:val="both"/>
        <w:ind w:firstLine="913"/>
        <w:spacing w:after="0" w:line="293" w:lineRule="auto"/>
        <w:rPr>
          <w:sz w:val="20"/>
          <w:szCs w:val="20"/>
          <w:color w:val="auto"/>
        </w:rPr>
      </w:pPr>
      <w:r>
        <w:rPr>
          <w:rFonts w:ascii="Arial" w:cs="Arial" w:eastAsia="Arial" w:hAnsi="Arial"/>
          <w:sz w:val="16"/>
          <w:szCs w:val="16"/>
          <w:b w:val="1"/>
          <w:bCs w:val="1"/>
          <w:color w:val="auto"/>
        </w:rPr>
        <w:t xml:space="preserve">9.07 Non-Reliance on Administrative Agent and Other Lenders. </w:t>
      </w:r>
      <w:r>
        <w:rPr>
          <w:rFonts w:ascii="Arial" w:cs="Arial" w:eastAsia="Arial" w:hAnsi="Arial"/>
          <w:sz w:val="16"/>
          <w:szCs w:val="16"/>
          <w:color w:val="auto"/>
        </w:rPr>
        <w:t>Each Lender and the L/C Issuer acknowledges that it has, independently and</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reliance upon the Administrative Agent or any other Lender or any of their Related Parties and based on such documents and information as it has deemed appropriate, made its own credit analysis and decision to enter into this Agreement. Each Lender and the L/C Issuer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11" w:lineRule="exact"/>
        <w:rPr>
          <w:sz w:val="20"/>
          <w:szCs w:val="20"/>
          <w:color w:val="auto"/>
        </w:rPr>
      </w:pPr>
    </w:p>
    <w:p>
      <w:pPr>
        <w:jc w:val="both"/>
        <w:ind w:firstLine="913"/>
        <w:spacing w:after="0" w:line="262" w:lineRule="auto"/>
        <w:rPr>
          <w:sz w:val="20"/>
          <w:szCs w:val="20"/>
          <w:color w:val="auto"/>
        </w:rPr>
      </w:pPr>
      <w:r>
        <w:rPr>
          <w:rFonts w:ascii="Arial" w:cs="Arial" w:eastAsia="Arial" w:hAnsi="Arial"/>
          <w:sz w:val="18"/>
          <w:szCs w:val="18"/>
          <w:b w:val="1"/>
          <w:bCs w:val="1"/>
          <w:color w:val="auto"/>
        </w:rPr>
        <w:t xml:space="preserve">9.08 No Other Duties, Etc. </w:t>
      </w:r>
      <w:r>
        <w:rPr>
          <w:rFonts w:ascii="Arial" w:cs="Arial" w:eastAsia="Arial" w:hAnsi="Arial"/>
          <w:sz w:val="18"/>
          <w:szCs w:val="18"/>
          <w:color w:val="auto"/>
        </w:rPr>
        <w:t>Anything herein to the contrary notwithstanding, none of the Book Managers, Arrangers, Syndication Agent or Co-Documentation Agents listed on the cover page hereof shall have any powers, duties or responsibilities under this Agreement or any of the other Loan Documents, except in its capacity, as applicable, as the Administrative Agent, a Lender or the L/C Issuer hereunder.</w:t>
      </w:r>
    </w:p>
    <w:p>
      <w:pPr>
        <w:spacing w:after="0" w:line="132" w:lineRule="exact"/>
        <w:rPr>
          <w:sz w:val="20"/>
          <w:szCs w:val="20"/>
          <w:color w:val="auto"/>
        </w:rPr>
      </w:pPr>
    </w:p>
    <w:p>
      <w:pPr>
        <w:jc w:val="both"/>
        <w:ind w:firstLine="913"/>
        <w:spacing w:after="0" w:line="258" w:lineRule="auto"/>
        <w:rPr>
          <w:sz w:val="20"/>
          <w:szCs w:val="20"/>
          <w:color w:val="auto"/>
        </w:rPr>
      </w:pPr>
      <w:r>
        <w:rPr>
          <w:rFonts w:ascii="Arial" w:cs="Arial" w:eastAsia="Arial" w:hAnsi="Arial"/>
          <w:sz w:val="18"/>
          <w:szCs w:val="18"/>
          <w:b w:val="1"/>
          <w:bCs w:val="1"/>
          <w:color w:val="auto"/>
        </w:rPr>
        <w:t xml:space="preserve">9.09 Administrative Agent May File Proofs of Claim. </w:t>
      </w:r>
      <w:r>
        <w:rPr>
          <w:rFonts w:ascii="Arial" w:cs="Arial" w:eastAsia="Arial" w:hAnsi="Arial"/>
          <w:sz w:val="18"/>
          <w:szCs w:val="18"/>
          <w:color w:val="auto"/>
        </w:rPr>
        <w:t>In case of the pendency of any proceeding under any Debtor Relief Law or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42" w:lineRule="exact"/>
        <w:rPr>
          <w:sz w:val="20"/>
          <w:szCs w:val="20"/>
          <w:color w:val="auto"/>
        </w:rPr>
      </w:pPr>
    </w:p>
    <w:p>
      <w:pPr>
        <w:ind w:firstLine="921"/>
        <w:spacing w:after="0" w:line="268" w:lineRule="auto"/>
        <w:tabs>
          <w:tab w:leader="none" w:pos="1164"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to file and prove a claim for the whole amount of the principal and interest owing and unpaid in respect of the Loans, L/C Obligations and all other Obligations that are owing and unpaid and to file such other documents as may be necessary or advisable in order 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280" w:right="239" w:bottom="1440" w:gutter="0" w:footer="0" w:header="0"/>
        </w:sectPr>
      </w:pPr>
    </w:p>
    <w:bookmarkStart w:id="155" w:name="page156"/>
    <w:bookmarkEnd w:id="155"/>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have the claims of the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w:t>
      </w:r>
      <w:r>
        <w:rPr>
          <w:rFonts w:ascii="Arial" w:cs="Arial" w:eastAsia="Arial" w:hAnsi="Arial"/>
          <w:sz w:val="16"/>
          <w:szCs w:val="16"/>
          <w:u w:val="single" w:color="auto"/>
          <w:color w:val="auto"/>
        </w:rPr>
        <w:t>Sections 2.03(h)</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w:t>
      </w:r>
      <w:r>
        <w:rPr>
          <w:rFonts w:ascii="Arial" w:cs="Arial" w:eastAsia="Arial" w:hAnsi="Arial"/>
          <w:sz w:val="16"/>
          <w:szCs w:val="16"/>
          <w:color w:val="auto"/>
        </w:rPr>
        <w:t xml:space="preserve">, </w:t>
      </w:r>
      <w:r>
        <w:rPr>
          <w:rFonts w:ascii="Arial" w:cs="Arial" w:eastAsia="Arial" w:hAnsi="Arial"/>
          <w:sz w:val="16"/>
          <w:szCs w:val="16"/>
          <w:u w:val="single" w:color="auto"/>
          <w:color w:val="auto"/>
        </w:rPr>
        <w:t>2.09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10.04</w:t>
      </w:r>
      <w:r>
        <w:rPr>
          <w:rFonts w:ascii="Arial" w:cs="Arial" w:eastAsia="Arial" w:hAnsi="Arial"/>
          <w:sz w:val="16"/>
          <w:szCs w:val="16"/>
          <w:color w:val="auto"/>
        </w:rPr>
        <w:t>) allowed in such judicial proceeding; and</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 to collect and receive any monies or other property payable or deliverable on any such claims and to distribute the same;</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and any custodian, receiver, assignee, trustee, liquidator, sequestrator or other similar official in any such judicial proceeding is hereby authorized by each Lender and the L/C Issuer to make such payments to the Administrative Agent and, in the event that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8"/>
          <w:szCs w:val="18"/>
          <w:u w:val="single" w:color="auto"/>
          <w:color w:val="auto"/>
        </w:rPr>
        <w:t>Sections 2.09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10.04</w:t>
      </w:r>
      <w:r>
        <w:rPr>
          <w:rFonts w:ascii="Arial" w:cs="Arial" w:eastAsia="Arial" w:hAnsi="Arial"/>
          <w:sz w:val="18"/>
          <w:szCs w:val="18"/>
          <w:color w:val="auto"/>
        </w:rPr>
        <w:t>.</w:t>
      </w:r>
    </w:p>
    <w:p>
      <w:pPr>
        <w:spacing w:after="0" w:line="143"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Nothing contained herein shall be deemed to authorize the Administrative Agent to authorize or consent to or accept or adopt on behalf of any Lender or the L/C Issuer any plan of reorganization, arrangement, adjustment or composition affecting the Obligations or the rights of any Lender or the L/C Issuer to authorize the Administrative Agent to vote in respect of the claim of any Lender or the L/C Issuer or in any such proceeding.</w:t>
      </w:r>
    </w:p>
    <w:p>
      <w:pPr>
        <w:spacing w:after="0" w:line="101" w:lineRule="exact"/>
        <w:rPr>
          <w:sz w:val="20"/>
          <w:szCs w:val="20"/>
          <w:color w:val="auto"/>
        </w:rPr>
      </w:pPr>
    </w:p>
    <w:p>
      <w:pPr>
        <w:jc w:val="both"/>
        <w:ind w:firstLine="913"/>
        <w:spacing w:after="0" w:line="275" w:lineRule="auto"/>
        <w:rPr>
          <w:sz w:val="20"/>
          <w:szCs w:val="20"/>
          <w:color w:val="auto"/>
        </w:rPr>
      </w:pPr>
      <w:r>
        <w:rPr>
          <w:rFonts w:ascii="Arial" w:cs="Arial" w:eastAsia="Arial" w:hAnsi="Arial"/>
          <w:sz w:val="18"/>
          <w:szCs w:val="18"/>
          <w:b w:val="1"/>
          <w:bCs w:val="1"/>
          <w:color w:val="auto"/>
        </w:rPr>
        <w:t xml:space="preserve">9.10 Collateral and Guaranty Matters. </w:t>
      </w:r>
      <w:r>
        <w:rPr>
          <w:rFonts w:ascii="Arial" w:cs="Arial" w:eastAsia="Arial" w:hAnsi="Arial"/>
          <w:sz w:val="18"/>
          <w:szCs w:val="18"/>
          <w:color w:val="auto"/>
        </w:rPr>
        <w:t>Each of the Lenders (including in its capacities as a potential Cash Management Bank and a potential Swap</w:t>
      </w:r>
      <w:r>
        <w:rPr>
          <w:rFonts w:ascii="Arial" w:cs="Arial" w:eastAsia="Arial" w:hAnsi="Arial"/>
          <w:sz w:val="18"/>
          <w:szCs w:val="18"/>
          <w:b w:val="1"/>
          <w:bCs w:val="1"/>
          <w:color w:val="auto"/>
        </w:rPr>
        <w:t xml:space="preserve"> </w:t>
      </w:r>
      <w:r>
        <w:rPr>
          <w:rFonts w:ascii="Arial" w:cs="Arial" w:eastAsia="Arial" w:hAnsi="Arial"/>
          <w:sz w:val="18"/>
          <w:szCs w:val="18"/>
          <w:color w:val="auto"/>
        </w:rPr>
        <w:t>Bank) and the L/C Issuer irrevocably authorize the Administrative Agent, at its option and in its discretion,</w:t>
      </w:r>
    </w:p>
    <w:p>
      <w:pPr>
        <w:spacing w:after="0" w:line="126" w:lineRule="exact"/>
        <w:rPr>
          <w:sz w:val="20"/>
          <w:szCs w:val="20"/>
          <w:color w:val="auto"/>
        </w:rPr>
      </w:pPr>
    </w:p>
    <w:p>
      <w:pPr>
        <w:jc w:val="both"/>
        <w:ind w:firstLine="921"/>
        <w:spacing w:after="0" w:line="253" w:lineRule="auto"/>
        <w:tabs>
          <w:tab w:leader="none" w:pos="1177"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to release any Lien on any property granted to or held by the Administrative Agent under any Loan Document (i) upon termination of the Aggregate Commitments and payment in full of all Obligations (other than (A) contingent indemnification obligations and (B) obligations and liabilities under Secured Cash Management Services Agreements and Secured Swap Contracts as to which the applicable Cash Management Bank or Swap Bank shall be responsible for making their own arrangements) and the expiration or termination of all Letters of Credit (other than Letters of Credit as to which Cash or Collateral or other arrangements satisfactory to the Administrative Agent and the L/C Issuer shall have been made</w:t>
      </w:r>
      <w:r>
        <w:rPr>
          <w:rFonts w:ascii="Arial" w:cs="Arial" w:eastAsia="Arial" w:hAnsi="Arial"/>
          <w:sz w:val="18"/>
          <w:szCs w:val="18"/>
          <w:b w:val="1"/>
          <w:bCs w:val="1"/>
          <w:color w:val="auto"/>
        </w:rPr>
        <w:t>)</w:t>
      </w:r>
      <w:r>
        <w:rPr>
          <w:rFonts w:ascii="Arial" w:cs="Arial" w:eastAsia="Arial" w:hAnsi="Arial"/>
          <w:sz w:val="18"/>
          <w:szCs w:val="18"/>
          <w:color w:val="auto"/>
        </w:rPr>
        <w:t xml:space="preserve">, (ii) that is sold or to be sold as part of or in connection with any sale permitted hereunder or under any other Loan Document, or (iii) if approved, authorized or ratified in writing in accordance with </w:t>
      </w:r>
      <w:r>
        <w:rPr>
          <w:rFonts w:ascii="Arial" w:cs="Arial" w:eastAsia="Arial" w:hAnsi="Arial"/>
          <w:sz w:val="18"/>
          <w:szCs w:val="18"/>
          <w:u w:val="single" w:color="auto"/>
          <w:color w:val="auto"/>
        </w:rPr>
        <w:t>Section 10.01</w:t>
      </w:r>
      <w:r>
        <w:rPr>
          <w:rFonts w:ascii="Arial" w:cs="Arial" w:eastAsia="Arial" w:hAnsi="Arial"/>
          <w:sz w:val="18"/>
          <w:szCs w:val="18"/>
          <w:color w:val="auto"/>
        </w:rPr>
        <w:t>; and</w:t>
      </w:r>
    </w:p>
    <w:p>
      <w:pPr>
        <w:spacing w:after="0" w:line="147" w:lineRule="exact"/>
        <w:rPr>
          <w:rFonts w:ascii="Arial" w:cs="Arial" w:eastAsia="Arial" w:hAnsi="Arial"/>
          <w:sz w:val="18"/>
          <w:szCs w:val="18"/>
          <w:color w:val="auto"/>
        </w:rPr>
      </w:pPr>
    </w:p>
    <w:p>
      <w:pPr>
        <w:ind w:firstLine="921"/>
        <w:spacing w:after="0" w:line="332" w:lineRule="auto"/>
        <w:tabs>
          <w:tab w:leader="none" w:pos="1205"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to release any Subsidiary Guarantor from its obligations under the Subsidiary Guaranty and release the pledge of its assets, stock and indebtedness if such Person (i) ceases to be a Subsidiary as a result of a transaction permitted hereunder or (ii) becomes an Excluded Subsidiary.</w:t>
      </w:r>
    </w:p>
    <w:p>
      <w:pPr>
        <w:spacing w:after="0" w:line="85"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 xml:space="preserve">Upon request by the Administrative Agent at any time, the Required Lenders will confirm in writing the Administrative Agent’s authority to release its interest in particular types or items of property, or any release pursuant to this </w:t>
      </w:r>
      <w:r>
        <w:rPr>
          <w:rFonts w:ascii="Arial" w:cs="Arial" w:eastAsia="Arial" w:hAnsi="Arial"/>
          <w:sz w:val="18"/>
          <w:szCs w:val="18"/>
          <w:u w:val="single" w:color="auto"/>
          <w:color w:val="auto"/>
        </w:rPr>
        <w:t>Section 9.10</w:t>
      </w:r>
      <w:r>
        <w:rPr>
          <w:rFonts w:ascii="Arial" w:cs="Arial" w:eastAsia="Arial" w:hAnsi="Arial"/>
          <w:sz w:val="18"/>
          <w:szCs w:val="18"/>
          <w:color w:val="auto"/>
        </w:rPr>
        <w: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280" w:right="239" w:bottom="1440" w:gutter="0" w:footer="0" w:header="0"/>
        </w:sectPr>
      </w:pPr>
    </w:p>
    <w:bookmarkStart w:id="156" w:name="page157"/>
    <w:bookmarkEnd w:id="156"/>
    <w:p>
      <w:pPr>
        <w:jc w:val="both"/>
        <w:ind w:firstLine="913"/>
        <w:spacing w:after="0" w:line="28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9.11 Secured Cash Management Services Agreements and Secured Swap Contracts. </w:t>
      </w:r>
      <w:r>
        <w:rPr>
          <w:rFonts w:ascii="Arial" w:cs="Arial" w:eastAsia="Arial" w:hAnsi="Arial"/>
          <w:sz w:val="16"/>
          <w:szCs w:val="16"/>
          <w:color w:val="auto"/>
        </w:rPr>
        <w:t>Except as otherwise expressly set forth herein, no Cash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Management Bank or Swap Bank that obtains the benefit of the provisions of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the Subsidiary Guaranty or any Collateral by virtue of the provisions hereof or of the Subsidiary Guaranty or any Collateral Document shall have any right to notice of any action or to consent to, direct or object to any action hereunder or under any other Loan Document or otherwise in respect of the Collateral (including the release or impairment of any Collateral) (or to notice of or to consent to any amendment, waiver or modification of the provisions hereof or of the Subsidiary Guaranty or any Collateral Document) other than in its capacity as a Lender and, in such case, only to the extent expressly provided in the Loan Documents. Notwithstanding any other provision of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to the contrary, the Administrative Agent shall not be required to verify the payment of, or that other satisfactory arrangements have been made with respect to, Obligations arising under Secured Cash Management Services Agreements and Secured Swap Contracts unless the Administrative Agent has received written notice of such Obligations, together with such supporting documentation as the Administrative Agent may request, from the applicable Cash Management Bank or Swap Bank, as the case may be.</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159" w:lineRule="exact"/>
        <w:rPr>
          <w:sz w:val="20"/>
          <w:szCs w:val="20"/>
          <w:color w:val="auto"/>
        </w:rPr>
      </w:pPr>
    </w:p>
    <w:p>
      <w:pPr>
        <w:jc w:val="both"/>
        <w:ind w:firstLine="913"/>
        <w:spacing w:after="0" w:line="301" w:lineRule="auto"/>
        <w:rPr>
          <w:sz w:val="20"/>
          <w:szCs w:val="20"/>
          <w:color w:val="auto"/>
        </w:rPr>
      </w:pPr>
      <w:r>
        <w:rPr>
          <w:rFonts w:ascii="Arial" w:cs="Arial" w:eastAsia="Arial" w:hAnsi="Arial"/>
          <w:sz w:val="16"/>
          <w:szCs w:val="16"/>
          <w:b w:val="1"/>
          <w:bCs w:val="1"/>
          <w:color w:val="auto"/>
        </w:rPr>
        <w:t xml:space="preserve">10.01 Amendments, Etc. </w:t>
      </w:r>
      <w:r>
        <w:rPr>
          <w:rFonts w:ascii="Arial" w:cs="Arial" w:eastAsia="Arial" w:hAnsi="Arial"/>
          <w:sz w:val="16"/>
          <w:szCs w:val="16"/>
          <w:color w:val="auto"/>
        </w:rPr>
        <w:t>No amendment or waiver of any provision of this Agreement or any other Loan Document, and no consent to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departure by the Borrower or any other Loan Party therefrom, shall in any event be effective unless the same shall be in writing and signed by the Required Lenders and the Borrower or the applicable Loan Party, as the case may be, and acknowledged by the Administrative Agent, and each such waiver or consent shall be effective only in the specific instance and for the specific purpose for which given;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amendment, waiver or consent shall:</w:t>
      </w:r>
    </w:p>
    <w:p>
      <w:pPr>
        <w:spacing w:after="0" w:line="109" w:lineRule="exact"/>
        <w:rPr>
          <w:sz w:val="20"/>
          <w:szCs w:val="20"/>
          <w:color w:val="auto"/>
        </w:rPr>
      </w:pPr>
    </w:p>
    <w:p>
      <w:pPr>
        <w:ind w:left="1160" w:hanging="239"/>
        <w:spacing w:after="0"/>
        <w:tabs>
          <w:tab w:leader="none" w:pos="11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waive any condition set forth in </w:t>
      </w:r>
      <w:r>
        <w:rPr>
          <w:rFonts w:ascii="Arial" w:cs="Arial" w:eastAsia="Arial" w:hAnsi="Arial"/>
          <w:sz w:val="18"/>
          <w:szCs w:val="18"/>
          <w:u w:val="single" w:color="auto"/>
          <w:color w:val="auto"/>
        </w:rPr>
        <w:t>Section 4.01(a)</w:t>
      </w:r>
      <w:r>
        <w:rPr>
          <w:rFonts w:ascii="Arial" w:cs="Arial" w:eastAsia="Arial" w:hAnsi="Arial"/>
          <w:sz w:val="18"/>
          <w:szCs w:val="18"/>
          <w:color w:val="auto"/>
        </w:rPr>
        <w:t>, without the written consent of each Lender;</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waive any condition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as to any Credit Extension without the written consent of the Required Lenders;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85"/>
        </w:numPr>
        <w:rPr>
          <w:rFonts w:ascii="Arial" w:cs="Arial" w:eastAsia="Arial" w:hAnsi="Arial"/>
          <w:sz w:val="15"/>
          <w:szCs w:val="15"/>
          <w:color w:val="auto"/>
        </w:rPr>
      </w:pPr>
      <w:r>
        <w:rPr>
          <w:rFonts w:ascii="Arial" w:cs="Arial" w:eastAsia="Arial" w:hAnsi="Arial"/>
          <w:sz w:val="15"/>
          <w:szCs w:val="15"/>
          <w:color w:val="auto"/>
        </w:rPr>
        <w:t xml:space="preserve">extend or increase the Commitment of any Lender (or reinstate any Commitment terminated pursuant to </w:t>
      </w:r>
      <w:r>
        <w:rPr>
          <w:rFonts w:ascii="Arial" w:cs="Arial" w:eastAsia="Arial" w:hAnsi="Arial"/>
          <w:sz w:val="15"/>
          <w:szCs w:val="15"/>
          <w:u w:val="single" w:color="auto"/>
          <w:color w:val="auto"/>
        </w:rPr>
        <w:t>Section 8.02)</w:t>
      </w:r>
      <w:r>
        <w:rPr>
          <w:rFonts w:ascii="Arial" w:cs="Arial" w:eastAsia="Arial" w:hAnsi="Arial"/>
          <w:sz w:val="15"/>
          <w:szCs w:val="15"/>
          <w:color w:val="auto"/>
        </w:rPr>
        <w:t xml:space="preserve"> without the written consent</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of such Lender;</w:t>
      </w:r>
    </w:p>
    <w:p>
      <w:pPr>
        <w:spacing w:after="0" w:line="164" w:lineRule="exact"/>
        <w:rPr>
          <w:rFonts w:ascii="Arial" w:cs="Arial" w:eastAsia="Arial" w:hAnsi="Arial"/>
          <w:sz w:val="15"/>
          <w:szCs w:val="15"/>
          <w:color w:val="auto"/>
        </w:rPr>
      </w:pPr>
    </w:p>
    <w:p>
      <w:pPr>
        <w:jc w:val="both"/>
        <w:ind w:firstLine="921"/>
        <w:spacing w:after="0" w:line="259" w:lineRule="auto"/>
        <w:tabs>
          <w:tab w:leader="none" w:pos="1168"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postpone any date fixed by this Agreement or any other Loan Document for any payment of principal, interest, fees or other amounts due to the Lenders (or any of them) hereunder (other than mandatory prepayments under clauses (i) and (ii) of </w:t>
      </w:r>
      <w:r>
        <w:rPr>
          <w:rFonts w:ascii="Arial" w:cs="Arial" w:eastAsia="Arial" w:hAnsi="Arial"/>
          <w:sz w:val="18"/>
          <w:szCs w:val="18"/>
          <w:u w:val="single" w:color="auto"/>
          <w:color w:val="auto"/>
        </w:rPr>
        <w:t>Section 2.05(b)</w:t>
      </w:r>
      <w:r>
        <w:rPr>
          <w:rFonts w:ascii="Arial" w:cs="Arial" w:eastAsia="Arial" w:hAnsi="Arial"/>
          <w:sz w:val="18"/>
          <w:szCs w:val="18"/>
          <w:color w:val="auto"/>
        </w:rPr>
        <w:t>, late fees and default interest) or under such other Loan Document without the written consent of each Lender entitled to such payment;</w:t>
      </w:r>
    </w:p>
    <w:p>
      <w:pPr>
        <w:spacing w:after="0" w:line="140" w:lineRule="exact"/>
        <w:rPr>
          <w:rFonts w:ascii="Arial" w:cs="Arial" w:eastAsia="Arial" w:hAnsi="Arial"/>
          <w:sz w:val="18"/>
          <w:szCs w:val="18"/>
          <w:color w:val="auto"/>
        </w:rPr>
      </w:pPr>
    </w:p>
    <w:p>
      <w:pPr>
        <w:jc w:val="both"/>
        <w:ind w:firstLine="921"/>
        <w:spacing w:after="0" w:line="259" w:lineRule="auto"/>
        <w:tabs>
          <w:tab w:leader="none" w:pos="1167"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reduce or subordinate the principal of, or the rate of interest specified herein on, any Loan or L/C Borrowing, or (subject to clause (iv) of the second proviso to this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any fees or other amounts payable hereunder or under any other Loan Document without the written consent of each Lender or L/C Issuer entitled to such amount; </w:t>
      </w:r>
      <w:r>
        <w:rPr>
          <w:rFonts w:ascii="Arial" w:cs="Arial" w:eastAsia="Arial" w:hAnsi="Arial"/>
          <w:sz w:val="18"/>
          <w:szCs w:val="18"/>
          <w:u w:val="single" w:color="auto"/>
          <w:color w:val="auto"/>
        </w:rPr>
        <w:t>provided</w:t>
      </w:r>
      <w:r>
        <w:rPr>
          <w:rFonts w:ascii="Arial" w:cs="Arial" w:eastAsia="Arial" w:hAnsi="Arial"/>
          <w:sz w:val="18"/>
          <w:szCs w:val="18"/>
          <w:color w:val="auto"/>
        </w:rPr>
        <w: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274" w:right="239" w:bottom="1440" w:gutter="0" w:footer="0" w:header="0"/>
        </w:sectPr>
      </w:pPr>
    </w:p>
    <w:bookmarkStart w:id="157" w:name="page158"/>
    <w:bookmarkEnd w:id="157"/>
    <w:p>
      <w:pPr>
        <w:jc w:val="both"/>
        <w:ind w:right="20"/>
        <w:spacing w:after="0" w:line="306"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however</w:t>
      </w:r>
      <w:r>
        <w:rPr>
          <w:rFonts w:ascii="Arial" w:cs="Arial" w:eastAsia="Arial" w:hAnsi="Arial"/>
          <w:sz w:val="16"/>
          <w:szCs w:val="16"/>
          <w:color w:val="auto"/>
        </w:rPr>
        <w:t>, that only the consent of the Required Lenders shall be necessary (i) to amend the definition of “Default Rate” or to waive any obligation of the Borrower to pay interest or Letter of Credit Fees at the Default Rate or (ii) to amend any financial covenant hereunder (or any defined term used therein) even if the effect of such amendment would be to reduce the rate of interest on any Loan or L/C Borrowing or to reduce any fee payable hereunder;</w:t>
      </w:r>
    </w:p>
    <w:p>
      <w:pPr>
        <w:spacing w:after="0" w:line="107" w:lineRule="exact"/>
        <w:rPr>
          <w:sz w:val="20"/>
          <w:szCs w:val="20"/>
          <w:color w:val="auto"/>
        </w:rPr>
      </w:pPr>
    </w:p>
    <w:p>
      <w:pPr>
        <w:jc w:val="both"/>
        <w:ind w:firstLine="921"/>
        <w:spacing w:after="0" w:line="256" w:lineRule="auto"/>
        <w:tabs>
          <w:tab w:leader="none" w:pos="1132"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change (i) </w:t>
      </w: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in a manner that would alter the pro rata sharing of payments required thereby without the written consent of each Lender or (ii) the order of application of any reduction in the Commitments or any prepayment of Loans among the Facilities from the application thereof set forth in the applicable provisions of </w:t>
      </w:r>
      <w:r>
        <w:rPr>
          <w:rFonts w:ascii="Arial" w:cs="Arial" w:eastAsia="Arial" w:hAnsi="Arial"/>
          <w:sz w:val="18"/>
          <w:szCs w:val="18"/>
          <w:u w:val="single" w:color="auto"/>
          <w:color w:val="auto"/>
        </w:rPr>
        <w:t>Section 2.05(b)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2.06(b)</w:t>
      </w:r>
      <w:r>
        <w:rPr>
          <w:rFonts w:ascii="Arial" w:cs="Arial" w:eastAsia="Arial" w:hAnsi="Arial"/>
          <w:sz w:val="18"/>
          <w:szCs w:val="18"/>
          <w:color w:val="auto"/>
        </w:rPr>
        <w:t>, respectively, in any manner that materially and adversely affects the Lenders without the written consent of the Required Lenders;</w:t>
      </w:r>
    </w:p>
    <w:p>
      <w:pPr>
        <w:spacing w:after="0" w:line="143" w:lineRule="exact"/>
        <w:rPr>
          <w:rFonts w:ascii="Arial" w:cs="Arial" w:eastAsia="Arial" w:hAnsi="Arial"/>
          <w:sz w:val="18"/>
          <w:szCs w:val="18"/>
          <w:color w:val="auto"/>
        </w:rPr>
      </w:pPr>
    </w:p>
    <w:p>
      <w:pPr>
        <w:jc w:val="both"/>
        <w:ind w:firstLine="921"/>
        <w:spacing w:after="0" w:line="259" w:lineRule="auto"/>
        <w:tabs>
          <w:tab w:leader="none" w:pos="1184"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change any provision of this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or the definition of “Required Lenders” or any other provision hereof specifying the number or percentage of Lenders required to amend, waive or otherwise modify any rights hereunder or make any determination or grant any consent hereunder (other than the definitions specified in clause (ii) of this </w:t>
      </w:r>
      <w:r>
        <w:rPr>
          <w:rFonts w:ascii="Arial" w:cs="Arial" w:eastAsia="Arial" w:hAnsi="Arial"/>
          <w:sz w:val="18"/>
          <w:szCs w:val="18"/>
          <w:u w:val="single" w:color="auto"/>
          <w:color w:val="auto"/>
        </w:rPr>
        <w:t>Section 10.01(g)</w:t>
      </w:r>
      <w:r>
        <w:rPr>
          <w:rFonts w:ascii="Arial" w:cs="Arial" w:eastAsia="Arial" w:hAnsi="Arial"/>
          <w:sz w:val="18"/>
          <w:szCs w:val="18"/>
          <w:color w:val="auto"/>
        </w:rPr>
        <w:t>), without the written consent of each Lender;</w:t>
      </w:r>
    </w:p>
    <w:p>
      <w:pPr>
        <w:spacing w:after="0" w:line="140" w:lineRule="exact"/>
        <w:rPr>
          <w:rFonts w:ascii="Arial" w:cs="Arial" w:eastAsia="Arial" w:hAnsi="Arial"/>
          <w:sz w:val="18"/>
          <w:szCs w:val="18"/>
          <w:color w:val="auto"/>
        </w:rPr>
      </w:pPr>
    </w:p>
    <w:p>
      <w:pPr>
        <w:jc w:val="both"/>
        <w:ind w:firstLine="921"/>
        <w:spacing w:after="0" w:line="256" w:lineRule="auto"/>
        <w:tabs>
          <w:tab w:leader="none" w:pos="117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release all or substantially all of the value of the Subsidiary Guaranty, or release all or substantially all of the Collateral in any transaction or series of related transactions except as specifically permitted by the Loan Documents without the written consent of each Lender, except to the extent the release of any Subsidiary from the Subsidiary Guaranty is permitted pursuant to </w:t>
      </w:r>
      <w:r>
        <w:rPr>
          <w:rFonts w:ascii="Arial" w:cs="Arial" w:eastAsia="Arial" w:hAnsi="Arial"/>
          <w:sz w:val="18"/>
          <w:szCs w:val="18"/>
          <w:u w:val="single" w:color="auto"/>
          <w:color w:val="auto"/>
        </w:rPr>
        <w:t>Section 9.10</w:t>
      </w:r>
      <w:r>
        <w:rPr>
          <w:rFonts w:ascii="Arial" w:cs="Arial" w:eastAsia="Arial" w:hAnsi="Arial"/>
          <w:sz w:val="18"/>
          <w:szCs w:val="18"/>
          <w:color w:val="auto"/>
        </w:rPr>
        <w:t xml:space="preserve"> (in which case such release may be made by the Administrative Agent acting alone); or</w:t>
      </w:r>
    </w:p>
    <w:p>
      <w:pPr>
        <w:spacing w:after="0" w:line="143" w:lineRule="exact"/>
        <w:rPr>
          <w:rFonts w:ascii="Arial" w:cs="Arial" w:eastAsia="Arial" w:hAnsi="Arial"/>
          <w:sz w:val="18"/>
          <w:szCs w:val="18"/>
          <w:color w:val="auto"/>
        </w:rPr>
      </w:pPr>
    </w:p>
    <w:p>
      <w:pPr>
        <w:ind w:firstLine="921"/>
        <w:spacing w:after="0" w:line="268" w:lineRule="auto"/>
        <w:tabs>
          <w:tab w:leader="none" w:pos="1131"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impose any greater restriction on the ability of any Lender to assign any of its rights or obligations hereunder without the written consent of the Required Lenders;</w:t>
      </w:r>
    </w:p>
    <w:p>
      <w:pPr>
        <w:spacing w:after="0" w:line="13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 no amendment, waiver or consent shall, unless in writing and signed by the L/C Issuer in addition to the Lenders required above, affect the rights or duties of the L/C Issuer under this Agreement or any Issuer Document relating to any Letter of Credit issued or to be issued by it, (ii) no amendment, waiver or consent shall, unless in writing and signed by the Swing Line Lender in addition to the Lenders required above, affect the rights or duties of the Swing Line Lender under this Agreement, (iii) no amendment, waiver or consent shall, unless in writing and signed by the Administrative Agent in addition to the Lenders required above, affect the rights or duties of the Administrative Agent under this Agreement or any other Loan Document, (iv) each of the Fee Letters and the Engagement Letter may be amended, or rights or privileges thereunder waived, in a writing executed only by the respective parties thereto, and</w:t>
      </w:r>
    </w:p>
    <w:p>
      <w:pPr>
        <w:spacing w:after="0" w:line="1" w:lineRule="exact"/>
        <w:rPr>
          <w:sz w:val="20"/>
          <w:szCs w:val="20"/>
          <w:color w:val="auto"/>
        </w:rPr>
      </w:pPr>
    </w:p>
    <w:p>
      <w:pPr>
        <w:jc w:val="both"/>
        <w:ind w:firstLine="8"/>
        <w:spacing w:after="0" w:line="292" w:lineRule="auto"/>
        <w:tabs>
          <w:tab w:leader="none" w:pos="249" w:val="left"/>
        </w:tabs>
        <w:numPr>
          <w:ilvl w:val="0"/>
          <w:numId w:val="187"/>
        </w:numPr>
        <w:rPr>
          <w:rFonts w:ascii="Arial" w:cs="Arial" w:eastAsia="Arial" w:hAnsi="Arial"/>
          <w:sz w:val="16"/>
          <w:szCs w:val="16"/>
          <w:color w:val="auto"/>
        </w:rPr>
      </w:pPr>
      <w:r>
        <w:rPr>
          <w:rFonts w:ascii="Arial" w:cs="Arial" w:eastAsia="Arial" w:hAnsi="Arial"/>
          <w:sz w:val="16"/>
          <w:szCs w:val="16"/>
          <w:u w:val="single" w:color="auto"/>
          <w:color w:val="auto"/>
        </w:rPr>
        <w:t>Section 10.06(g)</w:t>
      </w:r>
      <w:r>
        <w:rPr>
          <w:rFonts w:ascii="Arial" w:cs="Arial" w:eastAsia="Arial" w:hAnsi="Arial"/>
          <w:sz w:val="16"/>
          <w:szCs w:val="16"/>
          <w:color w:val="auto"/>
        </w:rPr>
        <w:t xml:space="preserve"> may not be amended, waived or otherwise modified without the consent of each Granting Lender all or any part of whose Loans are being funded by an SPC at the time of such amendment, waiver or other modification. Notwithstanding anything to the contrary herein, no Defaulting Lender shall have any right to approve or disapprove any amendment, waiver or consent hereunder (and any amendment, waiver or consent which by its terms requires the consent of all Lenders or each affected Lender, or all Lenders or each affected Lender, may be effected with the consent of the applicable Lenders), except that (x) the Commitment of any Defaulting Lender may not be increased or extended without the consent of such Lender, (y) 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280" w:right="239" w:bottom="1440" w:gutter="0" w:footer="0" w:header="0"/>
        </w:sectPr>
      </w:pPr>
    </w:p>
    <w:bookmarkStart w:id="158" w:name="page159"/>
    <w:bookmarkEnd w:id="158"/>
    <w:p>
      <w:pPr>
        <w:jc w:val="both"/>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waiver, amendment or modification requiring the consent of all Lenders or each affected Lender, or all Lenders or each affected Lender, that by its terms affects any Defaulting Lender more adversely than other affected Lenders shall require the consent of such Defaulting Lender and (z) no such amendment, waiver or consent shall modify the voting rights of any Defaulting Lender hereunder without the consent of each such Defaulting Lender. Upon delivery by the Borrower of each Compliance Certificate of a Responsible Officer certifying supplements to the Schedules to this Agreement pursuant to </w:t>
      </w:r>
      <w:r>
        <w:rPr>
          <w:rFonts w:ascii="Arial" w:cs="Arial" w:eastAsia="Arial" w:hAnsi="Arial"/>
          <w:sz w:val="16"/>
          <w:szCs w:val="16"/>
          <w:u w:val="single" w:color="auto"/>
          <w:color w:val="auto"/>
        </w:rPr>
        <w:t>Section 6.02(b)</w:t>
      </w:r>
      <w:r>
        <w:rPr>
          <w:rFonts w:ascii="Arial" w:cs="Arial" w:eastAsia="Arial" w:hAnsi="Arial"/>
          <w:sz w:val="16"/>
          <w:szCs w:val="16"/>
          <w:color w:val="auto"/>
        </w:rPr>
        <w:t xml:space="preserve">, the schedule supplements attached to each such certificate shall be incorporated into and become a part of and supplement </w:t>
      </w:r>
      <w:r>
        <w:rPr>
          <w:rFonts w:ascii="Arial" w:cs="Arial" w:eastAsia="Arial" w:hAnsi="Arial"/>
          <w:sz w:val="16"/>
          <w:szCs w:val="16"/>
          <w:u w:val="single" w:color="auto"/>
          <w:color w:val="auto"/>
        </w:rPr>
        <w:t>Schedules 5.08</w:t>
      </w:r>
      <w:r>
        <w:rPr>
          <w:rFonts w:ascii="Arial" w:cs="Arial" w:eastAsia="Arial" w:hAnsi="Arial"/>
          <w:sz w:val="16"/>
          <w:szCs w:val="16"/>
          <w:color w:val="auto"/>
        </w:rPr>
        <w:t xml:space="preserve">, </w:t>
      </w:r>
      <w:r>
        <w:rPr>
          <w:rFonts w:ascii="Arial" w:cs="Arial" w:eastAsia="Arial" w:hAnsi="Arial"/>
          <w:sz w:val="16"/>
          <w:szCs w:val="16"/>
          <w:u w:val="single" w:color="auto"/>
          <w:color w:val="auto"/>
        </w:rPr>
        <w:t>5.23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5.25</w:t>
      </w:r>
      <w:r>
        <w:rPr>
          <w:rFonts w:ascii="Arial" w:cs="Arial" w:eastAsia="Arial" w:hAnsi="Arial"/>
          <w:sz w:val="16"/>
          <w:szCs w:val="16"/>
          <w:color w:val="auto"/>
        </w:rPr>
        <w:t xml:space="preserve"> hereto, as applicable, and the Administrative Agent may attach such schedule supplements to such Schedules, and each reference to such Schedules shall mean and be a reference to such Schedules, as supplemented pursuant thereto.</w:t>
      </w:r>
    </w:p>
    <w:p>
      <w:pPr>
        <w:spacing w:after="0" w:line="112" w:lineRule="exact"/>
        <w:rPr>
          <w:sz w:val="20"/>
          <w:szCs w:val="20"/>
          <w:color w:val="auto"/>
        </w:rPr>
      </w:pPr>
    </w:p>
    <w:p>
      <w:pPr>
        <w:jc w:val="both"/>
        <w:ind w:firstLine="913"/>
        <w:spacing w:after="0" w:line="301" w:lineRule="auto"/>
        <w:rPr>
          <w:sz w:val="20"/>
          <w:szCs w:val="20"/>
          <w:color w:val="auto"/>
        </w:rPr>
      </w:pPr>
      <w:r>
        <w:rPr>
          <w:rFonts w:ascii="Arial" w:cs="Arial" w:eastAsia="Arial" w:hAnsi="Arial"/>
          <w:sz w:val="16"/>
          <w:szCs w:val="16"/>
          <w:b w:val="1"/>
          <w:bCs w:val="1"/>
          <w:color w:val="auto"/>
        </w:rPr>
        <w:t xml:space="preserve">10.02 Notices; Effectiveness; Electronic Communications. </w:t>
      </w:r>
      <w:r>
        <w:rPr>
          <w:rFonts w:ascii="Arial" w:cs="Arial" w:eastAsia="Arial" w:hAnsi="Arial"/>
          <w:sz w:val="16"/>
          <w:szCs w:val="16"/>
          <w:color w:val="auto"/>
        </w:rPr>
        <w:t>(a)</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Notices Generally</w:t>
      </w:r>
      <w:r>
        <w:rPr>
          <w:rFonts w:ascii="Arial" w:cs="Arial" w:eastAsia="Arial" w:hAnsi="Arial"/>
          <w:sz w:val="16"/>
          <w:szCs w:val="16"/>
          <w:color w:val="auto"/>
        </w:rPr>
        <w:t>. Except in the case of notices and other communications</w:t>
      </w:r>
      <w:r>
        <w:rPr>
          <w:rFonts w:ascii="Arial" w:cs="Arial" w:eastAsia="Arial" w:hAnsi="Arial"/>
          <w:sz w:val="16"/>
          <w:szCs w:val="16"/>
          <w:b w:val="1"/>
          <w:bCs w:val="1"/>
          <w:color w:val="auto"/>
        </w:rPr>
        <w:t xml:space="preserve"> </w:t>
      </w:r>
      <w:r>
        <w:rPr>
          <w:rFonts w:ascii="Arial" w:cs="Arial" w:eastAsia="Arial" w:hAnsi="Arial"/>
          <w:sz w:val="16"/>
          <w:szCs w:val="16"/>
          <w:color w:val="auto"/>
        </w:rPr>
        <w:t>expressly permitted to be given by telephone (and except as provided in subsection (b) 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28" w:lineRule="exact"/>
        <w:rPr>
          <w:sz w:val="20"/>
          <w:szCs w:val="20"/>
          <w:color w:val="auto"/>
        </w:rPr>
      </w:pPr>
    </w:p>
    <w:p>
      <w:pPr>
        <w:ind w:left="460" w:firstLine="443"/>
        <w:spacing w:after="0" w:line="268" w:lineRule="auto"/>
        <w:tabs>
          <w:tab w:leader="none" w:pos="1114"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xml:space="preserve">if to the Borrower, the Administrative Agent, the L/C Issuer or the Swing Line Lender, to the address, telecopier number, electronic mail address or telephone number specified for such Person on </w:t>
      </w:r>
      <w:r>
        <w:rPr>
          <w:rFonts w:ascii="Arial" w:cs="Arial" w:eastAsia="Arial" w:hAnsi="Arial"/>
          <w:sz w:val="18"/>
          <w:szCs w:val="18"/>
          <w:u w:val="single" w:color="auto"/>
          <w:color w:val="auto"/>
        </w:rPr>
        <w:t>Schedule 10.02</w:t>
      </w:r>
      <w:r>
        <w:rPr>
          <w:rFonts w:ascii="Arial" w:cs="Arial" w:eastAsia="Arial" w:hAnsi="Arial"/>
          <w:sz w:val="18"/>
          <w:szCs w:val="18"/>
          <w:color w:val="auto"/>
        </w:rPr>
        <w:t>; and</w:t>
      </w:r>
    </w:p>
    <w:p>
      <w:pPr>
        <w:spacing w:after="0" w:line="50" w:lineRule="exact"/>
        <w:rPr>
          <w:rFonts w:ascii="Arial" w:cs="Arial" w:eastAsia="Arial" w:hAnsi="Arial"/>
          <w:sz w:val="18"/>
          <w:szCs w:val="18"/>
          <w:color w:val="auto"/>
        </w:rPr>
      </w:pPr>
    </w:p>
    <w:p>
      <w:pPr>
        <w:jc w:val="both"/>
        <w:ind w:left="460" w:firstLine="443"/>
        <w:spacing w:after="0" w:line="306" w:lineRule="auto"/>
        <w:tabs>
          <w:tab w:leader="none" w:pos="1204" w:val="left"/>
        </w:tabs>
        <w:numPr>
          <w:ilvl w:val="0"/>
          <w:numId w:val="188"/>
        </w:numPr>
        <w:rPr>
          <w:rFonts w:ascii="Arial" w:cs="Arial" w:eastAsia="Arial" w:hAnsi="Arial"/>
          <w:sz w:val="16"/>
          <w:szCs w:val="16"/>
          <w:color w:val="auto"/>
        </w:rPr>
      </w:pPr>
      <w:r>
        <w:rPr>
          <w:rFonts w:ascii="Arial" w:cs="Arial" w:eastAsia="Arial" w:hAnsi="Arial"/>
          <w:sz w:val="16"/>
          <w:szCs w:val="16"/>
          <w:color w:val="auto"/>
        </w:rPr>
        <w:t>if to any other Lender, to the address, telecopier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spacing w:after="0" w:line="10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13" w:lineRule="exact"/>
        <w:rPr>
          <w:sz w:val="20"/>
          <w:szCs w:val="20"/>
          <w:color w:val="auto"/>
        </w:rPr>
      </w:pPr>
    </w:p>
    <w:p>
      <w:pPr>
        <w:jc w:val="both"/>
        <w:ind w:firstLine="921"/>
        <w:spacing w:after="0" w:line="291" w:lineRule="auto"/>
        <w:tabs>
          <w:tab w:leader="none" w:pos="1161" w:val="left"/>
        </w:tabs>
        <w:numPr>
          <w:ilvl w:val="0"/>
          <w:numId w:val="189"/>
        </w:numPr>
        <w:rPr>
          <w:rFonts w:ascii="Arial" w:cs="Arial" w:eastAsia="Arial" w:hAnsi="Arial"/>
          <w:sz w:val="16"/>
          <w:szCs w:val="16"/>
          <w:color w:val="auto"/>
        </w:rPr>
      </w:pPr>
      <w:r>
        <w:rPr>
          <w:rFonts w:ascii="Arial" w:cs="Arial" w:eastAsia="Arial" w:hAnsi="Arial"/>
          <w:sz w:val="16"/>
          <w:szCs w:val="16"/>
          <w:u w:val="single" w:color="auto"/>
          <w:color w:val="auto"/>
        </w:rPr>
        <w:t>Electronic Communications</w:t>
      </w:r>
      <w:r>
        <w:rPr>
          <w:rFonts w:ascii="Arial" w:cs="Arial" w:eastAsia="Arial" w:hAnsi="Arial"/>
          <w:sz w:val="16"/>
          <w:szCs w:val="16"/>
          <w:color w:val="auto"/>
        </w:rPr>
        <w:t xml:space="preserve">. Notices and other communications to the Lenders and the L/C Issuer hereunder may be delivered or furnished by electronic communication (including e-mail and Internet or intranet websites) pursuant to procedures approved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notices to any Lender or the L/C Issuer pursuant to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if such Lender or the L/C Issuer,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approval of such procedures may be limited to particular notices or communications.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280" w:right="239" w:bottom="1440" w:gutter="0" w:footer="0" w:header="0"/>
        </w:sectPr>
      </w:pPr>
    </w:p>
    <w:bookmarkStart w:id="159" w:name="page160"/>
    <w:bookmarkEnd w:id="159"/>
    <w:p>
      <w:pPr>
        <w:jc w:val="both"/>
        <w:ind w:firstLine="913"/>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20" w:lineRule="exact"/>
        <w:rPr>
          <w:sz w:val="20"/>
          <w:szCs w:val="20"/>
          <w:color w:val="auto"/>
        </w:rPr>
      </w:pPr>
    </w:p>
    <w:p>
      <w:pPr>
        <w:jc w:val="both"/>
        <w:ind w:firstLine="921"/>
        <w:spacing w:after="0" w:line="286" w:lineRule="auto"/>
        <w:tabs>
          <w:tab w:leader="none" w:pos="1165" w:val="left"/>
        </w:tabs>
        <w:numPr>
          <w:ilvl w:val="1"/>
          <w:numId w:val="190"/>
        </w:numPr>
        <w:rPr>
          <w:rFonts w:ascii="Arial" w:cs="Arial" w:eastAsia="Arial" w:hAnsi="Arial"/>
          <w:sz w:val="16"/>
          <w:szCs w:val="16"/>
          <w:color w:val="auto"/>
        </w:rPr>
      </w:pPr>
      <w:r>
        <w:rPr>
          <w:rFonts w:ascii="Arial" w:cs="Arial" w:eastAsia="Arial" w:hAnsi="Arial"/>
          <w:sz w:val="16"/>
          <w:szCs w:val="16"/>
          <w:u w:val="single" w:color="auto"/>
          <w:color w:val="auto"/>
        </w:rPr>
        <w:t>The Platform</w:t>
      </w:r>
      <w:r>
        <w:rPr>
          <w:rFonts w:ascii="Arial" w:cs="Arial" w:eastAsia="Arial" w:hAnsi="Arial"/>
          <w:sz w:val="16"/>
          <w:szCs w:val="16"/>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6"/>
          <w:szCs w:val="16"/>
          <w:u w:val="single" w:color="auto"/>
          <w:color w:val="auto"/>
        </w:rPr>
        <w:t>Agent Parties</w:t>
      </w:r>
      <w:r>
        <w:rPr>
          <w:rFonts w:ascii="Arial" w:cs="Arial" w:eastAsia="Arial" w:hAnsi="Arial"/>
          <w:sz w:val="16"/>
          <w:szCs w:val="16"/>
          <w:color w:val="auto"/>
        </w:rPr>
        <w:t>”) have any liability to the Borrower, any Lender, the L/C Issuer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p</w:t>
      </w:r>
      <w:r>
        <w:rPr>
          <w:rFonts w:ascii="Arial" w:cs="Arial" w:eastAsia="Arial" w:hAnsi="Arial"/>
          <w:sz w:val="16"/>
          <w:szCs w:val="16"/>
          <w:u w:val="single" w:color="auto"/>
          <w:color w:val="auto"/>
        </w:rPr>
        <w:t>r</w:t>
      </w:r>
      <w:r>
        <w:rPr>
          <w:rFonts w:ascii="Arial" w:cs="Arial" w:eastAsia="Arial" w:hAnsi="Arial"/>
          <w:sz w:val="16"/>
          <w:szCs w:val="16"/>
          <w:color w:val="auto"/>
        </w:rPr>
        <w:t>ovided, however, that in no event shall any Agent Party have any liability to the Borrower, any Lender, the L/C Issuer or any other Person for indirect, special, incidental, consequential or punitive damages (as opposed to direct or actual damages).</w:t>
      </w:r>
    </w:p>
    <w:p>
      <w:pPr>
        <w:spacing w:after="0" w:line="343" w:lineRule="exact"/>
        <w:rPr>
          <w:rFonts w:ascii="Arial" w:cs="Arial" w:eastAsia="Arial" w:hAnsi="Arial"/>
          <w:sz w:val="16"/>
          <w:szCs w:val="16"/>
          <w:color w:val="auto"/>
        </w:rPr>
      </w:pPr>
    </w:p>
    <w:p>
      <w:pPr>
        <w:jc w:val="both"/>
        <w:ind w:firstLine="921"/>
        <w:spacing w:after="0" w:line="283" w:lineRule="auto"/>
        <w:tabs>
          <w:tab w:leader="none" w:pos="1175" w:val="left"/>
        </w:tabs>
        <w:numPr>
          <w:ilvl w:val="1"/>
          <w:numId w:val="190"/>
        </w:numPr>
        <w:rPr>
          <w:rFonts w:ascii="Arial" w:cs="Arial" w:eastAsia="Arial" w:hAnsi="Arial"/>
          <w:sz w:val="16"/>
          <w:szCs w:val="16"/>
          <w:color w:val="auto"/>
        </w:rPr>
      </w:pPr>
      <w:r>
        <w:rPr>
          <w:rFonts w:ascii="Arial" w:cs="Arial" w:eastAsia="Arial" w:hAnsi="Arial"/>
          <w:sz w:val="16"/>
          <w:szCs w:val="16"/>
          <w:u w:val="single" w:color="auto"/>
          <w:color w:val="auto"/>
        </w:rPr>
        <w:t>Change of Address, Etc</w:t>
      </w:r>
      <w:r>
        <w:rPr>
          <w:rFonts w:ascii="Arial" w:cs="Arial" w:eastAsia="Arial" w:hAnsi="Arial"/>
          <w:sz w:val="16"/>
          <w:szCs w:val="16"/>
          <w:color w:val="auto"/>
        </w:rPr>
        <w:t>. Each of the Borrower, the Administrative Agent, the L/C Issuer and the Swing Line Lender may change its address, telecopier or telephone number for notices and other communications hereunder by notice to the other parties hereto. Each other Lender may change its address, telecopier or telephone number for notices and other communications hereunder by notice to the Borrower, the Administrative Agent, the L/C Issuer and the Swing Line Lender. In addition, each Lender agrees to notify the Administrative Agent from time to time to ensure that the Administrative Agent has on record</w:t>
      </w:r>
    </w:p>
    <w:p>
      <w:pPr>
        <w:spacing w:after="0" w:line="2" w:lineRule="exact"/>
        <w:rPr>
          <w:rFonts w:ascii="Arial" w:cs="Arial" w:eastAsia="Arial" w:hAnsi="Arial"/>
          <w:sz w:val="16"/>
          <w:szCs w:val="16"/>
          <w:color w:val="auto"/>
        </w:rPr>
      </w:pPr>
    </w:p>
    <w:p>
      <w:pPr>
        <w:jc w:val="both"/>
        <w:ind w:firstLine="8"/>
        <w:spacing w:after="0" w:line="254" w:lineRule="auto"/>
        <w:tabs>
          <w:tab w:leader="none" w:pos="216"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280" w:right="239" w:bottom="1440" w:gutter="0" w:footer="0" w:header="0"/>
        </w:sectPr>
      </w:pPr>
    </w:p>
    <w:bookmarkStart w:id="160" w:name="page161"/>
    <w:bookmarkEnd w:id="160"/>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07" w:lineRule="exact"/>
        <w:rPr>
          <w:sz w:val="20"/>
          <w:szCs w:val="20"/>
          <w:color w:val="auto"/>
        </w:rPr>
      </w:pPr>
    </w:p>
    <w:p>
      <w:pPr>
        <w:jc w:val="both"/>
        <w:ind w:firstLine="921"/>
        <w:spacing w:after="0" w:line="290" w:lineRule="auto"/>
        <w:tabs>
          <w:tab w:leader="none" w:pos="1152" w:val="left"/>
        </w:tabs>
        <w:numPr>
          <w:ilvl w:val="0"/>
          <w:numId w:val="192"/>
        </w:numPr>
        <w:rPr>
          <w:rFonts w:ascii="Arial" w:cs="Arial" w:eastAsia="Arial" w:hAnsi="Arial"/>
          <w:sz w:val="16"/>
          <w:szCs w:val="16"/>
          <w:color w:val="auto"/>
        </w:rPr>
      </w:pPr>
      <w:r>
        <w:rPr>
          <w:rFonts w:ascii="Arial" w:cs="Arial" w:eastAsia="Arial" w:hAnsi="Arial"/>
          <w:sz w:val="16"/>
          <w:szCs w:val="16"/>
          <w:u w:val="single" w:color="auto"/>
          <w:color w:val="auto"/>
        </w:rPr>
        <w:t>Reliance by Administrative Agent, L/C Issuer and Lenders</w:t>
      </w:r>
      <w:r>
        <w:rPr>
          <w:rFonts w:ascii="Arial" w:cs="Arial" w:eastAsia="Arial" w:hAnsi="Arial"/>
          <w:sz w:val="16"/>
          <w:szCs w:val="16"/>
          <w:color w:val="auto"/>
        </w:rPr>
        <w:t>. The Administrative Agent, the L/C Issuer and the Lenders shall be entitled to rely and act upon any notices (including telephonic Loan Notices and Swing Line Loan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the L/C Issuer, each Lender and the Related Parties of each of them from all losses, costs, expenses and liabilities resulting from the reliance by such Person on each notice purportedly given by or on behalf of the Borrower. All telephonic notices to and other telephonic communications with the Administrative Agent may be recorded by the Administrative Agent, and each of the parties hereto hereby consents to such recording.</w:t>
      </w:r>
    </w:p>
    <w:p>
      <w:pPr>
        <w:spacing w:after="0" w:line="112" w:lineRule="exact"/>
        <w:rPr>
          <w:sz w:val="20"/>
          <w:szCs w:val="20"/>
          <w:color w:val="auto"/>
        </w:rPr>
      </w:pPr>
    </w:p>
    <w:p>
      <w:pPr>
        <w:jc w:val="both"/>
        <w:ind w:firstLine="913"/>
        <w:spacing w:after="0" w:line="296" w:lineRule="auto"/>
        <w:rPr>
          <w:sz w:val="20"/>
          <w:szCs w:val="20"/>
          <w:color w:val="auto"/>
        </w:rPr>
      </w:pPr>
      <w:r>
        <w:rPr>
          <w:rFonts w:ascii="Arial" w:cs="Arial" w:eastAsia="Arial" w:hAnsi="Arial"/>
          <w:sz w:val="16"/>
          <w:szCs w:val="16"/>
          <w:b w:val="1"/>
          <w:bCs w:val="1"/>
          <w:color w:val="auto"/>
        </w:rPr>
        <w:t xml:space="preserve">10.03 No Waiver; Cumulative Remedies; Enforcement. </w:t>
      </w:r>
      <w:r>
        <w:rPr>
          <w:rFonts w:ascii="Arial" w:cs="Arial" w:eastAsia="Arial" w:hAnsi="Arial"/>
          <w:sz w:val="16"/>
          <w:szCs w:val="16"/>
          <w:color w:val="auto"/>
        </w:rPr>
        <w:t>No failure by any Lender, the L/C Issuer or the Administrative Agent to exercise, and no</w:t>
      </w:r>
      <w:r>
        <w:rPr>
          <w:rFonts w:ascii="Arial" w:cs="Arial" w:eastAsia="Arial" w:hAnsi="Arial"/>
          <w:sz w:val="16"/>
          <w:szCs w:val="16"/>
          <w:b w:val="1"/>
          <w:bCs w:val="1"/>
          <w:color w:val="auto"/>
        </w:rPr>
        <w:t xml:space="preserve"> </w:t>
      </w:r>
      <w:r>
        <w:rPr>
          <w:rFonts w:ascii="Arial" w:cs="Arial" w:eastAsia="Arial" w:hAnsi="Arial"/>
          <w:sz w:val="16"/>
          <w:szCs w:val="16"/>
          <w:color w:val="auto"/>
        </w:rPr>
        <w:t>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14"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for the benefit of all the Lenders and the L/C Issuer;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the L/C Issuer or the Swing Line Lender from exercising the rights and remedies that inure to its benefit (solely in its capacity as L/C Issuer or Swing Line Lender, as the case may be) hereunder and under the other Loan Documents, (c) any Lender from exercising setoff rights in accordance with </w:t>
      </w:r>
      <w:r>
        <w:rPr>
          <w:rFonts w:ascii="Arial" w:cs="Arial" w:eastAsia="Arial" w:hAnsi="Arial"/>
          <w:sz w:val="16"/>
          <w:szCs w:val="16"/>
          <w:u w:val="single" w:color="auto"/>
          <w:color w:val="auto"/>
        </w:rPr>
        <w:t>Section 10.08</w:t>
      </w:r>
      <w:r>
        <w:rPr>
          <w:rFonts w:ascii="Arial" w:cs="Arial" w:eastAsia="Arial" w:hAnsi="Arial"/>
          <w:sz w:val="16"/>
          <w:szCs w:val="16"/>
          <w:color w:val="auto"/>
        </w:rPr>
        <w:t xml:space="preserve"> (subject to the terms of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or (d) any Lender from filing proofs of claim or appearing and filing pleadings on its own behalf during the pendency of a proceeding relative to any Loan Party under any Debtor Relief Law;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and (ii) in addition to the matters set forth in clauses (b), (c) and (d) of the preceding proviso and subject to </w:t>
      </w:r>
      <w:r>
        <w:rPr>
          <w:rFonts w:ascii="Arial" w:cs="Arial" w:eastAsia="Arial" w:hAnsi="Arial"/>
          <w:sz w:val="16"/>
          <w:szCs w:val="16"/>
          <w:u w:val="single" w:color="auto"/>
          <w:color w:val="auto"/>
        </w:rPr>
        <w:t>Section 2.13</w:t>
      </w:r>
      <w:r>
        <w:rPr>
          <w:rFonts w:ascii="Arial" w:cs="Arial" w:eastAsia="Arial" w:hAnsi="Arial"/>
          <w:sz w:val="16"/>
          <w:szCs w:val="16"/>
          <w:color w:val="auto"/>
        </w:rPr>
        <w:t>, any Lender may, with the consent of the Required Lenders, enforce any rights and remedies available to it and as authorized by the Required Lenders.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280" w:right="239" w:bottom="1440" w:gutter="0" w:footer="0" w:header="0"/>
        </w:sectPr>
      </w:pPr>
    </w:p>
    <w:bookmarkStart w:id="161" w:name="page162"/>
    <w:bookmarkEnd w:id="161"/>
    <w:p>
      <w:pPr>
        <w:jc w:val="both"/>
        <w:ind w:firstLine="913"/>
        <w:spacing w:after="0" w:line="28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10.04 Expenses; Indemnity; Damage Waiver. </w:t>
      </w:r>
      <w:r>
        <w:rPr>
          <w:rFonts w:ascii="Arial" w:cs="Arial" w:eastAsia="Arial" w:hAnsi="Arial"/>
          <w:sz w:val="16"/>
          <w:szCs w:val="16"/>
          <w:color w:val="auto"/>
        </w:rPr>
        <w:t>(a)</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Costs and Expenses</w:t>
      </w:r>
      <w:r>
        <w:rPr>
          <w:rFonts w:ascii="Arial" w:cs="Arial" w:eastAsia="Arial" w:hAnsi="Arial"/>
          <w:sz w:val="16"/>
          <w:szCs w:val="16"/>
          <w:color w:val="auto"/>
        </w:rPr>
        <w:t>. The Borrower shall pay (i) all reasonable out-of-pocket expenses incurred</w:t>
      </w:r>
      <w:r>
        <w:rPr>
          <w:rFonts w:ascii="Arial" w:cs="Arial" w:eastAsia="Arial" w:hAnsi="Arial"/>
          <w:sz w:val="16"/>
          <w:szCs w:val="16"/>
          <w:b w:val="1"/>
          <w:bCs w:val="1"/>
          <w:color w:val="auto"/>
        </w:rPr>
        <w:t xml:space="preserve"> </w:t>
      </w:r>
      <w:r>
        <w:rPr>
          <w:rFonts w:ascii="Arial" w:cs="Arial" w:eastAsia="Arial" w:hAnsi="Arial"/>
          <w:sz w:val="16"/>
          <w:szCs w:val="16"/>
          <w:color w:val="auto"/>
        </w:rPr>
        <w:t>by the Administrative Agent and its Affiliates (including the reasonable fees, charges and reasonable disbursements of McGuireWoods LLP, as counsel for the Administrative Agent (which shall be the only counsel Borrower shall be required to reimburse with respect to the initial preparation of the Loan) and any special or local counsel to the Administrative Agent (on behalf of the Lenders), if necessary),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the L/C Issuer in connection with the issuance, amendment, renewal or extension of any Letter of Credit or any demand for payment thereunder and (iii) all reasonable out-of-pocket expenses incurred by the Administrative Agent, any Lender (after the occurrence of a Default) or the L/C Issuer (including the fees, charges and reasonable disbursements of any counsel for the Administrative Agent, any Lender or the L/C Issuer), in connection with the enforcement or protection of its rights (A) in connection with this Agreement and the other Loan Documents, including its rights under this Section, or (B) in connection with the Loans made or Letters of Credit issued hereunder, including all such out-of-pocket expenses incurred during any workout, restructuring or negotiations in respect of such Loans or Letters of Credit.</w:t>
      </w:r>
    </w:p>
    <w:p>
      <w:pPr>
        <w:spacing w:after="0" w:line="121" w:lineRule="exact"/>
        <w:rPr>
          <w:sz w:val="20"/>
          <w:szCs w:val="20"/>
          <w:color w:val="auto"/>
        </w:rPr>
      </w:pPr>
    </w:p>
    <w:p>
      <w:pPr>
        <w:jc w:val="both"/>
        <w:ind w:firstLine="921"/>
        <w:spacing w:after="0" w:line="285" w:lineRule="auto"/>
        <w:tabs>
          <w:tab w:leader="none" w:pos="1161" w:val="left"/>
        </w:tabs>
        <w:numPr>
          <w:ilvl w:val="0"/>
          <w:numId w:val="193"/>
        </w:numPr>
        <w:rPr>
          <w:rFonts w:ascii="Arial" w:cs="Arial" w:eastAsia="Arial" w:hAnsi="Arial"/>
          <w:sz w:val="16"/>
          <w:szCs w:val="16"/>
          <w:color w:val="auto"/>
        </w:rPr>
      </w:pPr>
      <w:r>
        <w:rPr>
          <w:rFonts w:ascii="Arial" w:cs="Arial" w:eastAsia="Arial" w:hAnsi="Arial"/>
          <w:sz w:val="16"/>
          <w:szCs w:val="16"/>
          <w:u w:val="single" w:color="auto"/>
          <w:color w:val="auto"/>
        </w:rPr>
        <w:t>Indemnification by the Borrower</w:t>
      </w:r>
      <w:r>
        <w:rPr>
          <w:rFonts w:ascii="Arial" w:cs="Arial" w:eastAsia="Arial" w:hAnsi="Arial"/>
          <w:sz w:val="16"/>
          <w:szCs w:val="16"/>
          <w:color w:val="auto"/>
        </w:rPr>
        <w:t>. The Borrower shall indemnify the Administrative Agent (and any sub-agent thereof), each Lender and the L/C Issuer, and each Related Party of any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against, and hold each Indemnitee harmless from, any and all losses, claims, damages, liabilities, penalties and related reasonable, out-of-pocket expenses (including the reasonable fees, charges and disbursements of any counsel for any Indemnitee) (other than those provided for under </w:t>
      </w:r>
      <w:r>
        <w:rPr>
          <w:rFonts w:ascii="Arial" w:cs="Arial" w:eastAsia="Arial" w:hAnsi="Arial"/>
          <w:sz w:val="16"/>
          <w:szCs w:val="16"/>
          <w:u w:val="single" w:color="auto"/>
          <w:color w:val="auto"/>
        </w:rPr>
        <w:t>Section 10.04(a)(i)</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as long as no Default exists Borrower shall engage and pay for defense counsel that is reasonably acceptable to the Required Lenders in connection with claims brought by third parties and Lenders may engage separate counsel under such circumstances at their own expense (it being understood that upon the occurrence of an Event of Default, all counsel shall be at the cost and expense of Borrower)), incurred by any Indemnitee or asserted against any Indemnitee by any third party or by the Borrower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Borrower or any of its Subsidiaries, or any Environmental Liability related in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274" w:right="239" w:bottom="1440" w:gutter="0" w:footer="0" w:header="0"/>
        </w:sectPr>
      </w:pPr>
    </w:p>
    <w:bookmarkStart w:id="162" w:name="page163"/>
    <w:bookmarkEnd w:id="162"/>
    <w:p>
      <w:pPr>
        <w:jc w:val="both"/>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any way to the Borrower or any of its Subsidiaries, or (iv) 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in all cases, whether or not caused by or arising, in whole or in part, out of the comparative, contributory or sole negligence of the Indemnitee;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(y) result from a claim brought by the Borrower or any other Loan Party against an Indemnitee for breach in bad faith of such Indemnitee’s obligations hereunder or under any other Loan Document, if the Borrower or such Loan Party has obtained a final and nonappealable judgment in its favor on such claim as determined by a court of competent jurisdiction.</w:t>
      </w:r>
    </w:p>
    <w:p>
      <w:pPr>
        <w:spacing w:after="0" w:line="118" w:lineRule="exact"/>
        <w:rPr>
          <w:sz w:val="20"/>
          <w:szCs w:val="20"/>
          <w:color w:val="auto"/>
        </w:rPr>
      </w:pPr>
    </w:p>
    <w:p>
      <w:pPr>
        <w:ind w:left="1160" w:hanging="239"/>
        <w:spacing w:after="0"/>
        <w:tabs>
          <w:tab w:leader="none" w:pos="1160" w:val="left"/>
        </w:tabs>
        <w:numPr>
          <w:ilvl w:val="1"/>
          <w:numId w:val="194"/>
        </w:numPr>
        <w:rPr>
          <w:rFonts w:ascii="Arial" w:cs="Arial" w:eastAsia="Arial" w:hAnsi="Arial"/>
          <w:sz w:val="16"/>
          <w:szCs w:val="16"/>
          <w:color w:val="auto"/>
        </w:rPr>
      </w:pPr>
      <w:r>
        <w:rPr>
          <w:rFonts w:ascii="Arial" w:cs="Arial" w:eastAsia="Arial" w:hAnsi="Arial"/>
          <w:sz w:val="16"/>
          <w:szCs w:val="16"/>
          <w:u w:val="single" w:color="auto"/>
          <w:color w:val="auto"/>
        </w:rPr>
        <w:t>Reimbursement by Lenders</w:t>
      </w:r>
      <w:r>
        <w:rPr>
          <w:rFonts w:ascii="Arial" w:cs="Arial" w:eastAsia="Arial" w:hAnsi="Arial"/>
          <w:sz w:val="16"/>
          <w:szCs w:val="16"/>
          <w:color w:val="auto"/>
        </w:rPr>
        <w:t>. To the extent that the Borrower for any reason fails to indefeasibly pay any amount required under subsection (a) or</w:t>
      </w:r>
    </w:p>
    <w:p>
      <w:pPr>
        <w:spacing w:after="0" w:line="38" w:lineRule="exact"/>
        <w:rPr>
          <w:rFonts w:ascii="Arial" w:cs="Arial" w:eastAsia="Arial" w:hAnsi="Arial"/>
          <w:sz w:val="16"/>
          <w:szCs w:val="16"/>
          <w:color w:val="auto"/>
        </w:rPr>
      </w:pPr>
    </w:p>
    <w:p>
      <w:pPr>
        <w:jc w:val="both"/>
        <w:ind w:firstLine="8"/>
        <w:spacing w:after="0" w:line="252" w:lineRule="auto"/>
        <w:tabs>
          <w:tab w:leader="none" w:pos="267"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of this Section to be paid by it to the Administrative Agent (or any sub-agent thereof), the L/C Issuer or any Related Party of any of the foregoing, each Lender severally agrees to pay to the Administrative Agent (or any such sub-agent), the L/C Issuer or such Related Party, as the case may be, such Lender’s Applicable Percentage (determined as of the time that the applicable unreimbursed expense or indemnity payment is sought) of such unpaid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unreimbursed expense or indemnified loss, claim, damage, liability or related expense, as the case may be, was incurred by or asserted against the Administrative Agent (or any such sub-agent) or the L/C Issuer in its capacity as such, or against any Related Party of any of the foregoing acting for the Administrative Agent (or any such sub-agent) or L/C Issuer in connection with such capacity. The obligations of the Lenders under this subsection (c) are subject to the provisions of </w:t>
      </w:r>
      <w:r>
        <w:rPr>
          <w:rFonts w:ascii="Arial" w:cs="Arial" w:eastAsia="Arial" w:hAnsi="Arial"/>
          <w:sz w:val="18"/>
          <w:szCs w:val="18"/>
          <w:u w:val="single" w:color="auto"/>
          <w:color w:val="auto"/>
        </w:rPr>
        <w:t>Section 2.12(d)</w:t>
      </w:r>
      <w:r>
        <w:rPr>
          <w:rFonts w:ascii="Arial" w:cs="Arial" w:eastAsia="Arial" w:hAnsi="Arial"/>
          <w:sz w:val="18"/>
          <w:szCs w:val="18"/>
          <w:color w:val="auto"/>
        </w:rPr>
        <w:t>.</w:t>
      </w:r>
    </w:p>
    <w:p>
      <w:pPr>
        <w:spacing w:after="0" w:line="146" w:lineRule="exact"/>
        <w:rPr>
          <w:rFonts w:ascii="Arial" w:cs="Arial" w:eastAsia="Arial" w:hAnsi="Arial"/>
          <w:sz w:val="18"/>
          <w:szCs w:val="18"/>
          <w:color w:val="auto"/>
        </w:rPr>
      </w:pPr>
    </w:p>
    <w:p>
      <w:pPr>
        <w:jc w:val="both"/>
        <w:ind w:firstLine="921"/>
        <w:spacing w:after="0" w:line="288" w:lineRule="auto"/>
        <w:tabs>
          <w:tab w:leader="none" w:pos="1161" w:val="left"/>
        </w:tabs>
        <w:numPr>
          <w:ilvl w:val="1"/>
          <w:numId w:val="195"/>
        </w:numPr>
        <w:rPr>
          <w:rFonts w:ascii="Arial" w:cs="Arial" w:eastAsia="Arial" w:hAnsi="Arial"/>
          <w:sz w:val="16"/>
          <w:szCs w:val="16"/>
          <w:color w:val="auto"/>
        </w:rPr>
      </w:pPr>
      <w:r>
        <w:rPr>
          <w:rFonts w:ascii="Arial" w:cs="Arial" w:eastAsia="Arial" w:hAnsi="Arial"/>
          <w:sz w:val="16"/>
          <w:szCs w:val="16"/>
          <w:u w:val="single" w:color="auto"/>
          <w:color w:val="auto"/>
        </w:rPr>
        <w:t>Waiver of Consequential Damages, Etc</w:t>
      </w:r>
      <w:r>
        <w:rPr>
          <w:rFonts w:ascii="Arial" w:cs="Arial" w:eastAsia="Arial" w:hAnsi="Arial"/>
          <w:sz w:val="16"/>
          <w:szCs w:val="16"/>
          <w:color w:val="auto"/>
        </w:rPr>
        <w:t>. Without impairing, limiting, or conditioning the Borrower’s obligations under Section 10.04(b), to the fullest extent permitted by applicable Law, no party hereto shall assert, and hereby waives, any claim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subsection (b)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119" w:lineRule="exact"/>
        <w:rPr>
          <w:rFonts w:ascii="Arial" w:cs="Arial" w:eastAsia="Arial" w:hAnsi="Arial"/>
          <w:sz w:val="16"/>
          <w:szCs w:val="16"/>
          <w:color w:val="auto"/>
        </w:rPr>
      </w:pPr>
    </w:p>
    <w:p>
      <w:pPr>
        <w:ind w:left="1160" w:hanging="239"/>
        <w:spacing w:after="0"/>
        <w:tabs>
          <w:tab w:leader="none" w:pos="1160" w:val="left"/>
        </w:tabs>
        <w:numPr>
          <w:ilvl w:val="1"/>
          <w:numId w:val="195"/>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not later than ten Business Days after demand therefor.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280" w:right="239" w:bottom="1440" w:gutter="0" w:footer="0" w:header="0"/>
        </w:sectPr>
      </w:pPr>
    </w:p>
    <w:bookmarkStart w:id="163" w:name="page164"/>
    <w:bookmarkEnd w:id="163"/>
    <w:p>
      <w:pPr>
        <w:ind w:right="20" w:firstLine="921"/>
        <w:spacing w:after="0" w:line="332" w:lineRule="auto"/>
        <w:tabs>
          <w:tab w:leader="none" w:pos="1146" w:val="left"/>
        </w:tabs>
        <w:numPr>
          <w:ilvl w:val="0"/>
          <w:numId w:val="19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Survival</w:t>
      </w:r>
      <w:r>
        <w:rPr>
          <w:rFonts w:ascii="Arial" w:cs="Arial" w:eastAsia="Arial" w:hAnsi="Arial"/>
          <w:sz w:val="16"/>
          <w:szCs w:val="16"/>
          <w:color w:val="auto"/>
        </w:rPr>
        <w:t>. The agreements in this Section shall survive the resignation of the Administrative Agent and the L/C Issuer, the replacement of any Lender, the termination of the Aggregate Commitments and the repayment, satisfaction or discharge of all the other Obligations.</w:t>
      </w:r>
    </w:p>
    <w:p>
      <w:pPr>
        <w:spacing w:after="0" w:line="79" w:lineRule="exact"/>
        <w:rPr>
          <w:sz w:val="20"/>
          <w:szCs w:val="20"/>
          <w:color w:val="auto"/>
        </w:rPr>
      </w:pPr>
    </w:p>
    <w:p>
      <w:pPr>
        <w:jc w:val="both"/>
        <w:ind w:firstLine="913"/>
        <w:spacing w:after="0" w:line="288" w:lineRule="auto"/>
        <w:rPr>
          <w:sz w:val="20"/>
          <w:szCs w:val="20"/>
          <w:color w:val="auto"/>
        </w:rPr>
      </w:pPr>
      <w:r>
        <w:rPr>
          <w:rFonts w:ascii="Arial" w:cs="Arial" w:eastAsia="Arial" w:hAnsi="Arial"/>
          <w:sz w:val="16"/>
          <w:szCs w:val="16"/>
          <w:b w:val="1"/>
          <w:bCs w:val="1"/>
          <w:color w:val="auto"/>
        </w:rPr>
        <w:t xml:space="preserve">10.05 Payments Set Aside. </w:t>
      </w:r>
      <w:r>
        <w:rPr>
          <w:rFonts w:ascii="Arial" w:cs="Arial" w:eastAsia="Arial" w:hAnsi="Arial"/>
          <w:sz w:val="16"/>
          <w:szCs w:val="16"/>
          <w:color w:val="auto"/>
        </w:rPr>
        <w:t>To the extent that any payment by or on behalf of the Borrower is made to the Administrative Agent, the L/C Issuer or</w:t>
      </w:r>
      <w:r>
        <w:rPr>
          <w:rFonts w:ascii="Arial" w:cs="Arial" w:eastAsia="Arial" w:hAnsi="Arial"/>
          <w:sz w:val="16"/>
          <w:szCs w:val="16"/>
          <w:b w:val="1"/>
          <w:bCs w:val="1"/>
          <w:color w:val="auto"/>
        </w:rPr>
        <w:t xml:space="preserve"> </w:t>
      </w:r>
      <w:r>
        <w:rPr>
          <w:rFonts w:ascii="Arial" w:cs="Arial" w:eastAsia="Arial" w:hAnsi="Arial"/>
          <w:sz w:val="16"/>
          <w:szCs w:val="16"/>
          <w:color w:val="auto"/>
        </w:rPr>
        <w:t>any Lender, or the Administrative Agent, the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The obligations of the Lenders and the L/C Issuer under clause (b) of the preceding sentence shall survive the payment in full of the Obligations and the termination of this Agreement.</w:t>
      </w:r>
    </w:p>
    <w:p>
      <w:pPr>
        <w:spacing w:after="0" w:line="115" w:lineRule="exact"/>
        <w:rPr>
          <w:sz w:val="20"/>
          <w:szCs w:val="20"/>
          <w:color w:val="auto"/>
        </w:rPr>
      </w:pPr>
    </w:p>
    <w:p>
      <w:pPr>
        <w:jc w:val="both"/>
        <w:ind w:firstLine="913"/>
        <w:spacing w:after="0" w:line="288" w:lineRule="auto"/>
        <w:rPr>
          <w:sz w:val="20"/>
          <w:szCs w:val="20"/>
          <w:color w:val="auto"/>
        </w:rPr>
      </w:pPr>
      <w:r>
        <w:rPr>
          <w:rFonts w:ascii="Arial" w:cs="Arial" w:eastAsia="Arial" w:hAnsi="Arial"/>
          <w:sz w:val="16"/>
          <w:szCs w:val="16"/>
          <w:b w:val="1"/>
          <w:bCs w:val="1"/>
          <w:color w:val="auto"/>
        </w:rPr>
        <w:t xml:space="preserve">10.06 Successors and Assigns. </w:t>
      </w:r>
      <w:r>
        <w:rPr>
          <w:rFonts w:ascii="Arial" w:cs="Arial" w:eastAsia="Arial" w:hAnsi="Arial"/>
          <w:sz w:val="16"/>
          <w:szCs w:val="16"/>
          <w:color w:val="auto"/>
        </w:rPr>
        <w:t>(a)</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Successors and Assigns Generally</w:t>
      </w:r>
      <w:r>
        <w:rPr>
          <w:rFonts w:ascii="Arial" w:cs="Arial" w:eastAsia="Arial" w:hAnsi="Arial"/>
          <w:sz w:val="16"/>
          <w:szCs w:val="16"/>
          <w:color w:val="auto"/>
        </w:rPr>
        <w:t>. The provisions of this Agreement shall be binding upon and inure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benefit of the parties hereto and their respective successors and assigns permitted hereby, except that neither the Borrower nor any other Loan Party may assign or otherwise transfer any of its rights or obligations hereunder (except pursuant to a transaction expressly permitted hereunder) without the prior written consent of the Administrative Agent and each Lender and no Lender may assign or otherwise transfer any of its rights or obligations hereunder except (i) to an assignee in accordance with the provisions of </w:t>
      </w:r>
      <w:r>
        <w:rPr>
          <w:rFonts w:ascii="Arial" w:cs="Arial" w:eastAsia="Arial" w:hAnsi="Arial"/>
          <w:sz w:val="16"/>
          <w:szCs w:val="16"/>
          <w:u w:val="single" w:color="auto"/>
          <w:color w:val="auto"/>
        </w:rPr>
        <w:t>Section 10.06(b)</w:t>
      </w:r>
      <w:r>
        <w:rPr>
          <w:rFonts w:ascii="Arial" w:cs="Arial" w:eastAsia="Arial" w:hAnsi="Arial"/>
          <w:sz w:val="16"/>
          <w:szCs w:val="16"/>
          <w:color w:val="auto"/>
        </w:rPr>
        <w:t xml:space="preserve">, (ii) by way of participation in accordance with the provisions of </w:t>
      </w:r>
      <w:r>
        <w:rPr>
          <w:rFonts w:ascii="Arial" w:cs="Arial" w:eastAsia="Arial" w:hAnsi="Arial"/>
          <w:sz w:val="16"/>
          <w:szCs w:val="16"/>
          <w:u w:val="single" w:color="auto"/>
          <w:color w:val="auto"/>
        </w:rPr>
        <w:t>Section 10.06(d)</w:t>
      </w:r>
      <w:r>
        <w:rPr>
          <w:rFonts w:ascii="Arial" w:cs="Arial" w:eastAsia="Arial" w:hAnsi="Arial"/>
          <w:sz w:val="16"/>
          <w:szCs w:val="16"/>
          <w:color w:val="auto"/>
        </w:rPr>
        <w:t xml:space="preserve">, (iii) by way of pledge or assignment of a security interest subject to the restrictions of </w:t>
      </w:r>
      <w:r>
        <w:rPr>
          <w:rFonts w:ascii="Arial" w:cs="Arial" w:eastAsia="Arial" w:hAnsi="Arial"/>
          <w:sz w:val="16"/>
          <w:szCs w:val="16"/>
          <w:u w:val="single" w:color="auto"/>
          <w:color w:val="auto"/>
        </w:rPr>
        <w:t>Section 10.06(f)</w:t>
      </w:r>
      <w:r>
        <w:rPr>
          <w:rFonts w:ascii="Arial" w:cs="Arial" w:eastAsia="Arial" w:hAnsi="Arial"/>
          <w:sz w:val="16"/>
          <w:szCs w:val="16"/>
          <w:color w:val="auto"/>
        </w:rPr>
        <w:t xml:space="preserve">, or (iv) to an SPC in accordance with the provisions of </w:t>
      </w:r>
      <w:r>
        <w:rPr>
          <w:rFonts w:ascii="Arial" w:cs="Arial" w:eastAsia="Arial" w:hAnsi="Arial"/>
          <w:sz w:val="16"/>
          <w:szCs w:val="16"/>
          <w:u w:val="single" w:color="auto"/>
          <w:color w:val="auto"/>
        </w:rPr>
        <w:t>Section 10.06(g)</w:t>
      </w:r>
      <w:r>
        <w:rPr>
          <w:rFonts w:ascii="Arial" w:cs="Arial" w:eastAsia="Arial" w:hAnsi="Arial"/>
          <w:sz w:val="16"/>
          <w:szCs w:val="16"/>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the L/C Issuer and the Lenders) any legal or equitable right, remedy or claim under or by reason of this Agreement.</w:t>
      </w:r>
    </w:p>
    <w:p>
      <w:pPr>
        <w:spacing w:after="0" w:line="121" w:lineRule="exact"/>
        <w:rPr>
          <w:sz w:val="20"/>
          <w:szCs w:val="20"/>
          <w:color w:val="auto"/>
        </w:rPr>
      </w:pPr>
    </w:p>
    <w:p>
      <w:pPr>
        <w:jc w:val="both"/>
        <w:ind w:firstLine="921"/>
        <w:spacing w:after="0" w:line="306" w:lineRule="auto"/>
        <w:tabs>
          <w:tab w:leader="none" w:pos="1161" w:val="left"/>
        </w:tabs>
        <w:numPr>
          <w:ilvl w:val="0"/>
          <w:numId w:val="197"/>
        </w:numPr>
        <w:rPr>
          <w:rFonts w:ascii="Arial" w:cs="Arial" w:eastAsia="Arial" w:hAnsi="Arial"/>
          <w:sz w:val="16"/>
          <w:szCs w:val="16"/>
          <w:color w:val="auto"/>
        </w:rPr>
      </w:pPr>
      <w:r>
        <w:rPr>
          <w:rFonts w:ascii="Arial" w:cs="Arial" w:eastAsia="Arial" w:hAnsi="Arial"/>
          <w:sz w:val="16"/>
          <w:szCs w:val="16"/>
          <w:u w:val="single" w:color="auto"/>
          <w:color w:val="auto"/>
        </w:rPr>
        <w:t>Assignments by Lenders</w:t>
      </w:r>
      <w:r>
        <w:rPr>
          <w:rFonts w:ascii="Arial" w:cs="Arial" w:eastAsia="Arial" w:hAnsi="Arial"/>
          <w:sz w:val="16"/>
          <w:szCs w:val="16"/>
          <w:color w:val="auto"/>
        </w:rPr>
        <w:t xml:space="preserve">. Any Lender may at any time assign to one or more Eligible Assignees all or a portion of its rights and obligations under this Agreement (including all or a portion of its Commitment(s) and the Loans (including for purposes of this </w:t>
      </w:r>
      <w:r>
        <w:rPr>
          <w:rFonts w:ascii="Arial" w:cs="Arial" w:eastAsia="Arial" w:hAnsi="Arial"/>
          <w:sz w:val="16"/>
          <w:szCs w:val="16"/>
          <w:u w:val="single" w:color="auto"/>
          <w:color w:val="auto"/>
        </w:rPr>
        <w:t>Section 10.06(b)</w:t>
      </w:r>
      <w:r>
        <w:rPr>
          <w:rFonts w:ascii="Arial" w:cs="Arial" w:eastAsia="Arial" w:hAnsi="Arial"/>
          <w:sz w:val="16"/>
          <w:szCs w:val="16"/>
          <w:color w:val="auto"/>
        </w:rPr>
        <w:t xml:space="preserve">, participations in L/C Obligations and in Swing Line Loans) at the time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assignment shall be subject to the following conditions: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280" w:right="239" w:bottom="1440" w:gutter="0" w:footer="0" w:header="0"/>
        </w:sectPr>
      </w:pPr>
    </w:p>
    <w:bookmarkStart w:id="164" w:name="page165"/>
    <w:bookmarkEnd w:id="164"/>
    <w:p>
      <w:pPr>
        <w:ind w:left="660" w:hanging="217"/>
        <w:spacing w:after="0"/>
        <w:tabs>
          <w:tab w:leader="none" w:pos="6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Minimum Amounts.</w:t>
      </w:r>
    </w:p>
    <w:p>
      <w:pPr>
        <w:spacing w:after="0" w:line="90" w:lineRule="exact"/>
        <w:rPr>
          <w:rFonts w:ascii="Arial" w:cs="Arial" w:eastAsia="Arial" w:hAnsi="Arial"/>
          <w:sz w:val="18"/>
          <w:szCs w:val="18"/>
          <w:color w:val="auto"/>
        </w:rPr>
      </w:pPr>
    </w:p>
    <w:p>
      <w:pPr>
        <w:ind w:left="460" w:firstLine="421"/>
        <w:spacing w:after="0" w:line="332" w:lineRule="auto"/>
        <w:tabs>
          <w:tab w:leader="none" w:pos="1175" w:val="left"/>
        </w:tabs>
        <w:numPr>
          <w:ilvl w:val="1"/>
          <w:numId w:val="198"/>
        </w:numPr>
        <w:rPr>
          <w:rFonts w:ascii="Arial" w:cs="Arial" w:eastAsia="Arial" w:hAnsi="Arial"/>
          <w:sz w:val="16"/>
          <w:szCs w:val="16"/>
          <w:color w:val="auto"/>
        </w:rPr>
      </w:pPr>
      <w:r>
        <w:rPr>
          <w:rFonts w:ascii="Arial" w:cs="Arial" w:eastAsia="Arial" w:hAnsi="Arial"/>
          <w:sz w:val="16"/>
          <w:szCs w:val="16"/>
          <w:color w:val="auto"/>
        </w:rPr>
        <w:t>in the case of an assignment of the entire remaining amount of the assigning Lender’s Commitment and the Loans at the time owing to it or in the case of an assignment to a Lender, an Affiliate of a Lender or an Approved Fund, no minimum amount need be assigned; and</w:t>
      </w:r>
    </w:p>
    <w:p>
      <w:pPr>
        <w:spacing w:after="0" w:line="4" w:lineRule="exact"/>
        <w:rPr>
          <w:rFonts w:ascii="Arial" w:cs="Arial" w:eastAsia="Arial" w:hAnsi="Arial"/>
          <w:sz w:val="16"/>
          <w:szCs w:val="16"/>
          <w:color w:val="auto"/>
        </w:rPr>
      </w:pPr>
    </w:p>
    <w:p>
      <w:pPr>
        <w:jc w:val="both"/>
        <w:ind w:left="460" w:firstLine="421"/>
        <w:spacing w:after="0" w:line="288" w:lineRule="auto"/>
        <w:tabs>
          <w:tab w:leader="none" w:pos="1159" w:val="left"/>
        </w:tabs>
        <w:numPr>
          <w:ilvl w:val="1"/>
          <w:numId w:val="198"/>
        </w:numPr>
        <w:rPr>
          <w:rFonts w:ascii="Arial" w:cs="Arial" w:eastAsia="Arial" w:hAnsi="Arial"/>
          <w:sz w:val="16"/>
          <w:szCs w:val="16"/>
          <w:color w:val="auto"/>
        </w:rPr>
      </w:pPr>
      <w:r>
        <w:rPr>
          <w:rFonts w:ascii="Arial" w:cs="Arial" w:eastAsia="Arial" w:hAnsi="Arial"/>
          <w:sz w:val="16"/>
          <w:szCs w:val="16"/>
          <w:color w:val="auto"/>
        </w:rPr>
        <w:t xml:space="preserve">in any case not described in subsection (b)(i)(A)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the Facility, unless each of the Administrative Agent and, so long as no Event of Default has occurred and is continuing, the Borrower otherwise consents (each such consent not to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38" w:lineRule="exact"/>
        <w:rPr>
          <w:rFonts w:ascii="Arial" w:cs="Arial" w:eastAsia="Arial" w:hAnsi="Arial"/>
          <w:sz w:val="16"/>
          <w:szCs w:val="16"/>
          <w:color w:val="auto"/>
        </w:rPr>
      </w:pPr>
    </w:p>
    <w:p>
      <w:pPr>
        <w:jc w:val="both"/>
        <w:ind w:firstLine="443"/>
        <w:spacing w:after="0" w:line="256" w:lineRule="auto"/>
        <w:tabs>
          <w:tab w:leader="none" w:pos="696"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Proportionate Amounts</w:t>
      </w:r>
      <w:r>
        <w:rPr>
          <w:rFonts w:ascii="Arial" w:cs="Arial" w:eastAsia="Arial" w:hAnsi="Arial"/>
          <w:sz w:val="18"/>
          <w:szCs w:val="18"/>
          <w:color w:val="auto"/>
        </w:rPr>
        <w:t>. Each partial assignment shall be made as an assignment of a proportionate part of all the assigning Lender’s rights and obligations under this Agreement with respect to the Loans or the Commitment assigned, except that this clause (ii) shall not (A) apply to the Swing Line Lender’s rights and obligations in respect of Swing Line Loans or (B) prohibit any Lender from assigning all or a portion of its rights and obligations among separate Facilities on a non-pro rata basis;</w:t>
      </w:r>
    </w:p>
    <w:p>
      <w:pPr>
        <w:spacing w:after="0" w:line="62" w:lineRule="exact"/>
        <w:rPr>
          <w:rFonts w:ascii="Arial" w:cs="Arial" w:eastAsia="Arial" w:hAnsi="Arial"/>
          <w:sz w:val="18"/>
          <w:szCs w:val="18"/>
          <w:color w:val="auto"/>
        </w:rPr>
      </w:pPr>
    </w:p>
    <w:p>
      <w:pPr>
        <w:ind w:left="740" w:hanging="297"/>
        <w:spacing w:after="0"/>
        <w:tabs>
          <w:tab w:leader="none" w:pos="740" w:val="left"/>
        </w:tabs>
        <w:numPr>
          <w:ilvl w:val="0"/>
          <w:numId w:val="198"/>
        </w:numPr>
        <w:rPr>
          <w:rFonts w:ascii="Arial" w:cs="Arial" w:eastAsia="Arial" w:hAnsi="Arial"/>
          <w:sz w:val="16"/>
          <w:szCs w:val="16"/>
          <w:color w:val="auto"/>
        </w:rPr>
      </w:pPr>
      <w:r>
        <w:rPr>
          <w:rFonts w:ascii="Arial" w:cs="Arial" w:eastAsia="Arial" w:hAnsi="Arial"/>
          <w:sz w:val="16"/>
          <w:szCs w:val="16"/>
          <w:u w:val="single" w:color="auto"/>
          <w:color w:val="auto"/>
        </w:rPr>
        <w:t>Required Consents</w:t>
      </w:r>
      <w:r>
        <w:rPr>
          <w:rFonts w:ascii="Arial" w:cs="Arial" w:eastAsia="Arial" w:hAnsi="Arial"/>
          <w:sz w:val="16"/>
          <w:szCs w:val="16"/>
          <w:color w:val="auto"/>
        </w:rPr>
        <w:t>. No consent shall be required for any assignment except to the extent required by subsection (b)(i)(B) of this Section and, in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addition:</w:t>
      </w:r>
    </w:p>
    <w:p>
      <w:pPr>
        <w:spacing w:after="0" w:line="83" w:lineRule="exact"/>
        <w:rPr>
          <w:rFonts w:ascii="Arial" w:cs="Arial" w:eastAsia="Arial" w:hAnsi="Arial"/>
          <w:sz w:val="16"/>
          <w:szCs w:val="16"/>
          <w:color w:val="auto"/>
        </w:rPr>
      </w:pPr>
    </w:p>
    <w:p>
      <w:pPr>
        <w:jc w:val="both"/>
        <w:ind w:left="460" w:firstLine="421"/>
        <w:spacing w:after="0" w:line="256" w:lineRule="auto"/>
        <w:tabs>
          <w:tab w:leader="none" w:pos="1174" w:val="left"/>
        </w:tabs>
        <w:numPr>
          <w:ilvl w:val="1"/>
          <w:numId w:val="198"/>
        </w:numPr>
        <w:rPr>
          <w:rFonts w:ascii="Arial" w:cs="Arial" w:eastAsia="Arial" w:hAnsi="Arial"/>
          <w:sz w:val="18"/>
          <w:szCs w:val="18"/>
          <w:color w:val="auto"/>
        </w:rPr>
      </w:pPr>
      <w:r>
        <w:rPr>
          <w:rFonts w:ascii="Arial" w:cs="Arial" w:eastAsia="Arial" w:hAnsi="Arial"/>
          <w:sz w:val="18"/>
          <w:szCs w:val="18"/>
          <w:color w:val="auto"/>
        </w:rPr>
        <w:t xml:space="preserve">the consent of the Borrower (such consent not to be unreasonably withheld) shall be required unless (1) an Event of Default has occurred and is continuing at the time of such assignment or (2) such assignment is to a Lender, an Affiliate of a Lender or an Approved Fund;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be deemed to have consented to any such assignment unless it shall object thereto by written notice to the Administrative Agent within five (5) Business Days after having received notice thereof;</w:t>
      </w:r>
    </w:p>
    <w:p>
      <w:pPr>
        <w:spacing w:after="0" w:line="62" w:lineRule="exact"/>
        <w:rPr>
          <w:rFonts w:ascii="Arial" w:cs="Arial" w:eastAsia="Arial" w:hAnsi="Arial"/>
          <w:sz w:val="18"/>
          <w:szCs w:val="18"/>
          <w:color w:val="auto"/>
        </w:rPr>
      </w:pPr>
    </w:p>
    <w:p>
      <w:pPr>
        <w:jc w:val="both"/>
        <w:ind w:left="460" w:firstLine="421"/>
        <w:spacing w:after="0" w:line="259" w:lineRule="auto"/>
        <w:tabs>
          <w:tab w:leader="none" w:pos="1172" w:val="left"/>
        </w:tabs>
        <w:numPr>
          <w:ilvl w:val="1"/>
          <w:numId w:val="198"/>
        </w:numPr>
        <w:rPr>
          <w:rFonts w:ascii="Arial" w:cs="Arial" w:eastAsia="Arial" w:hAnsi="Arial"/>
          <w:sz w:val="18"/>
          <w:szCs w:val="18"/>
          <w:color w:val="auto"/>
        </w:rPr>
      </w:pPr>
      <w:r>
        <w:rPr>
          <w:rFonts w:ascii="Arial" w:cs="Arial" w:eastAsia="Arial" w:hAnsi="Arial"/>
          <w:sz w:val="18"/>
          <w:szCs w:val="18"/>
          <w:color w:val="auto"/>
        </w:rPr>
        <w:t>the consent of the Administrative Agent (such consent not to be unreasonably withheld or delayed) shall be required for assignments in respect of any Commitment or Revolving Credit Loan if such assignment is to a Person that is not a Revolving Credit Lender, an Affiliate of such Revolving Credit Lender or an Approved Fund with respect to such Revolving Credit Lender;</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0960"/>
          </w:cols>
          <w:pgMar w:left="700" w:top="280" w:right="239" w:bottom="1440" w:gutter="0" w:footer="0" w:header="0"/>
        </w:sectPr>
      </w:pPr>
    </w:p>
    <w:bookmarkStart w:id="165" w:name="page166"/>
    <w:bookmarkEnd w:id="165"/>
    <w:p>
      <w:pPr>
        <w:ind w:left="920" w:firstLine="421"/>
        <w:spacing w:after="0" w:line="332" w:lineRule="auto"/>
        <w:tabs>
          <w:tab w:leader="none" w:pos="1620" w:val="left"/>
        </w:tabs>
        <w:numPr>
          <w:ilvl w:val="2"/>
          <w:numId w:val="19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consent of the L/C Issuer (such consent not to be unreasonably withheld or delayed) shall be required for any assignment that increases the obligation of the assignee to participate in exposure under one or more Letters of Credit (whether or not then outstanding); and</w:t>
      </w:r>
    </w:p>
    <w:p>
      <w:pPr>
        <w:spacing w:after="0" w:line="4" w:lineRule="exact"/>
        <w:rPr>
          <w:rFonts w:ascii="Arial" w:cs="Arial" w:eastAsia="Arial" w:hAnsi="Arial"/>
          <w:sz w:val="16"/>
          <w:szCs w:val="16"/>
          <w:color w:val="auto"/>
        </w:rPr>
      </w:pPr>
    </w:p>
    <w:p>
      <w:pPr>
        <w:ind w:left="920" w:firstLine="421"/>
        <w:spacing w:after="0" w:line="268" w:lineRule="auto"/>
        <w:tabs>
          <w:tab w:leader="none" w:pos="1637" w:val="left"/>
        </w:tabs>
        <w:numPr>
          <w:ilvl w:val="2"/>
          <w:numId w:val="199"/>
        </w:numPr>
        <w:rPr>
          <w:rFonts w:ascii="Arial" w:cs="Arial" w:eastAsia="Arial" w:hAnsi="Arial"/>
          <w:sz w:val="18"/>
          <w:szCs w:val="18"/>
          <w:color w:val="auto"/>
        </w:rPr>
      </w:pPr>
      <w:r>
        <w:rPr>
          <w:rFonts w:ascii="Arial" w:cs="Arial" w:eastAsia="Arial" w:hAnsi="Arial"/>
          <w:sz w:val="18"/>
          <w:szCs w:val="18"/>
          <w:color w:val="auto"/>
        </w:rPr>
        <w:t>the consent of the Swing Line Lender (such consent not to be unreasonably withheld or delayed) shall be required for any assignment in respect of the Facility.</w:t>
      </w:r>
    </w:p>
    <w:p>
      <w:pPr>
        <w:spacing w:after="0" w:line="50" w:lineRule="exact"/>
        <w:rPr>
          <w:rFonts w:ascii="Arial" w:cs="Arial" w:eastAsia="Arial" w:hAnsi="Arial"/>
          <w:sz w:val="18"/>
          <w:szCs w:val="18"/>
          <w:color w:val="auto"/>
        </w:rPr>
      </w:pPr>
    </w:p>
    <w:p>
      <w:pPr>
        <w:jc w:val="both"/>
        <w:ind w:left="460" w:firstLine="443"/>
        <w:spacing w:after="0" w:line="256" w:lineRule="auto"/>
        <w:tabs>
          <w:tab w:leader="none" w:pos="1222" w:val="left"/>
        </w:tabs>
        <w:numPr>
          <w:ilvl w:val="1"/>
          <w:numId w:val="200"/>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Administrative Agent may, in its sole discretion, elect to waive such processing and recordation fee in the case of any assignment; and the Eligible Assignee, if it is not a Lender, shall deliver to the Administrative Agent an Administrative Questionnaire.</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1"/>
          <w:numId w:val="200"/>
        </w:numPr>
        <w:rPr>
          <w:rFonts w:ascii="Arial" w:cs="Arial" w:eastAsia="Arial" w:hAnsi="Arial"/>
          <w:sz w:val="16"/>
          <w:szCs w:val="16"/>
          <w:color w:val="auto"/>
        </w:rPr>
      </w:pPr>
      <w:r>
        <w:rPr>
          <w:rFonts w:ascii="Arial" w:cs="Arial" w:eastAsia="Arial" w:hAnsi="Arial"/>
          <w:sz w:val="16"/>
          <w:szCs w:val="16"/>
          <w:u w:val="single" w:color="auto"/>
          <w:color w:val="auto"/>
        </w:rPr>
        <w:t>No Assignment to Certain Persons</w:t>
      </w:r>
      <w:r>
        <w:rPr>
          <w:rFonts w:ascii="Arial" w:cs="Arial" w:eastAsia="Arial" w:hAnsi="Arial"/>
          <w:sz w:val="16"/>
          <w:szCs w:val="16"/>
          <w:color w:val="auto"/>
        </w:rPr>
        <w:t>. No such assignment shall be made (A) to the Borrower or any of the Borrower’s Affiliates or Subsidiaries,</w:t>
      </w:r>
    </w:p>
    <w:p>
      <w:pPr>
        <w:spacing w:after="0" w:line="38" w:lineRule="exact"/>
        <w:rPr>
          <w:rFonts w:ascii="Arial" w:cs="Arial" w:eastAsia="Arial" w:hAnsi="Arial"/>
          <w:sz w:val="16"/>
          <w:szCs w:val="16"/>
          <w:color w:val="auto"/>
        </w:rPr>
      </w:pPr>
    </w:p>
    <w:p>
      <w:pPr>
        <w:ind w:left="460" w:right="20" w:firstLine="4"/>
        <w:spacing w:after="0" w:line="261" w:lineRule="auto"/>
        <w:tabs>
          <w:tab w:leader="none" w:pos="755"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to any Defaulting Lender or any of its Subsidiaries, or any Person who, upon becoming a Lender hereunder, would constitute any of the foregoing Persons described in this clause (B), or (C) to a natural person.</w:t>
      </w:r>
    </w:p>
    <w:p>
      <w:pPr>
        <w:spacing w:after="0" w:line="56" w:lineRule="exact"/>
        <w:rPr>
          <w:rFonts w:ascii="Arial" w:cs="Arial" w:eastAsia="Arial" w:hAnsi="Arial"/>
          <w:sz w:val="18"/>
          <w:szCs w:val="18"/>
          <w:color w:val="auto"/>
        </w:rPr>
      </w:pPr>
    </w:p>
    <w:p>
      <w:pPr>
        <w:jc w:val="both"/>
        <w:ind w:left="460" w:firstLine="443"/>
        <w:spacing w:after="0" w:line="286" w:lineRule="auto"/>
        <w:tabs>
          <w:tab w:leader="none" w:pos="1222" w:val="left"/>
        </w:tabs>
        <w:numPr>
          <w:ilvl w:val="1"/>
          <w:numId w:val="201"/>
        </w:numPr>
        <w:rPr>
          <w:rFonts w:ascii="Arial" w:cs="Arial" w:eastAsia="Arial" w:hAnsi="Arial"/>
          <w:sz w:val="16"/>
          <w:szCs w:val="16"/>
          <w:color w:val="auto"/>
        </w:rPr>
      </w:pPr>
      <w:r>
        <w:rPr>
          <w:rFonts w:ascii="Arial" w:cs="Arial" w:eastAsia="Arial" w:hAnsi="Arial"/>
          <w:sz w:val="16"/>
          <w:szCs w:val="16"/>
          <w:u w:val="single" w:color="auto"/>
          <w:color w:val="auto"/>
        </w:rPr>
        <w:t>Certain Additional Payments</w:t>
      </w:r>
      <w:r>
        <w:rPr>
          <w:rFonts w:ascii="Arial" w:cs="Arial" w:eastAsia="Arial" w:hAnsi="Arial"/>
          <w:sz w:val="16"/>
          <w:szCs w:val="16"/>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2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 xml:space="preserve">Subject to acceptance and recording thereof by the Administrative Agent pursuant to subsection (c) of this </w:t>
      </w:r>
      <w:r>
        <w:rPr>
          <w:rFonts w:ascii="Arial" w:cs="Arial" w:eastAsia="Arial" w:hAnsi="Arial"/>
          <w:sz w:val="16"/>
          <w:szCs w:val="16"/>
          <w:u w:val="single" w:color="auto"/>
          <w:color w:val="auto"/>
        </w:rPr>
        <w:t>Section 10.06</w:t>
      </w:r>
      <w:r>
        <w:rPr>
          <w:rFonts w:ascii="Arial" w:cs="Arial" w:eastAsia="Arial" w:hAnsi="Arial"/>
          <w:sz w:val="16"/>
          <w:szCs w:val="16"/>
          <w:color w:val="auto"/>
        </w:rPr>
        <w:t>,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280" w:right="239" w:bottom="1440" w:gutter="0" w:footer="0" w:header="0"/>
        </w:sectPr>
      </w:pPr>
    </w:p>
    <w:bookmarkStart w:id="166" w:name="page167"/>
    <w:bookmarkEnd w:id="166"/>
    <w:p>
      <w:pPr>
        <w:jc w:val="both"/>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10.04</w:t>
      </w:r>
      <w:r>
        <w:rPr>
          <w:rFonts w:ascii="Arial" w:cs="Arial" w:eastAsia="Arial" w:hAnsi="Arial"/>
          <w:sz w:val="16"/>
          <w:szCs w:val="16"/>
          <w:color w:val="auto"/>
        </w:rPr>
        <w:t xml:space="preserve"> with respect to facts and circumstances occurring prior to the effective date of such assignment).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Arial" w:cs="Arial" w:eastAsia="Arial" w:hAnsi="Arial"/>
          <w:sz w:val="16"/>
          <w:szCs w:val="16"/>
          <w:u w:val="single" w:color="auto"/>
          <w:color w:val="auto"/>
        </w:rPr>
        <w:t>Section 10.06(d)</w:t>
      </w:r>
      <w:r>
        <w:rPr>
          <w:rFonts w:ascii="Arial" w:cs="Arial" w:eastAsia="Arial" w:hAnsi="Arial"/>
          <w:sz w:val="16"/>
          <w:szCs w:val="16"/>
          <w:color w:val="auto"/>
        </w:rPr>
        <w:t>.</w:t>
      </w:r>
    </w:p>
    <w:p>
      <w:pPr>
        <w:spacing w:after="0" w:line="120" w:lineRule="exact"/>
        <w:rPr>
          <w:sz w:val="20"/>
          <w:szCs w:val="20"/>
          <w:color w:val="auto"/>
        </w:rPr>
      </w:pPr>
    </w:p>
    <w:p>
      <w:pPr>
        <w:jc w:val="both"/>
        <w:ind w:firstLine="921"/>
        <w:spacing w:after="0" w:line="289" w:lineRule="auto"/>
        <w:tabs>
          <w:tab w:leader="none" w:pos="1152" w:val="left"/>
        </w:tabs>
        <w:numPr>
          <w:ilvl w:val="0"/>
          <w:numId w:val="202"/>
        </w:numPr>
        <w:rPr>
          <w:rFonts w:ascii="Arial" w:cs="Arial" w:eastAsia="Arial" w:hAnsi="Arial"/>
          <w:sz w:val="16"/>
          <w:szCs w:val="16"/>
          <w:color w:val="auto"/>
        </w:rPr>
      </w:pPr>
      <w:r>
        <w:rPr>
          <w:rFonts w:ascii="Arial" w:cs="Arial" w:eastAsia="Arial" w:hAnsi="Arial"/>
          <w:sz w:val="16"/>
          <w:szCs w:val="16"/>
          <w:u w:val="single" w:color="auto"/>
          <w:color w:val="auto"/>
        </w:rPr>
        <w:t>Register</w:t>
      </w:r>
      <w:r>
        <w:rPr>
          <w:rFonts w:ascii="Arial" w:cs="Arial" w:eastAsia="Arial" w:hAnsi="Arial"/>
          <w:sz w:val="16"/>
          <w:szCs w:val="16"/>
          <w:color w:val="auto"/>
        </w:rPr>
        <w:t>. The Administrative Agent, acting solely for this purpose as an agent of the Borrower (and such agency being solely for tax purposes), shall maintain at the Administrative Agent’s Office a copy of each Assignment and Assumption delivered to it and a register for the recordation of the names and addresses of the Lenders, and the Commitments of, and principal amounts of the Loans and L/C Obligations owing to, each Lender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and the Borrower, the Administrative Agent and the Lenders may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 The Register shall be available for inspection by the Borrower and any Lender, at any reasonable time and from time to time upon reasonable prior notice.</w:t>
      </w:r>
    </w:p>
    <w:p>
      <w:pPr>
        <w:spacing w:after="0" w:line="118" w:lineRule="exact"/>
        <w:rPr>
          <w:rFonts w:ascii="Arial" w:cs="Arial" w:eastAsia="Arial" w:hAnsi="Arial"/>
          <w:sz w:val="16"/>
          <w:szCs w:val="16"/>
          <w:color w:val="auto"/>
        </w:rPr>
      </w:pPr>
    </w:p>
    <w:p>
      <w:pPr>
        <w:jc w:val="both"/>
        <w:ind w:firstLine="921"/>
        <w:spacing w:after="0" w:line="286" w:lineRule="auto"/>
        <w:tabs>
          <w:tab w:leader="none" w:pos="1161" w:val="left"/>
        </w:tabs>
        <w:numPr>
          <w:ilvl w:val="0"/>
          <w:numId w:val="202"/>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Any Lender may at any time, without the consent of, or notice to, the Borrower or the Administrative Agent, sell participations to any Person (other than a natural person, a Defaulting Lender or the Borrower or any of the Borrower’s Affiliates or Subsidiaries) (each,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and/or obligations under this Agreement (including all or a portion of its Commitment and/or the Loans (including such Lender’s participations in L/C Obligations and/or Swing Line Loans) owing to it); provided that (i) such Lender’s obligations under this Agreement shall remain unchanged, (ii) such Lender shall remain solely responsible to the other parties hereto for the performance of such obligations and (iii) the Borrower, the Administrative Agent, the Lenders and the L/C Issuer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waiver or other modification described in the first proviso to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that affects such Participant. Subject to </w:t>
      </w:r>
      <w:r>
        <w:rPr>
          <w:rFonts w:ascii="Arial" w:cs="Arial" w:eastAsia="Arial" w:hAnsi="Arial"/>
          <w:sz w:val="16"/>
          <w:szCs w:val="16"/>
          <w:u w:val="single" w:color="auto"/>
          <w:color w:val="auto"/>
        </w:rPr>
        <w:t>Section 10.06(e)</w:t>
      </w:r>
      <w:r>
        <w:rPr>
          <w:rFonts w:ascii="Arial" w:cs="Arial" w:eastAsia="Arial" w:hAnsi="Arial"/>
          <w:sz w:val="16"/>
          <w:szCs w:val="16"/>
          <w:color w:val="auto"/>
        </w:rPr>
        <w:t xml:space="preserve">, the Borrower agrees that each Participant shall be entitled to the benefits of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to the same extent as if it were a Lender and had acquired its interest by assignment pursuant to </w:t>
      </w:r>
      <w:r>
        <w:rPr>
          <w:rFonts w:ascii="Arial" w:cs="Arial" w:eastAsia="Arial" w:hAnsi="Arial"/>
          <w:sz w:val="16"/>
          <w:szCs w:val="16"/>
          <w:u w:val="single" w:color="auto"/>
          <w:color w:val="auto"/>
        </w:rPr>
        <w:t>Section 10.06(b)</w:t>
      </w:r>
      <w:r>
        <w:rPr>
          <w:rFonts w:ascii="Arial" w:cs="Arial" w:eastAsia="Arial" w:hAnsi="Arial"/>
          <w:sz w:val="16"/>
          <w:szCs w:val="16"/>
          <w:color w:val="auto"/>
        </w:rPr>
        <w:t xml:space="preserve">. To the extent permitted by Law, each Participant also shall be entitled to the benefits of </w:t>
      </w:r>
      <w:r>
        <w:rPr>
          <w:rFonts w:ascii="Arial" w:cs="Arial" w:eastAsia="Arial" w:hAnsi="Arial"/>
          <w:sz w:val="16"/>
          <w:szCs w:val="16"/>
          <w:u w:val="single" w:color="auto"/>
          <w:color w:val="auto"/>
        </w:rPr>
        <w:t>Section 10.08</w:t>
      </w:r>
      <w:r>
        <w:rPr>
          <w:rFonts w:ascii="Arial" w:cs="Arial" w:eastAsia="Arial" w:hAnsi="Arial"/>
          <w:sz w:val="16"/>
          <w:szCs w:val="16"/>
          <w:color w:val="auto"/>
        </w:rPr>
        <w:t xml:space="preserve">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Participant agrees to be subject to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as though it were a Lender.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280" w:right="239" w:bottom="1440" w:gutter="0" w:footer="0" w:header="0"/>
        </w:sectPr>
      </w:pPr>
    </w:p>
    <w:bookmarkStart w:id="167" w:name="page168"/>
    <w:bookmarkEnd w:id="167"/>
    <w:p>
      <w:pPr>
        <w:jc w:val="both"/>
        <w:ind w:firstLine="921"/>
        <w:spacing w:after="0" w:line="255" w:lineRule="auto"/>
        <w:tabs>
          <w:tab w:leader="none" w:pos="1179" w:val="left"/>
        </w:tabs>
        <w:numPr>
          <w:ilvl w:val="1"/>
          <w:numId w:val="20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Limitations On Participant Rights</w:t>
      </w:r>
      <w:r>
        <w:rPr>
          <w:rFonts w:ascii="Arial" w:cs="Arial" w:eastAsia="Arial" w:hAnsi="Arial"/>
          <w:sz w:val="18"/>
          <w:szCs w:val="18"/>
          <w:color w:val="auto"/>
        </w:rPr>
        <w:t xml:space="preserve">. A Participant shall not be entitled to receive any greater payment under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unless the Borrower is notified of the participation sold to such Participant and such Participant agrees, for the benefit of the Borrower, to comply with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as though it were a Lender.</w:t>
      </w:r>
    </w:p>
    <w:p>
      <w:pPr>
        <w:spacing w:after="0" w:line="142" w:lineRule="exact"/>
        <w:rPr>
          <w:rFonts w:ascii="Arial" w:cs="Arial" w:eastAsia="Arial" w:hAnsi="Arial"/>
          <w:sz w:val="18"/>
          <w:szCs w:val="18"/>
          <w:color w:val="auto"/>
        </w:rPr>
      </w:pPr>
    </w:p>
    <w:p>
      <w:pPr>
        <w:jc w:val="both"/>
        <w:ind w:firstLine="921"/>
        <w:spacing w:after="0" w:line="256" w:lineRule="auto"/>
        <w:tabs>
          <w:tab w:leader="none" w:pos="1159" w:val="left"/>
        </w:tabs>
        <w:numPr>
          <w:ilvl w:val="1"/>
          <w:numId w:val="203"/>
        </w:numPr>
        <w:rPr>
          <w:rFonts w:ascii="Arial" w:cs="Arial" w:eastAsia="Arial" w:hAnsi="Arial"/>
          <w:sz w:val="18"/>
          <w:szCs w:val="18"/>
          <w:color w:val="auto"/>
        </w:rPr>
      </w:pPr>
      <w:r>
        <w:rPr>
          <w:rFonts w:ascii="Arial" w:cs="Arial" w:eastAsia="Arial" w:hAnsi="Arial"/>
          <w:sz w:val="18"/>
          <w:szCs w:val="18"/>
          <w:u w:val="single" w:color="auto"/>
          <w:color w:val="auto"/>
        </w:rPr>
        <w:t>Certain Pledges</w:t>
      </w:r>
      <w:r>
        <w:rPr>
          <w:rFonts w:ascii="Arial" w:cs="Arial" w:eastAsia="Arial" w:hAnsi="Arial"/>
          <w:sz w:val="18"/>
          <w:szCs w:val="18"/>
          <w:color w:val="auto"/>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shall release such Lender from any of its obligations hereunder or substitute any such pledgee or assignee for such Lender as a party hereto.</w:t>
      </w:r>
    </w:p>
    <w:p>
      <w:pPr>
        <w:spacing w:after="0" w:line="143" w:lineRule="exact"/>
        <w:rPr>
          <w:rFonts w:ascii="Arial" w:cs="Arial" w:eastAsia="Arial" w:hAnsi="Arial"/>
          <w:sz w:val="18"/>
          <w:szCs w:val="18"/>
          <w:color w:val="auto"/>
        </w:rPr>
      </w:pPr>
    </w:p>
    <w:p>
      <w:pPr>
        <w:jc w:val="both"/>
        <w:ind w:firstLine="921"/>
        <w:spacing w:after="0" w:line="284" w:lineRule="auto"/>
        <w:tabs>
          <w:tab w:leader="none" w:pos="1161" w:val="left"/>
        </w:tabs>
        <w:numPr>
          <w:ilvl w:val="1"/>
          <w:numId w:val="203"/>
        </w:numPr>
        <w:rPr>
          <w:rFonts w:ascii="Arial" w:cs="Arial" w:eastAsia="Arial" w:hAnsi="Arial"/>
          <w:sz w:val="16"/>
          <w:szCs w:val="16"/>
          <w:color w:val="auto"/>
        </w:rPr>
      </w:pPr>
      <w:r>
        <w:rPr>
          <w:rFonts w:ascii="Arial" w:cs="Arial" w:eastAsia="Arial" w:hAnsi="Arial"/>
          <w:sz w:val="16"/>
          <w:szCs w:val="16"/>
          <w:u w:val="single" w:color="auto"/>
          <w:color w:val="auto"/>
        </w:rPr>
        <w:t>Special Purpose Funding Vehicles</w:t>
      </w:r>
      <w:r>
        <w:rPr>
          <w:rFonts w:ascii="Arial" w:cs="Arial" w:eastAsia="Arial" w:hAnsi="Arial"/>
          <w:sz w:val="16"/>
          <w:szCs w:val="16"/>
          <w:color w:val="auto"/>
        </w:rPr>
        <w:t>. Notwithstanding anything to the contrary contained herein, any Lender (a “</w:t>
      </w:r>
      <w:r>
        <w:rPr>
          <w:rFonts w:ascii="Arial" w:cs="Arial" w:eastAsia="Arial" w:hAnsi="Arial"/>
          <w:sz w:val="16"/>
          <w:szCs w:val="16"/>
          <w:u w:val="single" w:color="auto"/>
          <w:color w:val="auto"/>
        </w:rPr>
        <w:t>Granting Lender</w:t>
      </w:r>
      <w:r>
        <w:rPr>
          <w:rFonts w:ascii="Arial" w:cs="Arial" w:eastAsia="Arial" w:hAnsi="Arial"/>
          <w:sz w:val="16"/>
          <w:szCs w:val="16"/>
          <w:color w:val="auto"/>
        </w:rPr>
        <w:t>”) may grant to a special purpose funding vehicle identified as such in writing from time to time by the Granting Lender to the Administrative Agent and the Borrower (an “</w:t>
      </w:r>
      <w:r>
        <w:rPr>
          <w:rFonts w:ascii="Arial" w:cs="Arial" w:eastAsia="Arial" w:hAnsi="Arial"/>
          <w:sz w:val="16"/>
          <w:szCs w:val="16"/>
          <w:u w:val="single" w:color="auto"/>
          <w:color w:val="auto"/>
        </w:rPr>
        <w:t>SPC</w:t>
      </w:r>
      <w:r>
        <w:rPr>
          <w:rFonts w:ascii="Arial" w:cs="Arial" w:eastAsia="Arial" w:hAnsi="Arial"/>
          <w:sz w:val="16"/>
          <w:szCs w:val="16"/>
          <w:color w:val="auto"/>
        </w:rPr>
        <w:t xml:space="preserve">”) the option to provide all or any part of any Loan that such Granting Lender would otherwise be obligated to make pursuant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 w:lineRule="exact"/>
        <w:rPr>
          <w:rFonts w:ascii="Arial" w:cs="Arial" w:eastAsia="Arial" w:hAnsi="Arial"/>
          <w:sz w:val="16"/>
          <w:szCs w:val="16"/>
          <w:color w:val="auto"/>
        </w:rPr>
      </w:pPr>
    </w:p>
    <w:p>
      <w:pPr>
        <w:jc w:val="both"/>
        <w:ind w:firstLine="8"/>
        <w:spacing w:after="0" w:line="284" w:lineRule="auto"/>
        <w:tabs>
          <w:tab w:leader="none" w:pos="214" w:val="left"/>
        </w:tabs>
        <w:numPr>
          <w:ilvl w:val="0"/>
          <w:numId w:val="204"/>
        </w:numPr>
        <w:rPr>
          <w:rFonts w:ascii="Arial" w:cs="Arial" w:eastAsia="Arial" w:hAnsi="Arial"/>
          <w:sz w:val="16"/>
          <w:szCs w:val="16"/>
          <w:color w:val="auto"/>
        </w:rPr>
      </w:pPr>
      <w:r>
        <w:rPr>
          <w:rFonts w:ascii="Arial" w:cs="Arial" w:eastAsia="Arial" w:hAnsi="Arial"/>
          <w:sz w:val="16"/>
          <w:szCs w:val="16"/>
          <w:color w:val="auto"/>
        </w:rPr>
        <w:t xml:space="preserve">nothing herein shall constitute a commitment by any SPC to fund any Loan, and (ii) if an SPC elects not to exercise such option or otherwise fails to make all or any part of such Loan, the Granting Lender shall be obligated to make such Loan pursuant to the terms hereof or, if it fails to do so, to make such payment to the Administrative Agent as is required under </w:t>
      </w:r>
      <w:r>
        <w:rPr>
          <w:rFonts w:ascii="Arial" w:cs="Arial" w:eastAsia="Arial" w:hAnsi="Arial"/>
          <w:sz w:val="16"/>
          <w:szCs w:val="16"/>
          <w:u w:val="single" w:color="auto"/>
          <w:color w:val="auto"/>
        </w:rPr>
        <w:t>Section 2.12(b)(ii)</w:t>
      </w:r>
      <w:r>
        <w:rPr>
          <w:rFonts w:ascii="Arial" w:cs="Arial" w:eastAsia="Arial" w:hAnsi="Arial"/>
          <w:sz w:val="16"/>
          <w:szCs w:val="16"/>
          <w:color w:val="auto"/>
        </w:rPr>
        <w:t xml:space="preserve">. Each party hereto hereby agrees that (i) neither the grant to any SPC nor the exercise by any SPC of such option shall increase the costs or expenses or otherwise increase or change the obligations of the Borrower under this Agreement (including its obligations under </w:t>
      </w:r>
      <w:r>
        <w:rPr>
          <w:rFonts w:ascii="Arial" w:cs="Arial" w:eastAsia="Arial" w:hAnsi="Arial"/>
          <w:sz w:val="16"/>
          <w:szCs w:val="16"/>
          <w:u w:val="single" w:color="auto"/>
          <w:color w:val="auto"/>
        </w:rPr>
        <w:t>Section 3.04</w:t>
      </w:r>
      <w:r>
        <w:rPr>
          <w:rFonts w:ascii="Arial" w:cs="Arial" w:eastAsia="Arial" w:hAnsi="Arial"/>
          <w:sz w:val="16"/>
          <w:szCs w:val="16"/>
          <w:color w:val="auto"/>
        </w:rPr>
        <w:t>), (ii) no SPC shall be liable for any indemnity or similar payment obligation under this Agreement for which a Lender would be liable, and (iii) the Granting Lender shall for all purposes, including the approval of any amendment, waiver or other modification of any provision of any Loan Document, remain the lender of record hereunder. The making of a Loan by an SPC hereunder shall utilize the Commitment of the Granting Lender to the same extent, and as if, such Loan were made by such Granting Lender. In furtherance of the foregoing, each party hereto hereby agrees (which agreement shall survive the termination of this Agreement) that, prior to the date that is one year and one day after the payment in full of all outstanding commercial paper or other senior debt of any SPC, it will not institute against, or join any other Person in instituting against, such SPC any bankruptcy, reorganization, arrangement, insolvency, or liquidation proceeding under the Laws of the United States or any State thereof. Notwithstanding anything to the contrary contained herein, any SPC may (i) with notice to, but without prior consent of the Borrower and the Administrative Agent and with the payment of a processing fee in the amount of $3,500 (which processing fee may be waived by the Administrative Agent in its sole discretion), assign all or any portion of its right to receive payment with respect to any Loan to the Granting Lender and (ii) disclose on a confidential basis any non-public information relating to its funding of Loans to any rating agency, commercial paper dealer or provider of any surety or Guarantee or credit or liquidity enhancement to such SPC.</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280" w:right="239" w:bottom="1440" w:gutter="0" w:footer="0" w:header="0"/>
        </w:sectPr>
      </w:pPr>
    </w:p>
    <w:bookmarkStart w:id="168" w:name="page169"/>
    <w:bookmarkEnd w:id="168"/>
    <w:p>
      <w:pPr>
        <w:jc w:val="both"/>
        <w:ind w:firstLine="921"/>
        <w:spacing w:after="0" w:line="285" w:lineRule="auto"/>
        <w:tabs>
          <w:tab w:leader="none" w:pos="1175" w:val="left"/>
        </w:tabs>
        <w:numPr>
          <w:ilvl w:val="0"/>
          <w:numId w:val="20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Resignation as L/C Issuer or Swing Line Lender after Assignment</w:t>
      </w:r>
      <w:r>
        <w:rPr>
          <w:rFonts w:ascii="Arial" w:cs="Arial" w:eastAsia="Arial" w:hAnsi="Arial"/>
          <w:sz w:val="16"/>
          <w:szCs w:val="16"/>
          <w:color w:val="auto"/>
        </w:rPr>
        <w:t xml:space="preserve">. Notwithstanding anything to the contrary contained herein, if at any time Bank of America assigns all of its Commitment and Revolving Credit Loans pursuant to </w:t>
      </w:r>
      <w:r>
        <w:rPr>
          <w:rFonts w:ascii="Arial" w:cs="Arial" w:eastAsia="Arial" w:hAnsi="Arial"/>
          <w:sz w:val="16"/>
          <w:szCs w:val="16"/>
          <w:u w:val="single" w:color="auto"/>
          <w:color w:val="auto"/>
        </w:rPr>
        <w:t>Section 10.06(b)</w:t>
      </w:r>
      <w:r>
        <w:rPr>
          <w:rFonts w:ascii="Arial" w:cs="Arial" w:eastAsia="Arial" w:hAnsi="Arial"/>
          <w:sz w:val="16"/>
          <w:szCs w:val="16"/>
          <w:color w:val="auto"/>
        </w:rPr>
        <w:t xml:space="preserve">, Bank of America may, (i) upon 30 days’ notice to the Borrower and the Lenders, resign as L/C Issuer and/or (ii) upon 30 days’ notice to the Borrower, resign as Swing Line Lender. In the event of any such resignation as L/C Issuer or Swing Line Lender, the Borrower shall be entitled to appoint from among the Lenders a successor L/C Issuer or Swing Line Lender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(i) that no failure by the Borrower to appoint any such successor shall affect the resignation of Bank of America as L/C Issuer or Swing Line Lender, as the case may be and (ii) no Lender shall be required to accept the appointment as a successor L/C Issuer or Swing Line Lender, as the case may be. If Bank of America resigns as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Arial" w:cs="Arial" w:eastAsia="Arial" w:hAnsi="Arial"/>
          <w:sz w:val="16"/>
          <w:szCs w:val="16"/>
          <w:u w:val="single" w:color="auto"/>
          <w:color w:val="auto"/>
        </w:rPr>
        <w:t>Section 2.04(c)</w:t>
      </w:r>
      <w:r>
        <w:rPr>
          <w:rFonts w:ascii="Arial" w:cs="Arial" w:eastAsia="Arial" w:hAnsi="Arial"/>
          <w:sz w:val="16"/>
          <w:szCs w:val="16"/>
          <w:color w:val="auto"/>
        </w:rPr>
        <w:t>. Upon the appointment of a successor L/C Issuer and/or Swing Line Lender, (a) such successor shall succeed to and become vested with all of the rights, powers, privileges and duties of the retiring L/C Issuer or Swing Line Lender, as the case may be, and (b)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20" w:lineRule="exact"/>
        <w:rPr>
          <w:sz w:val="20"/>
          <w:szCs w:val="20"/>
          <w:color w:val="auto"/>
        </w:rPr>
      </w:pPr>
    </w:p>
    <w:p>
      <w:pPr>
        <w:jc w:val="both"/>
        <w:ind w:firstLine="913"/>
        <w:spacing w:after="0" w:line="286" w:lineRule="auto"/>
        <w:rPr>
          <w:sz w:val="20"/>
          <w:szCs w:val="20"/>
          <w:color w:val="auto"/>
        </w:rPr>
      </w:pPr>
      <w:r>
        <w:rPr>
          <w:rFonts w:ascii="Arial" w:cs="Arial" w:eastAsia="Arial" w:hAnsi="Arial"/>
          <w:sz w:val="16"/>
          <w:szCs w:val="16"/>
          <w:b w:val="1"/>
          <w:bCs w:val="1"/>
          <w:color w:val="auto"/>
        </w:rPr>
        <w:t xml:space="preserve">10.07 Treatment of Certain Information; Confidentiality. </w:t>
      </w:r>
      <w:r>
        <w:rPr>
          <w:rFonts w:ascii="Arial" w:cs="Arial" w:eastAsia="Arial" w:hAnsi="Arial"/>
          <w:sz w:val="16"/>
          <w:szCs w:val="16"/>
          <w:color w:val="auto"/>
        </w:rPr>
        <w:t>Each of the Administrative Agent, the Lenders and the L/C Issuer agrees to maintain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confidentiality of the Information (as defined below), except that Information may be disclosed (a) to its Affiliates and to its and its Affiliates’ respective partners, directors, officers, employees, agents, trustees, advisors and representatives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w:t>
      </w:r>
      <w:r>
        <w:rPr>
          <w:rFonts w:ascii="Arial" w:cs="Arial" w:eastAsia="Arial" w:hAnsi="Arial"/>
          <w:sz w:val="16"/>
          <w:szCs w:val="16"/>
          <w:u w:val="single" w:color="auto"/>
          <w:color w:val="auto"/>
        </w:rPr>
        <w:t>Section 10.07</w:t>
      </w:r>
      <w:r>
        <w:rPr>
          <w:rFonts w:ascii="Arial" w:cs="Arial" w:eastAsia="Arial" w:hAnsi="Arial"/>
          <w:sz w:val="16"/>
          <w:szCs w:val="16"/>
          <w:color w:val="auto"/>
        </w:rPr>
        <w:t xml:space="preserve">, to (i) any assignee of or Participant in, or any prospective assignee of or Participant in, any of its rights or obligations under this Agreement or any Eligible Assignee invited to be a Lender pursuant to </w:t>
      </w:r>
      <w:r>
        <w:rPr>
          <w:rFonts w:ascii="Arial" w:cs="Arial" w:eastAsia="Arial" w:hAnsi="Arial"/>
          <w:sz w:val="16"/>
          <w:szCs w:val="16"/>
          <w:u w:val="single" w:color="auto"/>
          <w:color w:val="auto"/>
        </w:rPr>
        <w:t>Section 2.16(c)</w:t>
      </w:r>
      <w:r>
        <w:rPr>
          <w:rFonts w:ascii="Arial" w:cs="Arial" w:eastAsia="Arial" w:hAnsi="Arial"/>
          <w:sz w:val="16"/>
          <w:szCs w:val="16"/>
          <w:color w:val="auto"/>
        </w:rPr>
        <w:t xml:space="preserve"> or (ii) any actual or prospective counterparty (or its advisors) to any swap or derivative transaction relating to the Borrower and its obligations, (g) with the consent of the Borrower or (h) to the extent such Information (x) becomes publicly available other than as a result of a breach of this </w:t>
      </w:r>
      <w:r>
        <w:rPr>
          <w:rFonts w:ascii="Arial" w:cs="Arial" w:eastAsia="Arial" w:hAnsi="Arial"/>
          <w:sz w:val="16"/>
          <w:szCs w:val="16"/>
          <w:u w:val="single" w:color="auto"/>
          <w:color w:val="auto"/>
        </w:rPr>
        <w:t>Section 10.07</w:t>
      </w:r>
      <w:r>
        <w:rPr>
          <w:rFonts w:ascii="Arial" w:cs="Arial" w:eastAsia="Arial" w:hAnsi="Arial"/>
          <w:sz w:val="16"/>
          <w:szCs w:val="16"/>
          <w:color w:val="auto"/>
        </w:rPr>
        <w:t xml:space="preserve"> or (y) becomes available to the Administrative Agent, any Lender, the L/C Issuer or any of their respective Affiliates on a nonconfidential basis from a source other than the Borrower.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280" w:right="239" w:bottom="1440" w:gutter="0" w:footer="0" w:header="0"/>
        </w:sectPr>
      </w:pPr>
    </w:p>
    <w:bookmarkStart w:id="169" w:name="page170"/>
    <w:bookmarkEnd w:id="169"/>
    <w:p>
      <w:pPr>
        <w:jc w:val="both"/>
        <w:ind w:firstLine="456"/>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For purposes of this Section, “Information” means all information received from the Borrower or any Subsidiary relating to the Borrower or any Subsidiary or any of their respective businesses, other than any such information that is available to the Administrative Agent, any Lender or the L/C Issuer on a nonconfidential basis prior to disclosure by the Borrower or any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information received from the Borrower or any Subsidiary after the Closing Date, such information either consists of customer lists or customer or product-specific sales information or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47"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Each of the Administrative Agent, the Lenders and the L/C Issuer acknowledges that (a) the Information may include material non-public information concerning the Borrower or a Subsidiary, as the case may be, (b) it has developed compliance procedures regarding the use of material non-public information and (c) it will handle such material non-public information in accordance with applicable Law, including Federal and state securities Laws.</w:t>
      </w:r>
    </w:p>
    <w:p>
      <w:pPr>
        <w:spacing w:after="0" w:line="101" w:lineRule="exact"/>
        <w:rPr>
          <w:sz w:val="20"/>
          <w:szCs w:val="20"/>
          <w:color w:val="auto"/>
        </w:rPr>
      </w:pPr>
    </w:p>
    <w:p>
      <w:pPr>
        <w:jc w:val="both"/>
        <w:ind w:firstLine="913"/>
        <w:spacing w:after="0" w:line="286" w:lineRule="auto"/>
        <w:rPr>
          <w:sz w:val="20"/>
          <w:szCs w:val="20"/>
          <w:color w:val="auto"/>
        </w:rPr>
      </w:pPr>
      <w:r>
        <w:rPr>
          <w:rFonts w:ascii="Arial" w:cs="Arial" w:eastAsia="Arial" w:hAnsi="Arial"/>
          <w:sz w:val="16"/>
          <w:szCs w:val="16"/>
          <w:b w:val="1"/>
          <w:bCs w:val="1"/>
          <w:color w:val="auto"/>
        </w:rPr>
        <w:t xml:space="preserve">10.08 Right of Setoff. </w:t>
      </w:r>
      <w:r>
        <w:rPr>
          <w:rFonts w:ascii="Arial" w:cs="Arial" w:eastAsia="Arial" w:hAnsi="Arial"/>
          <w:sz w:val="16"/>
          <w:szCs w:val="16"/>
          <w:color w:val="auto"/>
        </w:rPr>
        <w:t>If an Event of Default shall have occurred and be continuing, each Lender, the L/C Issuer and each of their respective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the L/C Issuer or any such Affiliate to or for the credit or the account of the Borrower or any other Loan Party against any and all of the obligations of the Borrower or such Loan Party now or hereafter existing under this Agreement or any other Loan Document to such Lender or the L/C Issuer, irrespective of whether or not such Lender or the L/C Issuer shall have made any demand under this Agreement or any other Loan Document and although such obligations of the Borrower or such Loan Party may be contingent or unmatured or are owed to a branch or office of such Lender or the L/C Issuer different from the branch or office holding such deposit or obligated on such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the L/C Issuer and their respective Affiliates under this Section are in addition to other rights and remedies (including other rights of setoff) that such Lender, the L/C Issuer or their respective Affiliates may have. Each Lender and the L/C Issuer agrees to notify the Borrower and the Administrative Agent promptly after any such setoff and application;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give such notice shall not affect the validity of such setoff and application.</w:t>
      </w:r>
    </w:p>
    <w:p>
      <w:pPr>
        <w:spacing w:after="0" w:line="115" w:lineRule="exact"/>
        <w:rPr>
          <w:sz w:val="20"/>
          <w:szCs w:val="20"/>
          <w:color w:val="auto"/>
        </w:rPr>
      </w:pPr>
    </w:p>
    <w:p>
      <w:pPr>
        <w:jc w:val="both"/>
        <w:ind w:firstLine="913"/>
        <w:spacing w:after="0" w:line="275" w:lineRule="auto"/>
        <w:rPr>
          <w:sz w:val="20"/>
          <w:szCs w:val="20"/>
          <w:color w:val="auto"/>
        </w:rPr>
      </w:pPr>
      <w:r>
        <w:rPr>
          <w:rFonts w:ascii="Arial" w:cs="Arial" w:eastAsia="Arial" w:hAnsi="Arial"/>
          <w:sz w:val="18"/>
          <w:szCs w:val="18"/>
          <w:b w:val="1"/>
          <w:bCs w:val="1"/>
          <w:color w:val="auto"/>
        </w:rPr>
        <w:t xml:space="preserve">10.09 Interest Rate Limitation. </w:t>
      </w:r>
      <w:r>
        <w:rPr>
          <w:rFonts w:ascii="Arial" w:cs="Arial" w:eastAsia="Arial" w:hAnsi="Arial"/>
          <w:sz w:val="18"/>
          <w:szCs w:val="18"/>
          <w:color w:val="auto"/>
        </w:rPr>
        <w:t>Notwithstanding anything to the contrary contained in any Loan Document, the interest paid or agreed to be paid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Loan Documents shall not exceed the maximum rate of non-usurious interest permitted by applicable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280" w:right="239" w:bottom="1440" w:gutter="0" w:footer="0" w:header="0"/>
        </w:sectPr>
      </w:pPr>
    </w:p>
    <w:bookmarkStart w:id="170" w:name="page171"/>
    <w:bookmarkEnd w:id="170"/>
    <w:p>
      <w:pPr>
        <w:jc w:val="both"/>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Law (the “</w:t>
      </w:r>
      <w:r>
        <w:rPr>
          <w:rFonts w:ascii="Arial" w:cs="Arial" w:eastAsia="Arial" w:hAnsi="Arial"/>
          <w:sz w:val="16"/>
          <w:szCs w:val="16"/>
          <w:u w:val="single" w:color="auto"/>
          <w:color w:val="auto"/>
        </w:rPr>
        <w:t>Maximum Rate</w:t>
      </w:r>
      <w:r>
        <w:rPr>
          <w:rFonts w:ascii="Arial" w:cs="Arial" w:eastAsia="Arial" w:hAnsi="Arial"/>
          <w:sz w:val="16"/>
          <w:szCs w:val="16"/>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w:t>
      </w:r>
    </w:p>
    <w:p>
      <w:pPr>
        <w:spacing w:after="0" w:line="1" w:lineRule="exact"/>
        <w:rPr>
          <w:sz w:val="20"/>
          <w:szCs w:val="20"/>
          <w:color w:val="auto"/>
        </w:rPr>
      </w:pPr>
    </w:p>
    <w:p>
      <w:pPr>
        <w:jc w:val="both"/>
        <w:ind w:firstLine="8"/>
        <w:spacing w:after="0" w:line="255" w:lineRule="auto"/>
        <w:tabs>
          <w:tab w:leader="none" w:pos="247" w:val="left"/>
        </w:tabs>
        <w:numPr>
          <w:ilvl w:val="0"/>
          <w:numId w:val="206"/>
        </w:numPr>
        <w:rPr>
          <w:rFonts w:ascii="Arial" w:cs="Arial" w:eastAsia="Arial" w:hAnsi="Arial"/>
          <w:sz w:val="18"/>
          <w:szCs w:val="18"/>
          <w:color w:val="auto"/>
        </w:rPr>
      </w:pPr>
      <w:r>
        <w:rPr>
          <w:rFonts w:ascii="Arial" w:cs="Arial" w:eastAsia="Arial" w:hAnsi="Arial"/>
          <w:sz w:val="18"/>
          <w:szCs w:val="18"/>
          <w:color w:val="auto"/>
        </w:rPr>
        <w:t>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38" w:lineRule="exact"/>
        <w:rPr>
          <w:sz w:val="20"/>
          <w:szCs w:val="20"/>
          <w:color w:val="auto"/>
        </w:rPr>
      </w:pPr>
    </w:p>
    <w:p>
      <w:pPr>
        <w:jc w:val="both"/>
        <w:ind w:firstLine="913"/>
        <w:spacing w:after="0" w:line="291" w:lineRule="auto"/>
        <w:rPr>
          <w:sz w:val="20"/>
          <w:szCs w:val="20"/>
          <w:color w:val="auto"/>
        </w:rPr>
      </w:pPr>
      <w:r>
        <w:rPr>
          <w:rFonts w:ascii="Arial" w:cs="Arial" w:eastAsia="Arial" w:hAnsi="Arial"/>
          <w:sz w:val="16"/>
          <w:szCs w:val="16"/>
          <w:b w:val="1"/>
          <w:bCs w:val="1"/>
          <w:color w:val="auto"/>
        </w:rPr>
        <w:t xml:space="preserve">10.10 Counterparts; Integration; Effectiveness. </w:t>
      </w:r>
      <w:r>
        <w:rPr>
          <w:rFonts w:ascii="Arial" w:cs="Arial" w:eastAsia="Arial" w:hAnsi="Arial"/>
          <w:sz w:val="16"/>
          <w:szCs w:val="16"/>
          <w:color w:val="auto"/>
        </w:rPr>
        <w:t>This Agreement may be executed in counterparts (and by different parties hereto in different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6"/>
          <w:szCs w:val="16"/>
          <w:u w:val="single" w:color="auto"/>
          <w:color w:val="auto"/>
        </w:rPr>
        <w:t>Section 4.01</w:t>
      </w:r>
      <w:r>
        <w:rPr>
          <w:rFonts w:ascii="Arial" w:cs="Arial" w:eastAsia="Arial" w:hAnsi="Arial"/>
          <w:sz w:val="16"/>
          <w:szCs w:val="16"/>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telecopy or other electronic imaging means shall be effective as delivery of a manually executed counterpart of this Agreement.</w:t>
      </w:r>
    </w:p>
    <w:p>
      <w:pPr>
        <w:spacing w:after="0" w:line="113" w:lineRule="exact"/>
        <w:rPr>
          <w:sz w:val="20"/>
          <w:szCs w:val="20"/>
          <w:color w:val="auto"/>
        </w:rPr>
      </w:pPr>
    </w:p>
    <w:p>
      <w:pPr>
        <w:jc w:val="both"/>
        <w:ind w:firstLine="913"/>
        <w:spacing w:after="0" w:line="293" w:lineRule="auto"/>
        <w:rPr>
          <w:sz w:val="20"/>
          <w:szCs w:val="20"/>
          <w:color w:val="auto"/>
        </w:rPr>
      </w:pPr>
      <w:r>
        <w:rPr>
          <w:rFonts w:ascii="Arial" w:cs="Arial" w:eastAsia="Arial" w:hAnsi="Arial"/>
          <w:sz w:val="16"/>
          <w:szCs w:val="16"/>
          <w:b w:val="1"/>
          <w:bCs w:val="1"/>
          <w:color w:val="auto"/>
        </w:rPr>
        <w:t xml:space="preserve">10.11 Survival of Representations and Warranties. </w:t>
      </w:r>
      <w:r>
        <w:rPr>
          <w:rFonts w:ascii="Arial" w:cs="Arial" w:eastAsia="Arial" w:hAnsi="Arial"/>
          <w:sz w:val="16"/>
          <w:szCs w:val="16"/>
          <w:color w:val="auto"/>
        </w:rPr>
        <w:t>All representations and warranties made hereunder and in any other Loan Document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11" w:lineRule="exact"/>
        <w:rPr>
          <w:sz w:val="20"/>
          <w:szCs w:val="20"/>
          <w:color w:val="auto"/>
        </w:rPr>
      </w:pPr>
    </w:p>
    <w:p>
      <w:pPr>
        <w:jc w:val="both"/>
        <w:ind w:firstLine="913"/>
        <w:spacing w:after="0" w:line="254" w:lineRule="auto"/>
        <w:rPr>
          <w:sz w:val="20"/>
          <w:szCs w:val="20"/>
          <w:color w:val="auto"/>
        </w:rPr>
      </w:pPr>
      <w:r>
        <w:rPr>
          <w:rFonts w:ascii="Arial" w:cs="Arial" w:eastAsia="Arial" w:hAnsi="Arial"/>
          <w:sz w:val="18"/>
          <w:szCs w:val="18"/>
          <w:b w:val="1"/>
          <w:bCs w:val="1"/>
          <w:color w:val="auto"/>
        </w:rPr>
        <w:t xml:space="preserve">10.12 Severability. </w:t>
      </w:r>
      <w:r>
        <w:rPr>
          <w:rFonts w:ascii="Arial" w:cs="Arial" w:eastAsia="Arial" w:hAnsi="Arial"/>
          <w:sz w:val="18"/>
          <w:szCs w:val="18"/>
          <w:color w:val="auto"/>
        </w:rPr>
        <w:t>If any provision of this Agreement or the other Loan Documents is held to be illegal, invalid or unenforceable, (a) the legality,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18"/>
          <w:szCs w:val="18"/>
          <w:u w:val="single" w:color="auto"/>
          <w:color w:val="auto"/>
        </w:rPr>
        <w:t>Section 10.12</w:t>
      </w:r>
      <w:r>
        <w:rPr>
          <w:rFonts w:ascii="Arial" w:cs="Arial" w:eastAsia="Arial" w:hAnsi="Arial"/>
          <w:sz w:val="18"/>
          <w:szCs w:val="18"/>
          <w:color w:val="auto"/>
        </w:rPr>
        <w:t>, if and to the extent that the enforceability of any provisions in this Agreement relating to Defaulting Lenders shall be limited by Debtor Relief Laws, as determined in good faith by the Administrative Agent, the L/C Issuer or the Swing Line Lender, as applicable, then such provisions shall be deemed to be in effect only to the extent not so limited.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280" w:right="239" w:bottom="1440" w:gutter="0" w:footer="0" w:header="0"/>
        </w:sectPr>
      </w:pPr>
    </w:p>
    <w:bookmarkStart w:id="171" w:name="page172"/>
    <w:bookmarkEnd w:id="171"/>
    <w:p>
      <w:pPr>
        <w:jc w:val="both"/>
        <w:ind w:firstLine="913"/>
        <w:spacing w:after="0" w:line="28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10.13 Replacement of Lenders. </w:t>
      </w:r>
      <w:r>
        <w:rPr>
          <w:rFonts w:ascii="Arial" w:cs="Arial" w:eastAsia="Arial" w:hAnsi="Arial"/>
          <w:sz w:val="16"/>
          <w:szCs w:val="16"/>
          <w:color w:val="auto"/>
        </w:rPr>
        <w:t>If (i) any Lender requests compensation under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3.04</w:t>
      </w:r>
      <w:r>
        <w:rPr>
          <w:rFonts w:ascii="Arial" w:cs="Arial" w:eastAsia="Arial" w:hAnsi="Arial"/>
          <w:sz w:val="16"/>
          <w:szCs w:val="16"/>
          <w:color w:val="auto"/>
        </w:rPr>
        <w:t>, or if the Borrower is required to pay any additional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amount to any Lender or any Governmental Authority for the account of any Lender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(ii) a Lender gives any notice under </w:t>
      </w:r>
      <w:r>
        <w:rPr>
          <w:rFonts w:ascii="Arial" w:cs="Arial" w:eastAsia="Arial" w:hAnsi="Arial"/>
          <w:sz w:val="16"/>
          <w:szCs w:val="16"/>
          <w:u w:val="single" w:color="auto"/>
          <w:color w:val="auto"/>
        </w:rPr>
        <w:t>Section 3.02</w:t>
      </w:r>
      <w:r>
        <w:rPr>
          <w:rFonts w:ascii="Arial" w:cs="Arial" w:eastAsia="Arial" w:hAnsi="Arial"/>
          <w:sz w:val="16"/>
          <w:szCs w:val="16"/>
          <w:color w:val="auto"/>
        </w:rPr>
        <w:t>,</w:t>
      </w:r>
    </w:p>
    <w:p>
      <w:pPr>
        <w:spacing w:after="0" w:line="1" w:lineRule="exact"/>
        <w:rPr>
          <w:sz w:val="20"/>
          <w:szCs w:val="20"/>
          <w:color w:val="auto"/>
        </w:rPr>
      </w:pPr>
    </w:p>
    <w:p>
      <w:pPr>
        <w:jc w:val="both"/>
        <w:ind w:firstLine="8"/>
        <w:spacing w:after="0" w:line="288" w:lineRule="auto"/>
        <w:tabs>
          <w:tab w:leader="none" w:pos="313" w:val="left"/>
        </w:tabs>
        <w:numPr>
          <w:ilvl w:val="0"/>
          <w:numId w:val="207"/>
        </w:numPr>
        <w:rPr>
          <w:rFonts w:ascii="Arial" w:cs="Arial" w:eastAsia="Arial" w:hAnsi="Arial"/>
          <w:sz w:val="16"/>
          <w:szCs w:val="16"/>
          <w:color w:val="auto"/>
        </w:rPr>
      </w:pPr>
      <w:r>
        <w:rPr>
          <w:rFonts w:ascii="Arial" w:cs="Arial" w:eastAsia="Arial" w:hAnsi="Arial"/>
          <w:sz w:val="16"/>
          <w:szCs w:val="16"/>
          <w:color w:val="auto"/>
        </w:rPr>
        <w:t xml:space="preserve">any Lender fails to consent to a proposed consent, amendment or waiver that requires consent of all the Lenders or all the affected Lenders and with respect to which Required Lenders shall have granted their consent, so long as a result of the replacement of such Lender, the consent of all Lenders or all affected Lenders would be obtained, (iv) any Lender is a Defaulting Lender, or (v) any other circumstance exists hereunder that gives the Borrower the right to replace a Lender as a party hereto,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6"/>
          <w:szCs w:val="16"/>
          <w:u w:val="single" w:color="auto"/>
          <w:color w:val="auto"/>
        </w:rPr>
        <w:t>Section 10.06</w:t>
      </w:r>
      <w:r>
        <w:rPr>
          <w:rFonts w:ascii="Arial" w:cs="Arial" w:eastAsia="Arial" w:hAnsi="Arial"/>
          <w:sz w:val="16"/>
          <w:szCs w:val="16"/>
          <w:color w:val="auto"/>
        </w:rPr>
        <w:t>), all of its interests, rights and obligations under this Agreement and the related Loan Documents to an assignee that shall assume such obligations (which assignee may be another Lender, if a Lender accepts such assignment), provided that:</w:t>
      </w:r>
    </w:p>
    <w:p>
      <w:pPr>
        <w:spacing w:after="0" w:line="122" w:lineRule="exact"/>
        <w:rPr>
          <w:rFonts w:ascii="Arial" w:cs="Arial" w:eastAsia="Arial" w:hAnsi="Arial"/>
          <w:sz w:val="16"/>
          <w:szCs w:val="16"/>
          <w:color w:val="auto"/>
        </w:rPr>
      </w:pPr>
    </w:p>
    <w:p>
      <w:pPr>
        <w:ind w:left="1160" w:hanging="239"/>
        <w:spacing w:after="0"/>
        <w:tabs>
          <w:tab w:leader="none" w:pos="116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 xml:space="preserve">the Borrower shall have paid to the Administrative Agent the assignment fee specified in </w:t>
      </w:r>
      <w:r>
        <w:rPr>
          <w:rFonts w:ascii="Arial" w:cs="Arial" w:eastAsia="Arial" w:hAnsi="Arial"/>
          <w:sz w:val="18"/>
          <w:szCs w:val="18"/>
          <w:u w:val="single" w:color="auto"/>
          <w:color w:val="auto"/>
        </w:rPr>
        <w:t>Section 10.06(b)</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firstLine="921"/>
        <w:spacing w:after="0" w:line="306" w:lineRule="auto"/>
        <w:tabs>
          <w:tab w:leader="none" w:pos="1182" w:val="left"/>
        </w:tabs>
        <w:numPr>
          <w:ilvl w:val="1"/>
          <w:numId w:val="207"/>
        </w:numPr>
        <w:rPr>
          <w:rFonts w:ascii="Arial" w:cs="Arial" w:eastAsia="Arial" w:hAnsi="Arial"/>
          <w:sz w:val="16"/>
          <w:szCs w:val="16"/>
          <w:color w:val="auto"/>
        </w:rPr>
      </w:pPr>
      <w:r>
        <w:rPr>
          <w:rFonts w:ascii="Arial" w:cs="Arial" w:eastAsia="Arial" w:hAnsi="Arial"/>
          <w:sz w:val="16"/>
          <w:szCs w:val="16"/>
          <w:color w:val="auto"/>
        </w:rPr>
        <w:t xml:space="preserve">such Lender shall have received payment of an amount equal to 100% of the outstanding principal of its Loans and L/C Advances, accrued interest thereon, accrued fees and all other amounts payable to it hereunder and under the other Loan Documents (including any amounts under </w:t>
      </w:r>
      <w:r>
        <w:rPr>
          <w:rFonts w:ascii="Arial" w:cs="Arial" w:eastAsia="Arial" w:hAnsi="Arial"/>
          <w:sz w:val="16"/>
          <w:szCs w:val="16"/>
          <w:u w:val="single" w:color="auto"/>
          <w:color w:val="auto"/>
        </w:rPr>
        <w:t>Section 3.05</w:t>
      </w:r>
      <w:r>
        <w:rPr>
          <w:rFonts w:ascii="Arial" w:cs="Arial" w:eastAsia="Arial" w:hAnsi="Arial"/>
          <w:sz w:val="16"/>
          <w:szCs w:val="16"/>
          <w:color w:val="auto"/>
        </w:rPr>
        <w:t>) from the assignee (to the extent of such outstanding principal and accrued interest and fees) or the Borrower (in the case of all other amounts);</w:t>
      </w:r>
    </w:p>
    <w:p>
      <w:pPr>
        <w:spacing w:after="0" w:line="106" w:lineRule="exact"/>
        <w:rPr>
          <w:rFonts w:ascii="Arial" w:cs="Arial" w:eastAsia="Arial" w:hAnsi="Arial"/>
          <w:sz w:val="16"/>
          <w:szCs w:val="16"/>
          <w:color w:val="auto"/>
        </w:rPr>
      </w:pPr>
    </w:p>
    <w:p>
      <w:pPr>
        <w:ind w:firstLine="921"/>
        <w:spacing w:after="0" w:line="268" w:lineRule="auto"/>
        <w:tabs>
          <w:tab w:leader="none" w:pos="1169" w:val="left"/>
        </w:tabs>
        <w:numPr>
          <w:ilvl w:val="1"/>
          <w:numId w:val="207"/>
        </w:numPr>
        <w:rPr>
          <w:rFonts w:ascii="Arial" w:cs="Arial" w:eastAsia="Arial" w:hAnsi="Arial"/>
          <w:sz w:val="18"/>
          <w:szCs w:val="18"/>
          <w:color w:val="auto"/>
        </w:rPr>
      </w:pPr>
      <w:r>
        <w:rPr>
          <w:rFonts w:ascii="Arial" w:cs="Arial" w:eastAsia="Arial" w:hAnsi="Arial"/>
          <w:sz w:val="18"/>
          <w:szCs w:val="18"/>
          <w:color w:val="auto"/>
        </w:rPr>
        <w:t xml:space="preserve">in the case of any such assignment resulting from a claim for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payments required to be made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such assignment will result in a reduction in such compensation or payments thereafter; and</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Laws.</w:t>
      </w:r>
    </w:p>
    <w:p>
      <w:pPr>
        <w:spacing w:after="0" w:line="171"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26" w:lineRule="exact"/>
        <w:rPr>
          <w:sz w:val="20"/>
          <w:szCs w:val="20"/>
          <w:color w:val="auto"/>
        </w:rPr>
      </w:pPr>
    </w:p>
    <w:p>
      <w:pPr>
        <w:ind w:firstLine="913"/>
        <w:spacing w:after="0" w:line="339" w:lineRule="auto"/>
        <w:rPr>
          <w:sz w:val="20"/>
          <w:szCs w:val="20"/>
          <w:color w:val="auto"/>
        </w:rPr>
      </w:pPr>
      <w:r>
        <w:rPr>
          <w:rFonts w:ascii="Arial" w:cs="Arial" w:eastAsia="Arial" w:hAnsi="Arial"/>
          <w:sz w:val="16"/>
          <w:szCs w:val="16"/>
          <w:b w:val="1"/>
          <w:bCs w:val="1"/>
          <w:color w:val="auto"/>
        </w:rPr>
        <w:t xml:space="preserve">10.14 Governing Law; Jurisdiction; Etc. </w:t>
      </w:r>
      <w:r>
        <w:rPr>
          <w:rFonts w:ascii="Arial" w:cs="Arial" w:eastAsia="Arial" w:hAnsi="Arial"/>
          <w:sz w:val="16"/>
          <w:szCs w:val="16"/>
          <w:color w:val="auto"/>
        </w:rPr>
        <w:t>(a)</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CONSTRUED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THE LAW OF THE STATE OF NEW YORK WITHOUT REFERENCE TO THE CONFLICTS OF LAWS PRINCIPLES THEREOF.</w:t>
      </w:r>
    </w:p>
    <w:p>
      <w:pPr>
        <w:spacing w:after="0" w:line="80" w:lineRule="exact"/>
        <w:rPr>
          <w:sz w:val="20"/>
          <w:szCs w:val="20"/>
          <w:color w:val="auto"/>
        </w:rPr>
      </w:pPr>
    </w:p>
    <w:p>
      <w:pPr>
        <w:jc w:val="both"/>
        <w:ind w:firstLine="921"/>
        <w:spacing w:after="0" w:line="298" w:lineRule="auto"/>
        <w:tabs>
          <w:tab w:leader="none" w:pos="1175" w:val="left"/>
        </w:tabs>
        <w:numPr>
          <w:ilvl w:val="0"/>
          <w:numId w:val="208"/>
        </w:numPr>
        <w:rPr>
          <w:rFonts w:ascii="Arial" w:cs="Arial" w:eastAsia="Arial" w:hAnsi="Arial"/>
          <w:sz w:val="16"/>
          <w:szCs w:val="16"/>
          <w:color w:val="auto"/>
        </w:rPr>
      </w:pPr>
      <w:r>
        <w:rPr>
          <w:rFonts w:ascii="Arial" w:cs="Arial" w:eastAsia="Arial" w:hAnsi="Arial"/>
          <w:sz w:val="16"/>
          <w:szCs w:val="16"/>
          <w:u w:val="single" w:color="auto"/>
          <w:color w:val="auto"/>
        </w:rPr>
        <w:t>SUBMISSION TO JURISDICTION</w:t>
      </w:r>
      <w:r>
        <w:rPr>
          <w:rFonts w:ascii="Arial" w:cs="Arial" w:eastAsia="Arial" w:hAnsi="Arial"/>
          <w:sz w:val="16"/>
          <w:szCs w:val="16"/>
          <w:color w:val="auto"/>
        </w:rPr>
        <w:t>. THE BORROWER IRREVOCABLY AND UNCONDITIONALLY SUBMITS, FOR ITSELF AND ITS PROPERTY, TO THE NONEXCLUSIVE JURISDICTION OF THE COURTS OF THE STATE OF NEW YORK SITTING IN NEW YORK CITY AND OF THE UNITED STATES DISTRICT COURT OF THE SOUTHERN DISTRICT OF NEW YORK, AND ANY APPELLATE COURT FROM ANY THEREOF, IN ANY ACTION OR PROCEEDING ARISING OUT OF OR RELATING TO THIS AGREEMENT OR ANY OTHER LOAN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274" w:right="239" w:bottom="1440" w:gutter="0" w:footer="0" w:header="0"/>
        </w:sectPr>
      </w:pPr>
    </w:p>
    <w:bookmarkStart w:id="172" w:name="page173"/>
    <w:bookmarkEnd w:id="172"/>
    <w:p>
      <w:pPr>
        <w:jc w:val="both"/>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ANY LENDER OR THE L/C ISSUER MAY OTHERWISE HAVE TO BRING ANY ACTION OR PROCEEDING RELATING TO THIS AGREEMENT OR ANY OTHER LOAN DOCUMENT AGAINST THE BORROWER OR ITS PROPERTIES IN THE COURTS OF ANY JURISDICTION.</w:t>
      </w:r>
    </w:p>
    <w:p>
      <w:pPr>
        <w:spacing w:after="0" w:line="118" w:lineRule="exact"/>
        <w:rPr>
          <w:sz w:val="20"/>
          <w:szCs w:val="20"/>
          <w:color w:val="auto"/>
        </w:rPr>
      </w:pPr>
    </w:p>
    <w:p>
      <w:pPr>
        <w:jc w:val="both"/>
        <w:ind w:firstLine="921"/>
        <w:spacing w:after="0" w:line="254" w:lineRule="auto"/>
        <w:tabs>
          <w:tab w:leader="none" w:pos="1206"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WAIVER OF VENUE</w:t>
      </w:r>
      <w:r>
        <w:rPr>
          <w:rFonts w:ascii="Arial" w:cs="Arial" w:eastAsia="Arial" w:hAnsi="Arial"/>
          <w:sz w:val="18"/>
          <w:szCs w:val="18"/>
          <w:color w:val="auto"/>
        </w:rPr>
        <w:t>. THE BORROWER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44" w:lineRule="exact"/>
        <w:rPr>
          <w:rFonts w:ascii="Arial" w:cs="Arial" w:eastAsia="Arial" w:hAnsi="Arial"/>
          <w:sz w:val="18"/>
          <w:szCs w:val="18"/>
          <w:color w:val="auto"/>
        </w:rPr>
      </w:pPr>
    </w:p>
    <w:p>
      <w:pPr>
        <w:jc w:val="both"/>
        <w:ind w:firstLine="921"/>
        <w:spacing w:after="0" w:line="259" w:lineRule="auto"/>
        <w:tabs>
          <w:tab w:leader="none" w:pos="1216"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SERVICE OF PROCESS</w:t>
      </w:r>
      <w:r>
        <w:rPr>
          <w:rFonts w:ascii="Arial" w:cs="Arial" w:eastAsia="Arial" w:hAnsi="Arial"/>
          <w:sz w:val="18"/>
          <w:szCs w:val="18"/>
          <w:color w:val="auto"/>
        </w:rPr>
        <w:t xml:space="preserve">. EACH PARTY HERETO IRREVOCABLY CONSENTS TO SERVICE OF PROCESS IN THE MANNER PROVIDED FOR NOTICES IN </w:t>
      </w:r>
      <w:r>
        <w:rPr>
          <w:rFonts w:ascii="Arial" w:cs="Arial" w:eastAsia="Arial" w:hAnsi="Arial"/>
          <w:sz w:val="18"/>
          <w:szCs w:val="18"/>
          <w:u w:val="single" w:color="auto"/>
          <w:color w:val="auto"/>
        </w:rPr>
        <w:t>SECTION 10.02</w:t>
      </w:r>
      <w:r>
        <w:rPr>
          <w:rFonts w:ascii="Arial" w:cs="Arial" w:eastAsia="Arial" w:hAnsi="Arial"/>
          <w:sz w:val="18"/>
          <w:szCs w:val="18"/>
          <w:color w:val="auto"/>
        </w:rPr>
        <w:t>. NOTHING IN THIS AGREEMENT WILL AFFECT THE RIGHT OF ANY PARTY HERETO TO SERVE PROCESS IN ANY OTHER MANNER PERMITTED BY APPLICABLE LAW.</w:t>
      </w:r>
    </w:p>
    <w:p>
      <w:pPr>
        <w:spacing w:after="0" w:line="134" w:lineRule="exact"/>
        <w:rPr>
          <w:sz w:val="20"/>
          <w:szCs w:val="20"/>
          <w:color w:val="auto"/>
        </w:rPr>
      </w:pPr>
    </w:p>
    <w:p>
      <w:pPr>
        <w:jc w:val="both"/>
        <w:ind w:firstLine="913"/>
        <w:spacing w:after="0" w:line="290" w:lineRule="auto"/>
        <w:rPr>
          <w:sz w:val="20"/>
          <w:szCs w:val="20"/>
          <w:color w:val="auto"/>
        </w:rPr>
      </w:pPr>
      <w:r>
        <w:rPr>
          <w:rFonts w:ascii="Arial" w:cs="Arial" w:eastAsia="Arial" w:hAnsi="Arial"/>
          <w:sz w:val="16"/>
          <w:szCs w:val="16"/>
          <w:b w:val="1"/>
          <w:bCs w:val="1"/>
          <w:color w:val="auto"/>
        </w:rPr>
        <w:t xml:space="preserve">10.15 Waiver of Jury Trial. </w:t>
      </w:r>
      <w:r>
        <w:rPr>
          <w:rFonts w:ascii="Arial" w:cs="Arial" w:eastAsia="Arial" w:hAnsi="Arial"/>
          <w:sz w:val="16"/>
          <w:szCs w:val="16"/>
          <w:color w:val="auto"/>
        </w:rPr>
        <w:t>EACH PARTY HERETO HEREBY IRREVOCABLY WAIVES, TO THE FULLEST EXTENT PERMITTED BY</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280" w:right="239" w:bottom="1440" w:gutter="0" w:footer="0" w:header="0"/>
        </w:sectPr>
      </w:pPr>
    </w:p>
    <w:bookmarkStart w:id="173" w:name="page174"/>
    <w:bookmarkEnd w:id="173"/>
    <w:p>
      <w:pPr>
        <w:jc w:val="both"/>
        <w:ind w:firstLine="913"/>
        <w:spacing w:after="0" w:line="29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10.16 USA PATRIOT Act Notice. </w:t>
      </w:r>
      <w:r>
        <w:rPr>
          <w:rFonts w:ascii="Arial" w:cs="Arial" w:eastAsia="Arial" w:hAnsi="Arial"/>
          <w:sz w:val="16"/>
          <w:szCs w:val="16"/>
          <w:color w:val="auto"/>
        </w:rPr>
        <w:t>Each Lender that is subject to the Act (as hereinafter defined) and the Administrative Agent (for itself and not on</w:t>
      </w:r>
      <w:r>
        <w:rPr>
          <w:rFonts w:ascii="Arial" w:cs="Arial" w:eastAsia="Arial" w:hAnsi="Arial"/>
          <w:sz w:val="16"/>
          <w:szCs w:val="16"/>
          <w:b w:val="1"/>
          <w:bCs w:val="1"/>
          <w:color w:val="auto"/>
        </w:rPr>
        <w:t xml:space="preserve"> </w:t>
      </w:r>
      <w:r>
        <w:rPr>
          <w:rFonts w:ascii="Arial" w:cs="Arial" w:eastAsia="Arial" w:hAnsi="Arial"/>
          <w:sz w:val="16"/>
          <w:szCs w:val="16"/>
          <w:color w:val="auto"/>
        </w:rPr>
        <w:t>behalf of any Lender) hereby notifies the Borrower that pursuant to the requirements of the USA PATRIOT Act (Title III of Pub. L. 107-56 (signed into law October 26, 2001)) (the “</w:t>
      </w:r>
      <w:r>
        <w:rPr>
          <w:rFonts w:ascii="Arial" w:cs="Arial" w:eastAsia="Arial" w:hAnsi="Arial"/>
          <w:sz w:val="16"/>
          <w:szCs w:val="16"/>
          <w:u w:val="single" w:color="auto"/>
          <w:color w:val="auto"/>
        </w:rPr>
        <w:t>Act</w:t>
      </w:r>
      <w:r>
        <w:rPr>
          <w:rFonts w:ascii="Arial" w:cs="Arial" w:eastAsia="Arial" w:hAnsi="Arial"/>
          <w:sz w:val="16"/>
          <w:szCs w:val="16"/>
          <w:color w:val="auto"/>
        </w:rPr>
        <w: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Act. The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10.17 Time of the Essence. </w:t>
      </w:r>
      <w:r>
        <w:rPr>
          <w:rFonts w:ascii="Arial" w:cs="Arial" w:eastAsia="Arial" w:hAnsi="Arial"/>
          <w:sz w:val="18"/>
          <w:szCs w:val="18"/>
          <w:color w:val="auto"/>
        </w:rPr>
        <w:t>Time is of the essence of the Loan Documents.</w:t>
      </w:r>
    </w:p>
    <w:p>
      <w:pPr>
        <w:spacing w:after="0" w:line="171" w:lineRule="exact"/>
        <w:rPr>
          <w:sz w:val="20"/>
          <w:szCs w:val="20"/>
          <w:color w:val="auto"/>
        </w:rPr>
      </w:pPr>
    </w:p>
    <w:p>
      <w:pPr>
        <w:jc w:val="both"/>
        <w:ind w:firstLine="913"/>
        <w:spacing w:after="0" w:line="284" w:lineRule="auto"/>
        <w:rPr>
          <w:sz w:val="20"/>
          <w:szCs w:val="20"/>
          <w:color w:val="auto"/>
        </w:rPr>
      </w:pPr>
      <w:r>
        <w:rPr>
          <w:rFonts w:ascii="Arial" w:cs="Arial" w:eastAsia="Arial" w:hAnsi="Arial"/>
          <w:sz w:val="16"/>
          <w:szCs w:val="16"/>
          <w:b w:val="1"/>
          <w:bCs w:val="1"/>
          <w:color w:val="auto"/>
        </w:rPr>
        <w:t xml:space="preserve">10.18 No Advisory or Fiduciary Responsibility. </w:t>
      </w:r>
      <w:r>
        <w:rPr>
          <w:rFonts w:ascii="Arial" w:cs="Arial" w:eastAsia="Arial" w:hAnsi="Arial"/>
          <w:sz w:val="16"/>
          <w:szCs w:val="16"/>
          <w:color w:val="auto"/>
        </w:rPr>
        <w:t>In connection with all aspects of each transaction contemplated hereby (including in connection</w:t>
      </w:r>
      <w:r>
        <w:rPr>
          <w:rFonts w:ascii="Arial" w:cs="Arial" w:eastAsia="Arial" w:hAnsi="Arial"/>
          <w:sz w:val="16"/>
          <w:szCs w:val="16"/>
          <w:b w:val="1"/>
          <w:bCs w:val="1"/>
          <w:color w:val="auto"/>
        </w:rPr>
        <w:t xml:space="preserve"> </w:t>
      </w:r>
      <w:r>
        <w:rPr>
          <w:rFonts w:ascii="Arial" w:cs="Arial" w:eastAsia="Arial" w:hAnsi="Arial"/>
          <w:sz w:val="16"/>
          <w:szCs w:val="16"/>
          <w:color w:val="auto"/>
        </w:rPr>
        <w:t>with any amendment, waiver or other modification hereof or of any other Loan Document), the Borrower acknowledges and agrees, and acknowledges its Affiliates’ understanding, that: (i) (A) the arranging and other services regarding this Agreement provided by the Administrative Agent and the Arrangers, are arm’s-length commercial transactions between the Borrower and its Affiliates, on the one hand, and the Administrative Agent and the Arrangers, on the other hand, (B) the Borrower has consulted its own legal, accounting, regulatory and tax advisors to the extent it has deemed appropriate, and (C) the Borrower is capable of evaluating, and understands and accepts, the terms, risks and conditions of the transactions contemplated hereby and by the other Loan Documents;</w:t>
      </w:r>
    </w:p>
    <w:p>
      <w:pPr>
        <w:spacing w:after="0" w:line="3" w:lineRule="exact"/>
        <w:rPr>
          <w:sz w:val="20"/>
          <w:szCs w:val="20"/>
          <w:color w:val="auto"/>
        </w:rPr>
      </w:pPr>
    </w:p>
    <w:p>
      <w:pPr>
        <w:jc w:val="both"/>
        <w:ind w:firstLine="8"/>
        <w:spacing w:after="0" w:line="287" w:lineRule="auto"/>
        <w:tabs>
          <w:tab w:leader="none" w:pos="268" w:val="left"/>
        </w:tabs>
        <w:numPr>
          <w:ilvl w:val="0"/>
          <w:numId w:val="210"/>
        </w:numPr>
        <w:rPr>
          <w:rFonts w:ascii="Arial" w:cs="Arial" w:eastAsia="Arial" w:hAnsi="Arial"/>
          <w:sz w:val="16"/>
          <w:szCs w:val="16"/>
          <w:color w:val="auto"/>
        </w:rPr>
      </w:pPr>
      <w:r>
        <w:rPr>
          <w:rFonts w:ascii="Arial" w:cs="Arial" w:eastAsia="Arial" w:hAnsi="Arial"/>
          <w:sz w:val="16"/>
          <w:szCs w:val="16"/>
          <w:color w:val="auto"/>
        </w:rPr>
        <w:t>(A) the Administrative Agent and each Arranger each is and has been acting solely as a principal and, except as expressly agreed in writing by the relevant parties, has not been, is not, and will not be acting as an advisor, agent or fiduciary for the Borrower or any of its Affiliates, or any other Person and (B) neither the Administrative Agent nor any Arranger has any obligation to the Borrower or any of its Affiliates with respect to the transactions contemplated hereby except those obligations expressly set forth herein and in the other Loan Documents; and (iii) the Administrative Agent and the Arrangers and their respective Affiliates may be engaged in a broad range of transactions that involve interests that differ from those of the Borrower and its Affiliates, and neither the Administrative Agent nor any Arranger has any obligation to disclose any of such interests to the Borrower or its Affiliates. To the fullest extent permitted by Law, the Borrower hereby waives and releases any claims that it may have against the Administrative Agent or any Arranger with respect to any breach or alleged breach of agency or fiduciary duty in connection with any aspect of any transaction contemplated hereby.</w:t>
      </w:r>
    </w:p>
    <w:p>
      <w:pPr>
        <w:spacing w:after="0" w:line="118"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b w:val="1"/>
          <w:bCs w:val="1"/>
          <w:color w:val="auto"/>
        </w:rPr>
        <w:t xml:space="preserve">10.19 Electronic Execution of Assignments and Certain Other Documents. </w:t>
      </w:r>
      <w:r>
        <w:rPr>
          <w:rFonts w:ascii="Arial" w:cs="Arial" w:eastAsia="Arial" w:hAnsi="Arial"/>
          <w:sz w:val="18"/>
          <w:szCs w:val="18"/>
          <w:color w:val="auto"/>
        </w:rPr>
        <w:t>The words “execution,” “signed,” “signature,” and words of like</w:t>
      </w:r>
      <w:r>
        <w:rPr>
          <w:rFonts w:ascii="Arial" w:cs="Arial" w:eastAsia="Arial" w:hAnsi="Arial"/>
          <w:sz w:val="18"/>
          <w:szCs w:val="18"/>
          <w:b w:val="1"/>
          <w:bCs w:val="1"/>
          <w:color w:val="auto"/>
        </w:rPr>
        <w:t xml:space="preserve"> </w:t>
      </w:r>
      <w:r>
        <w:rPr>
          <w:rFonts w:ascii="Arial" w:cs="Arial" w:eastAsia="Arial" w:hAnsi="Arial"/>
          <w:sz w:val="18"/>
          <w:szCs w:val="18"/>
          <w:color w:val="auto"/>
        </w:rPr>
        <w:t>import in any Assignment and Assumption or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274" w:right="23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parties hereto have caused this Agreement to be duly executed as of the date first above written.</w:t>
      </w:r>
    </w:p>
    <w:p>
      <w:pPr>
        <w:spacing w:after="0" w:line="206" w:lineRule="exact"/>
        <w:rPr>
          <w:sz w:val="20"/>
          <w:szCs w:val="20"/>
          <w:color w:val="auto"/>
        </w:rPr>
      </w:pPr>
    </w:p>
    <w:p>
      <w:pPr>
        <w:ind w:left="6400"/>
        <w:spacing w:after="0"/>
        <w:rPr>
          <w:sz w:val="20"/>
          <w:szCs w:val="20"/>
          <w:color w:val="auto"/>
        </w:rPr>
      </w:pPr>
      <w:r>
        <w:rPr>
          <w:rFonts w:ascii="Arial" w:cs="Arial" w:eastAsia="Arial" w:hAnsi="Arial"/>
          <w:sz w:val="16"/>
          <w:szCs w:val="16"/>
          <w:b w:val="1"/>
          <w:bCs w:val="1"/>
          <w:color w:val="auto"/>
        </w:rPr>
        <w:t>INTEGRA LIFESCIENCES HOLDINGS CORPORATION</w:t>
      </w:r>
      <w:r>
        <w:rPr>
          <w:rFonts w:ascii="Arial" w:cs="Arial" w:eastAsia="Arial" w:hAnsi="Arial"/>
          <w:sz w:val="16"/>
          <w:szCs w:val="16"/>
          <w:color w:val="auto"/>
        </w:rPr>
        <w:t>,</w:t>
      </w:r>
    </w:p>
    <w:p>
      <w:pPr>
        <w:spacing w:after="0" w:line="4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 Delaware corporation, as the Borrower</w:t>
      </w:r>
    </w:p>
    <w:p>
      <w:pPr>
        <w:spacing w:after="0" w:line="219" w:lineRule="exact"/>
        <w:rPr>
          <w:sz w:val="20"/>
          <w:szCs w:val="20"/>
          <w:color w:val="auto"/>
        </w:rPr>
      </w:pPr>
    </w:p>
    <w:tbl>
      <w:tblPr>
        <w:tblLayout w:type="fixed"/>
        <w:tblInd w:w="6400" w:type="dxa"/>
        <w:tblCellMar>
          <w:top w:w="0" w:type="dxa"/>
          <w:left w:w="0" w:type="dxa"/>
          <w:bottom w:w="0" w:type="dxa"/>
          <w:right w:w="0" w:type="dxa"/>
        </w:tblCellMar>
      </w:tblPr>
      <w:tr>
        <w:trPr>
          <w:trHeight w:val="223"/>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180" w:type="dxa"/>
            <w:vAlign w:val="bottom"/>
            <w:tcBorders>
              <w:bottom w:val="single" w:sz="8" w:color="auto"/>
            </w:tcBorders>
            <w:gridSpan w:val="2"/>
          </w:tcPr>
          <w:p>
            <w:pPr>
              <w:spacing w:after="0"/>
              <w:rPr>
                <w:sz w:val="19"/>
                <w:szCs w:val="19"/>
                <w:color w:val="auto"/>
              </w:rPr>
            </w:pPr>
          </w:p>
        </w:tc>
        <w:tc>
          <w:tcPr>
            <w:tcW w:w="40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Stuart M. Essig</w:t>
            </w:r>
          </w:p>
        </w:tc>
      </w:tr>
      <w:tr>
        <w:trPr>
          <w:trHeight w:val="222"/>
        </w:trPr>
        <w:tc>
          <w:tcPr>
            <w:tcW w:w="500" w:type="dxa"/>
            <w:vAlign w:val="bottom"/>
            <w:gridSpan w:val="3"/>
          </w:tcPr>
          <w:p>
            <w:pPr>
              <w:spacing w:after="0"/>
              <w:rPr>
                <w:sz w:val="20"/>
                <w:szCs w:val="20"/>
                <w:color w:val="auto"/>
              </w:rPr>
            </w:pPr>
            <w:r>
              <w:rPr>
                <w:rFonts w:ascii="Arial" w:cs="Arial" w:eastAsia="Arial" w:hAnsi="Arial"/>
                <w:sz w:val="18"/>
                <w:szCs w:val="18"/>
                <w:color w:val="auto"/>
                <w:w w:val="90"/>
              </w:rPr>
              <w:t>Name:</w:t>
            </w:r>
          </w:p>
        </w:tc>
        <w:tc>
          <w:tcPr>
            <w:tcW w:w="406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Stuart M. Essig</w:t>
            </w:r>
          </w:p>
        </w:tc>
      </w:tr>
      <w:tr>
        <w:trPr>
          <w:trHeight w:val="224"/>
        </w:trPr>
        <w:tc>
          <w:tcPr>
            <w:tcW w:w="420" w:type="dxa"/>
            <w:vAlign w:val="bottom"/>
            <w:gridSpan w:val="2"/>
          </w:tcPr>
          <w:p>
            <w:pPr>
              <w:spacing w:after="0"/>
              <w:rPr>
                <w:sz w:val="20"/>
                <w:szCs w:val="20"/>
                <w:color w:val="auto"/>
              </w:rPr>
            </w:pPr>
            <w:r>
              <w:rPr>
                <w:rFonts w:ascii="Arial" w:cs="Arial" w:eastAsia="Arial" w:hAnsi="Arial"/>
                <w:sz w:val="18"/>
                <w:szCs w:val="18"/>
                <w:color w:val="auto"/>
              </w:rPr>
              <w:t>Title:</w:t>
            </w:r>
          </w:p>
        </w:tc>
        <w:tc>
          <w:tcPr>
            <w:tcW w:w="80" w:type="dxa"/>
            <w:vAlign w:val="bottom"/>
            <w:tcBorders>
              <w:bottom w:val="single" w:sz="8" w:color="auto"/>
            </w:tcBorders>
          </w:tcPr>
          <w:p>
            <w:pPr>
              <w:spacing w:after="0"/>
              <w:rPr>
                <w:sz w:val="19"/>
                <w:szCs w:val="19"/>
                <w:color w:val="auto"/>
              </w:rPr>
            </w:pPr>
          </w:p>
        </w:tc>
        <w:tc>
          <w:tcPr>
            <w:tcW w:w="406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rPr>
              <w:t>Chief Executive Officer</w:t>
            </w:r>
          </w:p>
        </w:tc>
      </w:tr>
    </w:tbl>
    <w:p>
      <w:pPr>
        <w:spacing w:after="0" w:line="21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 as</w:t>
      </w:r>
    </w:p>
    <w:p>
      <w:pPr>
        <w:spacing w:after="0" w:line="2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Administrative Agent</w:t>
      </w:r>
    </w:p>
    <w:p>
      <w:pPr>
        <w:spacing w:after="0" w:line="219" w:lineRule="exact"/>
        <w:rPr>
          <w:sz w:val="20"/>
          <w:szCs w:val="20"/>
          <w:color w:val="auto"/>
        </w:rPr>
      </w:pPr>
    </w:p>
    <w:tbl>
      <w:tblPr>
        <w:tblLayout w:type="fixed"/>
        <w:tblInd w:w="6400" w:type="dxa"/>
        <w:tblCellMar>
          <w:top w:w="0" w:type="dxa"/>
          <w:left w:w="0" w:type="dxa"/>
          <w:bottom w:w="0" w:type="dxa"/>
          <w:right w:w="0" w:type="dxa"/>
        </w:tblCellMar>
      </w:tblPr>
      <w:tr>
        <w:trPr>
          <w:trHeight w:val="223"/>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180" w:type="dxa"/>
            <w:vAlign w:val="bottom"/>
            <w:tcBorders>
              <w:bottom w:val="single" w:sz="8" w:color="auto"/>
            </w:tcBorders>
            <w:gridSpan w:val="2"/>
          </w:tcPr>
          <w:p>
            <w:pPr>
              <w:spacing w:after="0"/>
              <w:rPr>
                <w:sz w:val="19"/>
                <w:szCs w:val="19"/>
                <w:color w:val="auto"/>
              </w:rPr>
            </w:pPr>
          </w:p>
        </w:tc>
        <w:tc>
          <w:tcPr>
            <w:tcW w:w="40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Annie L. Edwards</w:t>
            </w:r>
          </w:p>
        </w:tc>
      </w:tr>
      <w:tr>
        <w:trPr>
          <w:trHeight w:val="222"/>
        </w:trPr>
        <w:tc>
          <w:tcPr>
            <w:tcW w:w="500" w:type="dxa"/>
            <w:vAlign w:val="bottom"/>
            <w:gridSpan w:val="3"/>
          </w:tcPr>
          <w:p>
            <w:pPr>
              <w:spacing w:after="0"/>
              <w:rPr>
                <w:sz w:val="20"/>
                <w:szCs w:val="20"/>
                <w:color w:val="auto"/>
              </w:rPr>
            </w:pPr>
            <w:r>
              <w:rPr>
                <w:rFonts w:ascii="Arial" w:cs="Arial" w:eastAsia="Arial" w:hAnsi="Arial"/>
                <w:sz w:val="18"/>
                <w:szCs w:val="18"/>
                <w:color w:val="auto"/>
                <w:w w:val="90"/>
              </w:rPr>
              <w:t>Name:</w:t>
            </w:r>
          </w:p>
        </w:tc>
        <w:tc>
          <w:tcPr>
            <w:tcW w:w="406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Annie L. Edwards</w:t>
            </w:r>
          </w:p>
        </w:tc>
      </w:tr>
      <w:tr>
        <w:trPr>
          <w:trHeight w:val="224"/>
        </w:trPr>
        <w:tc>
          <w:tcPr>
            <w:tcW w:w="420" w:type="dxa"/>
            <w:vAlign w:val="bottom"/>
            <w:gridSpan w:val="2"/>
          </w:tcPr>
          <w:p>
            <w:pPr>
              <w:spacing w:after="0"/>
              <w:rPr>
                <w:sz w:val="20"/>
                <w:szCs w:val="20"/>
                <w:color w:val="auto"/>
              </w:rPr>
            </w:pPr>
            <w:r>
              <w:rPr>
                <w:rFonts w:ascii="Arial" w:cs="Arial" w:eastAsia="Arial" w:hAnsi="Arial"/>
                <w:sz w:val="18"/>
                <w:szCs w:val="18"/>
                <w:color w:val="auto"/>
              </w:rPr>
              <w:t>Title:</w:t>
            </w:r>
          </w:p>
        </w:tc>
        <w:tc>
          <w:tcPr>
            <w:tcW w:w="80" w:type="dxa"/>
            <w:vAlign w:val="bottom"/>
            <w:tcBorders>
              <w:bottom w:val="single" w:sz="8" w:color="auto"/>
            </w:tcBorders>
          </w:tcPr>
          <w:p>
            <w:pPr>
              <w:spacing w:after="0"/>
              <w:rPr>
                <w:sz w:val="19"/>
                <w:szCs w:val="19"/>
                <w:color w:val="auto"/>
              </w:rPr>
            </w:pPr>
          </w:p>
        </w:tc>
        <w:tc>
          <w:tcPr>
            <w:tcW w:w="406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rPr>
              <w:t>Director</w:t>
            </w:r>
          </w:p>
        </w:tc>
      </w:tr>
    </w:tbl>
    <w:p>
      <w:pPr>
        <w:spacing w:after="0" w:line="21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 as</w:t>
      </w:r>
    </w:p>
    <w:p>
      <w:pPr>
        <w:spacing w:after="0" w:line="2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 Lender, L/C Issuer and Swing Line Lender</w:t>
      </w:r>
    </w:p>
    <w:p>
      <w:pPr>
        <w:spacing w:after="0" w:line="232" w:lineRule="exact"/>
        <w:rPr>
          <w:sz w:val="20"/>
          <w:szCs w:val="20"/>
          <w:color w:val="auto"/>
        </w:rPr>
      </w:pPr>
    </w:p>
    <w:tbl>
      <w:tblPr>
        <w:tblLayout w:type="fixed"/>
        <w:tblInd w:w="6400" w:type="dxa"/>
        <w:tblCellMar>
          <w:top w:w="0" w:type="dxa"/>
          <w:left w:w="0" w:type="dxa"/>
          <w:bottom w:w="0" w:type="dxa"/>
          <w:right w:w="0" w:type="dxa"/>
        </w:tblCellMar>
      </w:tblPr>
      <w:tr>
        <w:trPr>
          <w:trHeight w:val="223"/>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180" w:type="dxa"/>
            <w:vAlign w:val="bottom"/>
            <w:tcBorders>
              <w:bottom w:val="single" w:sz="8" w:color="auto"/>
            </w:tcBorders>
            <w:gridSpan w:val="2"/>
          </w:tcPr>
          <w:p>
            <w:pPr>
              <w:spacing w:after="0"/>
              <w:rPr>
                <w:sz w:val="19"/>
                <w:szCs w:val="19"/>
                <w:color w:val="auto"/>
              </w:rPr>
            </w:pPr>
          </w:p>
        </w:tc>
        <w:tc>
          <w:tcPr>
            <w:tcW w:w="40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Annie L. Edwards</w:t>
            </w:r>
          </w:p>
        </w:tc>
      </w:tr>
      <w:tr>
        <w:trPr>
          <w:trHeight w:val="222"/>
        </w:trPr>
        <w:tc>
          <w:tcPr>
            <w:tcW w:w="500" w:type="dxa"/>
            <w:vAlign w:val="bottom"/>
            <w:gridSpan w:val="3"/>
          </w:tcPr>
          <w:p>
            <w:pPr>
              <w:spacing w:after="0"/>
              <w:rPr>
                <w:sz w:val="20"/>
                <w:szCs w:val="20"/>
                <w:color w:val="auto"/>
              </w:rPr>
            </w:pPr>
            <w:r>
              <w:rPr>
                <w:rFonts w:ascii="Arial" w:cs="Arial" w:eastAsia="Arial" w:hAnsi="Arial"/>
                <w:sz w:val="18"/>
                <w:szCs w:val="18"/>
                <w:color w:val="auto"/>
                <w:w w:val="90"/>
              </w:rPr>
              <w:t>Name:</w:t>
            </w:r>
          </w:p>
        </w:tc>
        <w:tc>
          <w:tcPr>
            <w:tcW w:w="406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Annie L. Edwards</w:t>
            </w:r>
          </w:p>
        </w:tc>
      </w:tr>
      <w:tr>
        <w:trPr>
          <w:trHeight w:val="224"/>
        </w:trPr>
        <w:tc>
          <w:tcPr>
            <w:tcW w:w="420" w:type="dxa"/>
            <w:vAlign w:val="bottom"/>
            <w:gridSpan w:val="2"/>
          </w:tcPr>
          <w:p>
            <w:pPr>
              <w:spacing w:after="0"/>
              <w:rPr>
                <w:sz w:val="20"/>
                <w:szCs w:val="20"/>
                <w:color w:val="auto"/>
              </w:rPr>
            </w:pPr>
            <w:r>
              <w:rPr>
                <w:rFonts w:ascii="Arial" w:cs="Arial" w:eastAsia="Arial" w:hAnsi="Arial"/>
                <w:sz w:val="18"/>
                <w:szCs w:val="18"/>
                <w:color w:val="auto"/>
              </w:rPr>
              <w:t>Title:</w:t>
            </w:r>
          </w:p>
        </w:tc>
        <w:tc>
          <w:tcPr>
            <w:tcW w:w="80" w:type="dxa"/>
            <w:vAlign w:val="bottom"/>
            <w:tcBorders>
              <w:bottom w:val="single" w:sz="8" w:color="auto"/>
            </w:tcBorders>
          </w:tcPr>
          <w:p>
            <w:pPr>
              <w:spacing w:after="0"/>
              <w:rPr>
                <w:sz w:val="19"/>
                <w:szCs w:val="19"/>
                <w:color w:val="auto"/>
              </w:rPr>
            </w:pPr>
          </w:p>
        </w:tc>
        <w:tc>
          <w:tcPr>
            <w:tcW w:w="406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rPr>
              <w:t>Director</w:t>
            </w:r>
          </w:p>
        </w:tc>
      </w:tr>
    </w:tbl>
    <w:p>
      <w:pPr>
        <w:spacing w:after="0" w:line="21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JPMORGAN CHASE BANK</w:t>
      </w:r>
      <w:r>
        <w:rPr>
          <w:rFonts w:ascii="Arial" w:cs="Arial" w:eastAsia="Arial" w:hAnsi="Arial"/>
          <w:sz w:val="18"/>
          <w:szCs w:val="18"/>
          <w:color w:val="auto"/>
        </w:rPr>
        <w:t>, as</w:t>
      </w:r>
    </w:p>
    <w:p>
      <w:pPr>
        <w:spacing w:after="0" w:line="2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Syndication Agent and a Lender</w:t>
      </w:r>
    </w:p>
    <w:p>
      <w:pPr>
        <w:spacing w:after="0" w:line="219" w:lineRule="exact"/>
        <w:rPr>
          <w:sz w:val="20"/>
          <w:szCs w:val="20"/>
          <w:color w:val="auto"/>
        </w:rPr>
      </w:pPr>
    </w:p>
    <w:tbl>
      <w:tblPr>
        <w:tblLayout w:type="fixed"/>
        <w:tblInd w:w="6400" w:type="dxa"/>
        <w:tblCellMar>
          <w:top w:w="0" w:type="dxa"/>
          <w:left w:w="0" w:type="dxa"/>
          <w:bottom w:w="0" w:type="dxa"/>
          <w:right w:w="0" w:type="dxa"/>
        </w:tblCellMar>
      </w:tblPr>
      <w:tr>
        <w:trPr>
          <w:trHeight w:val="223"/>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180" w:type="dxa"/>
            <w:vAlign w:val="bottom"/>
            <w:tcBorders>
              <w:bottom w:val="single" w:sz="8" w:color="auto"/>
            </w:tcBorders>
            <w:gridSpan w:val="2"/>
          </w:tcPr>
          <w:p>
            <w:pPr>
              <w:spacing w:after="0"/>
              <w:rPr>
                <w:sz w:val="19"/>
                <w:szCs w:val="19"/>
                <w:color w:val="auto"/>
              </w:rPr>
            </w:pPr>
          </w:p>
        </w:tc>
        <w:tc>
          <w:tcPr>
            <w:tcW w:w="40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D. Scott Farquhar</w:t>
            </w:r>
          </w:p>
        </w:tc>
      </w:tr>
      <w:tr>
        <w:trPr>
          <w:trHeight w:val="222"/>
        </w:trPr>
        <w:tc>
          <w:tcPr>
            <w:tcW w:w="500" w:type="dxa"/>
            <w:vAlign w:val="bottom"/>
            <w:gridSpan w:val="3"/>
          </w:tcPr>
          <w:p>
            <w:pPr>
              <w:spacing w:after="0"/>
              <w:rPr>
                <w:sz w:val="20"/>
                <w:szCs w:val="20"/>
                <w:color w:val="auto"/>
              </w:rPr>
            </w:pPr>
            <w:r>
              <w:rPr>
                <w:rFonts w:ascii="Arial" w:cs="Arial" w:eastAsia="Arial" w:hAnsi="Arial"/>
                <w:sz w:val="18"/>
                <w:szCs w:val="18"/>
                <w:color w:val="auto"/>
                <w:w w:val="90"/>
              </w:rPr>
              <w:t>Name:</w:t>
            </w:r>
          </w:p>
        </w:tc>
        <w:tc>
          <w:tcPr>
            <w:tcW w:w="406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D. Scott Farquhar</w:t>
            </w:r>
          </w:p>
        </w:tc>
      </w:tr>
      <w:tr>
        <w:trPr>
          <w:trHeight w:val="224"/>
        </w:trPr>
        <w:tc>
          <w:tcPr>
            <w:tcW w:w="420" w:type="dxa"/>
            <w:vAlign w:val="bottom"/>
            <w:gridSpan w:val="2"/>
          </w:tcPr>
          <w:p>
            <w:pPr>
              <w:spacing w:after="0"/>
              <w:rPr>
                <w:sz w:val="20"/>
                <w:szCs w:val="20"/>
                <w:color w:val="auto"/>
              </w:rPr>
            </w:pPr>
            <w:r>
              <w:rPr>
                <w:rFonts w:ascii="Arial" w:cs="Arial" w:eastAsia="Arial" w:hAnsi="Arial"/>
                <w:sz w:val="18"/>
                <w:szCs w:val="18"/>
                <w:color w:val="auto"/>
              </w:rPr>
              <w:t>Title:</w:t>
            </w:r>
          </w:p>
        </w:tc>
        <w:tc>
          <w:tcPr>
            <w:tcW w:w="80" w:type="dxa"/>
            <w:vAlign w:val="bottom"/>
            <w:tcBorders>
              <w:bottom w:val="single" w:sz="8" w:color="auto"/>
            </w:tcBorders>
          </w:tcPr>
          <w:p>
            <w:pPr>
              <w:spacing w:after="0"/>
              <w:rPr>
                <w:sz w:val="19"/>
                <w:szCs w:val="19"/>
                <w:color w:val="auto"/>
              </w:rPr>
            </w:pPr>
          </w:p>
        </w:tc>
        <w:tc>
          <w:tcPr>
            <w:tcW w:w="406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rPr>
              <w:t>Senior Vice President</w:t>
            </w:r>
          </w:p>
        </w:tc>
      </w:tr>
    </w:tbl>
    <w:p>
      <w:pPr>
        <w:spacing w:after="0" w:line="215" w:lineRule="exact"/>
        <w:rPr>
          <w:sz w:val="20"/>
          <w:szCs w:val="20"/>
          <w:color w:val="auto"/>
        </w:rPr>
      </w:pPr>
    </w:p>
    <w:p>
      <w:pPr>
        <w:ind w:left="6400"/>
        <w:spacing w:after="0"/>
        <w:rPr>
          <w:sz w:val="20"/>
          <w:szCs w:val="20"/>
          <w:color w:val="auto"/>
        </w:rPr>
      </w:pPr>
      <w:r>
        <w:rPr>
          <w:rFonts w:ascii="Arial" w:cs="Arial" w:eastAsia="Arial" w:hAnsi="Arial"/>
          <w:sz w:val="16"/>
          <w:szCs w:val="16"/>
          <w:b w:val="1"/>
          <w:bCs w:val="1"/>
          <w:color w:val="auto"/>
        </w:rPr>
        <w:t>WELLS FARGO BANK, NATIONAL ASSOCIATION</w:t>
      </w:r>
      <w:r>
        <w:rPr>
          <w:rFonts w:ascii="Arial" w:cs="Arial" w:eastAsia="Arial" w:hAnsi="Arial"/>
          <w:sz w:val="16"/>
          <w:szCs w:val="16"/>
          <w:color w:val="auto"/>
        </w:rPr>
        <w:t>, as a</w:t>
      </w:r>
    </w:p>
    <w:p>
      <w:pPr>
        <w:spacing w:after="0" w:line="4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Co-Documentation Agent and as a Lender</w:t>
      </w:r>
    </w:p>
    <w:p>
      <w:pPr>
        <w:spacing w:after="0" w:line="219" w:lineRule="exact"/>
        <w:rPr>
          <w:sz w:val="20"/>
          <w:szCs w:val="20"/>
          <w:color w:val="auto"/>
        </w:rPr>
      </w:pPr>
    </w:p>
    <w:tbl>
      <w:tblPr>
        <w:tblLayout w:type="fixed"/>
        <w:tblInd w:w="6400" w:type="dxa"/>
        <w:tblCellMar>
          <w:top w:w="0" w:type="dxa"/>
          <w:left w:w="0" w:type="dxa"/>
          <w:bottom w:w="0" w:type="dxa"/>
          <w:right w:w="0" w:type="dxa"/>
        </w:tblCellMar>
      </w:tblPr>
      <w:tr>
        <w:trPr>
          <w:trHeight w:val="223"/>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180" w:type="dxa"/>
            <w:vAlign w:val="bottom"/>
            <w:tcBorders>
              <w:bottom w:val="single" w:sz="8" w:color="auto"/>
            </w:tcBorders>
            <w:gridSpan w:val="2"/>
          </w:tcPr>
          <w:p>
            <w:pPr>
              <w:spacing w:after="0"/>
              <w:rPr>
                <w:sz w:val="19"/>
                <w:szCs w:val="19"/>
                <w:color w:val="auto"/>
              </w:rPr>
            </w:pPr>
          </w:p>
        </w:tc>
        <w:tc>
          <w:tcPr>
            <w:tcW w:w="40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Timothy J. Smith</w:t>
            </w:r>
          </w:p>
        </w:tc>
      </w:tr>
      <w:tr>
        <w:trPr>
          <w:trHeight w:val="222"/>
        </w:trPr>
        <w:tc>
          <w:tcPr>
            <w:tcW w:w="500" w:type="dxa"/>
            <w:vAlign w:val="bottom"/>
            <w:gridSpan w:val="3"/>
          </w:tcPr>
          <w:p>
            <w:pPr>
              <w:spacing w:after="0"/>
              <w:rPr>
                <w:sz w:val="20"/>
                <w:szCs w:val="20"/>
                <w:color w:val="auto"/>
              </w:rPr>
            </w:pPr>
            <w:r>
              <w:rPr>
                <w:rFonts w:ascii="Arial" w:cs="Arial" w:eastAsia="Arial" w:hAnsi="Arial"/>
                <w:sz w:val="18"/>
                <w:szCs w:val="18"/>
                <w:color w:val="auto"/>
                <w:w w:val="90"/>
              </w:rPr>
              <w:t>Name:</w:t>
            </w:r>
          </w:p>
        </w:tc>
        <w:tc>
          <w:tcPr>
            <w:tcW w:w="406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rPr>
              <w:t>Timothy J. Smith</w:t>
            </w:r>
          </w:p>
        </w:tc>
      </w:tr>
      <w:tr>
        <w:trPr>
          <w:trHeight w:val="224"/>
        </w:trPr>
        <w:tc>
          <w:tcPr>
            <w:tcW w:w="420" w:type="dxa"/>
            <w:vAlign w:val="bottom"/>
            <w:gridSpan w:val="2"/>
          </w:tcPr>
          <w:p>
            <w:pPr>
              <w:spacing w:after="0"/>
              <w:rPr>
                <w:sz w:val="20"/>
                <w:szCs w:val="20"/>
                <w:color w:val="auto"/>
              </w:rPr>
            </w:pPr>
            <w:r>
              <w:rPr>
                <w:rFonts w:ascii="Arial" w:cs="Arial" w:eastAsia="Arial" w:hAnsi="Arial"/>
                <w:sz w:val="18"/>
                <w:szCs w:val="18"/>
                <w:color w:val="auto"/>
              </w:rPr>
              <w:t>Title:</w:t>
            </w:r>
          </w:p>
        </w:tc>
        <w:tc>
          <w:tcPr>
            <w:tcW w:w="80" w:type="dxa"/>
            <w:vAlign w:val="bottom"/>
            <w:tcBorders>
              <w:bottom w:val="single" w:sz="8" w:color="auto"/>
            </w:tcBorders>
          </w:tcPr>
          <w:p>
            <w:pPr>
              <w:spacing w:after="0"/>
              <w:rPr>
                <w:sz w:val="19"/>
                <w:szCs w:val="19"/>
                <w:color w:val="auto"/>
              </w:rPr>
            </w:pPr>
          </w:p>
        </w:tc>
        <w:tc>
          <w:tcPr>
            <w:tcW w:w="406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Senior Vice President</w:t>
            </w:r>
          </w:p>
        </w:tc>
      </w:tr>
    </w:tbl>
    <w:p>
      <w:pPr>
        <w:spacing w:after="0" w:line="16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SECOND AMENDED AND RESTATED CREDIT AGREEMENT</w:t>
      </w:r>
    </w:p>
    <w:p>
      <w:pPr>
        <w:spacing w:after="0" w:line="1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960"/>
          </w:cols>
          <w:pgMar w:left="700" w:top="280" w:right="239" w:bottom="1440" w:gutter="0" w:footer="0" w:header="0"/>
        </w:sectPr>
      </w:pPr>
    </w:p>
    <w:bookmarkStart w:id="175" w:name="page176"/>
    <w:bookmarkEnd w:id="175"/>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DNB NOR BANK ASA</w:t>
      </w:r>
      <w:r>
        <w:rPr>
          <w:rFonts w:ascii="Arial" w:cs="Arial" w:eastAsia="Arial" w:hAnsi="Arial"/>
          <w:sz w:val="18"/>
          <w:szCs w:val="18"/>
          <w:color w:val="auto"/>
        </w:rPr>
        <w:t>, as a Co-Documentation</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Agent and as a Lender</w:t>
      </w:r>
    </w:p>
    <w:p>
      <w:pPr>
        <w:spacing w:after="0" w:line="219" w:lineRule="exact"/>
        <w:rPr>
          <w:sz w:val="20"/>
          <w:szCs w:val="20"/>
          <w:color w:val="auto"/>
        </w:rPr>
      </w:pPr>
    </w:p>
    <w:tbl>
      <w:tblPr>
        <w:tblLayout w:type="fixed"/>
        <w:tblInd w:w="5660" w:type="dxa"/>
        <w:tblCellMar>
          <w:top w:w="0" w:type="dxa"/>
          <w:left w:w="0" w:type="dxa"/>
          <w:bottom w:w="0" w:type="dxa"/>
          <w:right w:w="0" w:type="dxa"/>
        </w:tblCellMar>
      </w:tblPr>
      <w:tr>
        <w:trPr>
          <w:trHeight w:val="223"/>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200" w:type="dxa"/>
            <w:vAlign w:val="bottom"/>
            <w:tcBorders>
              <w:bottom w:val="single" w:sz="8" w:color="auto"/>
            </w:tcBorders>
            <w:gridSpan w:val="2"/>
          </w:tcPr>
          <w:p>
            <w:pPr>
              <w:spacing w:after="0"/>
              <w:rPr>
                <w:sz w:val="19"/>
                <w:szCs w:val="19"/>
                <w:color w:val="auto"/>
              </w:rPr>
            </w:pPr>
          </w:p>
        </w:tc>
        <w:tc>
          <w:tcPr>
            <w:tcW w:w="40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Phil Kurpiewski</w:t>
            </w:r>
          </w:p>
        </w:tc>
      </w:tr>
      <w:tr>
        <w:trPr>
          <w:trHeight w:val="222"/>
        </w:trPr>
        <w:tc>
          <w:tcPr>
            <w:tcW w:w="500" w:type="dxa"/>
            <w:vAlign w:val="bottom"/>
            <w:gridSpan w:val="3"/>
          </w:tcPr>
          <w:p>
            <w:pPr>
              <w:spacing w:after="0"/>
              <w:rPr>
                <w:sz w:val="20"/>
                <w:szCs w:val="20"/>
                <w:color w:val="auto"/>
              </w:rPr>
            </w:pPr>
            <w:r>
              <w:rPr>
                <w:rFonts w:ascii="Arial" w:cs="Arial" w:eastAsia="Arial" w:hAnsi="Arial"/>
                <w:sz w:val="18"/>
                <w:szCs w:val="18"/>
                <w:color w:val="auto"/>
                <w:w w:val="90"/>
              </w:rPr>
              <w:t>Name:</w:t>
            </w:r>
          </w:p>
        </w:tc>
        <w:tc>
          <w:tcPr>
            <w:tcW w:w="406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Phil Kurpiewski</w:t>
            </w:r>
          </w:p>
        </w:tc>
      </w:tr>
      <w:tr>
        <w:trPr>
          <w:trHeight w:val="224"/>
        </w:trPr>
        <w:tc>
          <w:tcPr>
            <w:tcW w:w="420" w:type="dxa"/>
            <w:vAlign w:val="bottom"/>
            <w:gridSpan w:val="2"/>
          </w:tcPr>
          <w:p>
            <w:pPr>
              <w:spacing w:after="0"/>
              <w:rPr>
                <w:sz w:val="20"/>
                <w:szCs w:val="20"/>
                <w:color w:val="auto"/>
              </w:rPr>
            </w:pPr>
            <w:r>
              <w:rPr>
                <w:rFonts w:ascii="Arial" w:cs="Arial" w:eastAsia="Arial" w:hAnsi="Arial"/>
                <w:sz w:val="18"/>
                <w:szCs w:val="18"/>
                <w:color w:val="auto"/>
              </w:rPr>
              <w:t>Title:</w:t>
            </w:r>
          </w:p>
        </w:tc>
        <w:tc>
          <w:tcPr>
            <w:tcW w:w="80" w:type="dxa"/>
            <w:vAlign w:val="bottom"/>
            <w:tcBorders>
              <w:bottom w:val="single" w:sz="8" w:color="auto"/>
            </w:tcBorders>
          </w:tcPr>
          <w:p>
            <w:pPr>
              <w:spacing w:after="0"/>
              <w:rPr>
                <w:sz w:val="19"/>
                <w:szCs w:val="19"/>
                <w:color w:val="auto"/>
              </w:rPr>
            </w:pPr>
          </w:p>
        </w:tc>
        <w:tc>
          <w:tcPr>
            <w:tcW w:w="406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Senior Vice President</w:t>
            </w:r>
          </w:p>
        </w:tc>
      </w:tr>
      <w:tr>
        <w:trPr>
          <w:trHeight w:val="439"/>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200" w:type="dxa"/>
            <w:vAlign w:val="bottom"/>
            <w:tcBorders>
              <w:bottom w:val="single" w:sz="8" w:color="auto"/>
            </w:tcBorders>
            <w:gridSpan w:val="2"/>
          </w:tcPr>
          <w:p>
            <w:pPr>
              <w:spacing w:after="0"/>
              <w:rPr>
                <w:sz w:val="24"/>
                <w:szCs w:val="24"/>
                <w:color w:val="auto"/>
              </w:rPr>
            </w:pPr>
          </w:p>
        </w:tc>
        <w:tc>
          <w:tcPr>
            <w:tcW w:w="40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Kristie Li</w:t>
            </w:r>
          </w:p>
        </w:tc>
      </w:tr>
      <w:tr>
        <w:trPr>
          <w:trHeight w:val="222"/>
        </w:trPr>
        <w:tc>
          <w:tcPr>
            <w:tcW w:w="500" w:type="dxa"/>
            <w:vAlign w:val="bottom"/>
            <w:gridSpan w:val="3"/>
          </w:tcPr>
          <w:p>
            <w:pPr>
              <w:spacing w:after="0"/>
              <w:rPr>
                <w:sz w:val="20"/>
                <w:szCs w:val="20"/>
                <w:color w:val="auto"/>
              </w:rPr>
            </w:pPr>
            <w:r>
              <w:rPr>
                <w:rFonts w:ascii="Arial" w:cs="Arial" w:eastAsia="Arial" w:hAnsi="Arial"/>
                <w:sz w:val="18"/>
                <w:szCs w:val="18"/>
                <w:color w:val="auto"/>
                <w:w w:val="90"/>
              </w:rPr>
              <w:t>Name:</w:t>
            </w:r>
          </w:p>
        </w:tc>
        <w:tc>
          <w:tcPr>
            <w:tcW w:w="406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Kristie Li</w:t>
            </w:r>
          </w:p>
        </w:tc>
      </w:tr>
      <w:tr>
        <w:trPr>
          <w:trHeight w:val="224"/>
        </w:trPr>
        <w:tc>
          <w:tcPr>
            <w:tcW w:w="420" w:type="dxa"/>
            <w:vAlign w:val="bottom"/>
            <w:gridSpan w:val="2"/>
          </w:tcPr>
          <w:p>
            <w:pPr>
              <w:spacing w:after="0"/>
              <w:rPr>
                <w:sz w:val="20"/>
                <w:szCs w:val="20"/>
                <w:color w:val="auto"/>
              </w:rPr>
            </w:pPr>
            <w:r>
              <w:rPr>
                <w:rFonts w:ascii="Arial" w:cs="Arial" w:eastAsia="Arial" w:hAnsi="Arial"/>
                <w:sz w:val="18"/>
                <w:szCs w:val="18"/>
                <w:color w:val="auto"/>
              </w:rPr>
              <w:t>Title:</w:t>
            </w:r>
          </w:p>
        </w:tc>
        <w:tc>
          <w:tcPr>
            <w:tcW w:w="80" w:type="dxa"/>
            <w:vAlign w:val="bottom"/>
            <w:tcBorders>
              <w:bottom w:val="single" w:sz="8" w:color="auto"/>
            </w:tcBorders>
          </w:tcPr>
          <w:p>
            <w:pPr>
              <w:spacing w:after="0"/>
              <w:rPr>
                <w:sz w:val="19"/>
                <w:szCs w:val="19"/>
                <w:color w:val="auto"/>
              </w:rPr>
            </w:pPr>
          </w:p>
        </w:tc>
        <w:tc>
          <w:tcPr>
            <w:tcW w:w="406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Vice President</w:t>
            </w:r>
          </w:p>
        </w:tc>
      </w:tr>
    </w:tbl>
    <w:p>
      <w:pPr>
        <w:spacing w:after="0" w:line="215" w:lineRule="exact"/>
        <w:rPr>
          <w:sz w:val="20"/>
          <w:szCs w:val="20"/>
          <w:color w:val="auto"/>
        </w:rPr>
      </w:pPr>
    </w:p>
    <w:p>
      <w:pPr>
        <w:ind w:left="5660"/>
        <w:spacing w:after="0"/>
        <w:rPr>
          <w:sz w:val="20"/>
          <w:szCs w:val="20"/>
          <w:color w:val="auto"/>
        </w:rPr>
      </w:pPr>
      <w:r>
        <w:rPr>
          <w:rFonts w:ascii="Arial" w:cs="Arial" w:eastAsia="Arial" w:hAnsi="Arial"/>
          <w:sz w:val="16"/>
          <w:szCs w:val="16"/>
          <w:b w:val="1"/>
          <w:bCs w:val="1"/>
          <w:color w:val="auto"/>
        </w:rPr>
        <w:t>FIFTH THIRD BANK</w:t>
      </w:r>
      <w:r>
        <w:rPr>
          <w:rFonts w:ascii="Arial" w:cs="Arial" w:eastAsia="Arial" w:hAnsi="Arial"/>
          <w:sz w:val="16"/>
          <w:szCs w:val="16"/>
          <w:color w:val="auto"/>
        </w:rPr>
        <w:t>, as a Co-Documentation Agent and as a</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Lender</w:t>
      </w:r>
    </w:p>
    <w:p>
      <w:pPr>
        <w:spacing w:after="0" w:line="219" w:lineRule="exact"/>
        <w:rPr>
          <w:sz w:val="20"/>
          <w:szCs w:val="20"/>
          <w:color w:val="auto"/>
        </w:rPr>
      </w:pPr>
    </w:p>
    <w:tbl>
      <w:tblPr>
        <w:tblLayout w:type="fixed"/>
        <w:tblInd w:w="5660" w:type="dxa"/>
        <w:tblCellMar>
          <w:top w:w="0" w:type="dxa"/>
          <w:left w:w="0" w:type="dxa"/>
          <w:bottom w:w="0" w:type="dxa"/>
          <w:right w:w="0" w:type="dxa"/>
        </w:tblCellMar>
      </w:tblPr>
      <w:tr>
        <w:trPr>
          <w:trHeight w:val="223"/>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200" w:type="dxa"/>
            <w:vAlign w:val="bottom"/>
            <w:tcBorders>
              <w:bottom w:val="single" w:sz="8" w:color="auto"/>
            </w:tcBorders>
            <w:gridSpan w:val="2"/>
          </w:tcPr>
          <w:p>
            <w:pPr>
              <w:spacing w:after="0"/>
              <w:rPr>
                <w:sz w:val="19"/>
                <w:szCs w:val="19"/>
                <w:color w:val="auto"/>
              </w:rPr>
            </w:pPr>
          </w:p>
        </w:tc>
        <w:tc>
          <w:tcPr>
            <w:tcW w:w="40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Michelle J. Bahner</w:t>
            </w:r>
          </w:p>
        </w:tc>
      </w:tr>
      <w:tr>
        <w:trPr>
          <w:trHeight w:val="222"/>
        </w:trPr>
        <w:tc>
          <w:tcPr>
            <w:tcW w:w="500" w:type="dxa"/>
            <w:vAlign w:val="bottom"/>
            <w:gridSpan w:val="3"/>
          </w:tcPr>
          <w:p>
            <w:pPr>
              <w:spacing w:after="0"/>
              <w:rPr>
                <w:sz w:val="20"/>
                <w:szCs w:val="20"/>
                <w:color w:val="auto"/>
              </w:rPr>
            </w:pPr>
            <w:r>
              <w:rPr>
                <w:rFonts w:ascii="Arial" w:cs="Arial" w:eastAsia="Arial" w:hAnsi="Arial"/>
                <w:sz w:val="18"/>
                <w:szCs w:val="18"/>
                <w:color w:val="auto"/>
                <w:w w:val="90"/>
              </w:rPr>
              <w:t>Name:</w:t>
            </w:r>
          </w:p>
        </w:tc>
        <w:tc>
          <w:tcPr>
            <w:tcW w:w="406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rPr>
              <w:t>Michelle J. Bahner</w:t>
            </w:r>
          </w:p>
        </w:tc>
      </w:tr>
      <w:tr>
        <w:trPr>
          <w:trHeight w:val="224"/>
        </w:trPr>
        <w:tc>
          <w:tcPr>
            <w:tcW w:w="420" w:type="dxa"/>
            <w:vAlign w:val="bottom"/>
            <w:gridSpan w:val="2"/>
          </w:tcPr>
          <w:p>
            <w:pPr>
              <w:spacing w:after="0"/>
              <w:rPr>
                <w:sz w:val="20"/>
                <w:szCs w:val="20"/>
                <w:color w:val="auto"/>
              </w:rPr>
            </w:pPr>
            <w:r>
              <w:rPr>
                <w:rFonts w:ascii="Arial" w:cs="Arial" w:eastAsia="Arial" w:hAnsi="Arial"/>
                <w:sz w:val="18"/>
                <w:szCs w:val="18"/>
                <w:color w:val="auto"/>
              </w:rPr>
              <w:t>Title:</w:t>
            </w:r>
          </w:p>
        </w:tc>
        <w:tc>
          <w:tcPr>
            <w:tcW w:w="80" w:type="dxa"/>
            <w:vAlign w:val="bottom"/>
            <w:tcBorders>
              <w:bottom w:val="single" w:sz="8" w:color="auto"/>
            </w:tcBorders>
          </w:tcPr>
          <w:p>
            <w:pPr>
              <w:spacing w:after="0"/>
              <w:rPr>
                <w:sz w:val="19"/>
                <w:szCs w:val="19"/>
                <w:color w:val="auto"/>
              </w:rPr>
            </w:pPr>
          </w:p>
        </w:tc>
        <w:tc>
          <w:tcPr>
            <w:tcW w:w="406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rPr>
              <w:t>Vice President</w:t>
            </w:r>
          </w:p>
        </w:tc>
      </w:tr>
    </w:tbl>
    <w:p>
      <w:pPr>
        <w:spacing w:after="0" w:line="215" w:lineRule="exact"/>
        <w:rPr>
          <w:sz w:val="20"/>
          <w:szCs w:val="20"/>
          <w:color w:val="auto"/>
        </w:rPr>
      </w:pPr>
    </w:p>
    <w:p>
      <w:pPr>
        <w:ind w:left="5660"/>
        <w:spacing w:after="0"/>
        <w:rPr>
          <w:sz w:val="20"/>
          <w:szCs w:val="20"/>
          <w:color w:val="auto"/>
        </w:rPr>
      </w:pPr>
      <w:r>
        <w:rPr>
          <w:rFonts w:ascii="Arial" w:cs="Arial" w:eastAsia="Arial" w:hAnsi="Arial"/>
          <w:sz w:val="16"/>
          <w:szCs w:val="16"/>
          <w:b w:val="1"/>
          <w:bCs w:val="1"/>
          <w:color w:val="auto"/>
        </w:rPr>
        <w:t>HSBC BANK USA, N.A.</w:t>
      </w:r>
      <w:r>
        <w:rPr>
          <w:rFonts w:ascii="Arial" w:cs="Arial" w:eastAsia="Arial" w:hAnsi="Arial"/>
          <w:sz w:val="16"/>
          <w:szCs w:val="16"/>
          <w:color w:val="auto"/>
        </w:rPr>
        <w:t>, as a Co-Documentation Agent and as</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Lender</w:t>
      </w:r>
    </w:p>
    <w:p>
      <w:pPr>
        <w:spacing w:after="0" w:line="219" w:lineRule="exact"/>
        <w:rPr>
          <w:sz w:val="20"/>
          <w:szCs w:val="20"/>
          <w:color w:val="auto"/>
        </w:rPr>
      </w:pPr>
    </w:p>
    <w:tbl>
      <w:tblPr>
        <w:tblLayout w:type="fixed"/>
        <w:tblInd w:w="5660" w:type="dxa"/>
        <w:tblCellMar>
          <w:top w:w="0" w:type="dxa"/>
          <w:left w:w="0" w:type="dxa"/>
          <w:bottom w:w="0" w:type="dxa"/>
          <w:right w:w="0" w:type="dxa"/>
        </w:tblCellMar>
      </w:tblPr>
      <w:tr>
        <w:trPr>
          <w:trHeight w:val="223"/>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200" w:type="dxa"/>
            <w:vAlign w:val="bottom"/>
            <w:tcBorders>
              <w:bottom w:val="single" w:sz="8" w:color="auto"/>
            </w:tcBorders>
            <w:gridSpan w:val="2"/>
          </w:tcPr>
          <w:p>
            <w:pPr>
              <w:spacing w:after="0"/>
              <w:rPr>
                <w:sz w:val="19"/>
                <w:szCs w:val="19"/>
                <w:color w:val="auto"/>
              </w:rPr>
            </w:pPr>
          </w:p>
        </w:tc>
        <w:tc>
          <w:tcPr>
            <w:tcW w:w="40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Robert Moravec</w:t>
            </w:r>
          </w:p>
        </w:tc>
      </w:tr>
      <w:tr>
        <w:trPr>
          <w:trHeight w:val="222"/>
        </w:trPr>
        <w:tc>
          <w:tcPr>
            <w:tcW w:w="500" w:type="dxa"/>
            <w:vAlign w:val="bottom"/>
            <w:gridSpan w:val="3"/>
          </w:tcPr>
          <w:p>
            <w:pPr>
              <w:spacing w:after="0"/>
              <w:rPr>
                <w:sz w:val="20"/>
                <w:szCs w:val="20"/>
                <w:color w:val="auto"/>
              </w:rPr>
            </w:pPr>
            <w:r>
              <w:rPr>
                <w:rFonts w:ascii="Arial" w:cs="Arial" w:eastAsia="Arial" w:hAnsi="Arial"/>
                <w:sz w:val="18"/>
                <w:szCs w:val="18"/>
                <w:color w:val="auto"/>
                <w:w w:val="90"/>
              </w:rPr>
              <w:t>Name:</w:t>
            </w:r>
          </w:p>
        </w:tc>
        <w:tc>
          <w:tcPr>
            <w:tcW w:w="406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rPr>
              <w:t>Robert Moravec</w:t>
            </w:r>
          </w:p>
        </w:tc>
      </w:tr>
      <w:tr>
        <w:trPr>
          <w:trHeight w:val="224"/>
        </w:trPr>
        <w:tc>
          <w:tcPr>
            <w:tcW w:w="420" w:type="dxa"/>
            <w:vAlign w:val="bottom"/>
            <w:gridSpan w:val="2"/>
          </w:tcPr>
          <w:p>
            <w:pPr>
              <w:spacing w:after="0"/>
              <w:rPr>
                <w:sz w:val="20"/>
                <w:szCs w:val="20"/>
                <w:color w:val="auto"/>
              </w:rPr>
            </w:pPr>
            <w:r>
              <w:rPr>
                <w:rFonts w:ascii="Arial" w:cs="Arial" w:eastAsia="Arial" w:hAnsi="Arial"/>
                <w:sz w:val="18"/>
                <w:szCs w:val="18"/>
                <w:color w:val="auto"/>
              </w:rPr>
              <w:t>Title:</w:t>
            </w:r>
          </w:p>
        </w:tc>
        <w:tc>
          <w:tcPr>
            <w:tcW w:w="80" w:type="dxa"/>
            <w:vAlign w:val="bottom"/>
            <w:tcBorders>
              <w:bottom w:val="single" w:sz="8" w:color="auto"/>
            </w:tcBorders>
          </w:tcPr>
          <w:p>
            <w:pPr>
              <w:spacing w:after="0"/>
              <w:rPr>
                <w:sz w:val="19"/>
                <w:szCs w:val="19"/>
                <w:color w:val="auto"/>
              </w:rPr>
            </w:pPr>
          </w:p>
        </w:tc>
        <w:tc>
          <w:tcPr>
            <w:tcW w:w="406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rPr>
              <w:t>Senior Relationship Manager</w:t>
            </w:r>
          </w:p>
        </w:tc>
      </w:tr>
    </w:tbl>
    <w:p>
      <w:pPr>
        <w:spacing w:after="0" w:line="215"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TD BANK, N.A.</w:t>
      </w:r>
      <w:r>
        <w:rPr>
          <w:rFonts w:ascii="Arial" w:cs="Arial" w:eastAsia="Arial" w:hAnsi="Arial"/>
          <w:sz w:val="18"/>
          <w:szCs w:val="18"/>
          <w:color w:val="auto"/>
        </w:rPr>
        <w:t>, as a Co-Documentation Agent</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and as a Lender</w:t>
      </w:r>
    </w:p>
    <w:p>
      <w:pPr>
        <w:spacing w:after="0" w:line="232" w:lineRule="exact"/>
        <w:rPr>
          <w:sz w:val="20"/>
          <w:szCs w:val="20"/>
          <w:color w:val="auto"/>
        </w:rPr>
      </w:pPr>
    </w:p>
    <w:tbl>
      <w:tblPr>
        <w:tblLayout w:type="fixed"/>
        <w:tblInd w:w="5660" w:type="dxa"/>
        <w:tblCellMar>
          <w:top w:w="0" w:type="dxa"/>
          <w:left w:w="0" w:type="dxa"/>
          <w:bottom w:w="0" w:type="dxa"/>
          <w:right w:w="0" w:type="dxa"/>
        </w:tblCellMar>
      </w:tblPr>
      <w:tr>
        <w:trPr>
          <w:trHeight w:val="223"/>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200" w:type="dxa"/>
            <w:vAlign w:val="bottom"/>
            <w:tcBorders>
              <w:bottom w:val="single" w:sz="8" w:color="auto"/>
            </w:tcBorders>
            <w:gridSpan w:val="2"/>
          </w:tcPr>
          <w:p>
            <w:pPr>
              <w:spacing w:after="0"/>
              <w:rPr>
                <w:sz w:val="19"/>
                <w:szCs w:val="19"/>
                <w:color w:val="auto"/>
              </w:rPr>
            </w:pPr>
          </w:p>
        </w:tc>
        <w:tc>
          <w:tcPr>
            <w:tcW w:w="40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Maria Willner</w:t>
            </w:r>
          </w:p>
        </w:tc>
      </w:tr>
      <w:tr>
        <w:trPr>
          <w:trHeight w:val="222"/>
        </w:trPr>
        <w:tc>
          <w:tcPr>
            <w:tcW w:w="500" w:type="dxa"/>
            <w:vAlign w:val="bottom"/>
            <w:gridSpan w:val="3"/>
          </w:tcPr>
          <w:p>
            <w:pPr>
              <w:spacing w:after="0"/>
              <w:rPr>
                <w:sz w:val="20"/>
                <w:szCs w:val="20"/>
                <w:color w:val="auto"/>
              </w:rPr>
            </w:pPr>
            <w:r>
              <w:rPr>
                <w:rFonts w:ascii="Arial" w:cs="Arial" w:eastAsia="Arial" w:hAnsi="Arial"/>
                <w:sz w:val="18"/>
                <w:szCs w:val="18"/>
                <w:color w:val="auto"/>
                <w:w w:val="90"/>
              </w:rPr>
              <w:t>Name:</w:t>
            </w:r>
          </w:p>
        </w:tc>
        <w:tc>
          <w:tcPr>
            <w:tcW w:w="406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rPr>
              <w:t>Maria Willner</w:t>
            </w:r>
          </w:p>
        </w:tc>
      </w:tr>
      <w:tr>
        <w:trPr>
          <w:trHeight w:val="224"/>
        </w:trPr>
        <w:tc>
          <w:tcPr>
            <w:tcW w:w="420" w:type="dxa"/>
            <w:vAlign w:val="bottom"/>
            <w:gridSpan w:val="2"/>
          </w:tcPr>
          <w:p>
            <w:pPr>
              <w:spacing w:after="0"/>
              <w:rPr>
                <w:sz w:val="20"/>
                <w:szCs w:val="20"/>
                <w:color w:val="auto"/>
              </w:rPr>
            </w:pPr>
            <w:r>
              <w:rPr>
                <w:rFonts w:ascii="Arial" w:cs="Arial" w:eastAsia="Arial" w:hAnsi="Arial"/>
                <w:sz w:val="18"/>
                <w:szCs w:val="18"/>
                <w:color w:val="auto"/>
              </w:rPr>
              <w:t>Title:</w:t>
            </w:r>
          </w:p>
        </w:tc>
        <w:tc>
          <w:tcPr>
            <w:tcW w:w="80" w:type="dxa"/>
            <w:vAlign w:val="bottom"/>
            <w:tcBorders>
              <w:bottom w:val="single" w:sz="8" w:color="auto"/>
            </w:tcBorders>
          </w:tcPr>
          <w:p>
            <w:pPr>
              <w:spacing w:after="0"/>
              <w:rPr>
                <w:sz w:val="19"/>
                <w:szCs w:val="19"/>
                <w:color w:val="auto"/>
              </w:rPr>
            </w:pPr>
          </w:p>
        </w:tc>
        <w:tc>
          <w:tcPr>
            <w:tcW w:w="406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rPr>
              <w:t>Senior Vice President</w:t>
            </w:r>
          </w:p>
        </w:tc>
      </w:tr>
    </w:tbl>
    <w:p>
      <w:pPr>
        <w:spacing w:after="0" w:line="215"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ROYAL BANK OF CANADA</w:t>
      </w:r>
      <w:r>
        <w:rPr>
          <w:rFonts w:ascii="Arial" w:cs="Arial" w:eastAsia="Arial" w:hAnsi="Arial"/>
          <w:sz w:val="18"/>
          <w:szCs w:val="18"/>
          <w:color w:val="auto"/>
        </w:rPr>
        <w:t>, as a</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Co-Documentation Agent and as a Lender</w:t>
      </w:r>
    </w:p>
    <w:p>
      <w:pPr>
        <w:spacing w:after="0" w:line="232" w:lineRule="exact"/>
        <w:rPr>
          <w:sz w:val="20"/>
          <w:szCs w:val="20"/>
          <w:color w:val="auto"/>
        </w:rPr>
      </w:pPr>
    </w:p>
    <w:tbl>
      <w:tblPr>
        <w:tblLayout w:type="fixed"/>
        <w:tblInd w:w="5660" w:type="dxa"/>
        <w:tblCellMar>
          <w:top w:w="0" w:type="dxa"/>
          <w:left w:w="0" w:type="dxa"/>
          <w:bottom w:w="0" w:type="dxa"/>
          <w:right w:w="0" w:type="dxa"/>
        </w:tblCellMar>
      </w:tblPr>
      <w:tr>
        <w:trPr>
          <w:trHeight w:val="223"/>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200" w:type="dxa"/>
            <w:vAlign w:val="bottom"/>
            <w:tcBorders>
              <w:bottom w:val="single" w:sz="8" w:color="auto"/>
            </w:tcBorders>
            <w:gridSpan w:val="2"/>
          </w:tcPr>
          <w:p>
            <w:pPr>
              <w:spacing w:after="0"/>
              <w:rPr>
                <w:sz w:val="19"/>
                <w:szCs w:val="19"/>
                <w:color w:val="auto"/>
              </w:rPr>
            </w:pPr>
          </w:p>
        </w:tc>
        <w:tc>
          <w:tcPr>
            <w:tcW w:w="40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Dean Sas</w:t>
            </w:r>
          </w:p>
        </w:tc>
      </w:tr>
      <w:tr>
        <w:trPr>
          <w:trHeight w:val="222"/>
        </w:trPr>
        <w:tc>
          <w:tcPr>
            <w:tcW w:w="500" w:type="dxa"/>
            <w:vAlign w:val="bottom"/>
            <w:gridSpan w:val="3"/>
          </w:tcPr>
          <w:p>
            <w:pPr>
              <w:spacing w:after="0"/>
              <w:rPr>
                <w:sz w:val="20"/>
                <w:szCs w:val="20"/>
                <w:color w:val="auto"/>
              </w:rPr>
            </w:pPr>
            <w:r>
              <w:rPr>
                <w:rFonts w:ascii="Arial" w:cs="Arial" w:eastAsia="Arial" w:hAnsi="Arial"/>
                <w:sz w:val="18"/>
                <w:szCs w:val="18"/>
                <w:color w:val="auto"/>
                <w:w w:val="90"/>
              </w:rPr>
              <w:t>Name:</w:t>
            </w:r>
          </w:p>
        </w:tc>
        <w:tc>
          <w:tcPr>
            <w:tcW w:w="406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rPr>
              <w:t>Dean Sas</w:t>
            </w:r>
          </w:p>
        </w:tc>
      </w:tr>
      <w:tr>
        <w:trPr>
          <w:trHeight w:val="224"/>
        </w:trPr>
        <w:tc>
          <w:tcPr>
            <w:tcW w:w="420" w:type="dxa"/>
            <w:vAlign w:val="bottom"/>
            <w:gridSpan w:val="2"/>
          </w:tcPr>
          <w:p>
            <w:pPr>
              <w:spacing w:after="0"/>
              <w:rPr>
                <w:sz w:val="20"/>
                <w:szCs w:val="20"/>
                <w:color w:val="auto"/>
              </w:rPr>
            </w:pPr>
            <w:r>
              <w:rPr>
                <w:rFonts w:ascii="Arial" w:cs="Arial" w:eastAsia="Arial" w:hAnsi="Arial"/>
                <w:sz w:val="18"/>
                <w:szCs w:val="18"/>
                <w:color w:val="auto"/>
              </w:rPr>
              <w:t>Title:</w:t>
            </w:r>
          </w:p>
        </w:tc>
        <w:tc>
          <w:tcPr>
            <w:tcW w:w="80" w:type="dxa"/>
            <w:vAlign w:val="bottom"/>
            <w:tcBorders>
              <w:bottom w:val="single" w:sz="8" w:color="auto"/>
            </w:tcBorders>
          </w:tcPr>
          <w:p>
            <w:pPr>
              <w:spacing w:after="0"/>
              <w:rPr>
                <w:sz w:val="19"/>
                <w:szCs w:val="19"/>
                <w:color w:val="auto"/>
              </w:rPr>
            </w:pPr>
          </w:p>
        </w:tc>
        <w:tc>
          <w:tcPr>
            <w:tcW w:w="406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rPr>
              <w:t>Authorized Signatory</w:t>
            </w:r>
          </w:p>
        </w:tc>
      </w:tr>
    </w:tbl>
    <w:p>
      <w:pPr>
        <w:spacing w:after="0" w:line="167"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SECOND AMENDED AND RESTATED CREDIT AGREEMENT</w:t>
      </w:r>
    </w:p>
    <w:p>
      <w:pPr>
        <w:spacing w:after="0" w:line="3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220"/>
          </w:cols>
          <w:pgMar w:left="1440" w:top="274" w:right="239" w:bottom="1440" w:gutter="0" w:footer="0" w:header="0"/>
        </w:sectPr>
      </w:pPr>
    </w:p>
    <w:bookmarkStart w:id="176" w:name="page177"/>
    <w:bookmarkEnd w:id="176"/>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RBS CITIZENS, N.A.</w:t>
      </w:r>
      <w:r>
        <w:rPr>
          <w:rFonts w:ascii="Arial" w:cs="Arial" w:eastAsia="Arial" w:hAnsi="Arial"/>
          <w:sz w:val="18"/>
          <w:szCs w:val="18"/>
          <w:color w:val="auto"/>
        </w:rPr>
        <w:t>, as a Lender</w:t>
      </w:r>
    </w:p>
    <w:p>
      <w:pPr>
        <w:spacing w:after="0" w:line="231" w:lineRule="exact"/>
        <w:rPr>
          <w:sz w:val="20"/>
          <w:szCs w:val="20"/>
          <w:color w:val="auto"/>
        </w:rPr>
      </w:pPr>
    </w:p>
    <w:tbl>
      <w:tblPr>
        <w:tblLayout w:type="fixed"/>
        <w:tblInd w:w="5660" w:type="dxa"/>
        <w:tblCellMar>
          <w:top w:w="0" w:type="dxa"/>
          <w:left w:w="0" w:type="dxa"/>
          <w:bottom w:w="0" w:type="dxa"/>
          <w:right w:w="0" w:type="dxa"/>
        </w:tblCellMar>
      </w:tblPr>
      <w:tr>
        <w:trPr>
          <w:trHeight w:val="223"/>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200" w:type="dxa"/>
            <w:vAlign w:val="bottom"/>
            <w:tcBorders>
              <w:bottom w:val="single" w:sz="8" w:color="auto"/>
            </w:tcBorders>
            <w:gridSpan w:val="2"/>
          </w:tcPr>
          <w:p>
            <w:pPr>
              <w:spacing w:after="0"/>
              <w:rPr>
                <w:sz w:val="19"/>
                <w:szCs w:val="19"/>
                <w:color w:val="auto"/>
              </w:rPr>
            </w:pPr>
          </w:p>
        </w:tc>
        <w:tc>
          <w:tcPr>
            <w:tcW w:w="40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Carol Castle</w:t>
            </w:r>
          </w:p>
        </w:tc>
      </w:tr>
      <w:tr>
        <w:trPr>
          <w:trHeight w:val="222"/>
        </w:trPr>
        <w:tc>
          <w:tcPr>
            <w:tcW w:w="500" w:type="dxa"/>
            <w:vAlign w:val="bottom"/>
            <w:gridSpan w:val="3"/>
          </w:tcPr>
          <w:p>
            <w:pPr>
              <w:spacing w:after="0"/>
              <w:rPr>
                <w:sz w:val="20"/>
                <w:szCs w:val="20"/>
                <w:color w:val="auto"/>
              </w:rPr>
            </w:pPr>
            <w:r>
              <w:rPr>
                <w:rFonts w:ascii="Arial" w:cs="Arial" w:eastAsia="Arial" w:hAnsi="Arial"/>
                <w:sz w:val="18"/>
                <w:szCs w:val="18"/>
                <w:color w:val="auto"/>
                <w:w w:val="90"/>
              </w:rPr>
              <w:t>Name:</w:t>
            </w:r>
          </w:p>
        </w:tc>
        <w:tc>
          <w:tcPr>
            <w:tcW w:w="406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rPr>
              <w:t>Carol Castle</w:t>
            </w:r>
          </w:p>
        </w:tc>
      </w:tr>
      <w:tr>
        <w:trPr>
          <w:trHeight w:val="224"/>
        </w:trPr>
        <w:tc>
          <w:tcPr>
            <w:tcW w:w="420" w:type="dxa"/>
            <w:vAlign w:val="bottom"/>
            <w:gridSpan w:val="2"/>
          </w:tcPr>
          <w:p>
            <w:pPr>
              <w:spacing w:after="0"/>
              <w:rPr>
                <w:sz w:val="20"/>
                <w:szCs w:val="20"/>
                <w:color w:val="auto"/>
              </w:rPr>
            </w:pPr>
            <w:r>
              <w:rPr>
                <w:rFonts w:ascii="Arial" w:cs="Arial" w:eastAsia="Arial" w:hAnsi="Arial"/>
                <w:sz w:val="18"/>
                <w:szCs w:val="18"/>
                <w:color w:val="auto"/>
              </w:rPr>
              <w:t>Title:</w:t>
            </w:r>
          </w:p>
        </w:tc>
        <w:tc>
          <w:tcPr>
            <w:tcW w:w="80" w:type="dxa"/>
            <w:vAlign w:val="bottom"/>
            <w:tcBorders>
              <w:bottom w:val="single" w:sz="8" w:color="auto"/>
            </w:tcBorders>
          </w:tcPr>
          <w:p>
            <w:pPr>
              <w:spacing w:after="0"/>
              <w:rPr>
                <w:sz w:val="19"/>
                <w:szCs w:val="19"/>
                <w:color w:val="auto"/>
              </w:rPr>
            </w:pPr>
          </w:p>
        </w:tc>
        <w:tc>
          <w:tcPr>
            <w:tcW w:w="406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rPr>
              <w:t>Senior Vice President</w:t>
            </w:r>
          </w:p>
        </w:tc>
      </w:tr>
      <w:tr>
        <w:trPr>
          <w:trHeight w:val="438"/>
        </w:trPr>
        <w:tc>
          <w:tcPr>
            <w:tcW w:w="4560" w:type="dxa"/>
            <w:vAlign w:val="bottom"/>
            <w:gridSpan w:val="4"/>
          </w:tcPr>
          <w:p>
            <w:pPr>
              <w:spacing w:after="0"/>
              <w:rPr>
                <w:sz w:val="20"/>
                <w:szCs w:val="20"/>
                <w:color w:val="auto"/>
              </w:rPr>
            </w:pPr>
            <w:r>
              <w:rPr>
                <w:rFonts w:ascii="Arial" w:cs="Arial" w:eastAsia="Arial" w:hAnsi="Arial"/>
                <w:sz w:val="18"/>
                <w:szCs w:val="18"/>
                <w:b w:val="1"/>
                <w:bCs w:val="1"/>
                <w:color w:val="auto"/>
              </w:rPr>
              <w:t>UNION BANK, N.A.</w:t>
            </w:r>
            <w:r>
              <w:rPr>
                <w:rFonts w:ascii="Arial" w:cs="Arial" w:eastAsia="Arial" w:hAnsi="Arial"/>
                <w:sz w:val="18"/>
                <w:szCs w:val="18"/>
                <w:color w:val="auto"/>
              </w:rPr>
              <w:t>, as a Lender</w:t>
            </w:r>
          </w:p>
        </w:tc>
      </w:tr>
      <w:tr>
        <w:trPr>
          <w:trHeight w:val="433"/>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200" w:type="dxa"/>
            <w:vAlign w:val="bottom"/>
            <w:tcBorders>
              <w:bottom w:val="single" w:sz="8" w:color="auto"/>
            </w:tcBorders>
            <w:gridSpan w:val="2"/>
          </w:tcPr>
          <w:p>
            <w:pPr>
              <w:spacing w:after="0"/>
              <w:rPr>
                <w:sz w:val="24"/>
                <w:szCs w:val="24"/>
                <w:color w:val="auto"/>
              </w:rPr>
            </w:pPr>
          </w:p>
        </w:tc>
        <w:tc>
          <w:tcPr>
            <w:tcW w:w="40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Michael Tschida</w:t>
            </w:r>
          </w:p>
        </w:tc>
      </w:tr>
      <w:tr>
        <w:trPr>
          <w:trHeight w:val="222"/>
        </w:trPr>
        <w:tc>
          <w:tcPr>
            <w:tcW w:w="500" w:type="dxa"/>
            <w:vAlign w:val="bottom"/>
            <w:gridSpan w:val="3"/>
          </w:tcPr>
          <w:p>
            <w:pPr>
              <w:spacing w:after="0"/>
              <w:rPr>
                <w:sz w:val="20"/>
                <w:szCs w:val="20"/>
                <w:color w:val="auto"/>
              </w:rPr>
            </w:pPr>
            <w:r>
              <w:rPr>
                <w:rFonts w:ascii="Arial" w:cs="Arial" w:eastAsia="Arial" w:hAnsi="Arial"/>
                <w:sz w:val="18"/>
                <w:szCs w:val="18"/>
                <w:color w:val="auto"/>
                <w:w w:val="90"/>
              </w:rPr>
              <w:t>Name:</w:t>
            </w:r>
          </w:p>
        </w:tc>
        <w:tc>
          <w:tcPr>
            <w:tcW w:w="406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rPr>
              <w:t>Michael Tschida</w:t>
            </w:r>
          </w:p>
        </w:tc>
      </w:tr>
      <w:tr>
        <w:trPr>
          <w:trHeight w:val="224"/>
        </w:trPr>
        <w:tc>
          <w:tcPr>
            <w:tcW w:w="420" w:type="dxa"/>
            <w:vAlign w:val="bottom"/>
            <w:gridSpan w:val="2"/>
          </w:tcPr>
          <w:p>
            <w:pPr>
              <w:spacing w:after="0"/>
              <w:rPr>
                <w:sz w:val="20"/>
                <w:szCs w:val="20"/>
                <w:color w:val="auto"/>
              </w:rPr>
            </w:pPr>
            <w:r>
              <w:rPr>
                <w:rFonts w:ascii="Arial" w:cs="Arial" w:eastAsia="Arial" w:hAnsi="Arial"/>
                <w:sz w:val="18"/>
                <w:szCs w:val="18"/>
                <w:color w:val="auto"/>
              </w:rPr>
              <w:t>Title:</w:t>
            </w:r>
          </w:p>
        </w:tc>
        <w:tc>
          <w:tcPr>
            <w:tcW w:w="80" w:type="dxa"/>
            <w:vAlign w:val="bottom"/>
            <w:tcBorders>
              <w:bottom w:val="single" w:sz="8" w:color="auto"/>
            </w:tcBorders>
          </w:tcPr>
          <w:p>
            <w:pPr>
              <w:spacing w:after="0"/>
              <w:rPr>
                <w:sz w:val="19"/>
                <w:szCs w:val="19"/>
                <w:color w:val="auto"/>
              </w:rPr>
            </w:pPr>
          </w:p>
        </w:tc>
        <w:tc>
          <w:tcPr>
            <w:tcW w:w="406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rPr>
              <w:t>Vice President</w:t>
            </w:r>
          </w:p>
        </w:tc>
      </w:tr>
    </w:tbl>
    <w:p>
      <w:pPr>
        <w:spacing w:after="0" w:line="215"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PNC BANK, NATIONAL ASSOCIATION</w:t>
      </w:r>
      <w:r>
        <w:rPr>
          <w:rFonts w:ascii="Arial" w:cs="Arial" w:eastAsia="Arial" w:hAnsi="Arial"/>
          <w:sz w:val="18"/>
          <w:szCs w:val="18"/>
          <w:color w:val="auto"/>
        </w:rPr>
        <w:t>, as a Lender</w:t>
      </w:r>
    </w:p>
    <w:p>
      <w:pPr>
        <w:spacing w:after="0" w:line="231" w:lineRule="exact"/>
        <w:rPr>
          <w:sz w:val="20"/>
          <w:szCs w:val="20"/>
          <w:color w:val="auto"/>
        </w:rPr>
      </w:pPr>
    </w:p>
    <w:tbl>
      <w:tblPr>
        <w:tblLayout w:type="fixed"/>
        <w:tblInd w:w="5660" w:type="dxa"/>
        <w:tblCellMar>
          <w:top w:w="0" w:type="dxa"/>
          <w:left w:w="0" w:type="dxa"/>
          <w:bottom w:w="0" w:type="dxa"/>
          <w:right w:w="0" w:type="dxa"/>
        </w:tblCellMar>
      </w:tblPr>
      <w:tr>
        <w:trPr>
          <w:trHeight w:val="223"/>
        </w:trPr>
        <w:tc>
          <w:tcPr>
            <w:tcW w:w="420" w:type="dxa"/>
            <w:vAlign w:val="bottom"/>
            <w:gridSpan w:val="2"/>
          </w:tcPr>
          <w:p>
            <w:pPr>
              <w:spacing w:after="0"/>
              <w:rPr>
                <w:sz w:val="20"/>
                <w:szCs w:val="20"/>
                <w:color w:val="auto"/>
              </w:rPr>
            </w:pPr>
            <w:r>
              <w:rPr>
                <w:rFonts w:ascii="Arial" w:cs="Arial" w:eastAsia="Arial" w:hAnsi="Arial"/>
                <w:sz w:val="18"/>
                <w:szCs w:val="18"/>
                <w:color w:val="auto"/>
              </w:rPr>
              <w:t>By:</w:t>
            </w:r>
          </w:p>
        </w:tc>
        <w:tc>
          <w:tcPr>
            <w:tcW w:w="80" w:type="dxa"/>
            <w:vAlign w:val="bottom"/>
            <w:tcBorders>
              <w:bottom w:val="single" w:sz="8" w:color="auto"/>
            </w:tcBorders>
          </w:tcPr>
          <w:p>
            <w:pPr>
              <w:spacing w:after="0"/>
              <w:rPr>
                <w:sz w:val="19"/>
                <w:szCs w:val="19"/>
                <w:color w:val="auto"/>
              </w:rPr>
            </w:pPr>
          </w:p>
        </w:tc>
        <w:tc>
          <w:tcPr>
            <w:tcW w:w="4060" w:type="dxa"/>
            <w:vAlign w:val="bottom"/>
            <w:tcBorders>
              <w:bottom w:val="single" w:sz="8" w:color="auto"/>
            </w:tcBorders>
          </w:tcPr>
          <w:p>
            <w:pPr>
              <w:jc w:val="center"/>
              <w:ind w:right="2272"/>
              <w:spacing w:after="0"/>
              <w:rPr>
                <w:sz w:val="20"/>
                <w:szCs w:val="20"/>
                <w:color w:val="auto"/>
              </w:rPr>
            </w:pPr>
            <w:r>
              <w:rPr>
                <w:rFonts w:ascii="Arial" w:cs="Arial" w:eastAsia="Arial" w:hAnsi="Arial"/>
                <w:sz w:val="18"/>
                <w:szCs w:val="18"/>
                <w:color w:val="auto"/>
                <w:w w:val="89"/>
              </w:rPr>
              <w:t>/s/ Kristin Wenslau</w:t>
            </w:r>
          </w:p>
        </w:tc>
      </w:tr>
      <w:tr>
        <w:trPr>
          <w:trHeight w:val="222"/>
        </w:trPr>
        <w:tc>
          <w:tcPr>
            <w:tcW w:w="500" w:type="dxa"/>
            <w:vAlign w:val="bottom"/>
            <w:gridSpan w:val="3"/>
          </w:tcPr>
          <w:p>
            <w:pPr>
              <w:spacing w:after="0"/>
              <w:rPr>
                <w:sz w:val="20"/>
                <w:szCs w:val="20"/>
                <w:color w:val="auto"/>
              </w:rPr>
            </w:pPr>
            <w:r>
              <w:rPr>
                <w:rFonts w:ascii="Arial" w:cs="Arial" w:eastAsia="Arial" w:hAnsi="Arial"/>
                <w:sz w:val="18"/>
                <w:szCs w:val="18"/>
                <w:color w:val="auto"/>
                <w:w w:val="90"/>
              </w:rPr>
              <w:t>Name:</w:t>
            </w:r>
          </w:p>
        </w:tc>
        <w:tc>
          <w:tcPr>
            <w:tcW w:w="406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rPr>
              <w:t>Kristin Wenslau</w:t>
            </w:r>
          </w:p>
        </w:tc>
      </w:tr>
      <w:tr>
        <w:trPr>
          <w:trHeight w:val="224"/>
        </w:trPr>
        <w:tc>
          <w:tcPr>
            <w:tcW w:w="420" w:type="dxa"/>
            <w:vAlign w:val="bottom"/>
            <w:gridSpan w:val="2"/>
          </w:tcPr>
          <w:p>
            <w:pPr>
              <w:spacing w:after="0"/>
              <w:rPr>
                <w:sz w:val="20"/>
                <w:szCs w:val="20"/>
                <w:color w:val="auto"/>
              </w:rPr>
            </w:pPr>
            <w:r>
              <w:rPr>
                <w:rFonts w:ascii="Arial" w:cs="Arial" w:eastAsia="Arial" w:hAnsi="Arial"/>
                <w:sz w:val="18"/>
                <w:szCs w:val="18"/>
                <w:color w:val="auto"/>
              </w:rPr>
              <w:t>Title:</w:t>
            </w:r>
          </w:p>
        </w:tc>
        <w:tc>
          <w:tcPr>
            <w:tcW w:w="80" w:type="dxa"/>
            <w:vAlign w:val="bottom"/>
            <w:tcBorders>
              <w:bottom w:val="single" w:sz="8" w:color="auto"/>
            </w:tcBorders>
          </w:tcPr>
          <w:p>
            <w:pPr>
              <w:spacing w:after="0"/>
              <w:rPr>
                <w:sz w:val="19"/>
                <w:szCs w:val="19"/>
                <w:color w:val="auto"/>
              </w:rPr>
            </w:pPr>
          </w:p>
        </w:tc>
        <w:tc>
          <w:tcPr>
            <w:tcW w:w="406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rPr>
              <w:t>Vice President</w:t>
            </w:r>
          </w:p>
        </w:tc>
      </w:tr>
      <w:tr>
        <w:trPr>
          <w:trHeight w:val="438"/>
        </w:trPr>
        <w:tc>
          <w:tcPr>
            <w:tcW w:w="4560" w:type="dxa"/>
            <w:vAlign w:val="bottom"/>
            <w:gridSpan w:val="4"/>
          </w:tcPr>
          <w:p>
            <w:pPr>
              <w:spacing w:after="0"/>
              <w:rPr>
                <w:sz w:val="20"/>
                <w:szCs w:val="20"/>
                <w:color w:val="auto"/>
              </w:rPr>
            </w:pPr>
            <w:r>
              <w:rPr>
                <w:rFonts w:ascii="Arial" w:cs="Arial" w:eastAsia="Arial" w:hAnsi="Arial"/>
                <w:sz w:val="18"/>
                <w:szCs w:val="18"/>
                <w:b w:val="1"/>
                <w:bCs w:val="1"/>
                <w:color w:val="auto"/>
              </w:rPr>
              <w:t>SOVEREIGN BANK</w:t>
            </w:r>
            <w:r>
              <w:rPr>
                <w:rFonts w:ascii="Arial" w:cs="Arial" w:eastAsia="Arial" w:hAnsi="Arial"/>
                <w:sz w:val="18"/>
                <w:szCs w:val="18"/>
                <w:color w:val="auto"/>
              </w:rPr>
              <w:t>, as a Lender</w:t>
            </w:r>
          </w:p>
        </w:tc>
      </w:tr>
      <w:tr>
        <w:trPr>
          <w:trHeight w:val="433"/>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200" w:type="dxa"/>
            <w:vAlign w:val="bottom"/>
            <w:tcBorders>
              <w:bottom w:val="single" w:sz="8" w:color="auto"/>
            </w:tcBorders>
            <w:gridSpan w:val="2"/>
          </w:tcPr>
          <w:p>
            <w:pPr>
              <w:spacing w:after="0"/>
              <w:rPr>
                <w:sz w:val="24"/>
                <w:szCs w:val="24"/>
                <w:color w:val="auto"/>
              </w:rPr>
            </w:pPr>
          </w:p>
        </w:tc>
        <w:tc>
          <w:tcPr>
            <w:tcW w:w="4060" w:type="dxa"/>
            <w:vAlign w:val="bottom"/>
            <w:tcBorders>
              <w:bottom w:val="single" w:sz="8" w:color="auto"/>
            </w:tcBorders>
          </w:tcPr>
          <w:p>
            <w:pPr>
              <w:jc w:val="center"/>
              <w:ind w:right="2252"/>
              <w:spacing w:after="0"/>
              <w:rPr>
                <w:sz w:val="20"/>
                <w:szCs w:val="20"/>
                <w:color w:val="auto"/>
              </w:rPr>
            </w:pPr>
            <w:r>
              <w:rPr>
                <w:rFonts w:ascii="Arial" w:cs="Arial" w:eastAsia="Arial" w:hAnsi="Arial"/>
                <w:sz w:val="18"/>
                <w:szCs w:val="18"/>
                <w:color w:val="auto"/>
                <w:w w:val="89"/>
              </w:rPr>
              <w:t>/s/ Chris D. Wolfslayer</w:t>
            </w:r>
          </w:p>
        </w:tc>
      </w:tr>
      <w:tr>
        <w:trPr>
          <w:trHeight w:val="222"/>
        </w:trPr>
        <w:tc>
          <w:tcPr>
            <w:tcW w:w="500" w:type="dxa"/>
            <w:vAlign w:val="bottom"/>
            <w:gridSpan w:val="3"/>
          </w:tcPr>
          <w:p>
            <w:pPr>
              <w:spacing w:after="0"/>
              <w:rPr>
                <w:sz w:val="20"/>
                <w:szCs w:val="20"/>
                <w:color w:val="auto"/>
              </w:rPr>
            </w:pPr>
            <w:r>
              <w:rPr>
                <w:rFonts w:ascii="Arial" w:cs="Arial" w:eastAsia="Arial" w:hAnsi="Arial"/>
                <w:sz w:val="18"/>
                <w:szCs w:val="18"/>
                <w:color w:val="auto"/>
                <w:w w:val="90"/>
              </w:rPr>
              <w:t>Name:</w:t>
            </w:r>
          </w:p>
        </w:tc>
        <w:tc>
          <w:tcPr>
            <w:tcW w:w="406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Chris D. Wolfslayer</w:t>
            </w:r>
          </w:p>
        </w:tc>
      </w:tr>
      <w:tr>
        <w:trPr>
          <w:trHeight w:val="224"/>
        </w:trPr>
        <w:tc>
          <w:tcPr>
            <w:tcW w:w="420" w:type="dxa"/>
            <w:vAlign w:val="bottom"/>
            <w:gridSpan w:val="2"/>
          </w:tcPr>
          <w:p>
            <w:pPr>
              <w:spacing w:after="0"/>
              <w:rPr>
                <w:sz w:val="20"/>
                <w:szCs w:val="20"/>
                <w:color w:val="auto"/>
              </w:rPr>
            </w:pPr>
            <w:r>
              <w:rPr>
                <w:rFonts w:ascii="Arial" w:cs="Arial" w:eastAsia="Arial" w:hAnsi="Arial"/>
                <w:sz w:val="18"/>
                <w:szCs w:val="18"/>
                <w:color w:val="auto"/>
              </w:rPr>
              <w:t>Title:</w:t>
            </w:r>
          </w:p>
        </w:tc>
        <w:tc>
          <w:tcPr>
            <w:tcW w:w="80" w:type="dxa"/>
            <w:vAlign w:val="bottom"/>
            <w:tcBorders>
              <w:bottom w:val="single" w:sz="8" w:color="auto"/>
            </w:tcBorders>
          </w:tcPr>
          <w:p>
            <w:pPr>
              <w:spacing w:after="0"/>
              <w:rPr>
                <w:sz w:val="19"/>
                <w:szCs w:val="19"/>
                <w:color w:val="auto"/>
              </w:rPr>
            </w:pPr>
          </w:p>
        </w:tc>
        <w:tc>
          <w:tcPr>
            <w:tcW w:w="406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rPr>
              <w:t>Senior Vice President</w:t>
            </w:r>
          </w:p>
        </w:tc>
      </w:tr>
    </w:tbl>
    <w:p>
      <w:pPr>
        <w:spacing w:after="0" w:line="215" w:lineRule="exact"/>
        <w:rPr>
          <w:sz w:val="20"/>
          <w:szCs w:val="20"/>
          <w:color w:val="auto"/>
        </w:rPr>
      </w:pPr>
    </w:p>
    <w:p>
      <w:pPr>
        <w:ind w:left="5660"/>
        <w:spacing w:after="0"/>
        <w:rPr>
          <w:sz w:val="20"/>
          <w:szCs w:val="20"/>
          <w:color w:val="auto"/>
        </w:rPr>
      </w:pPr>
      <w:r>
        <w:rPr>
          <w:rFonts w:ascii="Arial" w:cs="Arial" w:eastAsia="Arial" w:hAnsi="Arial"/>
          <w:sz w:val="16"/>
          <w:szCs w:val="16"/>
          <w:b w:val="1"/>
          <w:bCs w:val="1"/>
          <w:color w:val="auto"/>
        </w:rPr>
        <w:t>DEUTSCHE BANK TRUST COMPANY AMERICAS</w:t>
      </w:r>
      <w:r>
        <w:rPr>
          <w:rFonts w:ascii="Arial" w:cs="Arial" w:eastAsia="Arial" w:hAnsi="Arial"/>
          <w:sz w:val="16"/>
          <w:szCs w:val="16"/>
          <w:color w:val="auto"/>
        </w:rPr>
        <w:t>, as a</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Lender</w:t>
      </w:r>
    </w:p>
    <w:p>
      <w:pPr>
        <w:spacing w:after="0" w:line="219" w:lineRule="exact"/>
        <w:rPr>
          <w:sz w:val="20"/>
          <w:szCs w:val="20"/>
          <w:color w:val="auto"/>
        </w:rPr>
      </w:pPr>
    </w:p>
    <w:tbl>
      <w:tblPr>
        <w:tblLayout w:type="fixed"/>
        <w:tblInd w:w="5660" w:type="dxa"/>
        <w:tblCellMar>
          <w:top w:w="0" w:type="dxa"/>
          <w:left w:w="0" w:type="dxa"/>
          <w:bottom w:w="0" w:type="dxa"/>
          <w:right w:w="0" w:type="dxa"/>
        </w:tblCellMar>
      </w:tblPr>
      <w:tr>
        <w:trPr>
          <w:trHeight w:val="223"/>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200" w:type="dxa"/>
            <w:vAlign w:val="bottom"/>
            <w:tcBorders>
              <w:bottom w:val="single" w:sz="8" w:color="auto"/>
            </w:tcBorders>
            <w:gridSpan w:val="2"/>
          </w:tcPr>
          <w:p>
            <w:pPr>
              <w:spacing w:after="0"/>
              <w:rPr>
                <w:sz w:val="19"/>
                <w:szCs w:val="19"/>
                <w:color w:val="auto"/>
              </w:rPr>
            </w:pPr>
          </w:p>
        </w:tc>
        <w:tc>
          <w:tcPr>
            <w:tcW w:w="40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Carin Key</w:t>
            </w:r>
          </w:p>
        </w:tc>
      </w:tr>
      <w:tr>
        <w:trPr>
          <w:trHeight w:val="222"/>
        </w:trPr>
        <w:tc>
          <w:tcPr>
            <w:tcW w:w="500" w:type="dxa"/>
            <w:vAlign w:val="bottom"/>
            <w:gridSpan w:val="3"/>
          </w:tcPr>
          <w:p>
            <w:pPr>
              <w:spacing w:after="0"/>
              <w:rPr>
                <w:sz w:val="20"/>
                <w:szCs w:val="20"/>
                <w:color w:val="auto"/>
              </w:rPr>
            </w:pPr>
            <w:r>
              <w:rPr>
                <w:rFonts w:ascii="Arial" w:cs="Arial" w:eastAsia="Arial" w:hAnsi="Arial"/>
                <w:sz w:val="18"/>
                <w:szCs w:val="18"/>
                <w:color w:val="auto"/>
                <w:w w:val="90"/>
              </w:rPr>
              <w:t>Name:</w:t>
            </w:r>
          </w:p>
        </w:tc>
        <w:tc>
          <w:tcPr>
            <w:tcW w:w="406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rPr>
              <w:t>Carin Key</w:t>
            </w:r>
          </w:p>
        </w:tc>
      </w:tr>
      <w:tr>
        <w:trPr>
          <w:trHeight w:val="224"/>
        </w:trPr>
        <w:tc>
          <w:tcPr>
            <w:tcW w:w="420" w:type="dxa"/>
            <w:vAlign w:val="bottom"/>
            <w:gridSpan w:val="2"/>
          </w:tcPr>
          <w:p>
            <w:pPr>
              <w:spacing w:after="0"/>
              <w:rPr>
                <w:sz w:val="20"/>
                <w:szCs w:val="20"/>
                <w:color w:val="auto"/>
              </w:rPr>
            </w:pPr>
            <w:r>
              <w:rPr>
                <w:rFonts w:ascii="Arial" w:cs="Arial" w:eastAsia="Arial" w:hAnsi="Arial"/>
                <w:sz w:val="18"/>
                <w:szCs w:val="18"/>
                <w:color w:val="auto"/>
              </w:rPr>
              <w:t>Title:</w:t>
            </w:r>
          </w:p>
        </w:tc>
        <w:tc>
          <w:tcPr>
            <w:tcW w:w="80" w:type="dxa"/>
            <w:vAlign w:val="bottom"/>
            <w:tcBorders>
              <w:bottom w:val="single" w:sz="8" w:color="auto"/>
            </w:tcBorders>
          </w:tcPr>
          <w:p>
            <w:pPr>
              <w:spacing w:after="0"/>
              <w:rPr>
                <w:sz w:val="19"/>
                <w:szCs w:val="19"/>
                <w:color w:val="auto"/>
              </w:rPr>
            </w:pPr>
          </w:p>
        </w:tc>
        <w:tc>
          <w:tcPr>
            <w:tcW w:w="406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rPr>
              <w:t>Director</w:t>
            </w:r>
          </w:p>
        </w:tc>
      </w:tr>
      <w:tr>
        <w:trPr>
          <w:trHeight w:val="439"/>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200" w:type="dxa"/>
            <w:vAlign w:val="bottom"/>
            <w:tcBorders>
              <w:bottom w:val="single" w:sz="8" w:color="auto"/>
            </w:tcBorders>
            <w:gridSpan w:val="2"/>
          </w:tcPr>
          <w:p>
            <w:pPr>
              <w:spacing w:after="0"/>
              <w:rPr>
                <w:sz w:val="24"/>
                <w:szCs w:val="24"/>
                <w:color w:val="auto"/>
              </w:rPr>
            </w:pPr>
          </w:p>
        </w:tc>
        <w:tc>
          <w:tcPr>
            <w:tcW w:w="40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Erin Morrissey</w:t>
            </w:r>
          </w:p>
        </w:tc>
      </w:tr>
      <w:tr>
        <w:trPr>
          <w:trHeight w:val="222"/>
        </w:trPr>
        <w:tc>
          <w:tcPr>
            <w:tcW w:w="500" w:type="dxa"/>
            <w:vAlign w:val="bottom"/>
            <w:gridSpan w:val="3"/>
          </w:tcPr>
          <w:p>
            <w:pPr>
              <w:spacing w:after="0"/>
              <w:rPr>
                <w:sz w:val="20"/>
                <w:szCs w:val="20"/>
                <w:color w:val="auto"/>
              </w:rPr>
            </w:pPr>
            <w:r>
              <w:rPr>
                <w:rFonts w:ascii="Arial" w:cs="Arial" w:eastAsia="Arial" w:hAnsi="Arial"/>
                <w:sz w:val="18"/>
                <w:szCs w:val="18"/>
                <w:color w:val="auto"/>
                <w:w w:val="90"/>
              </w:rPr>
              <w:t>Name:</w:t>
            </w:r>
          </w:p>
        </w:tc>
        <w:tc>
          <w:tcPr>
            <w:tcW w:w="406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rPr>
              <w:t>Erin Morrissey</w:t>
            </w:r>
          </w:p>
        </w:tc>
      </w:tr>
      <w:tr>
        <w:trPr>
          <w:trHeight w:val="224"/>
        </w:trPr>
        <w:tc>
          <w:tcPr>
            <w:tcW w:w="420" w:type="dxa"/>
            <w:vAlign w:val="bottom"/>
            <w:gridSpan w:val="2"/>
          </w:tcPr>
          <w:p>
            <w:pPr>
              <w:spacing w:after="0"/>
              <w:rPr>
                <w:sz w:val="20"/>
                <w:szCs w:val="20"/>
                <w:color w:val="auto"/>
              </w:rPr>
            </w:pPr>
            <w:r>
              <w:rPr>
                <w:rFonts w:ascii="Arial" w:cs="Arial" w:eastAsia="Arial" w:hAnsi="Arial"/>
                <w:sz w:val="18"/>
                <w:szCs w:val="18"/>
                <w:color w:val="auto"/>
              </w:rPr>
              <w:t>Title:</w:t>
            </w:r>
          </w:p>
        </w:tc>
        <w:tc>
          <w:tcPr>
            <w:tcW w:w="80" w:type="dxa"/>
            <w:vAlign w:val="bottom"/>
            <w:tcBorders>
              <w:bottom w:val="single" w:sz="8" w:color="auto"/>
            </w:tcBorders>
          </w:tcPr>
          <w:p>
            <w:pPr>
              <w:spacing w:after="0"/>
              <w:rPr>
                <w:sz w:val="19"/>
                <w:szCs w:val="19"/>
                <w:color w:val="auto"/>
              </w:rPr>
            </w:pPr>
          </w:p>
        </w:tc>
        <w:tc>
          <w:tcPr>
            <w:tcW w:w="406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rPr>
              <w:t>Director</w:t>
            </w:r>
          </w:p>
        </w:tc>
      </w:tr>
    </w:tbl>
    <w:p>
      <w:pPr>
        <w:spacing w:after="0" w:line="167"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SECOND AMENDED AND RESTATED CREDIT AGREEMENT</w:t>
      </w:r>
    </w:p>
    <w:p>
      <w:pPr>
        <w:spacing w:after="0" w:line="3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220"/>
          </w:cols>
          <w:pgMar w:left="1440" w:top="274" w:right="239" w:bottom="1440" w:gutter="0" w:footer="0" w:header="0"/>
        </w:sectPr>
      </w:pPr>
    </w:p>
    <w:bookmarkStart w:id="177" w:name="page178"/>
    <w:bookmarkEnd w:id="177"/>
    <w:p>
      <w:pPr>
        <w:ind w:left="50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CAPITAL ONE, N.A.</w:t>
      </w:r>
      <w:r>
        <w:rPr>
          <w:rFonts w:ascii="Arial" w:cs="Arial" w:eastAsia="Arial" w:hAnsi="Arial"/>
          <w:sz w:val="18"/>
          <w:szCs w:val="18"/>
          <w:color w:val="auto"/>
        </w:rPr>
        <w:t>, as a Lender</w:t>
      </w:r>
    </w:p>
    <w:p>
      <w:pPr>
        <w:spacing w:after="0" w:line="231" w:lineRule="exact"/>
        <w:rPr>
          <w:sz w:val="20"/>
          <w:szCs w:val="20"/>
          <w:color w:val="auto"/>
        </w:rPr>
      </w:pPr>
    </w:p>
    <w:tbl>
      <w:tblPr>
        <w:tblLayout w:type="fixed"/>
        <w:tblInd w:w="5080" w:type="dxa"/>
        <w:tblCellMar>
          <w:top w:w="0" w:type="dxa"/>
          <w:left w:w="0" w:type="dxa"/>
          <w:bottom w:w="0" w:type="dxa"/>
          <w:right w:w="0" w:type="dxa"/>
        </w:tblCellMar>
      </w:tblPr>
      <w:tr>
        <w:trPr>
          <w:trHeight w:val="223"/>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200" w:type="dxa"/>
            <w:vAlign w:val="bottom"/>
            <w:tcBorders>
              <w:bottom w:val="single" w:sz="8" w:color="auto"/>
            </w:tcBorders>
            <w:gridSpan w:val="2"/>
          </w:tcPr>
          <w:p>
            <w:pPr>
              <w:spacing w:after="0"/>
              <w:rPr>
                <w:sz w:val="19"/>
                <w:szCs w:val="19"/>
                <w:color w:val="auto"/>
              </w:rPr>
            </w:pPr>
          </w:p>
        </w:tc>
        <w:tc>
          <w:tcPr>
            <w:tcW w:w="46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Thomas P. Higgins</w:t>
            </w:r>
          </w:p>
        </w:tc>
      </w:tr>
      <w:tr>
        <w:trPr>
          <w:trHeight w:val="222"/>
        </w:trPr>
        <w:tc>
          <w:tcPr>
            <w:tcW w:w="520" w:type="dxa"/>
            <w:vAlign w:val="bottom"/>
            <w:gridSpan w:val="3"/>
          </w:tcPr>
          <w:p>
            <w:pPr>
              <w:spacing w:after="0"/>
              <w:rPr>
                <w:sz w:val="20"/>
                <w:szCs w:val="20"/>
                <w:color w:val="auto"/>
              </w:rPr>
            </w:pPr>
            <w:r>
              <w:rPr>
                <w:rFonts w:ascii="Arial" w:cs="Arial" w:eastAsia="Arial" w:hAnsi="Arial"/>
                <w:sz w:val="18"/>
                <w:szCs w:val="18"/>
                <w:color w:val="auto"/>
                <w:w w:val="94"/>
              </w:rPr>
              <w:t>Name:</w:t>
            </w:r>
          </w:p>
        </w:tc>
        <w:tc>
          <w:tcPr>
            <w:tcW w:w="4620" w:type="dxa"/>
            <w:vAlign w:val="bottom"/>
            <w:tcBorders>
              <w:bottom w:val="single" w:sz="8" w:color="auto"/>
            </w:tcBorders>
          </w:tcPr>
          <w:p>
            <w:pPr>
              <w:ind w:left="1640"/>
              <w:spacing w:after="0"/>
              <w:rPr>
                <w:sz w:val="20"/>
                <w:szCs w:val="20"/>
                <w:color w:val="auto"/>
              </w:rPr>
            </w:pPr>
            <w:r>
              <w:rPr>
                <w:rFonts w:ascii="Arial" w:cs="Arial" w:eastAsia="Arial" w:hAnsi="Arial"/>
                <w:sz w:val="18"/>
                <w:szCs w:val="18"/>
                <w:color w:val="auto"/>
              </w:rPr>
              <w:t>Thomas P. Higgins</w:t>
            </w:r>
          </w:p>
        </w:tc>
      </w:tr>
      <w:tr>
        <w:trPr>
          <w:trHeight w:val="224"/>
        </w:trPr>
        <w:tc>
          <w:tcPr>
            <w:tcW w:w="420" w:type="dxa"/>
            <w:vAlign w:val="bottom"/>
            <w:gridSpan w:val="2"/>
          </w:tcPr>
          <w:p>
            <w:pPr>
              <w:spacing w:after="0"/>
              <w:rPr>
                <w:sz w:val="20"/>
                <w:szCs w:val="20"/>
                <w:color w:val="auto"/>
              </w:rPr>
            </w:pPr>
            <w:r>
              <w:rPr>
                <w:rFonts w:ascii="Arial" w:cs="Arial" w:eastAsia="Arial" w:hAnsi="Arial"/>
                <w:sz w:val="18"/>
                <w:szCs w:val="18"/>
                <w:color w:val="auto"/>
              </w:rPr>
              <w:t>Title:</w:t>
            </w:r>
          </w:p>
        </w:tc>
        <w:tc>
          <w:tcPr>
            <w:tcW w:w="100" w:type="dxa"/>
            <w:vAlign w:val="bottom"/>
            <w:tcBorders>
              <w:bottom w:val="single" w:sz="8" w:color="auto"/>
            </w:tcBorders>
          </w:tcPr>
          <w:p>
            <w:pPr>
              <w:spacing w:after="0"/>
              <w:rPr>
                <w:sz w:val="19"/>
                <w:szCs w:val="19"/>
                <w:color w:val="auto"/>
              </w:rPr>
            </w:pPr>
          </w:p>
        </w:tc>
        <w:tc>
          <w:tcPr>
            <w:tcW w:w="4620" w:type="dxa"/>
            <w:vAlign w:val="bottom"/>
            <w:tcBorders>
              <w:bottom w:val="single" w:sz="8" w:color="auto"/>
            </w:tcBorders>
          </w:tcPr>
          <w:p>
            <w:pPr>
              <w:ind w:left="1640"/>
              <w:spacing w:after="0"/>
              <w:rPr>
                <w:sz w:val="20"/>
                <w:szCs w:val="20"/>
                <w:color w:val="auto"/>
              </w:rPr>
            </w:pPr>
            <w:r>
              <w:rPr>
                <w:rFonts w:ascii="Arial" w:cs="Arial" w:eastAsia="Arial" w:hAnsi="Arial"/>
                <w:sz w:val="18"/>
                <w:szCs w:val="18"/>
                <w:color w:val="auto"/>
              </w:rPr>
              <w:t>Senior Vice President</w:t>
            </w:r>
          </w:p>
        </w:tc>
      </w:tr>
      <w:tr>
        <w:trPr>
          <w:trHeight w:val="438"/>
        </w:trPr>
        <w:tc>
          <w:tcPr>
            <w:tcW w:w="5140" w:type="dxa"/>
            <w:vAlign w:val="bottom"/>
            <w:gridSpan w:val="4"/>
          </w:tcPr>
          <w:p>
            <w:pPr>
              <w:spacing w:after="0"/>
              <w:rPr>
                <w:sz w:val="20"/>
                <w:szCs w:val="20"/>
                <w:color w:val="auto"/>
              </w:rPr>
            </w:pPr>
            <w:r>
              <w:rPr>
                <w:rFonts w:ascii="Arial" w:cs="Arial" w:eastAsia="Arial" w:hAnsi="Arial"/>
                <w:sz w:val="18"/>
                <w:szCs w:val="18"/>
                <w:b w:val="1"/>
                <w:bCs w:val="1"/>
                <w:color w:val="auto"/>
              </w:rPr>
              <w:t>MORGAN STANLEY BANK, N.A.</w:t>
            </w:r>
            <w:r>
              <w:rPr>
                <w:rFonts w:ascii="Arial" w:cs="Arial" w:eastAsia="Arial" w:hAnsi="Arial"/>
                <w:sz w:val="18"/>
                <w:szCs w:val="18"/>
                <w:color w:val="auto"/>
              </w:rPr>
              <w:t>, as a Lender</w:t>
            </w:r>
          </w:p>
        </w:tc>
      </w:tr>
      <w:tr>
        <w:trPr>
          <w:trHeight w:val="433"/>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200" w:type="dxa"/>
            <w:vAlign w:val="bottom"/>
            <w:tcBorders>
              <w:bottom w:val="single" w:sz="8" w:color="auto"/>
            </w:tcBorders>
            <w:gridSpan w:val="2"/>
          </w:tcPr>
          <w:p>
            <w:pPr>
              <w:spacing w:after="0"/>
              <w:rPr>
                <w:sz w:val="24"/>
                <w:szCs w:val="24"/>
                <w:color w:val="auto"/>
              </w:rPr>
            </w:pPr>
          </w:p>
        </w:tc>
        <w:tc>
          <w:tcPr>
            <w:tcW w:w="46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Sherrese Clark</w:t>
            </w:r>
          </w:p>
        </w:tc>
      </w:tr>
      <w:tr>
        <w:trPr>
          <w:trHeight w:val="222"/>
        </w:trPr>
        <w:tc>
          <w:tcPr>
            <w:tcW w:w="520" w:type="dxa"/>
            <w:vAlign w:val="bottom"/>
            <w:gridSpan w:val="3"/>
          </w:tcPr>
          <w:p>
            <w:pPr>
              <w:spacing w:after="0"/>
              <w:rPr>
                <w:sz w:val="20"/>
                <w:szCs w:val="20"/>
                <w:color w:val="auto"/>
              </w:rPr>
            </w:pPr>
            <w:r>
              <w:rPr>
                <w:rFonts w:ascii="Arial" w:cs="Arial" w:eastAsia="Arial" w:hAnsi="Arial"/>
                <w:sz w:val="18"/>
                <w:szCs w:val="18"/>
                <w:color w:val="auto"/>
                <w:w w:val="94"/>
              </w:rPr>
              <w:t>Name:</w:t>
            </w:r>
          </w:p>
        </w:tc>
        <w:tc>
          <w:tcPr>
            <w:tcW w:w="462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rPr>
              <w:t>Sherrese Clark</w:t>
            </w:r>
          </w:p>
        </w:tc>
      </w:tr>
      <w:tr>
        <w:trPr>
          <w:trHeight w:val="224"/>
        </w:trPr>
        <w:tc>
          <w:tcPr>
            <w:tcW w:w="420" w:type="dxa"/>
            <w:vAlign w:val="bottom"/>
            <w:gridSpan w:val="2"/>
          </w:tcPr>
          <w:p>
            <w:pPr>
              <w:spacing w:after="0"/>
              <w:rPr>
                <w:sz w:val="20"/>
                <w:szCs w:val="20"/>
                <w:color w:val="auto"/>
              </w:rPr>
            </w:pPr>
            <w:r>
              <w:rPr>
                <w:rFonts w:ascii="Arial" w:cs="Arial" w:eastAsia="Arial" w:hAnsi="Arial"/>
                <w:sz w:val="18"/>
                <w:szCs w:val="18"/>
                <w:color w:val="auto"/>
              </w:rPr>
              <w:t>Title:</w:t>
            </w:r>
          </w:p>
        </w:tc>
        <w:tc>
          <w:tcPr>
            <w:tcW w:w="100" w:type="dxa"/>
            <w:vAlign w:val="bottom"/>
            <w:tcBorders>
              <w:bottom w:val="single" w:sz="8" w:color="auto"/>
            </w:tcBorders>
          </w:tcPr>
          <w:p>
            <w:pPr>
              <w:spacing w:after="0"/>
              <w:rPr>
                <w:sz w:val="19"/>
                <w:szCs w:val="19"/>
                <w:color w:val="auto"/>
              </w:rPr>
            </w:pPr>
          </w:p>
        </w:tc>
        <w:tc>
          <w:tcPr>
            <w:tcW w:w="4620" w:type="dxa"/>
            <w:vAlign w:val="bottom"/>
            <w:tcBorders>
              <w:bottom w:val="single" w:sz="8" w:color="auto"/>
            </w:tcBorders>
          </w:tcPr>
          <w:p>
            <w:pPr>
              <w:ind w:left="1640"/>
              <w:spacing w:after="0"/>
              <w:rPr>
                <w:sz w:val="20"/>
                <w:szCs w:val="20"/>
                <w:color w:val="auto"/>
              </w:rPr>
            </w:pPr>
            <w:r>
              <w:rPr>
                <w:rFonts w:ascii="Arial" w:cs="Arial" w:eastAsia="Arial" w:hAnsi="Arial"/>
                <w:sz w:val="18"/>
                <w:szCs w:val="18"/>
                <w:color w:val="auto"/>
              </w:rPr>
              <w:t>Authorized Signatory</w:t>
            </w:r>
          </w:p>
        </w:tc>
      </w:tr>
      <w:tr>
        <w:trPr>
          <w:trHeight w:val="438"/>
        </w:trPr>
        <w:tc>
          <w:tcPr>
            <w:tcW w:w="5140" w:type="dxa"/>
            <w:vAlign w:val="bottom"/>
            <w:gridSpan w:val="4"/>
          </w:tcPr>
          <w:p>
            <w:pPr>
              <w:spacing w:after="0"/>
              <w:rPr>
                <w:sz w:val="20"/>
                <w:szCs w:val="20"/>
                <w:color w:val="auto"/>
              </w:rPr>
            </w:pPr>
            <w:r>
              <w:rPr>
                <w:rFonts w:ascii="Arial" w:cs="Arial" w:eastAsia="Arial" w:hAnsi="Arial"/>
                <w:sz w:val="18"/>
                <w:szCs w:val="18"/>
                <w:b w:val="1"/>
                <w:bCs w:val="1"/>
                <w:color w:val="auto"/>
              </w:rPr>
              <w:t>FIRST NIAGARA BANK, N. A.</w:t>
            </w:r>
            <w:r>
              <w:rPr>
                <w:rFonts w:ascii="Arial" w:cs="Arial" w:eastAsia="Arial" w:hAnsi="Arial"/>
                <w:sz w:val="18"/>
                <w:szCs w:val="18"/>
                <w:color w:val="auto"/>
              </w:rPr>
              <w:t>, as a Lender</w:t>
            </w:r>
          </w:p>
        </w:tc>
      </w:tr>
      <w:tr>
        <w:trPr>
          <w:trHeight w:val="433"/>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200" w:type="dxa"/>
            <w:vAlign w:val="bottom"/>
            <w:tcBorders>
              <w:bottom w:val="single" w:sz="8" w:color="auto"/>
            </w:tcBorders>
            <w:gridSpan w:val="2"/>
          </w:tcPr>
          <w:p>
            <w:pPr>
              <w:spacing w:after="0"/>
              <w:rPr>
                <w:sz w:val="24"/>
                <w:szCs w:val="24"/>
                <w:color w:val="auto"/>
              </w:rPr>
            </w:pPr>
          </w:p>
        </w:tc>
        <w:tc>
          <w:tcPr>
            <w:tcW w:w="46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Troy M. Jones</w:t>
            </w:r>
          </w:p>
        </w:tc>
      </w:tr>
      <w:tr>
        <w:trPr>
          <w:trHeight w:val="222"/>
        </w:trPr>
        <w:tc>
          <w:tcPr>
            <w:tcW w:w="520" w:type="dxa"/>
            <w:vAlign w:val="bottom"/>
            <w:gridSpan w:val="3"/>
          </w:tcPr>
          <w:p>
            <w:pPr>
              <w:spacing w:after="0"/>
              <w:rPr>
                <w:sz w:val="20"/>
                <w:szCs w:val="20"/>
                <w:color w:val="auto"/>
              </w:rPr>
            </w:pPr>
            <w:r>
              <w:rPr>
                <w:rFonts w:ascii="Arial" w:cs="Arial" w:eastAsia="Arial" w:hAnsi="Arial"/>
                <w:sz w:val="18"/>
                <w:szCs w:val="18"/>
                <w:color w:val="auto"/>
                <w:w w:val="94"/>
              </w:rPr>
              <w:t>Name:</w:t>
            </w:r>
          </w:p>
        </w:tc>
        <w:tc>
          <w:tcPr>
            <w:tcW w:w="4620" w:type="dxa"/>
            <w:vAlign w:val="bottom"/>
            <w:tcBorders>
              <w:bottom w:val="single" w:sz="8" w:color="auto"/>
            </w:tcBorders>
          </w:tcPr>
          <w:p>
            <w:pPr>
              <w:ind w:left="1680"/>
              <w:spacing w:after="0"/>
              <w:rPr>
                <w:sz w:val="20"/>
                <w:szCs w:val="20"/>
                <w:color w:val="auto"/>
              </w:rPr>
            </w:pPr>
            <w:r>
              <w:rPr>
                <w:rFonts w:ascii="Arial" w:cs="Arial" w:eastAsia="Arial" w:hAnsi="Arial"/>
                <w:sz w:val="18"/>
                <w:szCs w:val="18"/>
                <w:color w:val="auto"/>
              </w:rPr>
              <w:t>Troy M. Jones</w:t>
            </w:r>
          </w:p>
        </w:tc>
      </w:tr>
      <w:tr>
        <w:trPr>
          <w:trHeight w:val="224"/>
        </w:trPr>
        <w:tc>
          <w:tcPr>
            <w:tcW w:w="420" w:type="dxa"/>
            <w:vAlign w:val="bottom"/>
            <w:gridSpan w:val="2"/>
          </w:tcPr>
          <w:p>
            <w:pPr>
              <w:spacing w:after="0"/>
              <w:rPr>
                <w:sz w:val="20"/>
                <w:szCs w:val="20"/>
                <w:color w:val="auto"/>
              </w:rPr>
            </w:pPr>
            <w:r>
              <w:rPr>
                <w:rFonts w:ascii="Arial" w:cs="Arial" w:eastAsia="Arial" w:hAnsi="Arial"/>
                <w:sz w:val="18"/>
                <w:szCs w:val="18"/>
                <w:color w:val="auto"/>
              </w:rPr>
              <w:t>Title:</w:t>
            </w:r>
          </w:p>
        </w:tc>
        <w:tc>
          <w:tcPr>
            <w:tcW w:w="100" w:type="dxa"/>
            <w:vAlign w:val="bottom"/>
            <w:tcBorders>
              <w:bottom w:val="single" w:sz="8" w:color="auto"/>
            </w:tcBorders>
          </w:tcPr>
          <w:p>
            <w:pPr>
              <w:spacing w:after="0"/>
              <w:rPr>
                <w:sz w:val="19"/>
                <w:szCs w:val="19"/>
                <w:color w:val="auto"/>
              </w:rPr>
            </w:pPr>
          </w:p>
        </w:tc>
        <w:tc>
          <w:tcPr>
            <w:tcW w:w="4620" w:type="dxa"/>
            <w:vAlign w:val="bottom"/>
            <w:tcBorders>
              <w:bottom w:val="single" w:sz="8" w:color="auto"/>
            </w:tcBorders>
          </w:tcPr>
          <w:p>
            <w:pPr>
              <w:ind w:left="1700"/>
              <w:spacing w:after="0"/>
              <w:rPr>
                <w:sz w:val="20"/>
                <w:szCs w:val="20"/>
                <w:color w:val="auto"/>
              </w:rPr>
            </w:pPr>
            <w:r>
              <w:rPr>
                <w:rFonts w:ascii="Arial" w:cs="Arial" w:eastAsia="Arial" w:hAnsi="Arial"/>
                <w:sz w:val="18"/>
                <w:szCs w:val="18"/>
                <w:color w:val="auto"/>
              </w:rPr>
              <w:t>Assistant Vice President</w:t>
            </w:r>
          </w:p>
        </w:tc>
      </w:tr>
      <w:tr>
        <w:trPr>
          <w:trHeight w:val="438"/>
        </w:trPr>
        <w:tc>
          <w:tcPr>
            <w:tcW w:w="5140" w:type="dxa"/>
            <w:vAlign w:val="bottom"/>
            <w:gridSpan w:val="4"/>
          </w:tcPr>
          <w:p>
            <w:pPr>
              <w:spacing w:after="0"/>
              <w:rPr>
                <w:sz w:val="20"/>
                <w:szCs w:val="20"/>
                <w:color w:val="auto"/>
              </w:rPr>
            </w:pPr>
            <w:r>
              <w:rPr>
                <w:rFonts w:ascii="Arial" w:cs="Arial" w:eastAsia="Arial" w:hAnsi="Arial"/>
                <w:sz w:val="18"/>
                <w:szCs w:val="18"/>
                <w:b w:val="1"/>
                <w:bCs w:val="1"/>
                <w:color w:val="auto"/>
              </w:rPr>
              <w:t>RBC BANK (USA)</w:t>
            </w:r>
            <w:r>
              <w:rPr>
                <w:rFonts w:ascii="Arial" w:cs="Arial" w:eastAsia="Arial" w:hAnsi="Arial"/>
                <w:sz w:val="18"/>
                <w:szCs w:val="18"/>
                <w:color w:val="auto"/>
              </w:rPr>
              <w:t>, as a Lender</w:t>
            </w:r>
          </w:p>
        </w:tc>
      </w:tr>
      <w:tr>
        <w:trPr>
          <w:trHeight w:val="433"/>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200" w:type="dxa"/>
            <w:vAlign w:val="bottom"/>
            <w:tcBorders>
              <w:bottom w:val="single" w:sz="8" w:color="auto"/>
            </w:tcBorders>
            <w:gridSpan w:val="2"/>
          </w:tcPr>
          <w:p>
            <w:pPr>
              <w:spacing w:after="0"/>
              <w:rPr>
                <w:sz w:val="24"/>
                <w:szCs w:val="24"/>
                <w:color w:val="auto"/>
              </w:rPr>
            </w:pPr>
          </w:p>
        </w:tc>
        <w:tc>
          <w:tcPr>
            <w:tcW w:w="46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Richard Marshall</w:t>
            </w:r>
          </w:p>
        </w:tc>
      </w:tr>
      <w:tr>
        <w:trPr>
          <w:trHeight w:val="222"/>
        </w:trPr>
        <w:tc>
          <w:tcPr>
            <w:tcW w:w="520" w:type="dxa"/>
            <w:vAlign w:val="bottom"/>
            <w:gridSpan w:val="3"/>
          </w:tcPr>
          <w:p>
            <w:pPr>
              <w:spacing w:after="0"/>
              <w:rPr>
                <w:sz w:val="20"/>
                <w:szCs w:val="20"/>
                <w:color w:val="auto"/>
              </w:rPr>
            </w:pPr>
            <w:r>
              <w:rPr>
                <w:rFonts w:ascii="Arial" w:cs="Arial" w:eastAsia="Arial" w:hAnsi="Arial"/>
                <w:sz w:val="18"/>
                <w:szCs w:val="18"/>
                <w:color w:val="auto"/>
                <w:w w:val="94"/>
              </w:rPr>
              <w:t>Name:</w:t>
            </w:r>
          </w:p>
        </w:tc>
        <w:tc>
          <w:tcPr>
            <w:tcW w:w="462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rPr>
              <w:t>Richard Marshall</w:t>
            </w:r>
          </w:p>
        </w:tc>
      </w:tr>
      <w:tr>
        <w:trPr>
          <w:trHeight w:val="224"/>
        </w:trPr>
        <w:tc>
          <w:tcPr>
            <w:tcW w:w="520" w:type="dxa"/>
            <w:vAlign w:val="bottom"/>
            <w:gridSpan w:val="3"/>
          </w:tcPr>
          <w:p>
            <w:pPr>
              <w:spacing w:after="0"/>
              <w:rPr>
                <w:sz w:val="20"/>
                <w:szCs w:val="20"/>
                <w:color w:val="auto"/>
              </w:rPr>
            </w:pPr>
            <w:r>
              <w:rPr>
                <w:rFonts w:ascii="Arial" w:cs="Arial" w:eastAsia="Arial" w:hAnsi="Arial"/>
                <w:sz w:val="18"/>
                <w:szCs w:val="18"/>
                <w:color w:val="auto"/>
              </w:rPr>
              <w:t>Title:</w:t>
            </w:r>
          </w:p>
        </w:tc>
        <w:tc>
          <w:tcPr>
            <w:tcW w:w="4620" w:type="dxa"/>
            <w:vAlign w:val="bottom"/>
            <w:tcBorders>
              <w:bottom w:val="single" w:sz="8" w:color="auto"/>
            </w:tcBorders>
          </w:tcPr>
          <w:p>
            <w:pPr>
              <w:ind w:left="1640"/>
              <w:spacing w:after="0"/>
              <w:rPr>
                <w:sz w:val="20"/>
                <w:szCs w:val="20"/>
                <w:color w:val="auto"/>
              </w:rPr>
            </w:pPr>
            <w:r>
              <w:rPr>
                <w:rFonts w:ascii="Arial" w:cs="Arial" w:eastAsia="Arial" w:hAnsi="Arial"/>
                <w:sz w:val="18"/>
                <w:szCs w:val="18"/>
                <w:color w:val="auto"/>
              </w:rPr>
              <w:t>Market Executive-National Division</w:t>
            </w:r>
          </w:p>
        </w:tc>
      </w:tr>
      <w:tr>
        <w:trPr>
          <w:trHeight w:val="438"/>
        </w:trPr>
        <w:tc>
          <w:tcPr>
            <w:tcW w:w="5140" w:type="dxa"/>
            <w:vAlign w:val="bottom"/>
            <w:gridSpan w:val="4"/>
          </w:tcPr>
          <w:p>
            <w:pPr>
              <w:spacing w:after="0"/>
              <w:rPr>
                <w:sz w:val="20"/>
                <w:szCs w:val="20"/>
                <w:color w:val="auto"/>
              </w:rPr>
            </w:pPr>
            <w:r>
              <w:rPr>
                <w:rFonts w:ascii="Arial" w:cs="Arial" w:eastAsia="Arial" w:hAnsi="Arial"/>
                <w:sz w:val="18"/>
                <w:szCs w:val="18"/>
                <w:b w:val="1"/>
                <w:bCs w:val="1"/>
                <w:color w:val="auto"/>
              </w:rPr>
              <w:t>MANUFACTURERS BANK</w:t>
            </w:r>
            <w:r>
              <w:rPr>
                <w:rFonts w:ascii="Arial" w:cs="Arial" w:eastAsia="Arial" w:hAnsi="Arial"/>
                <w:sz w:val="18"/>
                <w:szCs w:val="18"/>
                <w:color w:val="auto"/>
              </w:rPr>
              <w:t>, as a Lender</w:t>
            </w:r>
          </w:p>
        </w:tc>
      </w:tr>
      <w:tr>
        <w:trPr>
          <w:trHeight w:val="433"/>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200" w:type="dxa"/>
            <w:vAlign w:val="bottom"/>
            <w:tcBorders>
              <w:bottom w:val="single" w:sz="8" w:color="auto"/>
            </w:tcBorders>
            <w:gridSpan w:val="2"/>
          </w:tcPr>
          <w:p>
            <w:pPr>
              <w:spacing w:after="0"/>
              <w:rPr>
                <w:sz w:val="24"/>
                <w:szCs w:val="24"/>
                <w:color w:val="auto"/>
              </w:rPr>
            </w:pPr>
          </w:p>
        </w:tc>
        <w:tc>
          <w:tcPr>
            <w:tcW w:w="46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Sandy Lee</w:t>
            </w:r>
          </w:p>
        </w:tc>
      </w:tr>
      <w:tr>
        <w:trPr>
          <w:trHeight w:val="222"/>
        </w:trPr>
        <w:tc>
          <w:tcPr>
            <w:tcW w:w="520" w:type="dxa"/>
            <w:vAlign w:val="bottom"/>
            <w:gridSpan w:val="3"/>
          </w:tcPr>
          <w:p>
            <w:pPr>
              <w:spacing w:after="0"/>
              <w:rPr>
                <w:sz w:val="20"/>
                <w:szCs w:val="20"/>
                <w:color w:val="auto"/>
              </w:rPr>
            </w:pPr>
            <w:r>
              <w:rPr>
                <w:rFonts w:ascii="Arial" w:cs="Arial" w:eastAsia="Arial" w:hAnsi="Arial"/>
                <w:sz w:val="18"/>
                <w:szCs w:val="18"/>
                <w:color w:val="auto"/>
                <w:w w:val="94"/>
              </w:rPr>
              <w:t>Name:</w:t>
            </w:r>
          </w:p>
        </w:tc>
        <w:tc>
          <w:tcPr>
            <w:tcW w:w="4620" w:type="dxa"/>
            <w:vAlign w:val="bottom"/>
            <w:tcBorders>
              <w:bottom w:val="single" w:sz="8" w:color="auto"/>
            </w:tcBorders>
          </w:tcPr>
          <w:p>
            <w:pPr>
              <w:ind w:left="1640"/>
              <w:spacing w:after="0"/>
              <w:rPr>
                <w:sz w:val="20"/>
                <w:szCs w:val="20"/>
                <w:color w:val="auto"/>
              </w:rPr>
            </w:pPr>
            <w:r>
              <w:rPr>
                <w:rFonts w:ascii="Arial" w:cs="Arial" w:eastAsia="Arial" w:hAnsi="Arial"/>
                <w:sz w:val="18"/>
                <w:szCs w:val="18"/>
                <w:color w:val="auto"/>
              </w:rPr>
              <w:t>Sandy Lee</w:t>
            </w:r>
          </w:p>
        </w:tc>
      </w:tr>
      <w:tr>
        <w:trPr>
          <w:trHeight w:val="224"/>
        </w:trPr>
        <w:tc>
          <w:tcPr>
            <w:tcW w:w="420" w:type="dxa"/>
            <w:vAlign w:val="bottom"/>
            <w:gridSpan w:val="2"/>
          </w:tcPr>
          <w:p>
            <w:pPr>
              <w:spacing w:after="0"/>
              <w:rPr>
                <w:sz w:val="20"/>
                <w:szCs w:val="20"/>
                <w:color w:val="auto"/>
              </w:rPr>
            </w:pPr>
            <w:r>
              <w:rPr>
                <w:rFonts w:ascii="Arial" w:cs="Arial" w:eastAsia="Arial" w:hAnsi="Arial"/>
                <w:sz w:val="18"/>
                <w:szCs w:val="18"/>
                <w:color w:val="auto"/>
              </w:rPr>
              <w:t>Title:</w:t>
            </w:r>
          </w:p>
        </w:tc>
        <w:tc>
          <w:tcPr>
            <w:tcW w:w="100" w:type="dxa"/>
            <w:vAlign w:val="bottom"/>
            <w:tcBorders>
              <w:bottom w:val="single" w:sz="8" w:color="auto"/>
            </w:tcBorders>
          </w:tcPr>
          <w:p>
            <w:pPr>
              <w:spacing w:after="0"/>
              <w:rPr>
                <w:sz w:val="19"/>
                <w:szCs w:val="19"/>
                <w:color w:val="auto"/>
              </w:rPr>
            </w:pPr>
          </w:p>
        </w:tc>
        <w:tc>
          <w:tcPr>
            <w:tcW w:w="462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rPr>
              <w:t>Vice President</w:t>
            </w:r>
          </w:p>
        </w:tc>
      </w:tr>
    </w:tbl>
    <w:p>
      <w:pPr>
        <w:spacing w:after="0" w:line="167"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SECOND AMENDED AND RESTATED CREDIT AGREEMENT</w:t>
      </w:r>
    </w:p>
    <w:p>
      <w:pPr>
        <w:spacing w:after="0" w:line="3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220"/>
          </w:cols>
          <w:pgMar w:left="1440" w:top="274"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EXCLUDED SUBSIDIARIES AND SUBSIDIARY GUARANTORS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Excluded Subsidiaries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Excluded Subsidiaries whose Equity Interest is not pledged: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BIMECO, Inc., a Florida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CardioDyne, Inc., a Massachusetts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Cathtec, Incorporated, a Massachusetts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Fiber Imaging Technologies, Inc., a Massachusetts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Integra Healthcare Products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Integra LifeSciences (France)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Integra Sales,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Integra Selector Corporation,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Jarit Instruments,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LXU Healthcare, Inc. – Medical Specialty Products,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Newdeal, Inc., a Texas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Precise Dental Products, Ltd., a California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Precision Dental International, Inc., a California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Foreign Subsidiaries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Excluded Subsidiaries whose Equity Interest is pledged: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Integra LifeSciences (Canada) Holdings, Inc., a Delaware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IsoTis,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Precise Dental Holding Corp., a New Jersey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Integra Euro Holdings, Inc., a Delaware corporation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Subsidiary Guarantors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EndoSolutions, Inc., a Delaware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Integra LifeSciences Corporation,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Integra Luxtec, Inc., a Massachusetts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Integra NeuroSciences (International),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Integra Burlington MA, Inc. (f/k/a Integra Radionics,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IsoTis OrthoBiologics, Inc., a Washington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 Jamner Surgical Instruments,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Integra York PA, Inc. (f/k/a Miltex,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Minnesota Scientific, Inc., a Minnesota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Theken Spine, LLC, an Ohio limited liability company</w:t>
      </w:r>
    </w:p>
    <w:p>
      <w:pPr>
        <w:sectPr>
          <w:pgSz w:w="11900" w:h="16838" w:orient="portrait"/>
          <w:cols w:equalWidth="0" w:num="1">
            <w:col w:w="11420"/>
          </w:cols>
          <w:pgMar w:left="240" w:top="274" w:right="239" w:bottom="144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SCHEDULE 2.01</w:t>
            </w: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080" w:type="dxa"/>
            <w:vAlign w:val="bottom"/>
            <w:gridSpan w:val="3"/>
          </w:tcPr>
          <w:p>
            <w:pPr>
              <w:jc w:val="right"/>
              <w:ind w:right="643"/>
              <w:spacing w:after="0"/>
              <w:rPr>
                <w:sz w:val="20"/>
                <w:szCs w:val="20"/>
                <w:color w:val="auto"/>
              </w:rPr>
            </w:pPr>
            <w:r>
              <w:rPr>
                <w:rFonts w:ascii="Arial" w:cs="Arial" w:eastAsia="Arial" w:hAnsi="Arial"/>
                <w:sz w:val="18"/>
                <w:szCs w:val="18"/>
                <w:b w:val="1"/>
                <w:bCs w:val="1"/>
                <w:color w:val="auto"/>
                <w:w w:val="98"/>
              </w:rPr>
              <w:t>COMMITMENTS AND APPLICABLE PERCENTAGES</w:t>
            </w: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3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Lender</w:t>
            </w:r>
          </w:p>
        </w:tc>
        <w:tc>
          <w:tcPr>
            <w:tcW w:w="436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Revolving</w:t>
            </w:r>
          </w:p>
        </w:tc>
        <w:tc>
          <w:tcPr>
            <w:tcW w:w="14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Applicable</w:t>
            </w:r>
          </w:p>
        </w:tc>
        <w:tc>
          <w:tcPr>
            <w:tcW w:w="0" w:type="dxa"/>
            <w:vAlign w:val="bottom"/>
          </w:tcPr>
          <w:p>
            <w:pPr>
              <w:spacing w:after="0"/>
              <w:rPr>
                <w:sz w:val="1"/>
                <w:szCs w:val="1"/>
                <w:color w:val="auto"/>
              </w:rPr>
            </w:pPr>
          </w:p>
        </w:tc>
      </w:tr>
      <w:tr>
        <w:trPr>
          <w:trHeight w:val="148"/>
        </w:trPr>
        <w:tc>
          <w:tcPr>
            <w:tcW w:w="3540" w:type="dxa"/>
            <w:vAlign w:val="bottom"/>
            <w:gridSpan w:val="3"/>
            <w:vMerge w:val="continue"/>
          </w:tcPr>
          <w:p>
            <w:pPr>
              <w:spacing w:after="0"/>
              <w:rPr>
                <w:sz w:val="12"/>
                <w:szCs w:val="12"/>
                <w:color w:val="auto"/>
              </w:rPr>
            </w:pPr>
          </w:p>
        </w:tc>
        <w:tc>
          <w:tcPr>
            <w:tcW w:w="4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8"/>
              </w:rPr>
              <w:t>Commitment</w:t>
            </w:r>
          </w:p>
        </w:tc>
        <w:tc>
          <w:tcPr>
            <w:tcW w:w="1400" w:type="dxa"/>
            <w:vAlign w:val="bottom"/>
            <w:gridSpan w:val="2"/>
          </w:tcPr>
          <w:p>
            <w:pPr>
              <w:jc w:val="right"/>
              <w:ind w:right="500"/>
              <w:spacing w:after="0" w:line="148"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Bank of America, N.A.</w:t>
            </w:r>
          </w:p>
        </w:tc>
        <w:tc>
          <w:tcPr>
            <w:tcW w:w="4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55,000,000.00</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9.166666667%</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JPMorgan Chase Bank, N.A.</w:t>
            </w:r>
          </w:p>
        </w:tc>
        <w:tc>
          <w:tcPr>
            <w:tcW w:w="50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w w:val="93"/>
              </w:rPr>
              <w:t>55,000,000.00</w:t>
            </w:r>
          </w:p>
        </w:tc>
        <w:tc>
          <w:tcPr>
            <w:tcW w:w="3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9.166666667%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Bank, National Association</w:t>
            </w:r>
          </w:p>
        </w:tc>
        <w:tc>
          <w:tcPr>
            <w:tcW w:w="5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45,000,000.00</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7.500000000%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DnB NOR Bank ASA</w:t>
            </w:r>
          </w:p>
        </w:tc>
        <w:tc>
          <w:tcPr>
            <w:tcW w:w="50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w w:val="93"/>
              </w:rPr>
              <w:t>40,000,000.00</w:t>
            </w:r>
          </w:p>
        </w:tc>
        <w:tc>
          <w:tcPr>
            <w:tcW w:w="3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6.666666667%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Fifth Third Bank</w:t>
            </w:r>
          </w:p>
        </w:tc>
        <w:tc>
          <w:tcPr>
            <w:tcW w:w="5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40,000,000.00</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6.666666667%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HSBC Bank USA, N.A.</w:t>
            </w:r>
          </w:p>
        </w:tc>
        <w:tc>
          <w:tcPr>
            <w:tcW w:w="50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w w:val="93"/>
              </w:rPr>
              <w:t>40,000,000.00</w:t>
            </w:r>
          </w:p>
        </w:tc>
        <w:tc>
          <w:tcPr>
            <w:tcW w:w="3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6.666666667%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TD Bank, N.A.</w:t>
            </w:r>
          </w:p>
        </w:tc>
        <w:tc>
          <w:tcPr>
            <w:tcW w:w="5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40,000,000.00</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6.666666667%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Royal Bank of Canada</w:t>
            </w:r>
          </w:p>
        </w:tc>
        <w:tc>
          <w:tcPr>
            <w:tcW w:w="50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w w:val="93"/>
              </w:rPr>
              <w:t>28,000,000.00</w:t>
            </w:r>
          </w:p>
        </w:tc>
        <w:tc>
          <w:tcPr>
            <w:tcW w:w="3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4.666666667%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RBS Citizens, N.A.</w:t>
            </w:r>
          </w:p>
        </w:tc>
        <w:tc>
          <w:tcPr>
            <w:tcW w:w="5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36,500,000.00</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6.083333333%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Union Bank, N.A.</w:t>
            </w:r>
          </w:p>
        </w:tc>
        <w:tc>
          <w:tcPr>
            <w:tcW w:w="50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w w:val="93"/>
              </w:rPr>
              <w:t>36,500,000.00</w:t>
            </w:r>
          </w:p>
        </w:tc>
        <w:tc>
          <w:tcPr>
            <w:tcW w:w="3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6.083333333%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PNC Bank, National Association</w:t>
            </w:r>
          </w:p>
        </w:tc>
        <w:tc>
          <w:tcPr>
            <w:tcW w:w="5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35,000,000.00</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5.833333333%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Sovereign Bank</w:t>
            </w:r>
          </w:p>
        </w:tc>
        <w:tc>
          <w:tcPr>
            <w:tcW w:w="50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w w:val="93"/>
              </w:rPr>
              <w:t>35,000,000.00</w:t>
            </w:r>
          </w:p>
        </w:tc>
        <w:tc>
          <w:tcPr>
            <w:tcW w:w="3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5.833333333%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Deutsche Bank Trust Company Americas</w:t>
            </w:r>
          </w:p>
        </w:tc>
        <w:tc>
          <w:tcPr>
            <w:tcW w:w="5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30,000,000.00</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Capital One, N.A.</w:t>
            </w:r>
          </w:p>
        </w:tc>
        <w:tc>
          <w:tcPr>
            <w:tcW w:w="50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w w:val="93"/>
              </w:rPr>
              <w:t>27,000,000.00</w:t>
            </w:r>
          </w:p>
        </w:tc>
        <w:tc>
          <w:tcPr>
            <w:tcW w:w="3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4.500000000%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Bank, N.A.</w:t>
            </w:r>
          </w:p>
        </w:tc>
        <w:tc>
          <w:tcPr>
            <w:tcW w:w="5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20,000,000.00</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3.333333333%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First Niagara Bank, N. A.</w:t>
            </w:r>
          </w:p>
        </w:tc>
        <w:tc>
          <w:tcPr>
            <w:tcW w:w="50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w w:val="93"/>
              </w:rPr>
              <w:t>15,000,000.00</w:t>
            </w:r>
          </w:p>
        </w:tc>
        <w:tc>
          <w:tcPr>
            <w:tcW w:w="3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2.500000000%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RBC Bank (USA)</w:t>
            </w:r>
          </w:p>
        </w:tc>
        <w:tc>
          <w:tcPr>
            <w:tcW w:w="5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12,000,000.00</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Manufacturers Bank</w:t>
            </w:r>
          </w:p>
        </w:tc>
        <w:tc>
          <w:tcPr>
            <w:tcW w:w="50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w w:val="93"/>
              </w:rPr>
              <w:t>10,000,000.00</w:t>
            </w:r>
          </w:p>
        </w:tc>
        <w:tc>
          <w:tcPr>
            <w:tcW w:w="3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1.666666667%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0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600,000,000.00</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3"/>
              </w:rPr>
              <w:t>100.000000000%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5.03</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u w:val="single" w:color="auto"/>
          <w:color w:val="auto"/>
        </w:rPr>
        <w:t>APPROVALS AND CONSENTS</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220"/>
          </w:cols>
          <w:pgMar w:left="1440" w:top="274"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5.08</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u w:val="single" w:color="auto"/>
          <w:color w:val="auto"/>
        </w:rPr>
        <w:t>SUBSIDIARIES AND OTHER EQUITY INVESTMENTS</w:t>
      </w:r>
    </w:p>
    <w:p>
      <w:pPr>
        <w:spacing w:after="0" w:line="200" w:lineRule="exact"/>
        <w:rPr>
          <w:sz w:val="20"/>
          <w:szCs w:val="20"/>
          <w:color w:val="auto"/>
        </w:rPr>
      </w:pPr>
    </w:p>
    <w:p>
      <w:pPr>
        <w:jc w:val="center"/>
        <w:ind w:right="1180"/>
        <w:spacing w:after="0"/>
        <w:rPr>
          <w:sz w:val="20"/>
          <w:szCs w:val="20"/>
          <w:color w:val="auto"/>
        </w:rPr>
      </w:pPr>
      <w:r>
        <w:rPr>
          <w:rFonts w:ascii="Arial" w:cs="Arial" w:eastAsia="Arial" w:hAnsi="Arial"/>
          <w:sz w:val="18"/>
          <w:szCs w:val="18"/>
          <w:i w:val="1"/>
          <w:iCs w:val="1"/>
          <w:color w:val="auto"/>
        </w:rPr>
        <w:t>See attached.</w:t>
      </w:r>
    </w:p>
    <w:p>
      <w:pPr>
        <w:sectPr>
          <w:pgSz w:w="11900" w:h="16838" w:orient="portrait"/>
          <w:cols w:equalWidth="0" w:num="1">
            <w:col w:w="10220"/>
          </w:cols>
          <w:pgMar w:left="1440" w:top="274"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5.08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SUBSIDIARIES AND OTHER EQUITY INVESTMENTS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 (a). </w:t>
      </w:r>
      <w:r>
        <w:rPr>
          <w:rFonts w:ascii="Arial" w:cs="Arial" w:eastAsia="Arial" w:hAnsi="Arial"/>
          <w:sz w:val="18"/>
          <w:szCs w:val="18"/>
          <w:b w:val="1"/>
          <w:bCs w:val="1"/>
          <w:u w:val="single" w:color="auto"/>
          <w:color w:val="auto"/>
        </w:rPr>
        <w:t>Subsidiaries of the Borrower</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1"/>
              </w:rPr>
              <w:t>Issued</w:t>
            </w:r>
          </w:p>
        </w:tc>
        <w:tc>
          <w:tcPr>
            <w:tcW w:w="2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7"/>
              </w:rPr>
              <w:t>Jurisdiction of</w:t>
            </w:r>
          </w:p>
        </w:tc>
      </w:tr>
      <w:tr>
        <w:trPr>
          <w:trHeight w:val="181"/>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Company Name</w:t>
            </w:r>
          </w:p>
        </w:tc>
        <w:tc>
          <w:tcPr>
            <w:tcW w:w="2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20" w:type="dxa"/>
            <w:vAlign w:val="bottom"/>
            <w:gridSpan w:val="2"/>
          </w:tcPr>
          <w:p>
            <w:pPr>
              <w:ind w:left="700"/>
              <w:spacing w:after="0"/>
              <w:rPr>
                <w:sz w:val="20"/>
                <w:szCs w:val="20"/>
                <w:color w:val="auto"/>
              </w:rPr>
            </w:pPr>
            <w:r>
              <w:rPr>
                <w:rFonts w:ascii="Arial" w:cs="Arial" w:eastAsia="Arial" w:hAnsi="Arial"/>
                <w:sz w:val="14"/>
                <w:szCs w:val="14"/>
                <w:b w:val="1"/>
                <w:bCs w:val="1"/>
                <w:color w:val="auto"/>
              </w:rPr>
              <w:t>Authorized Shares/Units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4"/>
              </w:rPr>
              <w:t>Shares/Units</w:t>
            </w:r>
          </w:p>
        </w:tc>
        <w:tc>
          <w:tcPr>
            <w:tcW w:w="200" w:type="dxa"/>
            <w:vAlign w:val="bottom"/>
          </w:tcPr>
          <w:p>
            <w:pPr>
              <w:spacing w:after="0"/>
              <w:rPr>
                <w:sz w:val="15"/>
                <w:szCs w:val="15"/>
                <w:color w:val="auto"/>
              </w:rPr>
            </w:pPr>
          </w:p>
        </w:tc>
        <w:tc>
          <w:tcPr>
            <w:tcW w:w="3080" w:type="dxa"/>
            <w:vAlign w:val="bottom"/>
            <w:gridSpan w:val="2"/>
          </w:tcPr>
          <w:p>
            <w:pPr>
              <w:ind w:left="1200"/>
              <w:spacing w:after="0"/>
              <w:rPr>
                <w:sz w:val="20"/>
                <w:szCs w:val="20"/>
                <w:color w:val="auto"/>
              </w:rPr>
            </w:pPr>
            <w:r>
              <w:rPr>
                <w:rFonts w:ascii="Arial" w:cs="Arial" w:eastAsia="Arial" w:hAnsi="Arial"/>
                <w:sz w:val="14"/>
                <w:szCs w:val="14"/>
                <w:b w:val="1"/>
                <w:bCs w:val="1"/>
                <w:color w:val="auto"/>
              </w:rPr>
              <w:t>Held By</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Formation</w:t>
            </w:r>
          </w:p>
        </w:tc>
      </w:tr>
      <w:tr>
        <w:trPr>
          <w:trHeight w:val="195"/>
        </w:trPr>
        <w:tc>
          <w:tcPr>
            <w:tcW w:w="3180" w:type="dxa"/>
            <w:vAlign w:val="bottom"/>
            <w:tcBorders>
              <w:top w:val="single" w:sz="8" w:color="CCEEFF"/>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Integra LifeSciences Corporation</w:t>
            </w:r>
          </w:p>
        </w:tc>
        <w:tc>
          <w:tcPr>
            <w:tcW w:w="160" w:type="dxa"/>
            <w:vAlign w:val="bottom"/>
            <w:tcBorders>
              <w:top w:val="single" w:sz="8" w:color="CCEEFF"/>
            </w:tcBorders>
            <w:shd w:val="clear" w:color="auto" w:fill="CCEEFF"/>
          </w:tcPr>
          <w:p>
            <w:pPr>
              <w:spacing w:after="0"/>
              <w:rPr>
                <w:sz w:val="16"/>
                <w:szCs w:val="16"/>
                <w:color w:val="auto"/>
              </w:rPr>
            </w:pPr>
          </w:p>
        </w:tc>
        <w:tc>
          <w:tcPr>
            <w:tcW w:w="28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4"/>
              </w:rPr>
              <w:t>100 shares common stock, $1.00 par</w:t>
            </w:r>
          </w:p>
        </w:tc>
        <w:tc>
          <w:tcPr>
            <w:tcW w:w="2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3"/>
              </w:rPr>
              <w:t>100</w:t>
            </w:r>
          </w:p>
        </w:tc>
        <w:tc>
          <w:tcPr>
            <w:tcW w:w="200" w:type="dxa"/>
            <w:vAlign w:val="bottom"/>
            <w:tcBorders>
              <w:top w:val="single" w:sz="8" w:color="CCEEFF"/>
            </w:tcBorders>
            <w:shd w:val="clear" w:color="auto" w:fill="CCEEFF"/>
          </w:tcPr>
          <w:p>
            <w:pPr>
              <w:spacing w:after="0"/>
              <w:rPr>
                <w:sz w:val="16"/>
                <w:szCs w:val="16"/>
                <w:color w:val="auto"/>
              </w:rPr>
            </w:pPr>
          </w:p>
        </w:tc>
        <w:tc>
          <w:tcPr>
            <w:tcW w:w="28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Integra LifeSciences Holdings</w:t>
            </w:r>
          </w:p>
        </w:tc>
        <w:tc>
          <w:tcPr>
            <w:tcW w:w="2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6"/>
              </w:rPr>
              <w:t>Delaware</w:t>
            </w:r>
          </w:p>
        </w:tc>
      </w:tr>
      <w:tr>
        <w:trPr>
          <w:trHeight w:val="224"/>
        </w:trPr>
        <w:tc>
          <w:tcPr>
            <w:tcW w:w="100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value</w:t>
            </w: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Corporation</w:t>
            </w:r>
          </w:p>
        </w:tc>
        <w:tc>
          <w:tcPr>
            <w:tcW w:w="1020" w:type="dxa"/>
            <w:vAlign w:val="bottom"/>
            <w:shd w:val="clear" w:color="auto" w:fill="CCEEFF"/>
          </w:tcPr>
          <w:p>
            <w:pPr>
              <w:spacing w:after="0"/>
              <w:rPr>
                <w:sz w:val="19"/>
                <w:szCs w:val="19"/>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Integra Healthcare Products LLC</w:t>
            </w:r>
          </w:p>
        </w:tc>
        <w:tc>
          <w:tcPr>
            <w:tcW w:w="3180" w:type="dxa"/>
            <w:vAlign w:val="bottom"/>
            <w:gridSpan w:val="3"/>
          </w:tcPr>
          <w:p>
            <w:pPr>
              <w:ind w:left="160"/>
              <w:spacing w:after="0"/>
              <w:rPr>
                <w:sz w:val="20"/>
                <w:szCs w:val="20"/>
                <w:color w:val="auto"/>
              </w:rPr>
            </w:pPr>
            <w:r>
              <w:rPr>
                <w:rFonts w:ascii="Arial" w:cs="Arial" w:eastAsia="Arial" w:hAnsi="Arial"/>
                <w:sz w:val="18"/>
                <w:szCs w:val="18"/>
                <w:color w:val="auto"/>
              </w:rPr>
              <w:t>Member interests only</w:t>
            </w: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3280" w:type="dxa"/>
            <w:vAlign w:val="bottom"/>
            <w:gridSpan w:val="3"/>
          </w:tcPr>
          <w:p>
            <w:pPr>
              <w:ind w:left="200"/>
              <w:spacing w:after="0"/>
              <w:rPr>
                <w:sz w:val="20"/>
                <w:szCs w:val="20"/>
                <w:color w:val="auto"/>
              </w:rPr>
            </w:pPr>
            <w:r>
              <w:rPr>
                <w:rFonts w:ascii="Arial" w:cs="Arial" w:eastAsia="Arial" w:hAnsi="Arial"/>
                <w:sz w:val="18"/>
                <w:szCs w:val="18"/>
                <w:color w:val="auto"/>
              </w:rPr>
              <w:t>Integra LifeSciences Corporation</w:t>
            </w:r>
          </w:p>
        </w:tc>
        <w:tc>
          <w:tcPr>
            <w:tcW w:w="1020" w:type="dxa"/>
            <w:vAlign w:val="bottom"/>
          </w:tcPr>
          <w:p>
            <w:pPr>
              <w:jc w:val="center"/>
              <w:spacing w:after="0"/>
              <w:rPr>
                <w:sz w:val="20"/>
                <w:szCs w:val="20"/>
                <w:color w:val="auto"/>
              </w:rPr>
            </w:pPr>
            <w:r>
              <w:rPr>
                <w:rFonts w:ascii="Arial" w:cs="Arial" w:eastAsia="Arial" w:hAnsi="Arial"/>
                <w:sz w:val="18"/>
                <w:szCs w:val="18"/>
                <w:color w:val="auto"/>
                <w:w w:val="86"/>
              </w:rPr>
              <w:t>Delaware</w:t>
            </w:r>
          </w:p>
        </w:tc>
      </w:tr>
      <w:tr>
        <w:trPr>
          <w:trHeight w:val="208"/>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 Jamner Surgical Instruments, Inc.</w:t>
            </w:r>
          </w:p>
        </w:tc>
        <w:tc>
          <w:tcPr>
            <w:tcW w:w="31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4"/>
              </w:rPr>
              <w:t>2000 shares common stock, without par</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500</w:t>
            </w:r>
          </w:p>
        </w:tc>
        <w:tc>
          <w:tcPr>
            <w:tcW w:w="32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Integra LifeSciences Corporation</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r>
      <w:tr>
        <w:trPr>
          <w:trHeight w:val="224"/>
        </w:trPr>
        <w:tc>
          <w:tcPr>
            <w:tcW w:w="100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value</w:t>
            </w: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08"/>
        </w:trPr>
        <w:tc>
          <w:tcPr>
            <w:tcW w:w="3180" w:type="dxa"/>
            <w:vAlign w:val="bottom"/>
            <w:gridSpan w:val="2"/>
          </w:tcPr>
          <w:p>
            <w:pPr>
              <w:spacing w:after="0"/>
              <w:rPr>
                <w:sz w:val="20"/>
                <w:szCs w:val="20"/>
                <w:color w:val="auto"/>
              </w:rPr>
            </w:pPr>
            <w:r>
              <w:rPr>
                <w:rFonts w:ascii="Arial" w:cs="Arial" w:eastAsia="Arial" w:hAnsi="Arial"/>
                <w:sz w:val="18"/>
                <w:szCs w:val="18"/>
                <w:color w:val="auto"/>
              </w:rPr>
              <w:t>Jarit Instruments, Inc.</w:t>
            </w:r>
          </w:p>
        </w:tc>
        <w:tc>
          <w:tcPr>
            <w:tcW w:w="3180" w:type="dxa"/>
            <w:vAlign w:val="bottom"/>
            <w:gridSpan w:val="3"/>
          </w:tcPr>
          <w:p>
            <w:pPr>
              <w:ind w:left="160"/>
              <w:spacing w:after="0"/>
              <w:rPr>
                <w:sz w:val="20"/>
                <w:szCs w:val="20"/>
                <w:color w:val="auto"/>
              </w:rPr>
            </w:pPr>
            <w:r>
              <w:rPr>
                <w:rFonts w:ascii="Arial" w:cs="Arial" w:eastAsia="Arial" w:hAnsi="Arial"/>
                <w:sz w:val="18"/>
                <w:szCs w:val="18"/>
                <w:color w:val="auto"/>
              </w:rPr>
              <w:t>100 shares common stock, $0.01 par</w:t>
            </w:r>
          </w:p>
        </w:tc>
        <w:tc>
          <w:tcPr>
            <w:tcW w:w="7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280" w:type="dxa"/>
            <w:vAlign w:val="bottom"/>
            <w:gridSpan w:val="3"/>
          </w:tcPr>
          <w:p>
            <w:pPr>
              <w:ind w:left="200"/>
              <w:spacing w:after="0"/>
              <w:rPr>
                <w:sz w:val="20"/>
                <w:szCs w:val="20"/>
                <w:color w:val="auto"/>
              </w:rPr>
            </w:pPr>
            <w:r>
              <w:rPr>
                <w:rFonts w:ascii="Arial" w:cs="Arial" w:eastAsia="Arial" w:hAnsi="Arial"/>
                <w:sz w:val="18"/>
                <w:szCs w:val="18"/>
                <w:color w:val="auto"/>
              </w:rPr>
              <w:t>J. Jamner Surgical Instruments, Inc.</w:t>
            </w:r>
          </w:p>
        </w:tc>
        <w:tc>
          <w:tcPr>
            <w:tcW w:w="1020" w:type="dxa"/>
            <w:vAlign w:val="bottom"/>
          </w:tcPr>
          <w:p>
            <w:pPr>
              <w:jc w:val="center"/>
              <w:spacing w:after="0"/>
              <w:rPr>
                <w:sz w:val="20"/>
                <w:szCs w:val="20"/>
                <w:color w:val="auto"/>
              </w:rPr>
            </w:pPr>
            <w:r>
              <w:rPr>
                <w:rFonts w:ascii="Arial" w:cs="Arial" w:eastAsia="Arial" w:hAnsi="Arial"/>
                <w:sz w:val="18"/>
                <w:szCs w:val="18"/>
                <w:color w:val="auto"/>
                <w:w w:val="86"/>
              </w:rPr>
              <w:t>Delaware</w:t>
            </w:r>
          </w:p>
        </w:tc>
      </w:tr>
      <w:tr>
        <w:trPr>
          <w:trHeight w:val="222"/>
        </w:trPr>
        <w:tc>
          <w:tcPr>
            <w:tcW w:w="10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20" w:type="dxa"/>
            <w:vAlign w:val="bottom"/>
            <w:gridSpan w:val="2"/>
          </w:tcPr>
          <w:p>
            <w:pPr>
              <w:ind w:left="220"/>
              <w:spacing w:after="0"/>
              <w:rPr>
                <w:sz w:val="20"/>
                <w:szCs w:val="20"/>
                <w:color w:val="auto"/>
              </w:rPr>
            </w:pPr>
            <w:r>
              <w:rPr>
                <w:rFonts w:ascii="Arial" w:cs="Arial" w:eastAsia="Arial" w:hAnsi="Arial"/>
                <w:sz w:val="18"/>
                <w:szCs w:val="18"/>
                <w:color w:val="auto"/>
              </w:rPr>
              <w:t>value</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0"/>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 Selector Corporation</w:t>
            </w:r>
          </w:p>
        </w:tc>
        <w:tc>
          <w:tcPr>
            <w:tcW w:w="31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7"/>
              </w:rPr>
              <w:t>1000 shares common stock, $0.01 par</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100</w:t>
            </w:r>
          </w:p>
        </w:tc>
        <w:tc>
          <w:tcPr>
            <w:tcW w:w="32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Integra LifeSciences Corporation</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r>
      <w:tr>
        <w:trPr>
          <w:trHeight w:val="224"/>
        </w:trPr>
        <w:tc>
          <w:tcPr>
            <w:tcW w:w="100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value</w:t>
            </w: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08"/>
        </w:trPr>
        <w:tc>
          <w:tcPr>
            <w:tcW w:w="3180" w:type="dxa"/>
            <w:vAlign w:val="bottom"/>
            <w:gridSpan w:val="2"/>
          </w:tcPr>
          <w:p>
            <w:pPr>
              <w:spacing w:after="0"/>
              <w:rPr>
                <w:sz w:val="20"/>
                <w:szCs w:val="20"/>
                <w:color w:val="auto"/>
              </w:rPr>
            </w:pPr>
            <w:r>
              <w:rPr>
                <w:rFonts w:ascii="Arial" w:cs="Arial" w:eastAsia="Arial" w:hAnsi="Arial"/>
                <w:sz w:val="18"/>
                <w:szCs w:val="18"/>
                <w:color w:val="auto"/>
                <w:w w:val="93"/>
              </w:rPr>
              <w:t>Integra NeuroSciences (International), Inc.</w:t>
            </w:r>
          </w:p>
        </w:tc>
        <w:tc>
          <w:tcPr>
            <w:tcW w:w="3180" w:type="dxa"/>
            <w:vAlign w:val="bottom"/>
            <w:gridSpan w:val="3"/>
          </w:tcPr>
          <w:p>
            <w:pPr>
              <w:ind w:left="160"/>
              <w:spacing w:after="0"/>
              <w:rPr>
                <w:sz w:val="20"/>
                <w:szCs w:val="20"/>
                <w:color w:val="auto"/>
              </w:rPr>
            </w:pPr>
            <w:r>
              <w:rPr>
                <w:rFonts w:ascii="Arial" w:cs="Arial" w:eastAsia="Arial" w:hAnsi="Arial"/>
                <w:sz w:val="18"/>
                <w:szCs w:val="18"/>
                <w:color w:val="auto"/>
                <w:w w:val="97"/>
              </w:rPr>
              <w:t>3000 shares common stock, $0.01 par</w:t>
            </w:r>
          </w:p>
        </w:tc>
        <w:tc>
          <w:tcPr>
            <w:tcW w:w="7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280" w:type="dxa"/>
            <w:vAlign w:val="bottom"/>
            <w:gridSpan w:val="3"/>
          </w:tcPr>
          <w:p>
            <w:pPr>
              <w:ind w:left="200"/>
              <w:spacing w:after="0"/>
              <w:rPr>
                <w:sz w:val="20"/>
                <w:szCs w:val="20"/>
                <w:color w:val="auto"/>
              </w:rPr>
            </w:pPr>
            <w:r>
              <w:rPr>
                <w:rFonts w:ascii="Arial" w:cs="Arial" w:eastAsia="Arial" w:hAnsi="Arial"/>
                <w:sz w:val="18"/>
                <w:szCs w:val="18"/>
                <w:color w:val="auto"/>
              </w:rPr>
              <w:t>Integra LifeSciences Corporation</w:t>
            </w:r>
          </w:p>
        </w:tc>
        <w:tc>
          <w:tcPr>
            <w:tcW w:w="1020" w:type="dxa"/>
            <w:vAlign w:val="bottom"/>
          </w:tcPr>
          <w:p>
            <w:pPr>
              <w:jc w:val="center"/>
              <w:spacing w:after="0"/>
              <w:rPr>
                <w:sz w:val="20"/>
                <w:szCs w:val="20"/>
                <w:color w:val="auto"/>
              </w:rPr>
            </w:pPr>
            <w:r>
              <w:rPr>
                <w:rFonts w:ascii="Arial" w:cs="Arial" w:eastAsia="Arial" w:hAnsi="Arial"/>
                <w:sz w:val="18"/>
                <w:szCs w:val="18"/>
                <w:color w:val="auto"/>
                <w:w w:val="86"/>
              </w:rPr>
              <w:t>Delaware</w:t>
            </w:r>
          </w:p>
        </w:tc>
      </w:tr>
      <w:tr>
        <w:trPr>
          <w:trHeight w:val="222"/>
        </w:trPr>
        <w:tc>
          <w:tcPr>
            <w:tcW w:w="10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20" w:type="dxa"/>
            <w:vAlign w:val="bottom"/>
            <w:gridSpan w:val="2"/>
          </w:tcPr>
          <w:p>
            <w:pPr>
              <w:ind w:left="220"/>
              <w:spacing w:after="0"/>
              <w:rPr>
                <w:sz w:val="20"/>
                <w:szCs w:val="20"/>
                <w:color w:val="auto"/>
              </w:rPr>
            </w:pPr>
            <w:r>
              <w:rPr>
                <w:rFonts w:ascii="Arial" w:cs="Arial" w:eastAsia="Arial" w:hAnsi="Arial"/>
                <w:sz w:val="18"/>
                <w:szCs w:val="18"/>
                <w:color w:val="auto"/>
              </w:rPr>
              <w:t>value</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8"/>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 LifeSciences (France) LLC</w:t>
            </w:r>
          </w:p>
        </w:tc>
        <w:tc>
          <w:tcPr>
            <w:tcW w:w="31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Member interests only</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32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Integra Euro Holdings, Inc.</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r>
      <w:tr>
        <w:trPr>
          <w:trHeight w:val="208"/>
        </w:trPr>
        <w:tc>
          <w:tcPr>
            <w:tcW w:w="3180" w:type="dxa"/>
            <w:vAlign w:val="bottom"/>
            <w:gridSpan w:val="2"/>
          </w:tcPr>
          <w:p>
            <w:pPr>
              <w:spacing w:after="0"/>
              <w:rPr>
                <w:sz w:val="20"/>
                <w:szCs w:val="20"/>
                <w:color w:val="auto"/>
              </w:rPr>
            </w:pPr>
            <w:r>
              <w:rPr>
                <w:rFonts w:ascii="Arial" w:cs="Arial" w:eastAsia="Arial" w:hAnsi="Arial"/>
                <w:sz w:val="18"/>
                <w:szCs w:val="18"/>
                <w:color w:val="auto"/>
              </w:rPr>
              <w:t>Newdeal Inc.</w:t>
            </w:r>
          </w:p>
        </w:tc>
        <w:tc>
          <w:tcPr>
            <w:tcW w:w="3180" w:type="dxa"/>
            <w:vAlign w:val="bottom"/>
            <w:gridSpan w:val="3"/>
          </w:tcPr>
          <w:p>
            <w:pPr>
              <w:ind w:left="160"/>
              <w:spacing w:after="0"/>
              <w:rPr>
                <w:sz w:val="20"/>
                <w:szCs w:val="20"/>
                <w:color w:val="auto"/>
              </w:rPr>
            </w:pPr>
            <w:r>
              <w:rPr>
                <w:rFonts w:ascii="Arial" w:cs="Arial" w:eastAsia="Arial" w:hAnsi="Arial"/>
                <w:sz w:val="18"/>
                <w:szCs w:val="18"/>
                <w:color w:val="auto"/>
                <w:w w:val="97"/>
              </w:rPr>
              <w:t>1000 shares common stock, $1.00 par</w:t>
            </w:r>
          </w:p>
        </w:tc>
        <w:tc>
          <w:tcPr>
            <w:tcW w:w="760" w:type="dxa"/>
            <w:vAlign w:val="bottom"/>
          </w:tcPr>
          <w:p>
            <w:pPr>
              <w:jc w:val="center"/>
              <w:spacing w:after="0"/>
              <w:rPr>
                <w:sz w:val="20"/>
                <w:szCs w:val="20"/>
                <w:color w:val="auto"/>
              </w:rPr>
            </w:pPr>
            <w:r>
              <w:rPr>
                <w:rFonts w:ascii="Arial" w:cs="Arial" w:eastAsia="Arial" w:hAnsi="Arial"/>
                <w:sz w:val="18"/>
                <w:szCs w:val="18"/>
                <w:color w:val="auto"/>
                <w:w w:val="93"/>
              </w:rPr>
              <w:t>700</w:t>
            </w:r>
          </w:p>
        </w:tc>
        <w:tc>
          <w:tcPr>
            <w:tcW w:w="3280" w:type="dxa"/>
            <w:vAlign w:val="bottom"/>
            <w:gridSpan w:val="3"/>
          </w:tcPr>
          <w:p>
            <w:pPr>
              <w:ind w:left="200"/>
              <w:spacing w:after="0"/>
              <w:rPr>
                <w:sz w:val="20"/>
                <w:szCs w:val="20"/>
                <w:color w:val="auto"/>
              </w:rPr>
            </w:pPr>
            <w:r>
              <w:rPr>
                <w:rFonts w:ascii="Arial" w:cs="Arial" w:eastAsia="Arial" w:hAnsi="Arial"/>
                <w:sz w:val="18"/>
                <w:szCs w:val="18"/>
                <w:color w:val="auto"/>
              </w:rPr>
              <w:t>Newdeal SAS</w:t>
            </w:r>
          </w:p>
        </w:tc>
        <w:tc>
          <w:tcPr>
            <w:tcW w:w="1020" w:type="dxa"/>
            <w:vAlign w:val="bottom"/>
          </w:tcPr>
          <w:p>
            <w:pPr>
              <w:jc w:val="center"/>
              <w:spacing w:after="0"/>
              <w:rPr>
                <w:sz w:val="20"/>
                <w:szCs w:val="20"/>
                <w:color w:val="auto"/>
              </w:rPr>
            </w:pPr>
            <w:r>
              <w:rPr>
                <w:rFonts w:ascii="Arial" w:cs="Arial" w:eastAsia="Arial" w:hAnsi="Arial"/>
                <w:sz w:val="18"/>
                <w:szCs w:val="18"/>
                <w:color w:val="auto"/>
                <w:w w:val="85"/>
              </w:rPr>
              <w:t>Texas</w:t>
            </w:r>
          </w:p>
        </w:tc>
      </w:tr>
      <w:tr>
        <w:trPr>
          <w:trHeight w:val="222"/>
        </w:trPr>
        <w:tc>
          <w:tcPr>
            <w:tcW w:w="10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20" w:type="dxa"/>
            <w:vAlign w:val="bottom"/>
            <w:gridSpan w:val="2"/>
          </w:tcPr>
          <w:p>
            <w:pPr>
              <w:ind w:left="220"/>
              <w:spacing w:after="0"/>
              <w:rPr>
                <w:sz w:val="20"/>
                <w:szCs w:val="20"/>
                <w:color w:val="auto"/>
              </w:rPr>
            </w:pPr>
            <w:r>
              <w:rPr>
                <w:rFonts w:ascii="Arial" w:cs="Arial" w:eastAsia="Arial" w:hAnsi="Arial"/>
                <w:sz w:val="18"/>
                <w:szCs w:val="18"/>
                <w:color w:val="auto"/>
              </w:rPr>
              <w:t>value</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0"/>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Integra Burlington MA, Inc. (f/k/a Integra</w:t>
            </w:r>
          </w:p>
        </w:tc>
        <w:tc>
          <w:tcPr>
            <w:tcW w:w="31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7"/>
              </w:rPr>
              <w:t>1000 shares common stock, $0.01 par</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100</w:t>
            </w:r>
          </w:p>
        </w:tc>
        <w:tc>
          <w:tcPr>
            <w:tcW w:w="32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Integra LifeSciences Corporation</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r>
      <w:tr>
        <w:trPr>
          <w:trHeight w:val="224"/>
        </w:trPr>
        <w:tc>
          <w:tcPr>
            <w:tcW w:w="3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Radionics, Inc.)</w:t>
            </w:r>
          </w:p>
        </w:tc>
        <w:tc>
          <w:tcPr>
            <w:tcW w:w="16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value</w:t>
            </w: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Integra ME GmbH</w:t>
            </w:r>
          </w:p>
        </w:tc>
        <w:tc>
          <w:tcPr>
            <w:tcW w:w="3180" w:type="dxa"/>
            <w:vAlign w:val="bottom"/>
            <w:gridSpan w:val="3"/>
          </w:tcPr>
          <w:p>
            <w:pPr>
              <w:ind w:left="160"/>
              <w:spacing w:after="0"/>
              <w:rPr>
                <w:sz w:val="20"/>
                <w:szCs w:val="20"/>
                <w:color w:val="auto"/>
              </w:rPr>
            </w:pPr>
            <w:r>
              <w:rPr>
                <w:rFonts w:ascii="Arial" w:cs="Arial" w:eastAsia="Arial" w:hAnsi="Arial"/>
                <w:sz w:val="18"/>
                <w:szCs w:val="18"/>
                <w:color w:val="auto"/>
              </w:rPr>
              <w:t>€26,000 registered share capital</w:t>
            </w: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3280" w:type="dxa"/>
            <w:vAlign w:val="bottom"/>
            <w:gridSpan w:val="3"/>
          </w:tcPr>
          <w:p>
            <w:pPr>
              <w:ind w:left="200"/>
              <w:spacing w:after="0"/>
              <w:rPr>
                <w:sz w:val="20"/>
                <w:szCs w:val="20"/>
                <w:color w:val="auto"/>
              </w:rPr>
            </w:pPr>
            <w:r>
              <w:rPr>
                <w:rFonts w:ascii="Arial" w:cs="Arial" w:eastAsia="Arial" w:hAnsi="Arial"/>
                <w:sz w:val="18"/>
                <w:szCs w:val="18"/>
                <w:color w:val="auto"/>
              </w:rPr>
              <w:t>Integra NeuroSciences Holdings BV</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Germany</w:t>
            </w:r>
          </w:p>
        </w:tc>
      </w:tr>
      <w:tr>
        <w:trPr>
          <w:trHeight w:val="208"/>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GMS, Gesellschaft für medizinische</w:t>
            </w:r>
          </w:p>
        </w:tc>
        <w:tc>
          <w:tcPr>
            <w:tcW w:w="31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DM 200,000 registered share capital</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32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Caveangle Limited</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Germany</w:t>
            </w:r>
          </w:p>
        </w:tc>
      </w:tr>
      <w:tr>
        <w:trPr>
          <w:trHeight w:val="224"/>
        </w:trPr>
        <w:tc>
          <w:tcPr>
            <w:tcW w:w="3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Sondentechnik mbH</w:t>
            </w:r>
          </w:p>
        </w:tc>
        <w:tc>
          <w:tcPr>
            <w:tcW w:w="160" w:type="dxa"/>
            <w:vAlign w:val="bottom"/>
            <w:shd w:val="clear" w:color="auto" w:fill="CCEEFF"/>
          </w:tcPr>
          <w:p>
            <w:pPr>
              <w:spacing w:after="0"/>
              <w:rPr>
                <w:sz w:val="19"/>
                <w:szCs w:val="19"/>
                <w:color w:val="auto"/>
              </w:rPr>
            </w:pPr>
          </w:p>
        </w:tc>
        <w:tc>
          <w:tcPr>
            <w:tcW w:w="2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Integra GmbH</w:t>
            </w:r>
          </w:p>
        </w:tc>
        <w:tc>
          <w:tcPr>
            <w:tcW w:w="3180" w:type="dxa"/>
            <w:vAlign w:val="bottom"/>
            <w:gridSpan w:val="3"/>
          </w:tcPr>
          <w:p>
            <w:pPr>
              <w:ind w:left="160"/>
              <w:spacing w:after="0"/>
              <w:rPr>
                <w:sz w:val="20"/>
                <w:szCs w:val="20"/>
                <w:color w:val="auto"/>
              </w:rPr>
            </w:pPr>
            <w:r>
              <w:rPr>
                <w:rFonts w:ascii="Arial" w:cs="Arial" w:eastAsia="Arial" w:hAnsi="Arial"/>
                <w:sz w:val="18"/>
                <w:szCs w:val="18"/>
                <w:color w:val="auto"/>
              </w:rPr>
              <w:t>DM 50,000 registered share capital</w:t>
            </w: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3280" w:type="dxa"/>
            <w:vAlign w:val="bottom"/>
            <w:gridSpan w:val="3"/>
          </w:tcPr>
          <w:p>
            <w:pPr>
              <w:ind w:left="200"/>
              <w:spacing w:after="0"/>
              <w:rPr>
                <w:sz w:val="20"/>
                <w:szCs w:val="20"/>
                <w:color w:val="auto"/>
              </w:rPr>
            </w:pPr>
            <w:r>
              <w:rPr>
                <w:rFonts w:ascii="Arial" w:cs="Arial" w:eastAsia="Arial" w:hAnsi="Arial"/>
                <w:sz w:val="18"/>
                <w:szCs w:val="18"/>
                <w:color w:val="auto"/>
              </w:rPr>
              <w:t>Integra NeuroSciences Holdings B.V.</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Germany</w:t>
            </w: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Jarit GmbH</w:t>
            </w:r>
          </w:p>
        </w:tc>
        <w:tc>
          <w:tcPr>
            <w:tcW w:w="31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€25,000</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25,000</w:t>
            </w:r>
          </w:p>
        </w:tc>
        <w:tc>
          <w:tcPr>
            <w:tcW w:w="32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Integra German Holdings GmbH</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Germany</w:t>
            </w:r>
          </w:p>
        </w:tc>
      </w:tr>
      <w:tr>
        <w:trPr>
          <w:trHeight w:val="222"/>
        </w:trPr>
        <w:tc>
          <w:tcPr>
            <w:tcW w:w="3180" w:type="dxa"/>
            <w:vAlign w:val="bottom"/>
            <w:gridSpan w:val="2"/>
          </w:tcPr>
          <w:p>
            <w:pPr>
              <w:spacing w:after="0"/>
              <w:rPr>
                <w:sz w:val="20"/>
                <w:szCs w:val="20"/>
                <w:color w:val="auto"/>
              </w:rPr>
            </w:pPr>
            <w:r>
              <w:rPr>
                <w:rFonts w:ascii="Arial" w:cs="Arial" w:eastAsia="Arial" w:hAnsi="Arial"/>
                <w:sz w:val="18"/>
                <w:szCs w:val="18"/>
                <w:color w:val="auto"/>
              </w:rPr>
              <w:t>Integra NeuroSciences Holdings B.V.</w:t>
            </w:r>
          </w:p>
        </w:tc>
        <w:tc>
          <w:tcPr>
            <w:tcW w:w="3180" w:type="dxa"/>
            <w:vAlign w:val="bottom"/>
            <w:gridSpan w:val="3"/>
          </w:tcPr>
          <w:p>
            <w:pPr>
              <w:ind w:left="160"/>
              <w:spacing w:after="0"/>
              <w:rPr>
                <w:sz w:val="20"/>
                <w:szCs w:val="20"/>
                <w:color w:val="auto"/>
              </w:rPr>
            </w:pPr>
            <w:r>
              <w:rPr>
                <w:rFonts w:ascii="Arial" w:cs="Arial" w:eastAsia="Arial" w:hAnsi="Arial"/>
                <w:sz w:val="18"/>
                <w:szCs w:val="18"/>
                <w:color w:val="auto"/>
              </w:rPr>
              <w:t>200 shares</w:t>
            </w: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41</w:t>
            </w:r>
          </w:p>
        </w:tc>
        <w:tc>
          <w:tcPr>
            <w:tcW w:w="3280" w:type="dxa"/>
            <w:vAlign w:val="bottom"/>
            <w:gridSpan w:val="3"/>
          </w:tcPr>
          <w:p>
            <w:pPr>
              <w:ind w:left="200"/>
              <w:spacing w:after="0"/>
              <w:rPr>
                <w:sz w:val="20"/>
                <w:szCs w:val="20"/>
                <w:color w:val="auto"/>
              </w:rPr>
            </w:pPr>
            <w:r>
              <w:rPr>
                <w:rFonts w:ascii="Arial" w:cs="Arial" w:eastAsia="Arial" w:hAnsi="Arial"/>
                <w:sz w:val="18"/>
                <w:szCs w:val="18"/>
                <w:color w:val="auto"/>
              </w:rPr>
              <w:t>Integra LifeSciences Corporation</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Netherlands</w:t>
            </w:r>
          </w:p>
        </w:tc>
      </w:tr>
    </w:tbl>
    <w:p>
      <w:pPr>
        <w:sectPr>
          <w:pgSz w:w="11900" w:h="16838" w:orient="portrait"/>
          <w:cols w:equalWidth="0" w:num="1">
            <w:col w:w="11420"/>
          </w:cols>
          <w:pgMar w:left="240" w:top="274" w:right="239" w:bottom="1440" w:gutter="0" w:footer="0" w:header="0"/>
        </w:sectPr>
      </w:pPr>
    </w:p>
    <w:bookmarkStart w:id="183" w:name="page184"/>
    <w:bookmarkEnd w:id="18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1"/>
              </w:rPr>
              <w:t>Issued</w:t>
            </w:r>
          </w:p>
        </w:tc>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7"/>
              </w:rPr>
              <w:t>Jurisdiction of</w:t>
            </w:r>
          </w:p>
        </w:tc>
        <w:tc>
          <w:tcPr>
            <w:tcW w:w="0" w:type="dxa"/>
            <w:vAlign w:val="bottom"/>
          </w:tcPr>
          <w:p>
            <w:pPr>
              <w:spacing w:after="0"/>
              <w:rPr>
                <w:sz w:val="1"/>
                <w:szCs w:val="1"/>
                <w:color w:val="auto"/>
              </w:rPr>
            </w:pPr>
          </w:p>
        </w:tc>
      </w:tr>
      <w:tr>
        <w:trPr>
          <w:trHeight w:val="181"/>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Company Name</w:t>
            </w:r>
          </w:p>
        </w:tc>
        <w:tc>
          <w:tcPr>
            <w:tcW w:w="2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60" w:type="dxa"/>
            <w:vAlign w:val="bottom"/>
            <w:gridSpan w:val="2"/>
          </w:tcPr>
          <w:p>
            <w:pPr>
              <w:ind w:left="720"/>
              <w:spacing w:after="0"/>
              <w:rPr>
                <w:sz w:val="20"/>
                <w:szCs w:val="20"/>
                <w:color w:val="auto"/>
              </w:rPr>
            </w:pPr>
            <w:r>
              <w:rPr>
                <w:rFonts w:ascii="Arial" w:cs="Arial" w:eastAsia="Arial" w:hAnsi="Arial"/>
                <w:sz w:val="14"/>
                <w:szCs w:val="14"/>
                <w:b w:val="1"/>
                <w:bCs w:val="1"/>
                <w:color w:val="auto"/>
              </w:rPr>
              <w:t>Authorized Shares/Units</w:t>
            </w: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Shares/Units</w:t>
            </w:r>
          </w:p>
        </w:tc>
        <w:tc>
          <w:tcPr>
            <w:tcW w:w="2960" w:type="dxa"/>
            <w:vAlign w:val="bottom"/>
            <w:gridSpan w:val="2"/>
          </w:tcPr>
          <w:p>
            <w:pPr>
              <w:ind w:left="1180"/>
              <w:spacing w:after="0"/>
              <w:rPr>
                <w:sz w:val="20"/>
                <w:szCs w:val="20"/>
                <w:color w:val="auto"/>
              </w:rPr>
            </w:pPr>
            <w:r>
              <w:rPr>
                <w:rFonts w:ascii="Arial" w:cs="Arial" w:eastAsia="Arial" w:hAnsi="Arial"/>
                <w:sz w:val="14"/>
                <w:szCs w:val="14"/>
                <w:b w:val="1"/>
                <w:bCs w:val="1"/>
                <w:color w:val="auto"/>
              </w:rPr>
              <w:t>Held By</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Formation</w:t>
            </w:r>
          </w:p>
        </w:tc>
        <w:tc>
          <w:tcPr>
            <w:tcW w:w="0" w:type="dxa"/>
            <w:vAlign w:val="bottom"/>
          </w:tcPr>
          <w:p>
            <w:pPr>
              <w:spacing w:after="0"/>
              <w:rPr>
                <w:sz w:val="1"/>
                <w:szCs w:val="1"/>
                <w:color w:val="auto"/>
              </w:rPr>
            </w:pPr>
          </w:p>
        </w:tc>
      </w:tr>
      <w:tr>
        <w:trPr>
          <w:trHeight w:val="195"/>
        </w:trPr>
        <w:tc>
          <w:tcPr>
            <w:tcW w:w="3360" w:type="dxa"/>
            <w:vAlign w:val="bottom"/>
            <w:tcBorders>
              <w:top w:val="single" w:sz="8" w:color="CCEEFF"/>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Caveangle Limited</w:t>
            </w:r>
          </w:p>
        </w:tc>
        <w:tc>
          <w:tcPr>
            <w:tcW w:w="60" w:type="dxa"/>
            <w:vAlign w:val="bottom"/>
            <w:tcBorders>
              <w:top w:val="single" w:sz="8" w:color="CCEEFF"/>
            </w:tcBorders>
            <w:shd w:val="clear" w:color="auto" w:fill="CCEEFF"/>
          </w:tcPr>
          <w:p>
            <w:pPr>
              <w:spacing w:after="0"/>
              <w:rPr>
                <w:sz w:val="16"/>
                <w:szCs w:val="16"/>
                <w:color w:val="auto"/>
              </w:rPr>
            </w:pPr>
          </w:p>
        </w:tc>
        <w:tc>
          <w:tcPr>
            <w:tcW w:w="28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5"/>
              </w:rPr>
              <w:t>1,000 ordinary shares, £1.00 nominal</w:t>
            </w: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6"/>
              </w:rPr>
              <w:t>100</w:t>
            </w:r>
          </w:p>
        </w:tc>
        <w:tc>
          <w:tcPr>
            <w:tcW w:w="120" w:type="dxa"/>
            <w:vAlign w:val="bottom"/>
            <w:tcBorders>
              <w:top w:val="single" w:sz="8" w:color="CCEEFF"/>
            </w:tcBorders>
            <w:shd w:val="clear" w:color="auto" w:fill="CCEEFF"/>
          </w:tcPr>
          <w:p>
            <w:pPr>
              <w:spacing w:after="0"/>
              <w:rPr>
                <w:sz w:val="16"/>
                <w:szCs w:val="16"/>
                <w:color w:val="auto"/>
              </w:rPr>
            </w:pPr>
          </w:p>
        </w:tc>
        <w:tc>
          <w:tcPr>
            <w:tcW w:w="28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6"/>
              </w:rPr>
              <w:t>Integra LifeSciences Corporation (99</w:t>
            </w:r>
          </w:p>
        </w:tc>
        <w:tc>
          <w:tcPr>
            <w:tcW w:w="1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United</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value</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13,001,490</w:t>
            </w:r>
          </w:p>
        </w:tc>
        <w:tc>
          <w:tcPr>
            <w:tcW w:w="12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shares)</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Kingdom</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3020" w:type="dxa"/>
            <w:vAlign w:val="bottom"/>
            <w:gridSpan w:val="3"/>
            <w:vMerge w:val="restart"/>
            <w:shd w:val="clear" w:color="auto" w:fill="CCEEFF"/>
          </w:tcPr>
          <w:p>
            <w:pPr>
              <w:ind w:left="60"/>
              <w:spacing w:after="0"/>
              <w:rPr>
                <w:sz w:val="20"/>
                <w:szCs w:val="20"/>
                <w:color w:val="auto"/>
              </w:rPr>
            </w:pPr>
            <w:r>
              <w:rPr>
                <w:rFonts w:ascii="Arial" w:cs="Arial" w:eastAsia="Arial" w:hAnsi="Arial"/>
                <w:sz w:val="18"/>
                <w:szCs w:val="18"/>
                <w:color w:val="auto"/>
                <w:w w:val="95"/>
              </w:rPr>
              <w:t>15,000 ordinary shares, $1.00 nominal</w:t>
            </w: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Integra Selector Corporation (1 share)</w:t>
            </w: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0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3020" w:type="dxa"/>
            <w:vAlign w:val="bottom"/>
            <w:gridSpan w:val="3"/>
            <w:vMerge w:val="continue"/>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Integra LifeSciences Corporation</w:t>
            </w: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0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value</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(12,903,337 shares)</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 Selector Corporation (98,153</w:t>
            </w: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0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shares)</w:t>
            </w: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360" w:type="dxa"/>
            <w:vAlign w:val="bottom"/>
            <w:gridSpan w:val="2"/>
          </w:tcPr>
          <w:p>
            <w:pPr>
              <w:spacing w:after="0"/>
              <w:rPr>
                <w:sz w:val="20"/>
                <w:szCs w:val="20"/>
                <w:color w:val="auto"/>
              </w:rPr>
            </w:pPr>
            <w:r>
              <w:rPr>
                <w:rFonts w:ascii="Arial" w:cs="Arial" w:eastAsia="Arial" w:hAnsi="Arial"/>
                <w:sz w:val="18"/>
                <w:szCs w:val="18"/>
                <w:color w:val="auto"/>
              </w:rPr>
              <w:t>Integra NeuroSciences Holdings Limited</w:t>
            </w:r>
          </w:p>
        </w:tc>
        <w:tc>
          <w:tcPr>
            <w:tcW w:w="3020" w:type="dxa"/>
            <w:vAlign w:val="bottom"/>
            <w:gridSpan w:val="3"/>
          </w:tcPr>
          <w:p>
            <w:pPr>
              <w:ind w:left="60"/>
              <w:spacing w:after="0"/>
              <w:rPr>
                <w:sz w:val="20"/>
                <w:szCs w:val="20"/>
                <w:color w:val="auto"/>
              </w:rPr>
            </w:pPr>
            <w:r>
              <w:rPr>
                <w:rFonts w:ascii="Arial" w:cs="Arial" w:eastAsia="Arial" w:hAnsi="Arial"/>
                <w:sz w:val="18"/>
                <w:szCs w:val="18"/>
                <w:color w:val="auto"/>
                <w:w w:val="98"/>
              </w:rPr>
              <w:t>1,000 ordinary shares, £1.00 nominal</w:t>
            </w:r>
          </w:p>
        </w:tc>
        <w:tc>
          <w:tcPr>
            <w:tcW w:w="94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Caveangle Limited</w:t>
            </w: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United</w:t>
            </w:r>
          </w:p>
        </w:tc>
        <w:tc>
          <w:tcPr>
            <w:tcW w:w="0" w:type="dxa"/>
            <w:vAlign w:val="bottom"/>
          </w:tcPr>
          <w:p>
            <w:pPr>
              <w:spacing w:after="0"/>
              <w:rPr>
                <w:sz w:val="1"/>
                <w:szCs w:val="1"/>
                <w:color w:val="auto"/>
              </w:rPr>
            </w:pPr>
          </w:p>
        </w:tc>
      </w:tr>
      <w:tr>
        <w:trPr>
          <w:trHeight w:val="222"/>
        </w:trPr>
        <w:tc>
          <w:tcPr>
            <w:tcW w:w="10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60" w:type="dxa"/>
            <w:vAlign w:val="bottom"/>
            <w:gridSpan w:val="2"/>
          </w:tcPr>
          <w:p>
            <w:pPr>
              <w:ind w:left="220"/>
              <w:spacing w:after="0"/>
              <w:rPr>
                <w:sz w:val="20"/>
                <w:szCs w:val="20"/>
                <w:color w:val="auto"/>
              </w:rPr>
            </w:pPr>
            <w:r>
              <w:rPr>
                <w:rFonts w:ascii="Arial" w:cs="Arial" w:eastAsia="Arial" w:hAnsi="Arial"/>
                <w:sz w:val="18"/>
                <w:szCs w:val="18"/>
                <w:color w:val="auto"/>
              </w:rPr>
              <w:t>value</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86"/>
              </w:rPr>
              <w:t>11,300,000</w:t>
            </w:r>
          </w:p>
        </w:tc>
        <w:tc>
          <w:tcPr>
            <w:tcW w:w="1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Kingdom</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3020" w:type="dxa"/>
            <w:vAlign w:val="bottom"/>
            <w:gridSpan w:val="3"/>
            <w:vMerge w:val="restart"/>
          </w:tcPr>
          <w:p>
            <w:pPr>
              <w:ind w:left="60"/>
              <w:spacing w:after="0"/>
              <w:rPr>
                <w:sz w:val="20"/>
                <w:szCs w:val="20"/>
                <w:color w:val="auto"/>
              </w:rPr>
            </w:pPr>
            <w:r>
              <w:rPr>
                <w:rFonts w:ascii="Arial" w:cs="Arial" w:eastAsia="Arial" w:hAnsi="Arial"/>
                <w:sz w:val="18"/>
                <w:szCs w:val="18"/>
                <w:color w:val="auto"/>
              </w:rPr>
              <w:t>12,000,000 ordinary shares, $1.00</w:t>
            </w:r>
          </w:p>
        </w:tc>
        <w:tc>
          <w:tcPr>
            <w:tcW w:w="9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020" w:type="dxa"/>
            <w:vAlign w:val="bottom"/>
            <w:gridSpan w:val="3"/>
            <w:vMerge w:val="continue"/>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60" w:type="dxa"/>
            <w:vAlign w:val="bottom"/>
            <w:gridSpan w:val="2"/>
          </w:tcPr>
          <w:p>
            <w:pPr>
              <w:ind w:left="220"/>
              <w:spacing w:after="0"/>
              <w:rPr>
                <w:sz w:val="20"/>
                <w:szCs w:val="20"/>
                <w:color w:val="auto"/>
              </w:rPr>
            </w:pPr>
            <w:r>
              <w:rPr>
                <w:rFonts w:ascii="Arial" w:cs="Arial" w:eastAsia="Arial" w:hAnsi="Arial"/>
                <w:sz w:val="18"/>
                <w:szCs w:val="18"/>
                <w:color w:val="auto"/>
              </w:rPr>
              <w:t>nominal value</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Spembly Medical Limited</w:t>
            </w:r>
          </w:p>
        </w:tc>
        <w:tc>
          <w:tcPr>
            <w:tcW w:w="30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5,000,000 ordinary shares, £1.00</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4,182,916</w:t>
            </w:r>
          </w:p>
        </w:tc>
        <w:tc>
          <w:tcPr>
            <w:tcW w:w="12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 NeuroSciences Holdings</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United</w:t>
            </w:r>
          </w:p>
        </w:tc>
        <w:tc>
          <w:tcPr>
            <w:tcW w:w="0" w:type="dxa"/>
            <w:vAlign w:val="bottom"/>
          </w:tcPr>
          <w:p>
            <w:pPr>
              <w:spacing w:after="0"/>
              <w:rPr>
                <w:sz w:val="1"/>
                <w:szCs w:val="1"/>
                <w:color w:val="auto"/>
              </w:rPr>
            </w:pPr>
          </w:p>
        </w:tc>
      </w:tr>
      <w:tr>
        <w:trPr>
          <w:trHeight w:val="224"/>
        </w:trPr>
        <w:tc>
          <w:tcPr>
            <w:tcW w:w="100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nominal value</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Limited</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Kingdom</w:t>
            </w:r>
          </w:p>
        </w:tc>
        <w:tc>
          <w:tcPr>
            <w:tcW w:w="0" w:type="dxa"/>
            <w:vAlign w:val="bottom"/>
          </w:tcPr>
          <w:p>
            <w:pPr>
              <w:spacing w:after="0"/>
              <w:rPr>
                <w:sz w:val="1"/>
                <w:szCs w:val="1"/>
                <w:color w:val="auto"/>
              </w:rPr>
            </w:pPr>
          </w:p>
        </w:tc>
      </w:tr>
      <w:tr>
        <w:trPr>
          <w:trHeight w:val="208"/>
        </w:trPr>
        <w:tc>
          <w:tcPr>
            <w:tcW w:w="3360" w:type="dxa"/>
            <w:vAlign w:val="bottom"/>
            <w:gridSpan w:val="2"/>
          </w:tcPr>
          <w:p>
            <w:pPr>
              <w:spacing w:after="0"/>
              <w:rPr>
                <w:sz w:val="20"/>
                <w:szCs w:val="20"/>
                <w:color w:val="auto"/>
              </w:rPr>
            </w:pPr>
            <w:r>
              <w:rPr>
                <w:rFonts w:ascii="Arial" w:cs="Arial" w:eastAsia="Arial" w:hAnsi="Arial"/>
                <w:sz w:val="18"/>
                <w:szCs w:val="18"/>
                <w:color w:val="auto"/>
              </w:rPr>
              <w:t>Integra NeuroSciences Limited</w:t>
            </w:r>
          </w:p>
        </w:tc>
        <w:tc>
          <w:tcPr>
            <w:tcW w:w="3020" w:type="dxa"/>
            <w:vAlign w:val="bottom"/>
            <w:gridSpan w:val="3"/>
          </w:tcPr>
          <w:p>
            <w:pPr>
              <w:ind w:left="60"/>
              <w:spacing w:after="0"/>
              <w:rPr>
                <w:sz w:val="20"/>
                <w:szCs w:val="20"/>
                <w:color w:val="auto"/>
              </w:rPr>
            </w:pPr>
            <w:r>
              <w:rPr>
                <w:rFonts w:ascii="Arial" w:cs="Arial" w:eastAsia="Arial" w:hAnsi="Arial"/>
                <w:sz w:val="18"/>
                <w:szCs w:val="18"/>
                <w:color w:val="auto"/>
              </w:rPr>
              <w:t>5,000,000 ordinary shares, £1.00</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2,769,029</w:t>
            </w:r>
          </w:p>
        </w:tc>
        <w:tc>
          <w:tcPr>
            <w:tcW w:w="1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Spembly Medical Limited</w:t>
            </w: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United</w:t>
            </w:r>
          </w:p>
        </w:tc>
        <w:tc>
          <w:tcPr>
            <w:tcW w:w="0" w:type="dxa"/>
            <w:vAlign w:val="bottom"/>
          </w:tcPr>
          <w:p>
            <w:pPr>
              <w:spacing w:after="0"/>
              <w:rPr>
                <w:sz w:val="1"/>
                <w:szCs w:val="1"/>
                <w:color w:val="auto"/>
              </w:rPr>
            </w:pPr>
          </w:p>
        </w:tc>
      </w:tr>
      <w:tr>
        <w:trPr>
          <w:trHeight w:val="222"/>
        </w:trPr>
        <w:tc>
          <w:tcPr>
            <w:tcW w:w="10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60" w:type="dxa"/>
            <w:vAlign w:val="bottom"/>
            <w:gridSpan w:val="2"/>
          </w:tcPr>
          <w:p>
            <w:pPr>
              <w:ind w:left="220"/>
              <w:spacing w:after="0"/>
              <w:rPr>
                <w:sz w:val="20"/>
                <w:szCs w:val="20"/>
                <w:color w:val="auto"/>
              </w:rPr>
            </w:pPr>
            <w:r>
              <w:rPr>
                <w:rFonts w:ascii="Arial" w:cs="Arial" w:eastAsia="Arial" w:hAnsi="Arial"/>
                <w:sz w:val="18"/>
                <w:szCs w:val="18"/>
                <w:color w:val="auto"/>
              </w:rPr>
              <w:t>nominal value</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Kingdom</w:t>
            </w:r>
          </w:p>
        </w:tc>
        <w:tc>
          <w:tcPr>
            <w:tcW w:w="0" w:type="dxa"/>
            <w:vAlign w:val="bottom"/>
          </w:tcPr>
          <w:p>
            <w:pPr>
              <w:spacing w:after="0"/>
              <w:rPr>
                <w:sz w:val="1"/>
                <w:szCs w:val="1"/>
                <w:color w:val="auto"/>
              </w:rPr>
            </w:pPr>
          </w:p>
        </w:tc>
      </w:tr>
      <w:tr>
        <w:trPr>
          <w:trHeight w:val="210"/>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Spembly Cryosurgery Limited</w:t>
            </w:r>
          </w:p>
        </w:tc>
        <w:tc>
          <w:tcPr>
            <w:tcW w:w="30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95"/>
              </w:rPr>
              <w:t>79,031 ordinary shares, £1.00 nominal</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79,031</w:t>
            </w:r>
          </w:p>
        </w:tc>
        <w:tc>
          <w:tcPr>
            <w:tcW w:w="12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 NeuroSciences Limited</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United</w:t>
            </w:r>
          </w:p>
        </w:tc>
        <w:tc>
          <w:tcPr>
            <w:tcW w:w="0" w:type="dxa"/>
            <w:vAlign w:val="bottom"/>
          </w:tcPr>
          <w:p>
            <w:pPr>
              <w:spacing w:after="0"/>
              <w:rPr>
                <w:sz w:val="1"/>
                <w:szCs w:val="1"/>
                <w:color w:val="auto"/>
              </w:rPr>
            </w:pPr>
          </w:p>
        </w:tc>
      </w:tr>
      <w:tr>
        <w:trPr>
          <w:trHeight w:val="224"/>
        </w:trPr>
        <w:tc>
          <w:tcPr>
            <w:tcW w:w="100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value</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Kingdom</w:t>
            </w:r>
          </w:p>
        </w:tc>
        <w:tc>
          <w:tcPr>
            <w:tcW w:w="0" w:type="dxa"/>
            <w:vAlign w:val="bottom"/>
          </w:tcPr>
          <w:p>
            <w:pPr>
              <w:spacing w:after="0"/>
              <w:rPr>
                <w:sz w:val="1"/>
                <w:szCs w:val="1"/>
                <w:color w:val="auto"/>
              </w:rPr>
            </w:pPr>
          </w:p>
        </w:tc>
      </w:tr>
      <w:tr>
        <w:trPr>
          <w:trHeight w:val="208"/>
        </w:trPr>
        <w:tc>
          <w:tcPr>
            <w:tcW w:w="3360" w:type="dxa"/>
            <w:vAlign w:val="bottom"/>
            <w:gridSpan w:val="2"/>
          </w:tcPr>
          <w:p>
            <w:pPr>
              <w:spacing w:after="0"/>
              <w:rPr>
                <w:sz w:val="20"/>
                <w:szCs w:val="20"/>
                <w:color w:val="auto"/>
              </w:rPr>
            </w:pPr>
            <w:r>
              <w:rPr>
                <w:rFonts w:ascii="Arial" w:cs="Arial" w:eastAsia="Arial" w:hAnsi="Arial"/>
                <w:sz w:val="18"/>
                <w:szCs w:val="18"/>
                <w:color w:val="auto"/>
              </w:rPr>
              <w:t>Integra LifeSciences (Ireland) Limited</w:t>
            </w:r>
          </w:p>
        </w:tc>
        <w:tc>
          <w:tcPr>
            <w:tcW w:w="3020" w:type="dxa"/>
            <w:vAlign w:val="bottom"/>
            <w:gridSpan w:val="3"/>
          </w:tcPr>
          <w:p>
            <w:pPr>
              <w:ind w:left="60"/>
              <w:spacing w:after="0"/>
              <w:rPr>
                <w:sz w:val="20"/>
                <w:szCs w:val="20"/>
                <w:color w:val="auto"/>
              </w:rPr>
            </w:pPr>
            <w:r>
              <w:rPr>
                <w:rFonts w:ascii="Arial" w:cs="Arial" w:eastAsia="Arial" w:hAnsi="Arial"/>
                <w:sz w:val="18"/>
                <w:szCs w:val="18"/>
                <w:color w:val="auto"/>
                <w:w w:val="90"/>
              </w:rPr>
              <w:t>5,000,000 ordinary shares of €1.00 each</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650,001</w:t>
            </w:r>
          </w:p>
        </w:tc>
        <w:tc>
          <w:tcPr>
            <w:tcW w:w="1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Integra LifeSciences NR Ireland</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Ireland</w:t>
            </w:r>
          </w:p>
        </w:tc>
        <w:tc>
          <w:tcPr>
            <w:tcW w:w="0" w:type="dxa"/>
            <w:vAlign w:val="bottom"/>
          </w:tcPr>
          <w:p>
            <w:pPr>
              <w:spacing w:after="0"/>
              <w:rPr>
                <w:sz w:val="1"/>
                <w:szCs w:val="1"/>
                <w:color w:val="auto"/>
              </w:rPr>
            </w:pPr>
          </w:p>
        </w:tc>
      </w:tr>
      <w:tr>
        <w:trPr>
          <w:trHeight w:val="222"/>
        </w:trPr>
        <w:tc>
          <w:tcPr>
            <w:tcW w:w="10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2"/>
          </w:tcPr>
          <w:p>
            <w:pPr>
              <w:ind w:left="220"/>
              <w:spacing w:after="0"/>
              <w:rPr>
                <w:sz w:val="20"/>
                <w:szCs w:val="20"/>
                <w:color w:val="auto"/>
              </w:rPr>
            </w:pPr>
            <w:r>
              <w:rPr>
                <w:rFonts w:ascii="Arial" w:cs="Arial" w:eastAsia="Arial" w:hAnsi="Arial"/>
                <w:sz w:val="18"/>
                <w:szCs w:val="18"/>
                <w:color w:val="auto"/>
              </w:rPr>
              <w:t>Limited</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 LifeSciences NR Ireland Limited</w:t>
            </w:r>
          </w:p>
        </w:tc>
        <w:tc>
          <w:tcPr>
            <w:tcW w:w="30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90"/>
              </w:rPr>
              <w:t>1,000,000 ordinary shares of €1.00 each</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 LifeSciences Corporation</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Ireland</w:t>
            </w:r>
          </w:p>
        </w:tc>
        <w:tc>
          <w:tcPr>
            <w:tcW w:w="0" w:type="dxa"/>
            <w:vAlign w:val="bottom"/>
          </w:tcPr>
          <w:p>
            <w:pPr>
              <w:spacing w:after="0"/>
              <w:rPr>
                <w:sz w:val="1"/>
                <w:szCs w:val="1"/>
                <w:color w:val="auto"/>
              </w:rPr>
            </w:pPr>
          </w:p>
        </w:tc>
      </w:tr>
      <w:tr>
        <w:trPr>
          <w:trHeight w:val="208"/>
        </w:trPr>
        <w:tc>
          <w:tcPr>
            <w:tcW w:w="3360" w:type="dxa"/>
            <w:vAlign w:val="bottom"/>
            <w:gridSpan w:val="2"/>
          </w:tcPr>
          <w:p>
            <w:pPr>
              <w:spacing w:after="0"/>
              <w:rPr>
                <w:sz w:val="20"/>
                <w:szCs w:val="20"/>
                <w:color w:val="auto"/>
              </w:rPr>
            </w:pPr>
            <w:r>
              <w:rPr>
                <w:rFonts w:ascii="Arial" w:cs="Arial" w:eastAsia="Arial" w:hAnsi="Arial"/>
                <w:sz w:val="18"/>
                <w:szCs w:val="18"/>
                <w:color w:val="auto"/>
                <w:w w:val="95"/>
              </w:rPr>
              <w:t>Integra LifeSciences Sales (Ireland) Limited</w:t>
            </w:r>
          </w:p>
        </w:tc>
        <w:tc>
          <w:tcPr>
            <w:tcW w:w="3020" w:type="dxa"/>
            <w:vAlign w:val="bottom"/>
            <w:gridSpan w:val="3"/>
          </w:tcPr>
          <w:p>
            <w:pPr>
              <w:ind w:left="60"/>
              <w:spacing w:after="0"/>
              <w:rPr>
                <w:sz w:val="20"/>
                <w:szCs w:val="20"/>
                <w:color w:val="auto"/>
              </w:rPr>
            </w:pPr>
            <w:r>
              <w:rPr>
                <w:rFonts w:ascii="Arial" w:cs="Arial" w:eastAsia="Arial" w:hAnsi="Arial"/>
                <w:sz w:val="18"/>
                <w:szCs w:val="18"/>
                <w:color w:val="auto"/>
                <w:w w:val="90"/>
              </w:rPr>
              <w:t>1,000,000 ordinary shares of €1.00 each</w:t>
            </w:r>
          </w:p>
        </w:tc>
        <w:tc>
          <w:tcPr>
            <w:tcW w:w="94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Integra LifeSciences NR Ireland</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Ireland</w:t>
            </w:r>
          </w:p>
        </w:tc>
        <w:tc>
          <w:tcPr>
            <w:tcW w:w="0" w:type="dxa"/>
            <w:vAlign w:val="bottom"/>
          </w:tcPr>
          <w:p>
            <w:pPr>
              <w:spacing w:after="0"/>
              <w:rPr>
                <w:sz w:val="1"/>
                <w:szCs w:val="1"/>
                <w:color w:val="auto"/>
              </w:rPr>
            </w:pPr>
          </w:p>
        </w:tc>
      </w:tr>
      <w:tr>
        <w:trPr>
          <w:trHeight w:val="222"/>
        </w:trPr>
        <w:tc>
          <w:tcPr>
            <w:tcW w:w="10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2"/>
          </w:tcPr>
          <w:p>
            <w:pPr>
              <w:ind w:left="220"/>
              <w:spacing w:after="0"/>
              <w:rPr>
                <w:sz w:val="20"/>
                <w:szCs w:val="20"/>
                <w:color w:val="auto"/>
              </w:rPr>
            </w:pPr>
            <w:r>
              <w:rPr>
                <w:rFonts w:ascii="Arial" w:cs="Arial" w:eastAsia="Arial" w:hAnsi="Arial"/>
                <w:sz w:val="18"/>
                <w:szCs w:val="18"/>
                <w:color w:val="auto"/>
              </w:rPr>
              <w:t>Limited</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Integra LifeSciences Shared Services (Ireland)</w:t>
            </w:r>
          </w:p>
        </w:tc>
        <w:tc>
          <w:tcPr>
            <w:tcW w:w="30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90"/>
              </w:rPr>
              <w:t>1,000,000 ordinary shares of €1.00 each</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 LifeSciences Corporation</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Ireland</w:t>
            </w:r>
          </w:p>
        </w:tc>
        <w:tc>
          <w:tcPr>
            <w:tcW w:w="0" w:type="dxa"/>
            <w:vAlign w:val="bottom"/>
          </w:tcPr>
          <w:p>
            <w:pPr>
              <w:spacing w:after="0"/>
              <w:rPr>
                <w:sz w:val="1"/>
                <w:szCs w:val="1"/>
                <w:color w:val="auto"/>
              </w:rPr>
            </w:pPr>
          </w:p>
        </w:tc>
      </w:tr>
      <w:tr>
        <w:trPr>
          <w:trHeight w:val="224"/>
        </w:trPr>
        <w:tc>
          <w:tcPr>
            <w:tcW w:w="3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Limited</w:t>
            </w:r>
          </w:p>
        </w:tc>
        <w:tc>
          <w:tcPr>
            <w:tcW w:w="6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360" w:type="dxa"/>
            <w:vAlign w:val="bottom"/>
            <w:gridSpan w:val="2"/>
          </w:tcPr>
          <w:p>
            <w:pPr>
              <w:spacing w:after="0"/>
              <w:rPr>
                <w:sz w:val="20"/>
                <w:szCs w:val="20"/>
                <w:color w:val="auto"/>
              </w:rPr>
            </w:pPr>
            <w:r>
              <w:rPr>
                <w:rFonts w:ascii="Arial" w:cs="Arial" w:eastAsia="Arial" w:hAnsi="Arial"/>
                <w:sz w:val="18"/>
                <w:szCs w:val="18"/>
                <w:color w:val="auto"/>
              </w:rPr>
              <w:t>Integra CI, Inc.</w:t>
            </w:r>
          </w:p>
        </w:tc>
        <w:tc>
          <w:tcPr>
            <w:tcW w:w="3020" w:type="dxa"/>
            <w:vAlign w:val="bottom"/>
            <w:gridSpan w:val="3"/>
          </w:tcPr>
          <w:p>
            <w:pPr>
              <w:ind w:left="60"/>
              <w:spacing w:after="0"/>
              <w:rPr>
                <w:sz w:val="20"/>
                <w:szCs w:val="20"/>
                <w:color w:val="auto"/>
              </w:rPr>
            </w:pPr>
            <w:r>
              <w:rPr>
                <w:rFonts w:ascii="Arial" w:cs="Arial" w:eastAsia="Arial" w:hAnsi="Arial"/>
                <w:sz w:val="18"/>
                <w:szCs w:val="18"/>
                <w:color w:val="auto"/>
              </w:rPr>
              <w:t>10,000 shares, $1.00 par value</w:t>
            </w:r>
          </w:p>
        </w:tc>
        <w:tc>
          <w:tcPr>
            <w:tcW w:w="94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Integra LifeSciences Corporation</w:t>
            </w:r>
          </w:p>
        </w:tc>
        <w:tc>
          <w:tcPr>
            <w:tcW w:w="1020" w:type="dxa"/>
            <w:vAlign w:val="bottom"/>
          </w:tcPr>
          <w:p>
            <w:pPr>
              <w:jc w:val="center"/>
              <w:spacing w:after="0"/>
              <w:rPr>
                <w:sz w:val="20"/>
                <w:szCs w:val="20"/>
                <w:color w:val="auto"/>
              </w:rPr>
            </w:pPr>
            <w:r>
              <w:rPr>
                <w:rFonts w:ascii="Arial" w:cs="Arial" w:eastAsia="Arial" w:hAnsi="Arial"/>
                <w:sz w:val="18"/>
                <w:szCs w:val="18"/>
                <w:color w:val="auto"/>
                <w:w w:val="86"/>
              </w:rPr>
              <w:t>Cayman</w:t>
            </w:r>
          </w:p>
        </w:tc>
        <w:tc>
          <w:tcPr>
            <w:tcW w:w="0" w:type="dxa"/>
            <w:vAlign w:val="bottom"/>
          </w:tcPr>
          <w:p>
            <w:pPr>
              <w:spacing w:after="0"/>
              <w:rPr>
                <w:sz w:val="1"/>
                <w:szCs w:val="1"/>
                <w:color w:val="auto"/>
              </w:rPr>
            </w:pPr>
          </w:p>
        </w:tc>
      </w:tr>
      <w:tr>
        <w:trPr>
          <w:trHeight w:val="222"/>
        </w:trPr>
        <w:tc>
          <w:tcPr>
            <w:tcW w:w="10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Islands</w:t>
            </w:r>
          </w:p>
        </w:tc>
        <w:tc>
          <w:tcPr>
            <w:tcW w:w="0" w:type="dxa"/>
            <w:vAlign w:val="bottom"/>
          </w:tcPr>
          <w:p>
            <w:pPr>
              <w:spacing w:after="0"/>
              <w:rPr>
                <w:sz w:val="1"/>
                <w:szCs w:val="1"/>
                <w:color w:val="auto"/>
              </w:rPr>
            </w:pPr>
          </w:p>
        </w:tc>
      </w:tr>
    </w:tbl>
    <w:p>
      <w:pPr>
        <w:sectPr>
          <w:pgSz w:w="11900" w:h="16838" w:orient="portrait"/>
          <w:cols w:equalWidth="0" w:num="1">
            <w:col w:w="11420"/>
          </w:cols>
          <w:pgMar w:left="240" w:top="263" w:right="239" w:bottom="1440" w:gutter="0" w:footer="0" w:header="0"/>
        </w:sectPr>
      </w:pPr>
    </w:p>
    <w:bookmarkStart w:id="184" w:name="page185"/>
    <w:bookmarkEnd w:id="18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2"/>
              </w:rPr>
              <w:t>Company Name</w:t>
            </w:r>
          </w:p>
        </w:tc>
        <w:tc>
          <w:tcPr>
            <w:tcW w:w="168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3480" w:type="dxa"/>
            <w:vAlign w:val="bottom"/>
            <w:gridSpan w:val="2"/>
            <w:vMerge w:val="restart"/>
          </w:tcPr>
          <w:p>
            <w:pPr>
              <w:ind w:left="980"/>
              <w:spacing w:after="0"/>
              <w:rPr>
                <w:sz w:val="20"/>
                <w:szCs w:val="20"/>
                <w:color w:val="auto"/>
              </w:rPr>
            </w:pPr>
            <w:r>
              <w:rPr>
                <w:rFonts w:ascii="Arial" w:cs="Arial" w:eastAsia="Arial" w:hAnsi="Arial"/>
                <w:sz w:val="14"/>
                <w:szCs w:val="14"/>
                <w:b w:val="1"/>
                <w:bCs w:val="1"/>
                <w:color w:val="auto"/>
              </w:rPr>
              <w:t>Authorized Shares/Units</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1"/>
              </w:rPr>
              <w:t>Issued</w:t>
            </w:r>
          </w:p>
        </w:tc>
        <w:tc>
          <w:tcPr>
            <w:tcW w:w="100" w:type="dxa"/>
            <w:vAlign w:val="bottom"/>
          </w:tcPr>
          <w:p>
            <w:pPr>
              <w:spacing w:after="0"/>
              <w:rPr>
                <w:sz w:val="14"/>
                <w:szCs w:val="14"/>
                <w:color w:val="auto"/>
              </w:rPr>
            </w:pPr>
          </w:p>
        </w:tc>
        <w:tc>
          <w:tcPr>
            <w:tcW w:w="3300" w:type="dxa"/>
            <w:vAlign w:val="bottom"/>
            <w:gridSpan w:val="2"/>
            <w:vMerge w:val="restart"/>
          </w:tcPr>
          <w:p>
            <w:pPr>
              <w:ind w:left="1360"/>
              <w:spacing w:after="0"/>
              <w:rPr>
                <w:sz w:val="20"/>
                <w:szCs w:val="20"/>
                <w:color w:val="auto"/>
              </w:rPr>
            </w:pPr>
            <w:r>
              <w:rPr>
                <w:rFonts w:ascii="Arial" w:cs="Arial" w:eastAsia="Arial" w:hAnsi="Arial"/>
                <w:sz w:val="14"/>
                <w:szCs w:val="14"/>
                <w:b w:val="1"/>
                <w:bCs w:val="1"/>
                <w:color w:val="auto"/>
              </w:rPr>
              <w:t>Held By</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1"/>
              </w:rPr>
              <w:t>Jurisdiction of</w:t>
            </w:r>
          </w:p>
        </w:tc>
        <w:tc>
          <w:tcPr>
            <w:tcW w:w="0" w:type="dxa"/>
            <w:vAlign w:val="bottom"/>
          </w:tcPr>
          <w:p>
            <w:pPr>
              <w:spacing w:after="0"/>
              <w:rPr>
                <w:sz w:val="1"/>
                <w:szCs w:val="1"/>
                <w:color w:val="auto"/>
              </w:rPr>
            </w:pPr>
          </w:p>
        </w:tc>
      </w:tr>
      <w:tr>
        <w:trPr>
          <w:trHeight w:val="168"/>
        </w:trPr>
        <w:tc>
          <w:tcPr>
            <w:tcW w:w="1000" w:type="dxa"/>
            <w:vAlign w:val="bottom"/>
            <w:tcBorders>
              <w:bottom w:val="single" w:sz="8" w:color="auto"/>
            </w:tcBorders>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3480" w:type="dxa"/>
            <w:vAlign w:val="bottom"/>
            <w:gridSpan w:val="2"/>
            <w:vMerge w:val="continue"/>
          </w:tcPr>
          <w:p>
            <w:pPr>
              <w:spacing w:after="0"/>
              <w:rPr>
                <w:sz w:val="14"/>
                <w:szCs w:val="14"/>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4"/>
              </w:rPr>
              <w:t>Shares/Units</w:t>
            </w:r>
          </w:p>
        </w:tc>
        <w:tc>
          <w:tcPr>
            <w:tcW w:w="100" w:type="dxa"/>
            <w:vAlign w:val="bottom"/>
          </w:tcPr>
          <w:p>
            <w:pPr>
              <w:spacing w:after="0"/>
              <w:rPr>
                <w:sz w:val="14"/>
                <w:szCs w:val="14"/>
                <w:color w:val="auto"/>
              </w:rPr>
            </w:pPr>
          </w:p>
        </w:tc>
        <w:tc>
          <w:tcPr>
            <w:tcW w:w="3300" w:type="dxa"/>
            <w:vAlign w:val="bottom"/>
            <w:gridSpan w:val="2"/>
            <w:vMerge w:val="continue"/>
          </w:tcPr>
          <w:p>
            <w:pPr>
              <w:spacing w:after="0"/>
              <w:rPr>
                <w:sz w:val="14"/>
                <w:szCs w:val="14"/>
                <w:color w:val="auto"/>
              </w:rPr>
            </w:pPr>
          </w:p>
        </w:tc>
        <w:tc>
          <w:tcPr>
            <w:tcW w:w="8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Formation</w:t>
            </w:r>
          </w:p>
        </w:tc>
        <w:tc>
          <w:tcPr>
            <w:tcW w:w="0" w:type="dxa"/>
            <w:vAlign w:val="bottom"/>
          </w:tcPr>
          <w:p>
            <w:pPr>
              <w:spacing w:after="0"/>
              <w:rPr>
                <w:sz w:val="1"/>
                <w:szCs w:val="1"/>
                <w:color w:val="auto"/>
              </w:rPr>
            </w:pPr>
          </w:p>
        </w:tc>
      </w:tr>
      <w:tr>
        <w:trPr>
          <w:trHeight w:val="181"/>
        </w:trPr>
        <w:tc>
          <w:tcPr>
            <w:tcW w:w="268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Integra NeuroSciences Holdings</w:t>
            </w:r>
          </w:p>
        </w:tc>
        <w:tc>
          <w:tcPr>
            <w:tcW w:w="180" w:type="dxa"/>
            <w:vAlign w:val="bottom"/>
            <w:tcBorders>
              <w:top w:val="single" w:sz="8" w:color="CCEEFF"/>
            </w:tcBorders>
            <w:shd w:val="clear" w:color="auto" w:fill="CCEEFF"/>
          </w:tcPr>
          <w:p>
            <w:pPr>
              <w:spacing w:after="0"/>
              <w:rPr>
                <w:sz w:val="15"/>
                <w:szCs w:val="15"/>
                <w:color w:val="auto"/>
              </w:rPr>
            </w:pPr>
          </w:p>
        </w:tc>
        <w:tc>
          <w:tcPr>
            <w:tcW w:w="338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94"/>
              </w:rPr>
              <w:t>1,500,000 common shares, €15.00 par value</w:t>
            </w:r>
          </w:p>
        </w:tc>
        <w:tc>
          <w:tcPr>
            <w:tcW w:w="1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7"/>
              </w:rPr>
              <w:t>99,994</w:t>
            </w:r>
          </w:p>
        </w:tc>
        <w:tc>
          <w:tcPr>
            <w:tcW w:w="100" w:type="dxa"/>
            <w:vAlign w:val="bottom"/>
            <w:tcBorders>
              <w:top w:val="single" w:sz="8" w:color="CCEEFF"/>
            </w:tcBorders>
            <w:shd w:val="clear" w:color="auto" w:fill="CCEEFF"/>
          </w:tcPr>
          <w:p>
            <w:pPr>
              <w:spacing w:after="0"/>
              <w:rPr>
                <w:sz w:val="15"/>
                <w:szCs w:val="15"/>
                <w:color w:val="auto"/>
              </w:rPr>
            </w:pPr>
          </w:p>
        </w:tc>
        <w:tc>
          <w:tcPr>
            <w:tcW w:w="320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Integra France Holdings</w:t>
            </w:r>
          </w:p>
        </w:tc>
        <w:tc>
          <w:tcPr>
            <w:tcW w:w="10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5"/>
              </w:rPr>
              <w:t>France</w:t>
            </w:r>
          </w:p>
        </w:tc>
        <w:tc>
          <w:tcPr>
            <w:tcW w:w="0" w:type="dxa"/>
            <w:vAlign w:val="bottom"/>
          </w:tcPr>
          <w:p>
            <w:pPr>
              <w:spacing w:after="0"/>
              <w:rPr>
                <w:sz w:val="1"/>
                <w:szCs w:val="1"/>
                <w:color w:val="auto"/>
              </w:rPr>
            </w:pPr>
          </w:p>
        </w:tc>
      </w:tr>
      <w:tr>
        <w:trPr>
          <w:trHeight w:val="230"/>
        </w:trPr>
        <w:tc>
          <w:tcPr>
            <w:tcW w:w="2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(France) SA</w:t>
            </w:r>
          </w:p>
        </w:tc>
        <w:tc>
          <w:tcPr>
            <w:tcW w:w="180" w:type="dxa"/>
            <w:vAlign w:val="bottom"/>
            <w:shd w:val="clear" w:color="auto" w:fill="CCEEFF"/>
          </w:tcPr>
          <w:p>
            <w:pPr>
              <w:spacing w:after="0"/>
              <w:rPr>
                <w:sz w:val="19"/>
                <w:szCs w:val="19"/>
                <w:color w:val="auto"/>
              </w:rPr>
            </w:pPr>
          </w:p>
        </w:tc>
        <w:tc>
          <w:tcPr>
            <w:tcW w:w="3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34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SAS</w:t>
            </w: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0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340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Caveangle Ltd.</w:t>
            </w: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34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James Oti</w:t>
            </w: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34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Wenzel Hurtak</w:t>
            </w: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34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Donald Nociolo</w:t>
            </w: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34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Jerry Corbin</w:t>
            </w: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0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34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Anne-Marie Virlogeux</w:t>
            </w: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680" w:type="dxa"/>
            <w:vAlign w:val="bottom"/>
            <w:gridSpan w:val="2"/>
          </w:tcPr>
          <w:p>
            <w:pPr>
              <w:spacing w:after="0"/>
              <w:rPr>
                <w:sz w:val="20"/>
                <w:szCs w:val="20"/>
                <w:color w:val="auto"/>
              </w:rPr>
            </w:pPr>
            <w:r>
              <w:rPr>
                <w:rFonts w:ascii="Arial" w:cs="Arial" w:eastAsia="Arial" w:hAnsi="Arial"/>
                <w:sz w:val="18"/>
                <w:szCs w:val="18"/>
                <w:color w:val="auto"/>
              </w:rPr>
              <w:t>Integra NeuroSciences Implants</w:t>
            </w:r>
          </w:p>
        </w:tc>
        <w:tc>
          <w:tcPr>
            <w:tcW w:w="3660" w:type="dxa"/>
            <w:vAlign w:val="bottom"/>
            <w:gridSpan w:val="3"/>
          </w:tcPr>
          <w:p>
            <w:pPr>
              <w:ind w:left="180"/>
              <w:spacing w:after="0"/>
              <w:rPr>
                <w:sz w:val="20"/>
                <w:szCs w:val="20"/>
                <w:color w:val="auto"/>
              </w:rPr>
            </w:pPr>
            <w:r>
              <w:rPr>
                <w:rFonts w:ascii="Arial" w:cs="Arial" w:eastAsia="Arial" w:hAnsi="Arial"/>
                <w:sz w:val="18"/>
                <w:szCs w:val="18"/>
                <w:color w:val="auto"/>
                <w:w w:val="96"/>
              </w:rPr>
              <w:t>3,187,860 common shares, €15.00 par value</w:t>
            </w:r>
          </w:p>
        </w:tc>
        <w:tc>
          <w:tcPr>
            <w:tcW w:w="800" w:type="dxa"/>
            <w:vAlign w:val="bottom"/>
          </w:tcPr>
          <w:p>
            <w:pPr>
              <w:jc w:val="center"/>
              <w:spacing w:after="0"/>
              <w:rPr>
                <w:sz w:val="20"/>
                <w:szCs w:val="20"/>
                <w:color w:val="auto"/>
              </w:rPr>
            </w:pPr>
            <w:r>
              <w:rPr>
                <w:rFonts w:ascii="Arial" w:cs="Arial" w:eastAsia="Arial" w:hAnsi="Arial"/>
                <w:sz w:val="18"/>
                <w:szCs w:val="18"/>
                <w:color w:val="auto"/>
                <w:w w:val="86"/>
              </w:rPr>
              <w:t>212,518</w:t>
            </w:r>
          </w:p>
        </w:tc>
        <w:tc>
          <w:tcPr>
            <w:tcW w:w="3400" w:type="dxa"/>
            <w:vAlign w:val="bottom"/>
            <w:gridSpan w:val="3"/>
          </w:tcPr>
          <w:p>
            <w:pPr>
              <w:ind w:left="100"/>
              <w:spacing w:after="0"/>
              <w:rPr>
                <w:sz w:val="20"/>
                <w:szCs w:val="20"/>
                <w:color w:val="auto"/>
              </w:rPr>
            </w:pPr>
            <w:r>
              <w:rPr>
                <w:rFonts w:ascii="Arial" w:cs="Arial" w:eastAsia="Arial" w:hAnsi="Arial"/>
                <w:sz w:val="18"/>
                <w:szCs w:val="18"/>
                <w:color w:val="auto"/>
              </w:rPr>
              <w:t>Integra NeuroSciences Holdings</w:t>
            </w:r>
          </w:p>
        </w:tc>
        <w:tc>
          <w:tcPr>
            <w:tcW w:w="880" w:type="dxa"/>
            <w:vAlign w:val="bottom"/>
          </w:tcPr>
          <w:p>
            <w:pPr>
              <w:jc w:val="center"/>
              <w:spacing w:after="0"/>
              <w:rPr>
                <w:sz w:val="20"/>
                <w:szCs w:val="20"/>
                <w:color w:val="auto"/>
              </w:rPr>
            </w:pPr>
            <w:r>
              <w:rPr>
                <w:rFonts w:ascii="Arial" w:cs="Arial" w:eastAsia="Arial" w:hAnsi="Arial"/>
                <w:sz w:val="18"/>
                <w:szCs w:val="18"/>
                <w:color w:val="auto"/>
                <w:w w:val="85"/>
              </w:rPr>
              <w:t>France</w:t>
            </w:r>
          </w:p>
        </w:tc>
        <w:tc>
          <w:tcPr>
            <w:tcW w:w="0" w:type="dxa"/>
            <w:vAlign w:val="bottom"/>
          </w:tcPr>
          <w:p>
            <w:pPr>
              <w:spacing w:after="0"/>
              <w:rPr>
                <w:sz w:val="1"/>
                <w:szCs w:val="1"/>
                <w:color w:val="auto"/>
              </w:rPr>
            </w:pPr>
          </w:p>
        </w:tc>
      </w:tr>
      <w:tr>
        <w:trPr>
          <w:trHeight w:val="216"/>
        </w:trPr>
        <w:tc>
          <w:tcPr>
            <w:tcW w:w="2680" w:type="dxa"/>
            <w:vAlign w:val="bottom"/>
            <w:gridSpan w:val="2"/>
          </w:tcPr>
          <w:p>
            <w:pPr>
              <w:ind w:left="220"/>
              <w:spacing w:after="0"/>
              <w:rPr>
                <w:sz w:val="20"/>
                <w:szCs w:val="20"/>
                <w:color w:val="auto"/>
              </w:rPr>
            </w:pPr>
            <w:r>
              <w:rPr>
                <w:rFonts w:ascii="Arial" w:cs="Arial" w:eastAsia="Arial" w:hAnsi="Arial"/>
                <w:sz w:val="18"/>
                <w:szCs w:val="18"/>
                <w:color w:val="auto"/>
              </w:rPr>
              <w:t>(France) SA</w:t>
            </w:r>
          </w:p>
        </w:tc>
        <w:tc>
          <w:tcPr>
            <w:tcW w:w="1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restart"/>
          </w:tcPr>
          <w:p>
            <w:pPr>
              <w:jc w:val="center"/>
              <w:spacing w:after="0"/>
              <w:rPr>
                <w:sz w:val="20"/>
                <w:szCs w:val="20"/>
                <w:color w:val="auto"/>
              </w:rPr>
            </w:pPr>
            <w:r>
              <w:rPr>
                <w:rFonts w:ascii="Arial" w:cs="Arial" w:eastAsia="Arial" w:hAnsi="Arial"/>
                <w:sz w:val="18"/>
                <w:szCs w:val="18"/>
                <w:color w:val="auto"/>
                <w:w w:val="79"/>
              </w:rPr>
              <w:t>1</w:t>
            </w:r>
          </w:p>
        </w:tc>
        <w:tc>
          <w:tcPr>
            <w:tcW w:w="3400" w:type="dxa"/>
            <w:vAlign w:val="bottom"/>
            <w:gridSpan w:val="3"/>
          </w:tcPr>
          <w:p>
            <w:pPr>
              <w:ind w:left="100"/>
              <w:spacing w:after="0"/>
              <w:rPr>
                <w:sz w:val="20"/>
                <w:szCs w:val="20"/>
                <w:color w:val="auto"/>
              </w:rPr>
            </w:pPr>
            <w:r>
              <w:rPr>
                <w:rFonts w:ascii="Arial" w:cs="Arial" w:eastAsia="Arial" w:hAnsi="Arial"/>
                <w:sz w:val="18"/>
                <w:szCs w:val="18"/>
                <w:color w:val="auto"/>
              </w:rPr>
              <w:t>(France) SA</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340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Caveangle Ltd.</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3400" w:type="dxa"/>
            <w:vAlign w:val="bottom"/>
            <w:gridSpan w:val="3"/>
          </w:tcPr>
          <w:p>
            <w:pPr>
              <w:ind w:left="100"/>
              <w:spacing w:after="0"/>
              <w:rPr>
                <w:sz w:val="20"/>
                <w:szCs w:val="20"/>
                <w:color w:val="auto"/>
              </w:rPr>
            </w:pPr>
            <w:r>
              <w:rPr>
                <w:rFonts w:ascii="Arial" w:cs="Arial" w:eastAsia="Arial" w:hAnsi="Arial"/>
                <w:sz w:val="18"/>
                <w:szCs w:val="18"/>
                <w:color w:val="auto"/>
              </w:rPr>
              <w:t>James Oti</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3400" w:type="dxa"/>
            <w:vAlign w:val="bottom"/>
            <w:gridSpan w:val="3"/>
          </w:tcPr>
          <w:p>
            <w:pPr>
              <w:ind w:left="100"/>
              <w:spacing w:after="0"/>
              <w:rPr>
                <w:sz w:val="20"/>
                <w:szCs w:val="20"/>
                <w:color w:val="auto"/>
              </w:rPr>
            </w:pPr>
            <w:r>
              <w:rPr>
                <w:rFonts w:ascii="Arial" w:cs="Arial" w:eastAsia="Arial" w:hAnsi="Arial"/>
                <w:sz w:val="18"/>
                <w:szCs w:val="18"/>
                <w:color w:val="auto"/>
              </w:rPr>
              <w:t>Wenzel Hurtak</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3400" w:type="dxa"/>
            <w:vAlign w:val="bottom"/>
            <w:gridSpan w:val="3"/>
          </w:tcPr>
          <w:p>
            <w:pPr>
              <w:ind w:left="100"/>
              <w:spacing w:after="0"/>
              <w:rPr>
                <w:sz w:val="20"/>
                <w:szCs w:val="20"/>
                <w:color w:val="auto"/>
              </w:rPr>
            </w:pPr>
            <w:r>
              <w:rPr>
                <w:rFonts w:ascii="Arial" w:cs="Arial" w:eastAsia="Arial" w:hAnsi="Arial"/>
                <w:sz w:val="18"/>
                <w:szCs w:val="18"/>
                <w:color w:val="auto"/>
              </w:rPr>
              <w:t>Donald Nociolo</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3400" w:type="dxa"/>
            <w:vAlign w:val="bottom"/>
            <w:gridSpan w:val="3"/>
          </w:tcPr>
          <w:p>
            <w:pPr>
              <w:ind w:left="100"/>
              <w:spacing w:after="0"/>
              <w:rPr>
                <w:sz w:val="20"/>
                <w:szCs w:val="20"/>
                <w:color w:val="auto"/>
              </w:rPr>
            </w:pPr>
            <w:r>
              <w:rPr>
                <w:rFonts w:ascii="Arial" w:cs="Arial" w:eastAsia="Arial" w:hAnsi="Arial"/>
                <w:sz w:val="18"/>
                <w:szCs w:val="18"/>
                <w:color w:val="auto"/>
              </w:rPr>
              <w:t>Jerry Corbin</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3400" w:type="dxa"/>
            <w:vAlign w:val="bottom"/>
            <w:gridSpan w:val="3"/>
          </w:tcPr>
          <w:p>
            <w:pPr>
              <w:ind w:left="100"/>
              <w:spacing w:after="0"/>
              <w:rPr>
                <w:sz w:val="20"/>
                <w:szCs w:val="20"/>
                <w:color w:val="auto"/>
              </w:rPr>
            </w:pPr>
            <w:r>
              <w:rPr>
                <w:rFonts w:ascii="Arial" w:cs="Arial" w:eastAsia="Arial" w:hAnsi="Arial"/>
                <w:sz w:val="18"/>
                <w:szCs w:val="18"/>
                <w:color w:val="auto"/>
              </w:rPr>
              <w:t>Anne-Marie Virlogeux</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Integra LifeSciences Holdings SAS</w:t>
            </w:r>
          </w:p>
        </w:tc>
        <w:tc>
          <w:tcPr>
            <w:tcW w:w="36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4"/>
              </w:rPr>
              <w:t>20,300,000 common shares, €10.00 par value</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20,300,000</w:t>
            </w:r>
          </w:p>
        </w:tc>
        <w:tc>
          <w:tcPr>
            <w:tcW w:w="34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Integra France Holdings SAS</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France</w:t>
            </w:r>
          </w:p>
        </w:tc>
        <w:tc>
          <w:tcPr>
            <w:tcW w:w="0" w:type="dxa"/>
            <w:vAlign w:val="bottom"/>
          </w:tcPr>
          <w:p>
            <w:pPr>
              <w:spacing w:after="0"/>
              <w:rPr>
                <w:sz w:val="1"/>
                <w:szCs w:val="1"/>
                <w:color w:val="auto"/>
              </w:rPr>
            </w:pP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Newdeal SAS</w:t>
            </w:r>
          </w:p>
        </w:tc>
        <w:tc>
          <w:tcPr>
            <w:tcW w:w="3660" w:type="dxa"/>
            <w:vAlign w:val="bottom"/>
            <w:gridSpan w:val="3"/>
          </w:tcPr>
          <w:p>
            <w:pPr>
              <w:ind w:left="180"/>
              <w:spacing w:after="0"/>
              <w:rPr>
                <w:sz w:val="20"/>
                <w:szCs w:val="20"/>
                <w:color w:val="auto"/>
              </w:rPr>
            </w:pPr>
            <w:r>
              <w:rPr>
                <w:rFonts w:ascii="Arial" w:cs="Arial" w:eastAsia="Arial" w:hAnsi="Arial"/>
                <w:sz w:val="18"/>
                <w:szCs w:val="18"/>
                <w:color w:val="auto"/>
              </w:rPr>
              <w:t>€1,000,000 shares, €100 par value</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1,000,000</w:t>
            </w:r>
          </w:p>
        </w:tc>
        <w:tc>
          <w:tcPr>
            <w:tcW w:w="3400" w:type="dxa"/>
            <w:vAlign w:val="bottom"/>
            <w:gridSpan w:val="3"/>
          </w:tcPr>
          <w:p>
            <w:pPr>
              <w:ind w:left="100"/>
              <w:spacing w:after="0"/>
              <w:rPr>
                <w:sz w:val="20"/>
                <w:szCs w:val="20"/>
                <w:color w:val="auto"/>
              </w:rPr>
            </w:pPr>
            <w:r>
              <w:rPr>
                <w:rFonts w:ascii="Arial" w:cs="Arial" w:eastAsia="Arial" w:hAnsi="Arial"/>
                <w:sz w:val="18"/>
                <w:szCs w:val="18"/>
                <w:color w:val="auto"/>
              </w:rPr>
              <w:t>Integra LifeSciences Holdings SAS</w:t>
            </w:r>
          </w:p>
        </w:tc>
        <w:tc>
          <w:tcPr>
            <w:tcW w:w="880" w:type="dxa"/>
            <w:vAlign w:val="bottom"/>
          </w:tcPr>
          <w:p>
            <w:pPr>
              <w:jc w:val="center"/>
              <w:spacing w:after="0"/>
              <w:rPr>
                <w:sz w:val="20"/>
                <w:szCs w:val="20"/>
                <w:color w:val="auto"/>
              </w:rPr>
            </w:pPr>
            <w:r>
              <w:rPr>
                <w:rFonts w:ascii="Arial" w:cs="Arial" w:eastAsia="Arial" w:hAnsi="Arial"/>
                <w:sz w:val="18"/>
                <w:szCs w:val="18"/>
                <w:color w:val="auto"/>
                <w:w w:val="85"/>
              </w:rPr>
              <w:t>France</w:t>
            </w:r>
          </w:p>
        </w:tc>
        <w:tc>
          <w:tcPr>
            <w:tcW w:w="0" w:type="dxa"/>
            <w:vAlign w:val="bottom"/>
          </w:tcPr>
          <w:p>
            <w:pPr>
              <w:spacing w:after="0"/>
              <w:rPr>
                <w:sz w:val="1"/>
                <w:szCs w:val="1"/>
                <w:color w:val="auto"/>
              </w:rPr>
            </w:pPr>
          </w:p>
        </w:tc>
      </w:tr>
      <w:tr>
        <w:trPr>
          <w:trHeight w:val="208"/>
        </w:trPr>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 LS (Benelux) NV</w:t>
            </w:r>
          </w:p>
        </w:tc>
        <w:tc>
          <w:tcPr>
            <w:tcW w:w="36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1"/>
              </w:rPr>
              <w:t>370,000 common shares Without nominal value</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369,000</w:t>
            </w:r>
          </w:p>
        </w:tc>
        <w:tc>
          <w:tcPr>
            <w:tcW w:w="34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Newdeal SAS</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Belgium</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34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Integra LifeSciences Holdings</w:t>
            </w: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4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SAS</w:t>
            </w: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680" w:type="dxa"/>
            <w:vAlign w:val="bottom"/>
            <w:gridSpan w:val="2"/>
          </w:tcPr>
          <w:p>
            <w:pPr>
              <w:spacing w:after="0"/>
              <w:rPr>
                <w:sz w:val="20"/>
                <w:szCs w:val="20"/>
                <w:color w:val="auto"/>
              </w:rPr>
            </w:pPr>
            <w:r>
              <w:rPr>
                <w:rFonts w:ascii="Arial" w:cs="Arial" w:eastAsia="Arial" w:hAnsi="Arial"/>
                <w:sz w:val="18"/>
                <w:szCs w:val="18"/>
                <w:color w:val="auto"/>
                <w:w w:val="99"/>
              </w:rPr>
              <w:t>Integra York PA, Inc. (f/k/a Miltex,</w:t>
            </w:r>
          </w:p>
        </w:tc>
        <w:tc>
          <w:tcPr>
            <w:tcW w:w="3660" w:type="dxa"/>
            <w:vAlign w:val="bottom"/>
            <w:gridSpan w:val="3"/>
          </w:tcPr>
          <w:p>
            <w:pPr>
              <w:ind w:left="180"/>
              <w:spacing w:after="0"/>
              <w:rPr>
                <w:sz w:val="20"/>
                <w:szCs w:val="20"/>
                <w:color w:val="auto"/>
              </w:rPr>
            </w:pPr>
            <w:r>
              <w:rPr>
                <w:rFonts w:ascii="Arial" w:cs="Arial" w:eastAsia="Arial" w:hAnsi="Arial"/>
                <w:sz w:val="18"/>
                <w:szCs w:val="18"/>
                <w:color w:val="auto"/>
              </w:rPr>
              <w:t>1,000 shares common stock par value $.01</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400" w:type="dxa"/>
            <w:vAlign w:val="bottom"/>
            <w:gridSpan w:val="3"/>
          </w:tcPr>
          <w:p>
            <w:pPr>
              <w:ind w:left="100"/>
              <w:spacing w:after="0"/>
              <w:rPr>
                <w:sz w:val="20"/>
                <w:szCs w:val="20"/>
                <w:color w:val="auto"/>
              </w:rPr>
            </w:pPr>
            <w:r>
              <w:rPr>
                <w:rFonts w:ascii="Arial" w:cs="Arial" w:eastAsia="Arial" w:hAnsi="Arial"/>
                <w:sz w:val="18"/>
                <w:szCs w:val="18"/>
                <w:color w:val="auto"/>
              </w:rPr>
              <w:t>Integra LifeSciences Corporation</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22"/>
        </w:trPr>
        <w:tc>
          <w:tcPr>
            <w:tcW w:w="2680" w:type="dxa"/>
            <w:vAlign w:val="bottom"/>
            <w:gridSpan w:val="2"/>
          </w:tcPr>
          <w:p>
            <w:pPr>
              <w:ind w:left="220"/>
              <w:spacing w:after="0"/>
              <w:rPr>
                <w:sz w:val="20"/>
                <w:szCs w:val="20"/>
                <w:color w:val="auto"/>
              </w:rPr>
            </w:pPr>
            <w:r>
              <w:rPr>
                <w:rFonts w:ascii="Arial" w:cs="Arial" w:eastAsia="Arial" w:hAnsi="Arial"/>
                <w:sz w:val="18"/>
                <w:szCs w:val="18"/>
                <w:color w:val="auto"/>
              </w:rPr>
              <w:t>Inc.)</w:t>
            </w:r>
          </w:p>
        </w:tc>
        <w:tc>
          <w:tcPr>
            <w:tcW w:w="1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Miltex GmbH</w:t>
            </w:r>
          </w:p>
        </w:tc>
        <w:tc>
          <w:tcPr>
            <w:tcW w:w="36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€226,000 ordinary shares €1 nominal value</w:t>
            </w:r>
          </w:p>
        </w:tc>
        <w:tc>
          <w:tcPr>
            <w:tcW w:w="800" w:type="dxa"/>
            <w:vAlign w:val="bottom"/>
            <w:shd w:val="clear" w:color="auto" w:fill="CCEEFF"/>
          </w:tcPr>
          <w:p>
            <w:pPr>
              <w:spacing w:after="0"/>
              <w:rPr>
                <w:sz w:val="18"/>
                <w:szCs w:val="18"/>
                <w:color w:val="auto"/>
              </w:rPr>
            </w:pPr>
          </w:p>
        </w:tc>
        <w:tc>
          <w:tcPr>
            <w:tcW w:w="34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Integra German Holdings GmbH</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Germany</w:t>
            </w:r>
          </w:p>
        </w:tc>
        <w:tc>
          <w:tcPr>
            <w:tcW w:w="0" w:type="dxa"/>
            <w:vAlign w:val="bottom"/>
          </w:tcPr>
          <w:p>
            <w:pPr>
              <w:spacing w:after="0"/>
              <w:rPr>
                <w:sz w:val="1"/>
                <w:szCs w:val="1"/>
                <w:color w:val="auto"/>
              </w:rPr>
            </w:pP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EndoSolutions, Inc.</w:t>
            </w:r>
          </w:p>
        </w:tc>
        <w:tc>
          <w:tcPr>
            <w:tcW w:w="3660" w:type="dxa"/>
            <w:vAlign w:val="bottom"/>
            <w:gridSpan w:val="3"/>
          </w:tcPr>
          <w:p>
            <w:pPr>
              <w:ind w:left="180"/>
              <w:spacing w:after="0"/>
              <w:rPr>
                <w:sz w:val="20"/>
                <w:szCs w:val="20"/>
                <w:color w:val="auto"/>
              </w:rPr>
            </w:pPr>
            <w:r>
              <w:rPr>
                <w:rFonts w:ascii="Arial" w:cs="Arial" w:eastAsia="Arial" w:hAnsi="Arial"/>
                <w:sz w:val="18"/>
                <w:szCs w:val="18"/>
                <w:color w:val="auto"/>
                <w:w w:val="99"/>
              </w:rPr>
              <w:t>1,000 shares common stock, par value $.01</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400" w:type="dxa"/>
            <w:vAlign w:val="bottom"/>
            <w:gridSpan w:val="3"/>
          </w:tcPr>
          <w:p>
            <w:pPr>
              <w:ind w:left="100"/>
              <w:spacing w:after="0"/>
              <w:rPr>
                <w:sz w:val="20"/>
                <w:szCs w:val="20"/>
                <w:color w:val="auto"/>
              </w:rPr>
            </w:pPr>
            <w:r>
              <w:rPr>
                <w:rFonts w:ascii="Arial" w:cs="Arial" w:eastAsia="Arial" w:hAnsi="Arial"/>
                <w:sz w:val="18"/>
                <w:szCs w:val="18"/>
                <w:color w:val="auto"/>
              </w:rPr>
              <w:t>Integra York PA, Inc.</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08"/>
        </w:trPr>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 LifeSciences (Canada)</w:t>
            </w:r>
          </w:p>
        </w:tc>
        <w:tc>
          <w:tcPr>
            <w:tcW w:w="36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9"/>
              </w:rPr>
              <w:t>1,000 shares common stock, par value $.01</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100</w:t>
            </w:r>
          </w:p>
        </w:tc>
        <w:tc>
          <w:tcPr>
            <w:tcW w:w="34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Integra LifeSciences Corporation</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24"/>
        </w:trPr>
        <w:tc>
          <w:tcPr>
            <w:tcW w:w="2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Holdings, Inc.</w:t>
            </w:r>
          </w:p>
        </w:tc>
        <w:tc>
          <w:tcPr>
            <w:tcW w:w="180" w:type="dxa"/>
            <w:vAlign w:val="bottom"/>
            <w:shd w:val="clear" w:color="auto" w:fill="CCEEFF"/>
          </w:tcPr>
          <w:p>
            <w:pPr>
              <w:spacing w:after="0"/>
              <w:rPr>
                <w:sz w:val="19"/>
                <w:szCs w:val="19"/>
                <w:color w:val="auto"/>
              </w:rPr>
            </w:pPr>
          </w:p>
        </w:tc>
        <w:tc>
          <w:tcPr>
            <w:tcW w:w="3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680" w:type="dxa"/>
            <w:vAlign w:val="bottom"/>
            <w:gridSpan w:val="2"/>
          </w:tcPr>
          <w:p>
            <w:pPr>
              <w:spacing w:after="0"/>
              <w:rPr>
                <w:sz w:val="20"/>
                <w:szCs w:val="20"/>
                <w:color w:val="auto"/>
              </w:rPr>
            </w:pPr>
            <w:r>
              <w:rPr>
                <w:rFonts w:ascii="Arial" w:cs="Arial" w:eastAsia="Arial" w:hAnsi="Arial"/>
                <w:sz w:val="18"/>
                <w:szCs w:val="18"/>
                <w:color w:val="auto"/>
              </w:rPr>
              <w:t>Integra Canada ULC</w:t>
            </w:r>
          </w:p>
        </w:tc>
        <w:tc>
          <w:tcPr>
            <w:tcW w:w="3660" w:type="dxa"/>
            <w:vAlign w:val="bottom"/>
            <w:gridSpan w:val="3"/>
          </w:tcPr>
          <w:p>
            <w:pPr>
              <w:ind w:left="180"/>
              <w:spacing w:after="0"/>
              <w:rPr>
                <w:sz w:val="20"/>
                <w:szCs w:val="20"/>
                <w:color w:val="auto"/>
              </w:rPr>
            </w:pPr>
            <w:r>
              <w:rPr>
                <w:rFonts w:ascii="Arial" w:cs="Arial" w:eastAsia="Arial" w:hAnsi="Arial"/>
                <w:sz w:val="18"/>
                <w:szCs w:val="18"/>
                <w:color w:val="auto"/>
              </w:rPr>
              <w:t>100,000,000, No nominal value</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400" w:type="dxa"/>
            <w:vAlign w:val="bottom"/>
            <w:gridSpan w:val="3"/>
          </w:tcPr>
          <w:p>
            <w:pPr>
              <w:ind w:left="100"/>
              <w:spacing w:after="0"/>
              <w:rPr>
                <w:sz w:val="20"/>
                <w:szCs w:val="20"/>
                <w:color w:val="auto"/>
              </w:rPr>
            </w:pPr>
            <w:r>
              <w:rPr>
                <w:rFonts w:ascii="Arial" w:cs="Arial" w:eastAsia="Arial" w:hAnsi="Arial"/>
                <w:sz w:val="18"/>
                <w:szCs w:val="18"/>
                <w:color w:val="auto"/>
                <w:w w:val="91"/>
              </w:rPr>
              <w:t>Integra LifeSciences (Canada) Holdings, Inc.</w:t>
            </w:r>
          </w:p>
        </w:tc>
        <w:tc>
          <w:tcPr>
            <w:tcW w:w="880" w:type="dxa"/>
            <w:vAlign w:val="bottom"/>
          </w:tcPr>
          <w:p>
            <w:pPr>
              <w:jc w:val="center"/>
              <w:spacing w:after="0"/>
              <w:rPr>
                <w:sz w:val="20"/>
                <w:szCs w:val="20"/>
                <w:color w:val="auto"/>
              </w:rPr>
            </w:pPr>
            <w:r>
              <w:rPr>
                <w:rFonts w:ascii="Arial" w:cs="Arial" w:eastAsia="Arial" w:hAnsi="Arial"/>
                <w:sz w:val="18"/>
                <w:szCs w:val="18"/>
                <w:color w:val="auto"/>
                <w:w w:val="82"/>
              </w:rPr>
              <w:t>Canada</w:t>
            </w:r>
          </w:p>
        </w:tc>
        <w:tc>
          <w:tcPr>
            <w:tcW w:w="0" w:type="dxa"/>
            <w:vAlign w:val="bottom"/>
          </w:tcPr>
          <w:p>
            <w:pPr>
              <w:spacing w:after="0"/>
              <w:rPr>
                <w:sz w:val="1"/>
                <w:szCs w:val="1"/>
                <w:color w:val="auto"/>
              </w:rPr>
            </w:pPr>
          </w:p>
        </w:tc>
      </w:tr>
    </w:tbl>
    <w:p>
      <w:pPr>
        <w:sectPr>
          <w:pgSz w:w="11900" w:h="16838" w:orient="portrait"/>
          <w:cols w:equalWidth="0" w:num="1">
            <w:col w:w="11420"/>
          </w:cols>
          <w:pgMar w:left="240" w:top="263" w:right="239" w:bottom="1440" w:gutter="0" w:footer="0" w:header="0"/>
        </w:sectPr>
      </w:pPr>
    </w:p>
    <w:bookmarkStart w:id="185" w:name="page186"/>
    <w:bookmarkEnd w:id="18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2"/>
              </w:rPr>
              <w:t>Company Name</w:t>
            </w:r>
          </w:p>
        </w:tc>
        <w:tc>
          <w:tcPr>
            <w:tcW w:w="2540" w:type="dxa"/>
            <w:vAlign w:val="bottom"/>
            <w:vMerge w:val="restart"/>
          </w:tcPr>
          <w:p>
            <w:pPr>
              <w:spacing w:after="0"/>
              <w:rPr>
                <w:sz w:val="14"/>
                <w:szCs w:val="14"/>
                <w:color w:val="auto"/>
              </w:rPr>
            </w:pPr>
          </w:p>
        </w:tc>
        <w:tc>
          <w:tcPr>
            <w:tcW w:w="296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Authorized Shares/Units</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1"/>
              </w:rPr>
              <w:t>Issued</w:t>
            </w:r>
          </w:p>
        </w:tc>
        <w:tc>
          <w:tcPr>
            <w:tcW w:w="2960" w:type="dxa"/>
            <w:vAlign w:val="bottom"/>
            <w:gridSpan w:val="2"/>
            <w:vMerge w:val="restart"/>
          </w:tcPr>
          <w:p>
            <w:pPr>
              <w:ind w:left="1200"/>
              <w:spacing w:after="0"/>
              <w:rPr>
                <w:sz w:val="20"/>
                <w:szCs w:val="20"/>
                <w:color w:val="auto"/>
              </w:rPr>
            </w:pPr>
            <w:r>
              <w:rPr>
                <w:rFonts w:ascii="Arial" w:cs="Arial" w:eastAsia="Arial" w:hAnsi="Arial"/>
                <w:sz w:val="14"/>
                <w:szCs w:val="14"/>
                <w:b w:val="1"/>
                <w:bCs w:val="1"/>
                <w:color w:val="auto"/>
              </w:rPr>
              <w:t>Held By</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7"/>
              </w:rPr>
              <w:t>Jurisdiction of</w:t>
            </w:r>
          </w:p>
        </w:tc>
        <w:tc>
          <w:tcPr>
            <w:tcW w:w="0" w:type="dxa"/>
            <w:vAlign w:val="bottom"/>
          </w:tcPr>
          <w:p>
            <w:pPr>
              <w:spacing w:after="0"/>
              <w:rPr>
                <w:sz w:val="1"/>
                <w:szCs w:val="1"/>
                <w:color w:val="auto"/>
              </w:rPr>
            </w:pPr>
          </w:p>
        </w:tc>
      </w:tr>
      <w:tr>
        <w:trPr>
          <w:trHeight w:val="168"/>
        </w:trPr>
        <w:tc>
          <w:tcPr>
            <w:tcW w:w="1000" w:type="dxa"/>
            <w:vAlign w:val="bottom"/>
            <w:tcBorders>
              <w:bottom w:val="single" w:sz="8" w:color="auto"/>
            </w:tcBorders>
            <w:vMerge w:val="continue"/>
          </w:tcPr>
          <w:p>
            <w:pPr>
              <w:spacing w:after="0"/>
              <w:rPr>
                <w:sz w:val="14"/>
                <w:szCs w:val="14"/>
                <w:color w:val="auto"/>
              </w:rPr>
            </w:pPr>
          </w:p>
        </w:tc>
        <w:tc>
          <w:tcPr>
            <w:tcW w:w="2540" w:type="dxa"/>
            <w:vAlign w:val="bottom"/>
            <w:vMerge w:val="continue"/>
          </w:tcPr>
          <w:p>
            <w:pPr>
              <w:spacing w:after="0"/>
              <w:rPr>
                <w:sz w:val="14"/>
                <w:szCs w:val="14"/>
                <w:color w:val="auto"/>
              </w:rPr>
            </w:pPr>
          </w:p>
        </w:tc>
        <w:tc>
          <w:tcPr>
            <w:tcW w:w="2960" w:type="dxa"/>
            <w:vAlign w:val="bottom"/>
            <w:gridSpan w:val="2"/>
            <w:vMerge w:val="continue"/>
          </w:tcPr>
          <w:p>
            <w:pPr>
              <w:spacing w:after="0"/>
              <w:rPr>
                <w:sz w:val="14"/>
                <w:szCs w:val="14"/>
                <w:color w:val="auto"/>
              </w:rPr>
            </w:pPr>
          </w:p>
        </w:tc>
        <w:tc>
          <w:tcPr>
            <w:tcW w:w="98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86"/>
              </w:rPr>
              <w:t>Shares/Units</w:t>
            </w:r>
          </w:p>
        </w:tc>
        <w:tc>
          <w:tcPr>
            <w:tcW w:w="2960" w:type="dxa"/>
            <w:vAlign w:val="bottom"/>
            <w:gridSpan w:val="2"/>
            <w:vMerge w:val="continue"/>
          </w:tcPr>
          <w:p>
            <w:pPr>
              <w:spacing w:after="0"/>
              <w:rPr>
                <w:sz w:val="14"/>
                <w:szCs w:val="14"/>
                <w:color w:val="auto"/>
              </w:rPr>
            </w:pPr>
          </w:p>
        </w:tc>
        <w:tc>
          <w:tcPr>
            <w:tcW w:w="9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0"/>
              </w:rPr>
              <w:t>Formation</w:t>
            </w:r>
          </w:p>
        </w:tc>
        <w:tc>
          <w:tcPr>
            <w:tcW w:w="0" w:type="dxa"/>
            <w:vAlign w:val="bottom"/>
          </w:tcPr>
          <w:p>
            <w:pPr>
              <w:spacing w:after="0"/>
              <w:rPr>
                <w:sz w:val="1"/>
                <w:szCs w:val="1"/>
                <w:color w:val="auto"/>
              </w:rPr>
            </w:pPr>
          </w:p>
        </w:tc>
      </w:tr>
      <w:tr>
        <w:trPr>
          <w:trHeight w:val="195"/>
        </w:trPr>
        <w:tc>
          <w:tcPr>
            <w:tcW w:w="3540" w:type="dxa"/>
            <w:vAlign w:val="bottom"/>
            <w:tcBorders>
              <w:top w:val="single" w:sz="8" w:color="CCEEFF"/>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ILS Services Switzerland Ltd.</w:t>
            </w:r>
          </w:p>
        </w:tc>
        <w:tc>
          <w:tcPr>
            <w:tcW w:w="28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1"/>
              </w:rPr>
              <w:t>100,000 registered shares CHF 10 per</w:t>
            </w:r>
          </w:p>
        </w:tc>
        <w:tc>
          <w:tcPr>
            <w:tcW w:w="1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7"/>
              </w:rPr>
              <w:t>10,000</w:t>
            </w:r>
          </w:p>
        </w:tc>
        <w:tc>
          <w:tcPr>
            <w:tcW w:w="100" w:type="dxa"/>
            <w:vAlign w:val="bottom"/>
            <w:tcBorders>
              <w:top w:val="single" w:sz="8" w:color="CCEEFF"/>
            </w:tcBorders>
            <w:shd w:val="clear" w:color="auto" w:fill="CCEEFF"/>
          </w:tcPr>
          <w:p>
            <w:pPr>
              <w:spacing w:after="0"/>
              <w:rPr>
                <w:sz w:val="16"/>
                <w:szCs w:val="16"/>
                <w:color w:val="auto"/>
              </w:rPr>
            </w:pPr>
          </w:p>
        </w:tc>
        <w:tc>
          <w:tcPr>
            <w:tcW w:w="2860" w:type="dxa"/>
            <w:vAlign w:val="bottom"/>
            <w:tcBorders>
              <w:top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w w:val="94"/>
              </w:rPr>
              <w:t>Integra NeuroSciences Holdings B.V.</w:t>
            </w: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Switzerland</w:t>
            </w:r>
          </w:p>
        </w:tc>
        <w:tc>
          <w:tcPr>
            <w:tcW w:w="0" w:type="dxa"/>
            <w:vAlign w:val="bottom"/>
          </w:tcPr>
          <w:p>
            <w:pPr>
              <w:spacing w:after="0"/>
              <w:rPr>
                <w:sz w:val="1"/>
                <w:szCs w:val="1"/>
                <w:color w:val="auto"/>
              </w:rPr>
            </w:pPr>
          </w:p>
        </w:tc>
      </w:tr>
      <w:tr>
        <w:trPr>
          <w:trHeight w:val="224"/>
        </w:trPr>
        <w:tc>
          <w:tcPr>
            <w:tcW w:w="100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share</w:t>
            </w: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Integra LifeSciences Services (France) SAS</w:t>
            </w:r>
          </w:p>
        </w:tc>
        <w:tc>
          <w:tcPr>
            <w:tcW w:w="2960" w:type="dxa"/>
            <w:vAlign w:val="bottom"/>
            <w:gridSpan w:val="2"/>
          </w:tcPr>
          <w:p>
            <w:pPr>
              <w:spacing w:after="0"/>
              <w:rPr>
                <w:sz w:val="20"/>
                <w:szCs w:val="20"/>
                <w:color w:val="auto"/>
              </w:rPr>
            </w:pPr>
            <w:r>
              <w:rPr>
                <w:rFonts w:ascii="Arial" w:cs="Arial" w:eastAsia="Arial" w:hAnsi="Arial"/>
                <w:sz w:val="18"/>
                <w:szCs w:val="18"/>
                <w:color w:val="auto"/>
                <w:w w:val="98"/>
              </w:rPr>
              <w:t>37,000 common shares, €1 par value</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37,000</w:t>
            </w:r>
          </w:p>
        </w:tc>
        <w:tc>
          <w:tcPr>
            <w:tcW w:w="100" w:type="dxa"/>
            <w:vAlign w:val="bottom"/>
          </w:tcPr>
          <w:p>
            <w:pPr>
              <w:spacing w:after="0"/>
              <w:rPr>
                <w:sz w:val="18"/>
                <w:szCs w:val="18"/>
                <w:color w:val="auto"/>
              </w:rPr>
            </w:pPr>
          </w:p>
        </w:tc>
        <w:tc>
          <w:tcPr>
            <w:tcW w:w="2960" w:type="dxa"/>
            <w:vAlign w:val="bottom"/>
            <w:gridSpan w:val="2"/>
          </w:tcPr>
          <w:p>
            <w:pPr>
              <w:ind w:left="20"/>
              <w:spacing w:after="0"/>
              <w:rPr>
                <w:sz w:val="20"/>
                <w:szCs w:val="20"/>
                <w:color w:val="auto"/>
              </w:rPr>
            </w:pPr>
            <w:r>
              <w:rPr>
                <w:rFonts w:ascii="Arial" w:cs="Arial" w:eastAsia="Arial" w:hAnsi="Arial"/>
                <w:sz w:val="18"/>
                <w:szCs w:val="18"/>
                <w:color w:val="auto"/>
                <w:w w:val="98"/>
              </w:rPr>
              <w:t>Integra NeuroSciences Holdings B.V.</w:t>
            </w: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France</w:t>
            </w:r>
          </w:p>
        </w:tc>
        <w:tc>
          <w:tcPr>
            <w:tcW w:w="0" w:type="dxa"/>
            <w:vAlign w:val="bottom"/>
          </w:tcPr>
          <w:p>
            <w:pPr>
              <w:spacing w:after="0"/>
              <w:rPr>
                <w:sz w:val="1"/>
                <w:szCs w:val="1"/>
                <w:color w:val="auto"/>
              </w:rPr>
            </w:pPr>
          </w:p>
        </w:tc>
      </w:tr>
      <w:tr>
        <w:trPr>
          <w:trHeight w:val="208"/>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 Luxtec, Inc.</w:t>
            </w: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100 shares common stock, no par value</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10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Integra Burlington MA, Inc. (f/k/a</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Mass.</w:t>
            </w:r>
          </w:p>
        </w:tc>
        <w:tc>
          <w:tcPr>
            <w:tcW w:w="0" w:type="dxa"/>
            <w:vAlign w:val="bottom"/>
          </w:tcPr>
          <w:p>
            <w:pPr>
              <w:spacing w:after="0"/>
              <w:rPr>
                <w:sz w:val="1"/>
                <w:szCs w:val="1"/>
                <w:color w:val="auto"/>
              </w:rPr>
            </w:pPr>
          </w:p>
        </w:tc>
      </w:tr>
      <w:tr>
        <w:trPr>
          <w:trHeight w:val="224"/>
        </w:trPr>
        <w:tc>
          <w:tcPr>
            <w:tcW w:w="100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2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Integra Radionics, Inc.)</w:t>
            </w: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540" w:type="dxa"/>
            <w:vAlign w:val="bottom"/>
            <w:gridSpan w:val="2"/>
          </w:tcPr>
          <w:p>
            <w:pPr>
              <w:spacing w:after="0"/>
              <w:rPr>
                <w:sz w:val="20"/>
                <w:szCs w:val="20"/>
                <w:color w:val="auto"/>
              </w:rPr>
            </w:pPr>
            <w:r>
              <w:rPr>
                <w:rFonts w:ascii="Arial" w:cs="Arial" w:eastAsia="Arial" w:hAnsi="Arial"/>
                <w:sz w:val="18"/>
                <w:szCs w:val="18"/>
                <w:color w:val="auto"/>
              </w:rPr>
              <w:t>Fiber Imaging Technologies, Inc.</w:t>
            </w:r>
          </w:p>
        </w:tc>
        <w:tc>
          <w:tcPr>
            <w:tcW w:w="2960" w:type="dxa"/>
            <w:vAlign w:val="bottom"/>
            <w:gridSpan w:val="2"/>
          </w:tcPr>
          <w:p>
            <w:pPr>
              <w:spacing w:after="0"/>
              <w:rPr>
                <w:sz w:val="20"/>
                <w:szCs w:val="20"/>
                <w:color w:val="auto"/>
              </w:rPr>
            </w:pPr>
            <w:r>
              <w:rPr>
                <w:rFonts w:ascii="Arial" w:cs="Arial" w:eastAsia="Arial" w:hAnsi="Arial"/>
                <w:sz w:val="18"/>
                <w:szCs w:val="18"/>
                <w:color w:val="auto"/>
                <w:w w:val="96"/>
              </w:rPr>
              <w:t>900,000 shares common stock, no par</w:t>
            </w:r>
          </w:p>
        </w:tc>
        <w:tc>
          <w:tcPr>
            <w:tcW w:w="880" w:type="dxa"/>
            <w:vAlign w:val="bottom"/>
          </w:tcPr>
          <w:p>
            <w:pPr>
              <w:jc w:val="center"/>
              <w:spacing w:after="0"/>
              <w:rPr>
                <w:sz w:val="20"/>
                <w:szCs w:val="20"/>
                <w:color w:val="auto"/>
              </w:rPr>
            </w:pPr>
            <w:r>
              <w:rPr>
                <w:rFonts w:ascii="Arial" w:cs="Arial" w:eastAsia="Arial" w:hAnsi="Arial"/>
                <w:sz w:val="18"/>
                <w:szCs w:val="18"/>
                <w:color w:val="auto"/>
                <w:w w:val="86"/>
              </w:rPr>
              <w:t>900,000</w:t>
            </w:r>
          </w:p>
        </w:tc>
        <w:tc>
          <w:tcPr>
            <w:tcW w:w="100" w:type="dxa"/>
            <w:vAlign w:val="bottom"/>
          </w:tcPr>
          <w:p>
            <w:pPr>
              <w:spacing w:after="0"/>
              <w:rPr>
                <w:sz w:val="18"/>
                <w:szCs w:val="18"/>
                <w:color w:val="auto"/>
              </w:rPr>
            </w:pP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Integra Luxtec, Inc.</w:t>
            </w: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Mass.</w:t>
            </w:r>
          </w:p>
        </w:tc>
        <w:tc>
          <w:tcPr>
            <w:tcW w:w="0" w:type="dxa"/>
            <w:vAlign w:val="bottom"/>
          </w:tcPr>
          <w:p>
            <w:pPr>
              <w:spacing w:after="0"/>
              <w:rPr>
                <w:sz w:val="1"/>
                <w:szCs w:val="1"/>
                <w:color w:val="auto"/>
              </w:rPr>
            </w:pPr>
          </w:p>
        </w:tc>
      </w:tr>
      <w:tr>
        <w:trPr>
          <w:trHeight w:val="222"/>
        </w:trPr>
        <w:tc>
          <w:tcPr>
            <w:tcW w:w="10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960" w:type="dxa"/>
            <w:vAlign w:val="bottom"/>
            <w:gridSpan w:val="2"/>
          </w:tcPr>
          <w:p>
            <w:pPr>
              <w:ind w:left="200"/>
              <w:spacing w:after="0"/>
              <w:rPr>
                <w:sz w:val="20"/>
                <w:szCs w:val="20"/>
                <w:color w:val="auto"/>
              </w:rPr>
            </w:pPr>
            <w:r>
              <w:rPr>
                <w:rFonts w:ascii="Arial" w:cs="Arial" w:eastAsia="Arial" w:hAnsi="Arial"/>
                <w:sz w:val="18"/>
                <w:szCs w:val="18"/>
                <w:color w:val="auto"/>
              </w:rPr>
              <w:t>value</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Cathtec, Incorporated</w:t>
            </w: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200,000 shares common stock, no par</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200,000</w:t>
            </w:r>
          </w:p>
        </w:tc>
        <w:tc>
          <w:tcPr>
            <w:tcW w:w="10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Integra Luxtec, Inc.</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Mass.</w:t>
            </w:r>
          </w:p>
        </w:tc>
        <w:tc>
          <w:tcPr>
            <w:tcW w:w="0" w:type="dxa"/>
            <w:vAlign w:val="bottom"/>
          </w:tcPr>
          <w:p>
            <w:pPr>
              <w:spacing w:after="0"/>
              <w:rPr>
                <w:sz w:val="1"/>
                <w:szCs w:val="1"/>
                <w:color w:val="auto"/>
              </w:rPr>
            </w:pPr>
          </w:p>
        </w:tc>
      </w:tr>
      <w:tr>
        <w:trPr>
          <w:trHeight w:val="224"/>
        </w:trPr>
        <w:tc>
          <w:tcPr>
            <w:tcW w:w="100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value</w:t>
            </w: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540" w:type="dxa"/>
            <w:vAlign w:val="bottom"/>
            <w:gridSpan w:val="2"/>
          </w:tcPr>
          <w:p>
            <w:pPr>
              <w:spacing w:after="0"/>
              <w:rPr>
                <w:sz w:val="20"/>
                <w:szCs w:val="20"/>
                <w:color w:val="auto"/>
              </w:rPr>
            </w:pPr>
            <w:r>
              <w:rPr>
                <w:rFonts w:ascii="Arial" w:cs="Arial" w:eastAsia="Arial" w:hAnsi="Arial"/>
                <w:sz w:val="18"/>
                <w:szCs w:val="18"/>
                <w:color w:val="auto"/>
              </w:rPr>
              <w:t>CardioDyne, Inc.</w:t>
            </w:r>
          </w:p>
        </w:tc>
        <w:tc>
          <w:tcPr>
            <w:tcW w:w="2960" w:type="dxa"/>
            <w:vAlign w:val="bottom"/>
            <w:gridSpan w:val="2"/>
          </w:tcPr>
          <w:p>
            <w:pPr>
              <w:spacing w:after="0"/>
              <w:rPr>
                <w:sz w:val="20"/>
                <w:szCs w:val="20"/>
                <w:color w:val="auto"/>
              </w:rPr>
            </w:pPr>
            <w:r>
              <w:rPr>
                <w:rFonts w:ascii="Arial" w:cs="Arial" w:eastAsia="Arial" w:hAnsi="Arial"/>
                <w:sz w:val="18"/>
                <w:szCs w:val="18"/>
                <w:color w:val="auto"/>
                <w:w w:val="96"/>
              </w:rPr>
              <w:t>200,000 shares common stock, no par</w:t>
            </w:r>
          </w:p>
        </w:tc>
        <w:tc>
          <w:tcPr>
            <w:tcW w:w="880" w:type="dxa"/>
            <w:vAlign w:val="bottom"/>
          </w:tcPr>
          <w:p>
            <w:pPr>
              <w:jc w:val="center"/>
              <w:spacing w:after="0"/>
              <w:rPr>
                <w:sz w:val="20"/>
                <w:szCs w:val="20"/>
                <w:color w:val="auto"/>
              </w:rPr>
            </w:pPr>
            <w:r>
              <w:rPr>
                <w:rFonts w:ascii="Arial" w:cs="Arial" w:eastAsia="Arial" w:hAnsi="Arial"/>
                <w:sz w:val="18"/>
                <w:szCs w:val="18"/>
                <w:color w:val="auto"/>
                <w:w w:val="86"/>
              </w:rPr>
              <w:t>200,000</w:t>
            </w:r>
          </w:p>
        </w:tc>
        <w:tc>
          <w:tcPr>
            <w:tcW w:w="100" w:type="dxa"/>
            <w:vAlign w:val="bottom"/>
          </w:tcPr>
          <w:p>
            <w:pPr>
              <w:spacing w:after="0"/>
              <w:rPr>
                <w:sz w:val="18"/>
                <w:szCs w:val="18"/>
                <w:color w:val="auto"/>
              </w:rPr>
            </w:pP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Integra Luxtec, Inc.</w:t>
            </w: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Mass.</w:t>
            </w:r>
          </w:p>
        </w:tc>
        <w:tc>
          <w:tcPr>
            <w:tcW w:w="0" w:type="dxa"/>
            <w:vAlign w:val="bottom"/>
          </w:tcPr>
          <w:p>
            <w:pPr>
              <w:spacing w:after="0"/>
              <w:rPr>
                <w:sz w:val="1"/>
                <w:szCs w:val="1"/>
                <w:color w:val="auto"/>
              </w:rPr>
            </w:pPr>
          </w:p>
        </w:tc>
      </w:tr>
      <w:tr>
        <w:trPr>
          <w:trHeight w:val="222"/>
        </w:trPr>
        <w:tc>
          <w:tcPr>
            <w:tcW w:w="10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960" w:type="dxa"/>
            <w:vAlign w:val="bottom"/>
            <w:gridSpan w:val="2"/>
          </w:tcPr>
          <w:p>
            <w:pPr>
              <w:ind w:left="200"/>
              <w:spacing w:after="0"/>
              <w:rPr>
                <w:sz w:val="20"/>
                <w:szCs w:val="20"/>
                <w:color w:val="auto"/>
              </w:rPr>
            </w:pPr>
            <w:r>
              <w:rPr>
                <w:rFonts w:ascii="Arial" w:cs="Arial" w:eastAsia="Arial" w:hAnsi="Arial"/>
                <w:sz w:val="18"/>
                <w:szCs w:val="18"/>
                <w:color w:val="auto"/>
              </w:rPr>
              <w:t>value</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LXU Healthcare Inc. – Medical Specialty</w:t>
            </w: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3,000 shares common stock, $0.01 par</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3,000</w:t>
            </w:r>
          </w:p>
        </w:tc>
        <w:tc>
          <w:tcPr>
            <w:tcW w:w="10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Integra Luxtec, Inc.</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24"/>
        </w:trPr>
        <w:tc>
          <w:tcPr>
            <w:tcW w:w="3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Products</w:t>
            </w:r>
          </w:p>
        </w:tc>
        <w:tc>
          <w:tcPr>
            <w:tcW w:w="2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value</w:t>
            </w: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540" w:type="dxa"/>
            <w:vAlign w:val="bottom"/>
            <w:gridSpan w:val="2"/>
          </w:tcPr>
          <w:p>
            <w:pPr>
              <w:spacing w:after="0"/>
              <w:rPr>
                <w:sz w:val="20"/>
                <w:szCs w:val="20"/>
                <w:color w:val="auto"/>
              </w:rPr>
            </w:pPr>
            <w:r>
              <w:rPr>
                <w:rFonts w:ascii="Arial" w:cs="Arial" w:eastAsia="Arial" w:hAnsi="Arial"/>
                <w:sz w:val="18"/>
                <w:szCs w:val="18"/>
                <w:color w:val="auto"/>
              </w:rPr>
              <w:t>BIMECO, Inc.</w:t>
            </w:r>
          </w:p>
        </w:tc>
        <w:tc>
          <w:tcPr>
            <w:tcW w:w="2960" w:type="dxa"/>
            <w:vAlign w:val="bottom"/>
            <w:gridSpan w:val="2"/>
          </w:tcPr>
          <w:p>
            <w:pPr>
              <w:spacing w:after="0"/>
              <w:rPr>
                <w:sz w:val="20"/>
                <w:szCs w:val="20"/>
                <w:color w:val="auto"/>
              </w:rPr>
            </w:pPr>
            <w:r>
              <w:rPr>
                <w:rFonts w:ascii="Arial" w:cs="Arial" w:eastAsia="Arial" w:hAnsi="Arial"/>
                <w:sz w:val="18"/>
                <w:szCs w:val="18"/>
                <w:color w:val="auto"/>
                <w:w w:val="94"/>
              </w:rPr>
              <w:t>1,000 shares common stock, $1.00 par</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1,000</w:t>
            </w:r>
          </w:p>
        </w:tc>
        <w:tc>
          <w:tcPr>
            <w:tcW w:w="100" w:type="dxa"/>
            <w:vAlign w:val="bottom"/>
          </w:tcPr>
          <w:p>
            <w:pPr>
              <w:spacing w:after="0"/>
              <w:rPr>
                <w:sz w:val="18"/>
                <w:szCs w:val="18"/>
                <w:color w:val="auto"/>
              </w:rPr>
            </w:pP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LXU Healthcare Inc. – Medical</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Florida</w:t>
            </w:r>
          </w:p>
        </w:tc>
        <w:tc>
          <w:tcPr>
            <w:tcW w:w="0" w:type="dxa"/>
            <w:vAlign w:val="bottom"/>
          </w:tcPr>
          <w:p>
            <w:pPr>
              <w:spacing w:after="0"/>
              <w:rPr>
                <w:sz w:val="1"/>
                <w:szCs w:val="1"/>
                <w:color w:val="auto"/>
              </w:rPr>
            </w:pPr>
          </w:p>
        </w:tc>
      </w:tr>
      <w:tr>
        <w:trPr>
          <w:trHeight w:val="222"/>
        </w:trPr>
        <w:tc>
          <w:tcPr>
            <w:tcW w:w="10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960" w:type="dxa"/>
            <w:vAlign w:val="bottom"/>
            <w:gridSpan w:val="2"/>
          </w:tcPr>
          <w:p>
            <w:pPr>
              <w:ind w:left="200"/>
              <w:spacing w:after="0"/>
              <w:rPr>
                <w:sz w:val="20"/>
                <w:szCs w:val="20"/>
                <w:color w:val="auto"/>
              </w:rPr>
            </w:pPr>
            <w:r>
              <w:rPr>
                <w:rFonts w:ascii="Arial" w:cs="Arial" w:eastAsia="Arial" w:hAnsi="Arial"/>
                <w:sz w:val="18"/>
                <w:szCs w:val="18"/>
                <w:color w:val="auto"/>
              </w:rPr>
              <w:t>value</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2"/>
          </w:tcPr>
          <w:p>
            <w:pPr>
              <w:ind w:left="220"/>
              <w:spacing w:after="0"/>
              <w:rPr>
                <w:sz w:val="20"/>
                <w:szCs w:val="20"/>
                <w:color w:val="auto"/>
              </w:rPr>
            </w:pPr>
            <w:r>
              <w:rPr>
                <w:rFonts w:ascii="Arial" w:cs="Arial" w:eastAsia="Arial" w:hAnsi="Arial"/>
                <w:sz w:val="18"/>
                <w:szCs w:val="18"/>
                <w:color w:val="auto"/>
              </w:rPr>
              <w:t>Specialty Products</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IsoTis, Inc.</w:t>
            </w: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110,000 shares common stock, $0.01</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1,000</w:t>
            </w:r>
          </w:p>
        </w:tc>
        <w:tc>
          <w:tcPr>
            <w:tcW w:w="10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Integra LifeSciences Corporation</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24"/>
        </w:trPr>
        <w:tc>
          <w:tcPr>
            <w:tcW w:w="100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par value</w:t>
            </w: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IsoTis International SA</w:t>
            </w:r>
          </w:p>
        </w:tc>
        <w:tc>
          <w:tcPr>
            <w:tcW w:w="2960" w:type="dxa"/>
            <w:vAlign w:val="bottom"/>
            <w:gridSpan w:val="2"/>
          </w:tcPr>
          <w:p>
            <w:pPr>
              <w:spacing w:after="0"/>
              <w:rPr>
                <w:sz w:val="20"/>
                <w:szCs w:val="20"/>
                <w:color w:val="auto"/>
              </w:rPr>
            </w:pPr>
            <w:r>
              <w:rPr>
                <w:rFonts w:ascii="Arial" w:cs="Arial" w:eastAsia="Arial" w:hAnsi="Arial"/>
                <w:sz w:val="18"/>
                <w:szCs w:val="18"/>
                <w:color w:val="auto"/>
              </w:rPr>
              <w:t>62,075,898 CHF 1.00 par value</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62,075,898</w:t>
            </w:r>
          </w:p>
        </w:tc>
        <w:tc>
          <w:tcPr>
            <w:tcW w:w="100" w:type="dxa"/>
            <w:vAlign w:val="bottom"/>
          </w:tcPr>
          <w:p>
            <w:pPr>
              <w:spacing w:after="0"/>
              <w:rPr>
                <w:sz w:val="18"/>
                <w:szCs w:val="18"/>
                <w:color w:val="auto"/>
              </w:rPr>
            </w:pP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IsoTis, Inc.</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Switzerland</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IsoTis NV</w:t>
            </w: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€2,000,000 shares, €0.04 par value</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19,825,515</w:t>
            </w:r>
          </w:p>
        </w:tc>
        <w:tc>
          <w:tcPr>
            <w:tcW w:w="10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IsoTis International SA</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Netherlands</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IsoTis Tissue Engineering Facility BV</w:t>
            </w:r>
          </w:p>
        </w:tc>
        <w:tc>
          <w:tcPr>
            <w:tcW w:w="2960" w:type="dxa"/>
            <w:vAlign w:val="bottom"/>
            <w:gridSpan w:val="2"/>
          </w:tcPr>
          <w:p>
            <w:pPr>
              <w:spacing w:after="0"/>
              <w:rPr>
                <w:sz w:val="20"/>
                <w:szCs w:val="20"/>
                <w:color w:val="auto"/>
              </w:rPr>
            </w:pPr>
            <w:r>
              <w:rPr>
                <w:rFonts w:ascii="Arial" w:cs="Arial" w:eastAsia="Arial" w:hAnsi="Arial"/>
                <w:sz w:val="18"/>
                <w:szCs w:val="18"/>
                <w:color w:val="auto"/>
              </w:rPr>
              <w:t>€90,000 shares €1.00 par value</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18,000</w:t>
            </w:r>
          </w:p>
        </w:tc>
        <w:tc>
          <w:tcPr>
            <w:tcW w:w="100" w:type="dxa"/>
            <w:vAlign w:val="bottom"/>
          </w:tcPr>
          <w:p>
            <w:pPr>
              <w:spacing w:after="0"/>
              <w:rPr>
                <w:sz w:val="18"/>
                <w:szCs w:val="18"/>
                <w:color w:val="auto"/>
              </w:rPr>
            </w:pP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IsoTis NV</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Netherlands</w:t>
            </w:r>
          </w:p>
        </w:tc>
        <w:tc>
          <w:tcPr>
            <w:tcW w:w="0" w:type="dxa"/>
            <w:vAlign w:val="bottom"/>
          </w:tcPr>
          <w:p>
            <w:pPr>
              <w:spacing w:after="0"/>
              <w:rPr>
                <w:sz w:val="1"/>
                <w:szCs w:val="1"/>
                <w:color w:val="auto"/>
              </w:rPr>
            </w:pPr>
          </w:p>
        </w:tc>
      </w:tr>
      <w:tr>
        <w:trPr>
          <w:trHeight w:val="208"/>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IsoTis OrthoBiologics Inc.</w:t>
            </w: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110,000,000, shares common stock,</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8,766,584</w:t>
            </w:r>
          </w:p>
        </w:tc>
        <w:tc>
          <w:tcPr>
            <w:tcW w:w="10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IsoTis International SA</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Washington</w:t>
            </w:r>
          </w:p>
        </w:tc>
        <w:tc>
          <w:tcPr>
            <w:tcW w:w="0" w:type="dxa"/>
            <w:vAlign w:val="bottom"/>
          </w:tcPr>
          <w:p>
            <w:pPr>
              <w:spacing w:after="0"/>
              <w:rPr>
                <w:sz w:val="1"/>
                <w:szCs w:val="1"/>
                <w:color w:val="auto"/>
              </w:rPr>
            </w:pPr>
          </w:p>
        </w:tc>
      </w:tr>
      <w:tr>
        <w:trPr>
          <w:trHeight w:val="224"/>
        </w:trPr>
        <w:tc>
          <w:tcPr>
            <w:tcW w:w="100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$1.00 par value</w:t>
            </w: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Precise Dental Products, Ltd.</w:t>
            </w:r>
          </w:p>
        </w:tc>
        <w:tc>
          <w:tcPr>
            <w:tcW w:w="2960" w:type="dxa"/>
            <w:vAlign w:val="bottom"/>
            <w:gridSpan w:val="2"/>
          </w:tcPr>
          <w:p>
            <w:pPr>
              <w:spacing w:after="0"/>
              <w:rPr>
                <w:sz w:val="20"/>
                <w:szCs w:val="20"/>
                <w:color w:val="auto"/>
              </w:rPr>
            </w:pPr>
            <w:r>
              <w:rPr>
                <w:rFonts w:ascii="Arial" w:cs="Arial" w:eastAsia="Arial" w:hAnsi="Arial"/>
                <w:sz w:val="18"/>
                <w:szCs w:val="18"/>
                <w:color w:val="auto"/>
              </w:rPr>
              <w:t>10,000 common stock</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2,000</w:t>
            </w:r>
          </w:p>
        </w:tc>
        <w:tc>
          <w:tcPr>
            <w:tcW w:w="100" w:type="dxa"/>
            <w:vAlign w:val="bottom"/>
          </w:tcPr>
          <w:p>
            <w:pPr>
              <w:spacing w:after="0"/>
              <w:rPr>
                <w:sz w:val="18"/>
                <w:szCs w:val="18"/>
                <w:color w:val="auto"/>
              </w:rPr>
            </w:pP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Integra LifeSciences Corporation</w:t>
            </w: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California</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Precision Dental International, Ltd.</w:t>
            </w: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100,000 common stock</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20,000</w:t>
            </w:r>
          </w:p>
        </w:tc>
        <w:tc>
          <w:tcPr>
            <w:tcW w:w="10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Integra LifeSciences Corporation</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California</w:t>
            </w:r>
          </w:p>
        </w:tc>
        <w:tc>
          <w:tcPr>
            <w:tcW w:w="0" w:type="dxa"/>
            <w:vAlign w:val="bottom"/>
          </w:tcPr>
          <w:p>
            <w:pPr>
              <w:spacing w:after="0"/>
              <w:rPr>
                <w:sz w:val="1"/>
                <w:szCs w:val="1"/>
                <w:color w:val="auto"/>
              </w:rPr>
            </w:pPr>
          </w:p>
        </w:tc>
      </w:tr>
      <w:tr>
        <w:trPr>
          <w:trHeight w:val="222"/>
        </w:trPr>
        <w:tc>
          <w:tcPr>
            <w:tcW w:w="3540" w:type="dxa"/>
            <w:vAlign w:val="bottom"/>
            <w:gridSpan w:val="2"/>
          </w:tcPr>
          <w:p>
            <w:pPr>
              <w:spacing w:after="0"/>
              <w:rPr>
                <w:sz w:val="20"/>
                <w:szCs w:val="20"/>
                <w:color w:val="auto"/>
              </w:rPr>
            </w:pPr>
            <w:r>
              <w:rPr>
                <w:rFonts w:ascii="Arial" w:cs="Arial" w:eastAsia="Arial" w:hAnsi="Arial"/>
                <w:sz w:val="18"/>
                <w:szCs w:val="18"/>
                <w:color w:val="auto"/>
              </w:rPr>
              <w:t>Precise Dental Holding Corp.</w:t>
            </w:r>
          </w:p>
        </w:tc>
        <w:tc>
          <w:tcPr>
            <w:tcW w:w="2960" w:type="dxa"/>
            <w:vAlign w:val="bottom"/>
            <w:gridSpan w:val="2"/>
          </w:tcPr>
          <w:p>
            <w:pPr>
              <w:spacing w:after="0"/>
              <w:rPr>
                <w:sz w:val="20"/>
                <w:szCs w:val="20"/>
                <w:color w:val="auto"/>
              </w:rPr>
            </w:pPr>
            <w:r>
              <w:rPr>
                <w:rFonts w:ascii="Arial" w:cs="Arial" w:eastAsia="Arial" w:hAnsi="Arial"/>
                <w:sz w:val="18"/>
                <w:szCs w:val="18"/>
                <w:color w:val="auto"/>
              </w:rPr>
              <w:t>2,000 shares without par value</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50-2/3</w:t>
            </w:r>
          </w:p>
        </w:tc>
        <w:tc>
          <w:tcPr>
            <w:tcW w:w="100" w:type="dxa"/>
            <w:vAlign w:val="bottom"/>
          </w:tcPr>
          <w:p>
            <w:pPr>
              <w:spacing w:after="0"/>
              <w:rPr>
                <w:sz w:val="19"/>
                <w:szCs w:val="19"/>
                <w:color w:val="auto"/>
              </w:rPr>
            </w:pP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Integra LifeSciences Corporation</w:t>
            </w: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New Jersey</w:t>
            </w:r>
          </w:p>
        </w:tc>
        <w:tc>
          <w:tcPr>
            <w:tcW w:w="0" w:type="dxa"/>
            <w:vAlign w:val="bottom"/>
          </w:tcPr>
          <w:p>
            <w:pPr>
              <w:spacing w:after="0"/>
              <w:rPr>
                <w:sz w:val="1"/>
                <w:szCs w:val="1"/>
                <w:color w:val="auto"/>
              </w:rPr>
            </w:pPr>
          </w:p>
        </w:tc>
      </w:tr>
    </w:tbl>
    <w:p>
      <w:pPr>
        <w:sectPr>
          <w:pgSz w:w="11900" w:h="16838" w:orient="portrait"/>
          <w:cols w:equalWidth="0" w:num="1">
            <w:col w:w="11420"/>
          </w:cols>
          <w:pgMar w:left="240" w:top="263" w:right="239" w:bottom="1440" w:gutter="0" w:footer="0" w:header="0"/>
        </w:sectPr>
      </w:pPr>
    </w:p>
    <w:bookmarkStart w:id="186" w:name="page187"/>
    <w:bookmarkEnd w:id="18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2"/>
              </w:rPr>
              <w:t>Company Name</w:t>
            </w:r>
          </w:p>
        </w:tc>
        <w:tc>
          <w:tcPr>
            <w:tcW w:w="480" w:type="dxa"/>
            <w:vAlign w:val="bottom"/>
            <w:vMerge w:val="restart"/>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vMerge w:val="restart"/>
          </w:tcPr>
          <w:p>
            <w:pPr>
              <w:ind w:left="1100"/>
              <w:spacing w:after="0"/>
              <w:rPr>
                <w:sz w:val="20"/>
                <w:szCs w:val="20"/>
                <w:color w:val="auto"/>
              </w:rPr>
            </w:pPr>
            <w:r>
              <w:rPr>
                <w:rFonts w:ascii="Arial" w:cs="Arial" w:eastAsia="Arial" w:hAnsi="Arial"/>
                <w:sz w:val="14"/>
                <w:szCs w:val="14"/>
                <w:b w:val="1"/>
                <w:bCs w:val="1"/>
                <w:color w:val="auto"/>
              </w:rPr>
              <w:t>Authorized Shares/Units</w:t>
            </w:r>
          </w:p>
        </w:tc>
        <w:tc>
          <w:tcPr>
            <w:tcW w:w="80" w:type="dxa"/>
            <w:vAlign w:val="bottom"/>
          </w:tcPr>
          <w:p>
            <w:pPr>
              <w:spacing w:after="0"/>
              <w:rPr>
                <w:sz w:val="14"/>
                <w:szCs w:val="14"/>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5"/>
              </w:rPr>
              <w:t>Issued</w:t>
            </w:r>
          </w:p>
        </w:tc>
        <w:tc>
          <w:tcPr>
            <w:tcW w:w="4280" w:type="dxa"/>
            <w:vAlign w:val="bottom"/>
            <w:gridSpan w:val="2"/>
            <w:vMerge w:val="restart"/>
          </w:tcPr>
          <w:p>
            <w:pPr>
              <w:ind w:left="1860"/>
              <w:spacing w:after="0"/>
              <w:rPr>
                <w:sz w:val="20"/>
                <w:szCs w:val="20"/>
                <w:color w:val="auto"/>
              </w:rPr>
            </w:pPr>
            <w:r>
              <w:rPr>
                <w:rFonts w:ascii="Arial" w:cs="Arial" w:eastAsia="Arial" w:hAnsi="Arial"/>
                <w:sz w:val="14"/>
                <w:szCs w:val="14"/>
                <w:b w:val="1"/>
                <w:bCs w:val="1"/>
                <w:color w:val="auto"/>
              </w:rPr>
              <w:t>Held By</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9"/>
              </w:rPr>
              <w:t>Jurisdiction of</w:t>
            </w:r>
          </w:p>
        </w:tc>
        <w:tc>
          <w:tcPr>
            <w:tcW w:w="0" w:type="dxa"/>
            <w:vAlign w:val="bottom"/>
          </w:tcPr>
          <w:p>
            <w:pPr>
              <w:spacing w:after="0"/>
              <w:rPr>
                <w:sz w:val="1"/>
                <w:szCs w:val="1"/>
                <w:color w:val="auto"/>
              </w:rPr>
            </w:pPr>
          </w:p>
        </w:tc>
      </w:tr>
      <w:tr>
        <w:trPr>
          <w:trHeight w:val="168"/>
        </w:trPr>
        <w:tc>
          <w:tcPr>
            <w:tcW w:w="1000" w:type="dxa"/>
            <w:vAlign w:val="bottom"/>
            <w:tcBorders>
              <w:bottom w:val="single" w:sz="8" w:color="auto"/>
            </w:tcBorders>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60"/>
              <w:spacing w:after="0" w:line="148" w:lineRule="exact"/>
              <w:rPr>
                <w:sz w:val="20"/>
                <w:szCs w:val="20"/>
                <w:color w:val="auto"/>
              </w:rPr>
            </w:pPr>
            <w:r>
              <w:rPr>
                <w:rFonts w:ascii="Arial" w:cs="Arial" w:eastAsia="Arial" w:hAnsi="Arial"/>
                <w:sz w:val="14"/>
                <w:szCs w:val="14"/>
                <w:b w:val="1"/>
                <w:bCs w:val="1"/>
                <w:color w:val="auto"/>
                <w:w w:val="86"/>
              </w:rPr>
              <w:t>Shares/Units</w:t>
            </w:r>
          </w:p>
        </w:tc>
        <w:tc>
          <w:tcPr>
            <w:tcW w:w="4280" w:type="dxa"/>
            <w:vAlign w:val="bottom"/>
            <w:gridSpan w:val="2"/>
            <w:vMerge w:val="continue"/>
          </w:tcPr>
          <w:p>
            <w:pPr>
              <w:spacing w:after="0"/>
              <w:rPr>
                <w:sz w:val="14"/>
                <w:szCs w:val="14"/>
                <w:color w:val="auto"/>
              </w:rPr>
            </w:pPr>
          </w:p>
        </w:tc>
        <w:tc>
          <w:tcPr>
            <w:tcW w:w="9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0"/>
              </w:rPr>
              <w:t>Formation</w:t>
            </w:r>
          </w:p>
        </w:tc>
        <w:tc>
          <w:tcPr>
            <w:tcW w:w="0" w:type="dxa"/>
            <w:vAlign w:val="bottom"/>
          </w:tcPr>
          <w:p>
            <w:pPr>
              <w:spacing w:after="0"/>
              <w:rPr>
                <w:sz w:val="1"/>
                <w:szCs w:val="1"/>
                <w:color w:val="auto"/>
              </w:rPr>
            </w:pPr>
          </w:p>
        </w:tc>
      </w:tr>
      <w:tr>
        <w:trPr>
          <w:trHeight w:val="181"/>
        </w:trPr>
        <w:tc>
          <w:tcPr>
            <w:tcW w:w="148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Precise Dental</w:t>
            </w:r>
          </w:p>
        </w:tc>
        <w:tc>
          <w:tcPr>
            <w:tcW w:w="60" w:type="dxa"/>
            <w:vAlign w:val="bottom"/>
            <w:tcBorders>
              <w:top w:val="single" w:sz="8" w:color="CCEEFF"/>
            </w:tcBorders>
            <w:shd w:val="clear" w:color="auto" w:fill="CCEEFF"/>
          </w:tcPr>
          <w:p>
            <w:pPr>
              <w:spacing w:after="0"/>
              <w:rPr>
                <w:sz w:val="15"/>
                <w:szCs w:val="15"/>
                <w:color w:val="auto"/>
              </w:rPr>
            </w:pPr>
          </w:p>
        </w:tc>
        <w:tc>
          <w:tcPr>
            <w:tcW w:w="36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87"/>
              </w:rPr>
              <w:t>50,000 shares, par value MN $1.00 (Mexican Peso)</w:t>
            </w:r>
          </w:p>
        </w:tc>
        <w:tc>
          <w:tcPr>
            <w:tcW w:w="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7"/>
              </w:rPr>
              <w:t>49,500</w:t>
            </w:r>
          </w:p>
        </w:tc>
        <w:tc>
          <w:tcPr>
            <w:tcW w:w="80" w:type="dxa"/>
            <w:vAlign w:val="bottom"/>
            <w:tcBorders>
              <w:top w:val="single" w:sz="8" w:color="CCEEFF"/>
            </w:tcBorders>
            <w:shd w:val="clear" w:color="auto" w:fill="CCEEFF"/>
          </w:tcPr>
          <w:p>
            <w:pPr>
              <w:spacing w:after="0"/>
              <w:rPr>
                <w:sz w:val="15"/>
                <w:szCs w:val="15"/>
                <w:color w:val="auto"/>
              </w:rPr>
            </w:pPr>
          </w:p>
        </w:tc>
        <w:tc>
          <w:tcPr>
            <w:tcW w:w="420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88"/>
              </w:rPr>
              <w:t>Precise Dental Holding Corp. Precise Dental Products, Ltd.</w:t>
            </w:r>
          </w:p>
        </w:tc>
        <w:tc>
          <w:tcPr>
            <w:tcW w:w="8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4"/>
              </w:rPr>
              <w:t>Mexico</w:t>
            </w: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Internacional,</w:t>
            </w:r>
          </w:p>
        </w:tc>
        <w:tc>
          <w:tcPr>
            <w:tcW w:w="6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6"/>
              </w:rPr>
              <w:t>500</w:t>
            </w:r>
          </w:p>
        </w:tc>
        <w:tc>
          <w:tcPr>
            <w:tcW w:w="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S.A.de C.V.</w:t>
            </w:r>
          </w:p>
        </w:tc>
        <w:tc>
          <w:tcPr>
            <w:tcW w:w="60" w:type="dxa"/>
            <w:vAlign w:val="bottom"/>
            <w:shd w:val="clear" w:color="auto" w:fill="CCEEFF"/>
          </w:tcPr>
          <w:p>
            <w:pPr>
              <w:spacing w:after="0"/>
              <w:rPr>
                <w:sz w:val="19"/>
                <w:szCs w:val="19"/>
                <w:color w:val="auto"/>
              </w:rPr>
            </w:pPr>
          </w:p>
        </w:tc>
        <w:tc>
          <w:tcPr>
            <w:tcW w:w="3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w w:val="94"/>
              </w:rPr>
              <w:t>Theken Spine, LLC</w:t>
            </w:r>
          </w:p>
        </w:tc>
        <w:tc>
          <w:tcPr>
            <w:tcW w:w="3680" w:type="dxa"/>
            <w:vAlign w:val="bottom"/>
            <w:gridSpan w:val="2"/>
          </w:tcPr>
          <w:p>
            <w:pPr>
              <w:ind w:left="60"/>
              <w:spacing w:after="0"/>
              <w:rPr>
                <w:sz w:val="20"/>
                <w:szCs w:val="20"/>
                <w:color w:val="auto"/>
              </w:rPr>
            </w:pPr>
            <w:r>
              <w:rPr>
                <w:rFonts w:ascii="Arial" w:cs="Arial" w:eastAsia="Arial" w:hAnsi="Arial"/>
                <w:sz w:val="18"/>
                <w:szCs w:val="18"/>
                <w:color w:val="auto"/>
              </w:rPr>
              <w:t>Membership interests only</w:t>
            </w:r>
          </w:p>
        </w:tc>
        <w:tc>
          <w:tcPr>
            <w:tcW w:w="960" w:type="dxa"/>
            <w:vAlign w:val="bottom"/>
            <w:gridSpan w:val="2"/>
          </w:tcPr>
          <w:p>
            <w:pPr>
              <w:jc w:val="center"/>
              <w:ind w:left="12"/>
              <w:spacing w:after="0"/>
              <w:rPr>
                <w:sz w:val="20"/>
                <w:szCs w:val="20"/>
                <w:color w:val="auto"/>
              </w:rPr>
            </w:pPr>
            <w:r>
              <w:rPr>
                <w:rFonts w:ascii="Arial" w:cs="Arial" w:eastAsia="Arial" w:hAnsi="Arial"/>
                <w:sz w:val="18"/>
                <w:szCs w:val="18"/>
                <w:color w:val="auto"/>
                <w:w w:val="99"/>
              </w:rPr>
              <w:t>0</w:t>
            </w:r>
          </w:p>
        </w:tc>
        <w:tc>
          <w:tcPr>
            <w:tcW w:w="8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Integra LifeSciences Corporation</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Ohio</w:t>
            </w:r>
          </w:p>
        </w:tc>
        <w:tc>
          <w:tcPr>
            <w:tcW w:w="0" w:type="dxa"/>
            <w:vAlign w:val="bottom"/>
          </w:tcPr>
          <w:p>
            <w:pPr>
              <w:spacing w:after="0"/>
              <w:rPr>
                <w:sz w:val="1"/>
                <w:szCs w:val="1"/>
                <w:color w:val="auto"/>
              </w:rPr>
            </w:pPr>
          </w:p>
        </w:tc>
      </w:tr>
      <w:tr>
        <w:trPr>
          <w:trHeight w:val="208"/>
        </w:trPr>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w:t>
            </w:r>
          </w:p>
        </w:tc>
        <w:tc>
          <w:tcPr>
            <w:tcW w:w="3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Unlimited</w:t>
            </w:r>
          </w:p>
        </w:tc>
        <w:tc>
          <w:tcPr>
            <w:tcW w:w="9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6"/>
              </w:rPr>
              <w:t>100</w:t>
            </w:r>
          </w:p>
        </w:tc>
        <w:tc>
          <w:tcPr>
            <w:tcW w:w="80" w:type="dxa"/>
            <w:vAlign w:val="bottom"/>
            <w:shd w:val="clear" w:color="auto" w:fill="CCEEFF"/>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 NeuroSciences Holdings B.V.</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Australia</w:t>
            </w: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Neurosciences</w:t>
            </w:r>
          </w:p>
        </w:tc>
        <w:tc>
          <w:tcPr>
            <w:tcW w:w="6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Pty Ltd.</w:t>
            </w:r>
          </w:p>
        </w:tc>
        <w:tc>
          <w:tcPr>
            <w:tcW w:w="60" w:type="dxa"/>
            <w:vAlign w:val="bottom"/>
            <w:shd w:val="clear" w:color="auto" w:fill="CCEEFF"/>
          </w:tcPr>
          <w:p>
            <w:pPr>
              <w:spacing w:after="0"/>
              <w:rPr>
                <w:sz w:val="19"/>
                <w:szCs w:val="19"/>
                <w:color w:val="auto"/>
              </w:rPr>
            </w:pPr>
          </w:p>
        </w:tc>
        <w:tc>
          <w:tcPr>
            <w:tcW w:w="3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480" w:type="dxa"/>
            <w:vAlign w:val="bottom"/>
            <w:gridSpan w:val="2"/>
          </w:tcPr>
          <w:p>
            <w:pPr>
              <w:spacing w:after="0"/>
              <w:rPr>
                <w:sz w:val="20"/>
                <w:szCs w:val="20"/>
                <w:color w:val="auto"/>
              </w:rPr>
            </w:pPr>
            <w:r>
              <w:rPr>
                <w:rFonts w:ascii="Arial" w:cs="Arial" w:eastAsia="Arial" w:hAnsi="Arial"/>
                <w:sz w:val="18"/>
                <w:szCs w:val="18"/>
                <w:color w:val="auto"/>
              </w:rPr>
              <w:t>Integra</w:t>
            </w:r>
          </w:p>
        </w:tc>
        <w:tc>
          <w:tcPr>
            <w:tcW w:w="3680" w:type="dxa"/>
            <w:vAlign w:val="bottom"/>
            <w:gridSpan w:val="2"/>
          </w:tcPr>
          <w:p>
            <w:pPr>
              <w:ind w:left="60"/>
              <w:spacing w:after="0"/>
              <w:rPr>
                <w:sz w:val="20"/>
                <w:szCs w:val="20"/>
                <w:color w:val="auto"/>
              </w:rPr>
            </w:pPr>
            <w:r>
              <w:rPr>
                <w:rFonts w:ascii="Arial" w:cs="Arial" w:eastAsia="Arial" w:hAnsi="Arial"/>
                <w:sz w:val="18"/>
                <w:szCs w:val="18"/>
                <w:color w:val="auto"/>
              </w:rPr>
              <w:t>Unlimited</w:t>
            </w:r>
          </w:p>
        </w:tc>
        <w:tc>
          <w:tcPr>
            <w:tcW w:w="960" w:type="dxa"/>
            <w:vAlign w:val="bottom"/>
            <w:gridSpan w:val="2"/>
          </w:tcPr>
          <w:p>
            <w:pPr>
              <w:jc w:val="center"/>
              <w:ind w:left="12"/>
              <w:spacing w:after="0"/>
              <w:rPr>
                <w:sz w:val="20"/>
                <w:szCs w:val="20"/>
                <w:color w:val="auto"/>
              </w:rPr>
            </w:pPr>
            <w:r>
              <w:rPr>
                <w:rFonts w:ascii="Arial" w:cs="Arial" w:eastAsia="Arial" w:hAnsi="Arial"/>
                <w:sz w:val="18"/>
                <w:szCs w:val="18"/>
                <w:color w:val="auto"/>
                <w:w w:val="86"/>
              </w:rPr>
              <w:t>100</w:t>
            </w:r>
          </w:p>
        </w:tc>
        <w:tc>
          <w:tcPr>
            <w:tcW w:w="8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Integra NeuroSciences Holdings B.V.</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New Zealand</w:t>
            </w:r>
          </w:p>
        </w:tc>
        <w:tc>
          <w:tcPr>
            <w:tcW w:w="0" w:type="dxa"/>
            <w:vAlign w:val="bottom"/>
          </w:tcPr>
          <w:p>
            <w:pPr>
              <w:spacing w:after="0"/>
              <w:rPr>
                <w:sz w:val="1"/>
                <w:szCs w:val="1"/>
                <w:color w:val="auto"/>
              </w:rPr>
            </w:pPr>
          </w:p>
        </w:tc>
      </w:tr>
      <w:tr>
        <w:trPr>
          <w:trHeight w:val="216"/>
        </w:trPr>
        <w:tc>
          <w:tcPr>
            <w:tcW w:w="1480" w:type="dxa"/>
            <w:vAlign w:val="bottom"/>
            <w:gridSpan w:val="2"/>
          </w:tcPr>
          <w:p>
            <w:pPr>
              <w:ind w:left="220"/>
              <w:spacing w:after="0"/>
              <w:rPr>
                <w:sz w:val="20"/>
                <w:szCs w:val="20"/>
                <w:color w:val="auto"/>
              </w:rPr>
            </w:pPr>
            <w:r>
              <w:rPr>
                <w:rFonts w:ascii="Arial" w:cs="Arial" w:eastAsia="Arial" w:hAnsi="Arial"/>
                <w:sz w:val="18"/>
                <w:szCs w:val="18"/>
                <w:color w:val="auto"/>
              </w:rPr>
              <w:t>Neurosciences</w:t>
            </w:r>
          </w:p>
        </w:tc>
        <w:tc>
          <w:tcPr>
            <w:tcW w:w="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80" w:type="dxa"/>
            <w:vAlign w:val="bottom"/>
            <w:gridSpan w:val="2"/>
          </w:tcPr>
          <w:p>
            <w:pPr>
              <w:ind w:left="220"/>
              <w:spacing w:after="0"/>
              <w:rPr>
                <w:sz w:val="20"/>
                <w:szCs w:val="20"/>
                <w:color w:val="auto"/>
              </w:rPr>
            </w:pPr>
            <w:r>
              <w:rPr>
                <w:rFonts w:ascii="Arial" w:cs="Arial" w:eastAsia="Arial" w:hAnsi="Arial"/>
                <w:sz w:val="18"/>
                <w:szCs w:val="18"/>
                <w:color w:val="auto"/>
              </w:rPr>
              <w:t>Pty Ltd.</w:t>
            </w:r>
          </w:p>
        </w:tc>
        <w:tc>
          <w:tcPr>
            <w:tcW w:w="6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Minnesota</w:t>
            </w:r>
          </w:p>
        </w:tc>
        <w:tc>
          <w:tcPr>
            <w:tcW w:w="3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1,000,000 shares common</w:t>
            </w:r>
          </w:p>
        </w:tc>
        <w:tc>
          <w:tcPr>
            <w:tcW w:w="9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9"/>
              </w:rPr>
              <w:t>941,722</w:t>
            </w:r>
          </w:p>
        </w:tc>
        <w:tc>
          <w:tcPr>
            <w:tcW w:w="80" w:type="dxa"/>
            <w:vAlign w:val="bottom"/>
            <w:shd w:val="clear" w:color="auto" w:fill="CCEEFF"/>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 LifeSciences Corporation</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Minnesota</w:t>
            </w:r>
          </w:p>
        </w:tc>
        <w:tc>
          <w:tcPr>
            <w:tcW w:w="0" w:type="dxa"/>
            <w:vAlign w:val="bottom"/>
          </w:tcPr>
          <w:p>
            <w:pPr>
              <w:spacing w:after="0"/>
              <w:rPr>
                <w:sz w:val="1"/>
                <w:szCs w:val="1"/>
                <w:color w:val="auto"/>
              </w:rPr>
            </w:pPr>
          </w:p>
        </w:tc>
      </w:tr>
      <w:tr>
        <w:trPr>
          <w:trHeight w:val="224"/>
        </w:trPr>
        <w:tc>
          <w:tcPr>
            <w:tcW w:w="1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Scientific, Inc.</w:t>
            </w:r>
          </w:p>
        </w:tc>
        <w:tc>
          <w:tcPr>
            <w:tcW w:w="60" w:type="dxa"/>
            <w:vAlign w:val="bottom"/>
            <w:shd w:val="clear" w:color="auto" w:fill="CCEEFF"/>
          </w:tcPr>
          <w:p>
            <w:pPr>
              <w:spacing w:after="0"/>
              <w:rPr>
                <w:sz w:val="19"/>
                <w:szCs w:val="19"/>
                <w:color w:val="auto"/>
              </w:rPr>
            </w:pPr>
          </w:p>
        </w:tc>
        <w:tc>
          <w:tcPr>
            <w:tcW w:w="3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Integra Sales, Inc.</w:t>
            </w:r>
          </w:p>
        </w:tc>
        <w:tc>
          <w:tcPr>
            <w:tcW w:w="3680" w:type="dxa"/>
            <w:vAlign w:val="bottom"/>
            <w:gridSpan w:val="2"/>
          </w:tcPr>
          <w:p>
            <w:pPr>
              <w:ind w:left="60"/>
              <w:spacing w:after="0"/>
              <w:rPr>
                <w:sz w:val="20"/>
                <w:szCs w:val="20"/>
                <w:color w:val="auto"/>
              </w:rPr>
            </w:pPr>
            <w:r>
              <w:rPr>
                <w:rFonts w:ascii="Arial" w:cs="Arial" w:eastAsia="Arial" w:hAnsi="Arial"/>
                <w:sz w:val="18"/>
                <w:szCs w:val="18"/>
                <w:color w:val="auto"/>
              </w:rPr>
              <w:t>1,000 shares common</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88"/>
              </w:rPr>
              <w:t>1,000</w:t>
            </w:r>
          </w:p>
        </w:tc>
        <w:tc>
          <w:tcPr>
            <w:tcW w:w="8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Integra LifeSciences Corporation</w:t>
            </w:r>
          </w:p>
        </w:tc>
        <w:tc>
          <w:tcPr>
            <w:tcW w:w="94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08"/>
        </w:trPr>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 Euro</w:t>
            </w:r>
          </w:p>
        </w:tc>
        <w:tc>
          <w:tcPr>
            <w:tcW w:w="3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2,000 common shares, $0.01 par value</w:t>
            </w:r>
          </w:p>
        </w:tc>
        <w:tc>
          <w:tcPr>
            <w:tcW w:w="9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6"/>
              </w:rPr>
              <w:t>313</w:t>
            </w:r>
          </w:p>
        </w:tc>
        <w:tc>
          <w:tcPr>
            <w:tcW w:w="80" w:type="dxa"/>
            <w:vAlign w:val="bottom"/>
            <w:shd w:val="clear" w:color="auto" w:fill="CCEEFF"/>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 Jamner Surgical Instruments, Inc.</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Holdings, Inc.</w:t>
            </w:r>
          </w:p>
        </w:tc>
        <w:tc>
          <w:tcPr>
            <w:tcW w:w="6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9"/>
              </w:rPr>
              <w:t>28</w:t>
            </w:r>
          </w:p>
        </w:tc>
        <w:tc>
          <w:tcPr>
            <w:tcW w:w="80" w:type="dxa"/>
            <w:vAlign w:val="bottom"/>
            <w:shd w:val="clear" w:color="auto" w:fill="CCEEFF"/>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 York PA, Inc.</w:t>
            </w: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6"/>
              </w:rPr>
              <w:t>669</w:t>
            </w:r>
          </w:p>
        </w:tc>
        <w:tc>
          <w:tcPr>
            <w:tcW w:w="80" w:type="dxa"/>
            <w:vAlign w:val="bottom"/>
            <w:shd w:val="clear" w:color="auto" w:fill="CCEEFF"/>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 NeuroSciences</w:t>
            </w: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 Inc.</w:t>
            </w: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480" w:type="dxa"/>
            <w:vAlign w:val="bottom"/>
            <w:gridSpan w:val="2"/>
          </w:tcPr>
          <w:p>
            <w:pPr>
              <w:spacing w:after="0"/>
              <w:rPr>
                <w:sz w:val="20"/>
                <w:szCs w:val="20"/>
                <w:color w:val="auto"/>
              </w:rPr>
            </w:pPr>
            <w:r>
              <w:rPr>
                <w:rFonts w:ascii="Arial" w:cs="Arial" w:eastAsia="Arial" w:hAnsi="Arial"/>
                <w:sz w:val="18"/>
                <w:szCs w:val="18"/>
                <w:color w:val="auto"/>
              </w:rPr>
              <w:t>Integra German</w:t>
            </w:r>
          </w:p>
        </w:tc>
        <w:tc>
          <w:tcPr>
            <w:tcW w:w="3680" w:type="dxa"/>
            <w:vAlign w:val="bottom"/>
            <w:gridSpan w:val="2"/>
          </w:tcPr>
          <w:p>
            <w:pPr>
              <w:ind w:left="60"/>
              <w:spacing w:after="0"/>
              <w:rPr>
                <w:sz w:val="20"/>
                <w:szCs w:val="20"/>
                <w:color w:val="auto"/>
              </w:rPr>
            </w:pPr>
            <w:r>
              <w:rPr>
                <w:rFonts w:ascii="Arial" w:cs="Arial" w:eastAsia="Arial" w:hAnsi="Arial"/>
                <w:sz w:val="18"/>
                <w:szCs w:val="18"/>
                <w:color w:val="auto"/>
              </w:rPr>
              <w:t>25,000 shares in the nominal amount of €1</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87"/>
              </w:rPr>
              <w:t>25,000</w:t>
            </w:r>
          </w:p>
        </w:tc>
        <w:tc>
          <w:tcPr>
            <w:tcW w:w="8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Integra France Holdings SAS</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Germany</w:t>
            </w:r>
          </w:p>
        </w:tc>
        <w:tc>
          <w:tcPr>
            <w:tcW w:w="0" w:type="dxa"/>
            <w:vAlign w:val="bottom"/>
          </w:tcPr>
          <w:p>
            <w:pPr>
              <w:spacing w:after="0"/>
              <w:rPr>
                <w:sz w:val="1"/>
                <w:szCs w:val="1"/>
                <w:color w:val="auto"/>
              </w:rPr>
            </w:pPr>
          </w:p>
        </w:tc>
      </w:tr>
      <w:tr>
        <w:trPr>
          <w:trHeight w:val="222"/>
        </w:trPr>
        <w:tc>
          <w:tcPr>
            <w:tcW w:w="1480" w:type="dxa"/>
            <w:vAlign w:val="bottom"/>
            <w:gridSpan w:val="2"/>
          </w:tcPr>
          <w:p>
            <w:pPr>
              <w:ind w:left="220"/>
              <w:spacing w:after="0"/>
              <w:rPr>
                <w:sz w:val="20"/>
                <w:szCs w:val="20"/>
                <w:color w:val="auto"/>
              </w:rPr>
            </w:pPr>
            <w:r>
              <w:rPr>
                <w:rFonts w:ascii="Arial" w:cs="Arial" w:eastAsia="Arial" w:hAnsi="Arial"/>
                <w:sz w:val="18"/>
                <w:szCs w:val="18"/>
                <w:color w:val="auto"/>
                <w:w w:val="97"/>
              </w:rPr>
              <w:t>Holdings GmbH</w:t>
            </w:r>
          </w:p>
        </w:tc>
        <w:tc>
          <w:tcPr>
            <w:tcW w:w="6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 France</w:t>
            </w:r>
          </w:p>
        </w:tc>
        <w:tc>
          <w:tcPr>
            <w:tcW w:w="3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3"/>
              </w:rPr>
              <w:t>126,601,000 shares in the nominal amount of €1</w:t>
            </w:r>
          </w:p>
        </w:tc>
        <w:tc>
          <w:tcPr>
            <w:tcW w:w="10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126,601,000</w:t>
            </w: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 Euro Holdings, Inc.</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France</w:t>
            </w:r>
          </w:p>
        </w:tc>
        <w:tc>
          <w:tcPr>
            <w:tcW w:w="0" w:type="dxa"/>
            <w:vAlign w:val="bottom"/>
          </w:tcPr>
          <w:p>
            <w:pPr>
              <w:spacing w:after="0"/>
              <w:rPr>
                <w:sz w:val="1"/>
                <w:szCs w:val="1"/>
                <w:color w:val="auto"/>
              </w:rPr>
            </w:pPr>
          </w:p>
        </w:tc>
      </w:tr>
      <w:tr>
        <w:trPr>
          <w:trHeight w:val="224"/>
        </w:trPr>
        <w:tc>
          <w:tcPr>
            <w:tcW w:w="1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Holdings SAS</w:t>
            </w:r>
          </w:p>
        </w:tc>
        <w:tc>
          <w:tcPr>
            <w:tcW w:w="60" w:type="dxa"/>
            <w:vAlign w:val="bottom"/>
            <w:shd w:val="clear" w:color="auto" w:fill="CCEEFF"/>
          </w:tcPr>
          <w:p>
            <w:pPr>
              <w:spacing w:after="0"/>
              <w:rPr>
                <w:sz w:val="19"/>
                <w:szCs w:val="19"/>
                <w:color w:val="auto"/>
              </w:rPr>
            </w:pPr>
          </w:p>
        </w:tc>
        <w:tc>
          <w:tcPr>
            <w:tcW w:w="3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480" w:type="dxa"/>
            <w:vAlign w:val="bottom"/>
            <w:gridSpan w:val="2"/>
          </w:tcPr>
          <w:p>
            <w:pPr>
              <w:spacing w:after="0"/>
              <w:rPr>
                <w:sz w:val="20"/>
                <w:szCs w:val="20"/>
                <w:color w:val="auto"/>
              </w:rPr>
            </w:pPr>
            <w:r>
              <w:rPr>
                <w:rFonts w:ascii="Arial" w:cs="Arial" w:eastAsia="Arial" w:hAnsi="Arial"/>
                <w:sz w:val="18"/>
                <w:szCs w:val="18"/>
                <w:color w:val="auto"/>
              </w:rPr>
              <w:t>SeaSpine, Inc.</w:t>
            </w:r>
          </w:p>
        </w:tc>
        <w:tc>
          <w:tcPr>
            <w:tcW w:w="3680" w:type="dxa"/>
            <w:vAlign w:val="bottom"/>
            <w:gridSpan w:val="2"/>
          </w:tcPr>
          <w:p>
            <w:pPr>
              <w:ind w:left="60"/>
              <w:spacing w:after="0"/>
              <w:rPr>
                <w:sz w:val="20"/>
                <w:szCs w:val="20"/>
                <w:color w:val="auto"/>
              </w:rPr>
            </w:pPr>
            <w:r>
              <w:rPr>
                <w:rFonts w:ascii="Arial" w:cs="Arial" w:eastAsia="Arial" w:hAnsi="Arial"/>
                <w:sz w:val="18"/>
                <w:szCs w:val="18"/>
                <w:color w:val="auto"/>
              </w:rPr>
              <w:t>1,451 common shares, no par value</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88"/>
              </w:rPr>
              <w:t>1,451</w:t>
            </w:r>
          </w:p>
        </w:tc>
        <w:tc>
          <w:tcPr>
            <w:tcW w:w="8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Integra LifeSciences Corporation</w:t>
            </w:r>
          </w:p>
        </w:tc>
        <w:tc>
          <w:tcPr>
            <w:tcW w:w="94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Part (b). </w:t>
      </w:r>
      <w:r>
        <w:rPr>
          <w:rFonts w:ascii="Arial" w:cs="Arial" w:eastAsia="Arial" w:hAnsi="Arial"/>
          <w:sz w:val="18"/>
          <w:szCs w:val="18"/>
          <w:u w:val="single" w:color="auto"/>
          <w:color w:val="auto"/>
        </w:rPr>
        <w:t>Other Equity Investments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None (other than Minority Equity Interests).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Part (c). </w:t>
      </w:r>
      <w:r>
        <w:rPr>
          <w:rFonts w:ascii="Arial" w:cs="Arial" w:eastAsia="Arial" w:hAnsi="Arial"/>
          <w:sz w:val="18"/>
          <w:szCs w:val="18"/>
          <w:u w:val="single" w:color="auto"/>
          <w:color w:val="auto"/>
        </w:rPr>
        <w:t>Voting Trusts or Shareholder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263"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5.09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CERTAIN STOCK ARRANGEMENTS</w:t>
      </w:r>
    </w:p>
    <w:p>
      <w:pPr>
        <w:spacing w:after="0" w:line="218" w:lineRule="exact"/>
        <w:rPr>
          <w:sz w:val="20"/>
          <w:szCs w:val="20"/>
          <w:color w:val="auto"/>
        </w:rPr>
      </w:pPr>
    </w:p>
    <w:p>
      <w:pPr>
        <w:ind w:left="460" w:hanging="452"/>
        <w:spacing w:after="0"/>
        <w:tabs>
          <w:tab w:leader="none" w:pos="4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As of June 1, 2011 options to purchase 1,490,870 shares of common stock of Integra LifeSciences Holdings Corporation are outstanding.</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As of June 1, 2011 contract stock grants covering 1,069,341 shares of common stock of Integra LifeSciences Holdings Corporation are outstanding.</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As of June 1, 2011 restricted units requiring Integra LifeSciences Holdings Corporation to issue 753,585 shares of common stock are outstanding.</w:t>
      </w:r>
    </w:p>
    <w:p>
      <w:pPr>
        <w:sectPr>
          <w:pgSz w:w="11900" w:h="16838" w:orient="portrait"/>
          <w:cols w:equalWidth="0" w:num="1">
            <w:col w:w="11420"/>
          </w:cols>
          <w:pgMar w:left="240" w:top="274" w:right="2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5.13</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u w:val="single" w:color="auto"/>
          <w:color w:val="auto"/>
        </w:rPr>
        <w:t>ENVIRONMENTAL MATTERS</w:t>
      </w:r>
    </w:p>
    <w:p>
      <w:pPr>
        <w:spacing w:after="0" w:line="200"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220"/>
          </w:cols>
          <w:pgMar w:left="1440" w:top="274" w:right="2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5.16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TRANSACTIONS WITH AFFILIATES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Agreements with Affiliates</w:t>
      </w:r>
    </w:p>
    <w:p>
      <w:pPr>
        <w:spacing w:after="0" w:line="96" w:lineRule="exact"/>
        <w:rPr>
          <w:sz w:val="20"/>
          <w:szCs w:val="20"/>
          <w:color w:val="auto"/>
        </w:rPr>
      </w:pPr>
    </w:p>
    <w:p>
      <w:pPr>
        <w:jc w:val="both"/>
        <w:ind w:left="460" w:hanging="452"/>
        <w:spacing w:after="0" w:line="256" w:lineRule="auto"/>
        <w:tabs>
          <w:tab w:leader="none" w:pos="4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Integra LifeSciences Corporation, a Loan Party, is a party to a lease agreement with Plainsboro Associates relating to a manufacturing facility in Plainsboro, New Jersey. Ocirne, Inc., a subsidiary of Provco Industries, owns a 50% interest in Plainsboro Associates. Provco’s stockholders are trusts whose beneficiaries include the children of Dr. Caruso, the Chairman and a principal stockholder of Integra LifeSciences Holdings Corporation. Dr. Caruso is the President of Provco Industries.</w:t>
      </w:r>
    </w:p>
    <w:p>
      <w:pPr>
        <w:spacing w:after="0" w:line="62" w:lineRule="exact"/>
        <w:rPr>
          <w:rFonts w:ascii="Arial" w:cs="Arial" w:eastAsia="Arial" w:hAnsi="Arial"/>
          <w:sz w:val="18"/>
          <w:szCs w:val="18"/>
          <w:color w:val="auto"/>
        </w:rPr>
      </w:pPr>
    </w:p>
    <w:p>
      <w:pPr>
        <w:jc w:val="both"/>
        <w:ind w:left="460"/>
        <w:spacing w:after="0" w:line="284" w:lineRule="auto"/>
        <w:rPr>
          <w:rFonts w:ascii="Arial" w:cs="Arial" w:eastAsia="Arial" w:hAnsi="Arial"/>
          <w:sz w:val="18"/>
          <w:szCs w:val="18"/>
          <w:color w:val="auto"/>
        </w:rPr>
      </w:pPr>
      <w:r>
        <w:rPr>
          <w:rFonts w:ascii="Arial" w:cs="Arial" w:eastAsia="Arial" w:hAnsi="Arial"/>
          <w:sz w:val="16"/>
          <w:szCs w:val="16"/>
          <w:color w:val="auto"/>
        </w:rPr>
        <w:t>The lease agreement provides for two leases at the same property through October 31, 2017 at an annual rate of $272,308.64 ($22,692.39 monthly). The lease agreement also provides a fifteen year option for Integra LifeSciences Corporation to extend the leases from November 1, 2017 through October 31, 2032 at an annual rate of $295,515 from November 1, 2017 through October 2027 for the fifteen year extension period. In addition, the lease provides for</w:t>
      </w:r>
    </w:p>
    <w:p>
      <w:pPr>
        <w:spacing w:after="0" w:line="1" w:lineRule="exact"/>
        <w:rPr>
          <w:rFonts w:ascii="Arial" w:cs="Arial" w:eastAsia="Arial" w:hAnsi="Arial"/>
          <w:sz w:val="18"/>
          <w:szCs w:val="18"/>
          <w:color w:val="auto"/>
        </w:rPr>
      </w:pPr>
    </w:p>
    <w:p>
      <w:pPr>
        <w:jc w:val="both"/>
        <w:ind w:left="460" w:firstLine="4"/>
        <w:spacing w:after="0" w:line="255" w:lineRule="auto"/>
        <w:tabs>
          <w:tab w:leader="none" w:pos="693" w:val="left"/>
        </w:tabs>
        <w:numPr>
          <w:ilvl w:val="1"/>
          <w:numId w:val="212"/>
        </w:numPr>
        <w:rPr>
          <w:rFonts w:ascii="Arial" w:cs="Arial" w:eastAsia="Arial" w:hAnsi="Arial"/>
          <w:sz w:val="18"/>
          <w:szCs w:val="18"/>
          <w:color w:val="auto"/>
        </w:rPr>
      </w:pPr>
      <w:r>
        <w:rPr>
          <w:rFonts w:ascii="Arial" w:cs="Arial" w:eastAsia="Arial" w:hAnsi="Arial"/>
          <w:sz w:val="18"/>
          <w:szCs w:val="18"/>
          <w:color w:val="auto"/>
        </w:rPr>
        <w:t>a five-year renewal option in order to be able to extend the lease from November 2032 through October 2037 at the fair market rental rate of the premises and (ii) another five-year renewal option in order to be able to extend the lease from November 2037 through October 2042 at the fair market rental rate of the premises.</w:t>
      </w:r>
    </w:p>
    <w:p>
      <w:pPr>
        <w:spacing w:after="0" w:line="63" w:lineRule="exact"/>
        <w:rPr>
          <w:rFonts w:ascii="Arial" w:cs="Arial" w:eastAsia="Arial" w:hAnsi="Arial"/>
          <w:sz w:val="18"/>
          <w:szCs w:val="18"/>
          <w:color w:val="auto"/>
        </w:rPr>
      </w:pPr>
    </w:p>
    <w:p>
      <w:pPr>
        <w:jc w:val="both"/>
        <w:ind w:left="460" w:hanging="452"/>
        <w:spacing w:after="0" w:line="256" w:lineRule="auto"/>
        <w:tabs>
          <w:tab w:leader="none" w:pos="4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Borrower entered into an Equipment Lease Agreement with Medicus Corporation as of June 1, 2000. On March 1, 2010, the Company exercised an option to extend the lease agreement through March 31, 2012. The initial June 2000 agreement was subsequently amended on June 29, 2010 to extend the term of the lease to March 31, 2022, with an option to renew through March 31, 2032. The sole stockholder of Medicus Corporation is Provco Ventures I, LP, of which Dr. Caruso serves as partner and president.</w:t>
      </w:r>
    </w:p>
    <w:p>
      <w:pPr>
        <w:spacing w:after="0" w:line="62" w:lineRule="exact"/>
        <w:rPr>
          <w:rFonts w:ascii="Arial" w:cs="Arial" w:eastAsia="Arial" w:hAnsi="Arial"/>
          <w:sz w:val="18"/>
          <w:szCs w:val="18"/>
          <w:color w:val="auto"/>
        </w:rPr>
      </w:pPr>
    </w:p>
    <w:p>
      <w:pPr>
        <w:ind w:left="460" w:hanging="452"/>
        <w:spacing w:after="0"/>
        <w:tabs>
          <w:tab w:leader="none" w:pos="4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See the attached list of intercompany agreements.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Intercompany Loans</w:t>
      </w:r>
    </w:p>
    <w:p>
      <w:pPr>
        <w:spacing w:after="0" w:line="96" w:lineRule="exact"/>
        <w:rPr>
          <w:sz w:val="20"/>
          <w:szCs w:val="20"/>
          <w:color w:val="auto"/>
        </w:rPr>
      </w:pPr>
    </w:p>
    <w:p>
      <w:pPr>
        <w:ind w:left="460" w:right="20" w:hanging="452"/>
        <w:spacing w:after="0" w:line="268" w:lineRule="auto"/>
        <w:tabs>
          <w:tab w:leader="none" w:pos="4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Intercompany loans made from time to time under an Intercompany Investment and Pooling Agreement dated as of March 1, 2010 among Integra LifeSciences Shared Services (Ireland) Limited and the Pooling Participants.</w:t>
      </w:r>
    </w:p>
    <w:p>
      <w:pPr>
        <w:spacing w:after="0" w:line="5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Intercompany loans made from time to time under an Intercompany Investment and Pooling Agreement dated as of April 15, 2010 among Integra LifeSciences Corporation and the Pooling Participants.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See the attached list of other intercompany loans outstanding as of June 6, 2011.</w:t>
      </w:r>
    </w:p>
    <w:p>
      <w:pPr>
        <w:sectPr>
          <w:pgSz w:w="11900" w:h="16838" w:orient="portrait"/>
          <w:cols w:equalWidth="0" w:num="1">
            <w:col w:w="11420"/>
          </w:cols>
          <w:pgMar w:left="240" w:top="274" w:right="23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183640" cy="44577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clrChange>
                        <a:clrFrom>
                          <a:srgbClr val="FFFFFF"/>
                        </a:clrFrom>
                        <a:clrTo>
                          <a:srgbClr val="FFFFFF">
                            <a:alpha val="0"/>
                          </a:srgbClr>
                        </a:clrTo>
                      </a:clrChange>
                      <a:extLst>
                        <a:ext uri="{28A0092B-C50C-407E-A947-70E740481C1C}"/>
                      </a:extLst>
                    </a:blip>
                    <a:srcRect/>
                    <a:stretch>
                      <a:fillRect/>
                    </a:stretch>
                  </pic:blipFill>
                  <pic:spPr bwMode="auto">
                    <a:xfrm>
                      <a:off x="0" y="0"/>
                      <a:ext cx="1183640" cy="445770"/>
                    </a:xfrm>
                    <a:prstGeom prst="rect">
                      <a:avLst/>
                    </a:prstGeom>
                    <a:noFill/>
                  </pic:spPr>
                </pic:pic>
              </a:graphicData>
            </a:graphic>
          </wp:anchor>
        </w:drawing>
        <w:t>Outstanding IC Loans—Sort By Borrower Co #</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May 31, 2011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80" w:type="dxa"/>
            <w:vAlign w:val="bottom"/>
            <w:tcBorders>
              <w:top w:val="single" w:sz="8" w:color="auto"/>
              <w:left w:val="single" w:sz="8" w:color="auto"/>
            </w:tcBorders>
          </w:tcPr>
          <w:p>
            <w:pPr>
              <w:spacing w:after="0"/>
              <w:rPr>
                <w:sz w:val="12"/>
                <w:szCs w:val="12"/>
                <w:color w:val="auto"/>
              </w:rPr>
            </w:pPr>
          </w:p>
        </w:tc>
        <w:tc>
          <w:tcPr>
            <w:tcW w:w="600" w:type="dxa"/>
            <w:vAlign w:val="bottom"/>
            <w:tcBorders>
              <w:top w:val="single" w:sz="8" w:color="auto"/>
            </w:tcBorders>
          </w:tcPr>
          <w:p>
            <w:pPr>
              <w:jc w:val="right"/>
              <w:ind w:right="112"/>
              <w:spacing w:after="0" w:line="149" w:lineRule="exact"/>
              <w:rPr>
                <w:sz w:val="20"/>
                <w:szCs w:val="20"/>
                <w:color w:val="auto"/>
              </w:rPr>
            </w:pPr>
            <w:r>
              <w:rPr>
                <w:rFonts w:ascii="Arial" w:cs="Arial" w:eastAsia="Arial" w:hAnsi="Arial"/>
                <w:sz w:val="14"/>
                <w:szCs w:val="14"/>
                <w:b w:val="1"/>
                <w:bCs w:val="1"/>
                <w:color w:val="auto"/>
              </w:rPr>
              <w:t>Loan</w:t>
            </w:r>
          </w:p>
        </w:tc>
        <w:tc>
          <w:tcPr>
            <w:tcW w:w="680" w:type="dxa"/>
            <w:vAlign w:val="bottom"/>
            <w:tcBorders>
              <w:top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rPr>
              <w:t>Maturity</w:t>
            </w:r>
          </w:p>
        </w:tc>
        <w:tc>
          <w:tcPr>
            <w:tcW w:w="52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5"/>
              </w:rPr>
              <w:t>Repaid</w:t>
            </w:r>
          </w:p>
        </w:tc>
        <w:tc>
          <w:tcPr>
            <w:tcW w:w="2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ind w:left="300"/>
              <w:spacing w:after="0" w:line="149" w:lineRule="exact"/>
              <w:rPr>
                <w:sz w:val="20"/>
                <w:szCs w:val="20"/>
                <w:color w:val="auto"/>
              </w:rPr>
            </w:pPr>
            <w:r>
              <w:rPr>
                <w:rFonts w:ascii="Arial" w:cs="Arial" w:eastAsia="Arial" w:hAnsi="Arial"/>
                <w:sz w:val="14"/>
                <w:szCs w:val="14"/>
                <w:b w:val="1"/>
                <w:bCs w:val="1"/>
                <w:color w:val="auto"/>
              </w:rPr>
              <w:t>Interest</w:t>
            </w:r>
          </w:p>
        </w:tc>
        <w:tc>
          <w:tcPr>
            <w:tcW w:w="13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Ref</w:t>
            </w: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Date</w:t>
            </w: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Date</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212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Borrower</w:t>
            </w: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Co #</w:t>
            </w:r>
          </w:p>
        </w:tc>
        <w:tc>
          <w:tcPr>
            <w:tcW w:w="206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Lendor</w:t>
            </w:r>
          </w:p>
        </w:tc>
        <w:tc>
          <w:tcPr>
            <w:tcW w:w="6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Co #</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Amount</w:t>
            </w:r>
          </w:p>
        </w:tc>
        <w:tc>
          <w:tcPr>
            <w:tcW w:w="102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Rate</w:t>
            </w:r>
          </w:p>
        </w:tc>
        <w:tc>
          <w:tcPr>
            <w:tcW w:w="13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Disposition</w:t>
            </w:r>
          </w:p>
        </w:tc>
        <w:tc>
          <w:tcPr>
            <w:tcW w:w="20" w:type="dxa"/>
            <w:vAlign w:val="bottom"/>
            <w:tcBorders>
              <w:bottom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80" w:type="dxa"/>
            <w:vAlign w:val="bottom"/>
            <w:tcBorders>
              <w:left w:val="single" w:sz="8" w:color="CCEEFF"/>
            </w:tcBorders>
            <w:shd w:val="clear" w:color="auto" w:fill="CCEEFF"/>
          </w:tcPr>
          <w:p>
            <w:pPr>
              <w:spacing w:after="0" w:line="131" w:lineRule="exact"/>
              <w:rPr>
                <w:sz w:val="20"/>
                <w:szCs w:val="20"/>
                <w:color w:val="auto"/>
              </w:rPr>
            </w:pPr>
            <w:r>
              <w:rPr>
                <w:rFonts w:ascii="Arial" w:cs="Arial" w:eastAsia="Arial" w:hAnsi="Arial"/>
                <w:sz w:val="14"/>
                <w:szCs w:val="14"/>
                <w:color w:val="auto"/>
              </w:rPr>
              <w:t>H</w:t>
            </w:r>
          </w:p>
        </w:tc>
        <w:tc>
          <w:tcPr>
            <w:tcW w:w="600" w:type="dxa"/>
            <w:vAlign w:val="bottom"/>
            <w:shd w:val="clear" w:color="auto" w:fill="CCEEFF"/>
          </w:tcPr>
          <w:p>
            <w:pPr>
              <w:jc w:val="right"/>
              <w:ind w:right="12"/>
              <w:spacing w:after="0" w:line="131" w:lineRule="exact"/>
              <w:rPr>
                <w:sz w:val="20"/>
                <w:szCs w:val="20"/>
                <w:color w:val="auto"/>
              </w:rPr>
            </w:pPr>
            <w:r>
              <w:rPr>
                <w:rFonts w:ascii="Arial" w:cs="Arial" w:eastAsia="Arial" w:hAnsi="Arial"/>
                <w:sz w:val="14"/>
                <w:szCs w:val="14"/>
                <w:color w:val="auto"/>
              </w:rPr>
              <w:t>5.12.06</w:t>
            </w:r>
          </w:p>
        </w:tc>
        <w:tc>
          <w:tcPr>
            <w:tcW w:w="680" w:type="dxa"/>
            <w:vAlign w:val="bottom"/>
            <w:shd w:val="clear" w:color="auto" w:fill="CCEEFF"/>
          </w:tcPr>
          <w:p>
            <w:pPr>
              <w:jc w:val="right"/>
              <w:ind w:right="12"/>
              <w:spacing w:after="0" w:line="131" w:lineRule="exact"/>
              <w:rPr>
                <w:sz w:val="20"/>
                <w:szCs w:val="20"/>
                <w:color w:val="auto"/>
              </w:rPr>
            </w:pPr>
            <w:r>
              <w:rPr>
                <w:rFonts w:ascii="Arial" w:cs="Arial" w:eastAsia="Arial" w:hAnsi="Arial"/>
                <w:sz w:val="14"/>
                <w:szCs w:val="14"/>
                <w:color w:val="auto"/>
              </w:rPr>
              <w:t>5.12.16</w:t>
            </w:r>
          </w:p>
        </w:tc>
        <w:tc>
          <w:tcPr>
            <w:tcW w:w="520" w:type="dxa"/>
            <w:vAlign w:val="bottom"/>
            <w:shd w:val="clear" w:color="auto" w:fill="CCEEFF"/>
          </w:tcPr>
          <w:p>
            <w:pPr>
              <w:spacing w:after="0"/>
              <w:rPr>
                <w:sz w:val="11"/>
                <w:szCs w:val="11"/>
                <w:color w:val="auto"/>
              </w:rPr>
            </w:pPr>
          </w:p>
        </w:tc>
        <w:tc>
          <w:tcPr>
            <w:tcW w:w="2120" w:type="dxa"/>
            <w:vAlign w:val="bottom"/>
            <w:shd w:val="clear" w:color="auto" w:fill="CCEEFF"/>
          </w:tcPr>
          <w:p>
            <w:pPr>
              <w:ind w:left="60"/>
              <w:spacing w:after="0" w:line="131" w:lineRule="exact"/>
              <w:rPr>
                <w:sz w:val="20"/>
                <w:szCs w:val="20"/>
                <w:color w:val="auto"/>
              </w:rPr>
            </w:pPr>
            <w:r>
              <w:rPr>
                <w:rFonts w:ascii="Arial" w:cs="Arial" w:eastAsia="Arial" w:hAnsi="Arial"/>
                <w:sz w:val="14"/>
                <w:szCs w:val="14"/>
                <w:color w:val="auto"/>
              </w:rPr>
              <w:t>Integra LifeSciences Corporation</w:t>
            </w:r>
          </w:p>
        </w:tc>
        <w:tc>
          <w:tcPr>
            <w:tcW w:w="460" w:type="dxa"/>
            <w:vAlign w:val="bottom"/>
            <w:shd w:val="clear" w:color="auto" w:fill="CCEEFF"/>
          </w:tcPr>
          <w:p>
            <w:pPr>
              <w:jc w:val="right"/>
              <w:ind w:right="12"/>
              <w:spacing w:after="0" w:line="131" w:lineRule="exact"/>
              <w:rPr>
                <w:sz w:val="20"/>
                <w:szCs w:val="20"/>
                <w:color w:val="auto"/>
              </w:rPr>
            </w:pPr>
            <w:r>
              <w:rPr>
                <w:rFonts w:ascii="Arial" w:cs="Arial" w:eastAsia="Arial" w:hAnsi="Arial"/>
                <w:sz w:val="14"/>
                <w:szCs w:val="14"/>
                <w:color w:val="auto"/>
              </w:rPr>
              <w:t>1115</w:t>
            </w:r>
          </w:p>
        </w:tc>
        <w:tc>
          <w:tcPr>
            <w:tcW w:w="2060" w:type="dxa"/>
            <w:vAlign w:val="bottom"/>
            <w:shd w:val="clear" w:color="auto" w:fill="CCEEFF"/>
          </w:tcPr>
          <w:p>
            <w:pPr>
              <w:ind w:left="80"/>
              <w:spacing w:after="0" w:line="131" w:lineRule="exact"/>
              <w:rPr>
                <w:sz w:val="20"/>
                <w:szCs w:val="20"/>
                <w:color w:val="auto"/>
              </w:rPr>
            </w:pPr>
            <w:r>
              <w:rPr>
                <w:rFonts w:ascii="Arial" w:cs="Arial" w:eastAsia="Arial" w:hAnsi="Arial"/>
                <w:sz w:val="14"/>
                <w:szCs w:val="14"/>
                <w:color w:val="auto"/>
              </w:rPr>
              <w:t>Integra LifeSciences Holdings</w:t>
            </w:r>
          </w:p>
        </w:tc>
        <w:tc>
          <w:tcPr>
            <w:tcW w:w="600" w:type="dxa"/>
            <w:vAlign w:val="bottom"/>
            <w:shd w:val="clear" w:color="auto" w:fill="CCEEFF"/>
          </w:tcPr>
          <w:p>
            <w:pPr>
              <w:jc w:val="right"/>
              <w:ind w:right="112"/>
              <w:spacing w:after="0" w:line="131" w:lineRule="exact"/>
              <w:rPr>
                <w:sz w:val="20"/>
                <w:szCs w:val="20"/>
                <w:color w:val="auto"/>
              </w:rPr>
            </w:pPr>
            <w:r>
              <w:rPr>
                <w:rFonts w:ascii="Arial" w:cs="Arial" w:eastAsia="Arial" w:hAnsi="Arial"/>
                <w:sz w:val="14"/>
                <w:szCs w:val="14"/>
                <w:color w:val="auto"/>
              </w:rPr>
              <w:t>1105</w:t>
            </w:r>
          </w:p>
        </w:tc>
        <w:tc>
          <w:tcPr>
            <w:tcW w:w="540" w:type="dxa"/>
            <w:vAlign w:val="bottom"/>
            <w:shd w:val="clear" w:color="auto" w:fill="CCEEFF"/>
          </w:tcPr>
          <w:p>
            <w:pPr>
              <w:jc w:val="right"/>
              <w:ind w:right="12"/>
              <w:spacing w:after="0" w:line="131" w:lineRule="exact"/>
              <w:rPr>
                <w:sz w:val="20"/>
                <w:szCs w:val="20"/>
                <w:color w:val="auto"/>
              </w:rPr>
            </w:pPr>
            <w:r>
              <w:rPr>
                <w:rFonts w:ascii="Arial" w:cs="Arial" w:eastAsia="Arial" w:hAnsi="Arial"/>
                <w:sz w:val="14"/>
                <w:szCs w:val="14"/>
                <w:color w:val="auto"/>
              </w:rPr>
              <w:t>USD</w:t>
            </w:r>
          </w:p>
        </w:tc>
        <w:tc>
          <w:tcPr>
            <w:tcW w:w="16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w w:val="84"/>
              </w:rPr>
              <w:t>101,000,000.00</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ind w:left="60"/>
              <w:spacing w:after="0" w:line="131" w:lineRule="exact"/>
              <w:rPr>
                <w:sz w:val="20"/>
                <w:szCs w:val="20"/>
                <w:color w:val="auto"/>
              </w:rPr>
            </w:pPr>
            <w:r>
              <w:rPr>
                <w:rFonts w:ascii="Arial" w:cs="Arial" w:eastAsia="Arial" w:hAnsi="Arial"/>
                <w:sz w:val="14"/>
                <w:szCs w:val="14"/>
                <w:color w:val="auto"/>
                <w:w w:val="98"/>
              </w:rPr>
              <w:t>8.75% annually</w:t>
            </w:r>
          </w:p>
        </w:tc>
        <w:tc>
          <w:tcPr>
            <w:tcW w:w="1320" w:type="dxa"/>
            <w:vAlign w:val="bottom"/>
            <w:shd w:val="clear" w:color="auto" w:fill="CCEEFF"/>
          </w:tcPr>
          <w:p>
            <w:pPr>
              <w:ind w:left="60"/>
              <w:spacing w:after="0" w:line="131" w:lineRule="exact"/>
              <w:rPr>
                <w:sz w:val="20"/>
                <w:szCs w:val="20"/>
                <w:color w:val="auto"/>
              </w:rPr>
            </w:pPr>
            <w:r>
              <w:rPr>
                <w:rFonts w:ascii="Arial" w:cs="Arial" w:eastAsia="Arial" w:hAnsi="Arial"/>
                <w:sz w:val="14"/>
                <w:szCs w:val="14"/>
                <w:color w:val="auto"/>
              </w:rPr>
              <w:t>Purchase of Miltex</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Borders>
              <w:left w:val="single" w:sz="8" w:color="CCEEFF"/>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6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Corporation</w:t>
            </w:r>
          </w:p>
        </w:tc>
        <w:tc>
          <w:tcPr>
            <w:tcW w:w="6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32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Holdings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 w:type="dxa"/>
            <w:vAlign w:val="bottom"/>
          </w:tcPr>
          <w:p>
            <w:pPr>
              <w:spacing w:after="0" w:line="138" w:lineRule="exact"/>
              <w:rPr>
                <w:sz w:val="20"/>
                <w:szCs w:val="20"/>
                <w:color w:val="auto"/>
              </w:rPr>
            </w:pPr>
            <w:r>
              <w:rPr>
                <w:rFonts w:ascii="Arial" w:cs="Arial" w:eastAsia="Arial" w:hAnsi="Arial"/>
                <w:sz w:val="14"/>
                <w:szCs w:val="14"/>
                <w:color w:val="auto"/>
              </w:rPr>
              <w:t>I</w:t>
            </w:r>
          </w:p>
        </w:tc>
        <w:tc>
          <w:tcPr>
            <w:tcW w:w="600" w:type="dxa"/>
            <w:vAlign w:val="bottom"/>
          </w:tcPr>
          <w:p>
            <w:pPr>
              <w:jc w:val="right"/>
              <w:ind w:right="12"/>
              <w:spacing w:after="0" w:line="138" w:lineRule="exact"/>
              <w:rPr>
                <w:sz w:val="20"/>
                <w:szCs w:val="20"/>
                <w:color w:val="auto"/>
              </w:rPr>
            </w:pPr>
            <w:r>
              <w:rPr>
                <w:rFonts w:ascii="Arial" w:cs="Arial" w:eastAsia="Arial" w:hAnsi="Arial"/>
                <w:sz w:val="14"/>
                <w:szCs w:val="14"/>
                <w:color w:val="auto"/>
              </w:rPr>
              <w:t>7.05.06</w:t>
            </w:r>
          </w:p>
        </w:tc>
        <w:tc>
          <w:tcPr>
            <w:tcW w:w="680" w:type="dxa"/>
            <w:vAlign w:val="bottom"/>
          </w:tcPr>
          <w:p>
            <w:pPr>
              <w:jc w:val="right"/>
              <w:ind w:right="12"/>
              <w:spacing w:after="0" w:line="138" w:lineRule="exact"/>
              <w:rPr>
                <w:sz w:val="20"/>
                <w:szCs w:val="20"/>
                <w:color w:val="auto"/>
              </w:rPr>
            </w:pPr>
            <w:r>
              <w:rPr>
                <w:rFonts w:ascii="Arial" w:cs="Arial" w:eastAsia="Arial" w:hAnsi="Arial"/>
                <w:sz w:val="14"/>
                <w:szCs w:val="14"/>
                <w:color w:val="auto"/>
              </w:rPr>
              <w:t>7.05.11</w:t>
            </w:r>
          </w:p>
        </w:tc>
        <w:tc>
          <w:tcPr>
            <w:tcW w:w="520" w:type="dxa"/>
            <w:vAlign w:val="bottom"/>
          </w:tcPr>
          <w:p>
            <w:pPr>
              <w:spacing w:after="0"/>
              <w:rPr>
                <w:sz w:val="11"/>
                <w:szCs w:val="11"/>
                <w:color w:val="auto"/>
              </w:rPr>
            </w:pPr>
          </w:p>
        </w:tc>
        <w:tc>
          <w:tcPr>
            <w:tcW w:w="2120" w:type="dxa"/>
            <w:vAlign w:val="bottom"/>
          </w:tcPr>
          <w:p>
            <w:pPr>
              <w:ind w:left="60"/>
              <w:spacing w:after="0" w:line="138" w:lineRule="exact"/>
              <w:rPr>
                <w:sz w:val="20"/>
                <w:szCs w:val="20"/>
                <w:color w:val="auto"/>
              </w:rPr>
            </w:pPr>
            <w:r>
              <w:rPr>
                <w:rFonts w:ascii="Arial" w:cs="Arial" w:eastAsia="Arial" w:hAnsi="Arial"/>
                <w:sz w:val="14"/>
                <w:szCs w:val="14"/>
                <w:color w:val="auto"/>
              </w:rPr>
              <w:t>Integra LifeSciences Corporation</w:t>
            </w:r>
          </w:p>
        </w:tc>
        <w:tc>
          <w:tcPr>
            <w:tcW w:w="460" w:type="dxa"/>
            <w:vAlign w:val="bottom"/>
          </w:tcPr>
          <w:p>
            <w:pPr>
              <w:jc w:val="right"/>
              <w:ind w:right="12"/>
              <w:spacing w:after="0" w:line="138" w:lineRule="exact"/>
              <w:rPr>
                <w:sz w:val="20"/>
                <w:szCs w:val="20"/>
                <w:color w:val="auto"/>
              </w:rPr>
            </w:pPr>
            <w:r>
              <w:rPr>
                <w:rFonts w:ascii="Arial" w:cs="Arial" w:eastAsia="Arial" w:hAnsi="Arial"/>
                <w:sz w:val="14"/>
                <w:szCs w:val="14"/>
                <w:color w:val="auto"/>
              </w:rPr>
              <w:t>1115</w:t>
            </w:r>
          </w:p>
        </w:tc>
        <w:tc>
          <w:tcPr>
            <w:tcW w:w="2060" w:type="dxa"/>
            <w:vAlign w:val="bottom"/>
          </w:tcPr>
          <w:p>
            <w:pPr>
              <w:ind w:left="80"/>
              <w:spacing w:after="0" w:line="138" w:lineRule="exact"/>
              <w:rPr>
                <w:sz w:val="20"/>
                <w:szCs w:val="20"/>
                <w:color w:val="auto"/>
              </w:rPr>
            </w:pPr>
            <w:r>
              <w:rPr>
                <w:rFonts w:ascii="Arial" w:cs="Arial" w:eastAsia="Arial" w:hAnsi="Arial"/>
                <w:sz w:val="14"/>
                <w:szCs w:val="14"/>
                <w:color w:val="auto"/>
              </w:rPr>
              <w:t>Integra LifeSciences Holdings</w:t>
            </w:r>
          </w:p>
        </w:tc>
        <w:tc>
          <w:tcPr>
            <w:tcW w:w="600" w:type="dxa"/>
            <w:vAlign w:val="bottom"/>
          </w:tcPr>
          <w:p>
            <w:pPr>
              <w:jc w:val="right"/>
              <w:ind w:right="112"/>
              <w:spacing w:after="0" w:line="138" w:lineRule="exact"/>
              <w:rPr>
                <w:sz w:val="20"/>
                <w:szCs w:val="20"/>
                <w:color w:val="auto"/>
              </w:rPr>
            </w:pPr>
            <w:r>
              <w:rPr>
                <w:rFonts w:ascii="Arial" w:cs="Arial" w:eastAsia="Arial" w:hAnsi="Arial"/>
                <w:sz w:val="14"/>
                <w:szCs w:val="14"/>
                <w:color w:val="auto"/>
              </w:rPr>
              <w:t>1105</w:t>
            </w:r>
          </w:p>
        </w:tc>
        <w:tc>
          <w:tcPr>
            <w:tcW w:w="540" w:type="dxa"/>
            <w:vAlign w:val="bottom"/>
          </w:tcPr>
          <w:p>
            <w:pPr>
              <w:jc w:val="right"/>
              <w:ind w:right="12"/>
              <w:spacing w:after="0" w:line="138" w:lineRule="exact"/>
              <w:rPr>
                <w:sz w:val="20"/>
                <w:szCs w:val="20"/>
                <w:color w:val="auto"/>
              </w:rPr>
            </w:pPr>
            <w:r>
              <w:rPr>
                <w:rFonts w:ascii="Arial" w:cs="Arial" w:eastAsia="Arial" w:hAnsi="Arial"/>
                <w:sz w:val="14"/>
                <w:szCs w:val="14"/>
                <w:color w:val="auto"/>
              </w:rPr>
              <w:t>USD</w:t>
            </w:r>
          </w:p>
        </w:tc>
        <w:tc>
          <w:tcPr>
            <w:tcW w:w="1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38" w:lineRule="exact"/>
              <w:rPr>
                <w:sz w:val="20"/>
                <w:szCs w:val="20"/>
                <w:color w:val="auto"/>
              </w:rPr>
            </w:pPr>
            <w:r>
              <w:rPr>
                <w:rFonts w:ascii="Arial" w:cs="Arial" w:eastAsia="Arial" w:hAnsi="Arial"/>
                <w:sz w:val="14"/>
                <w:szCs w:val="14"/>
                <w:color w:val="auto"/>
              </w:rPr>
              <w:t>6,000,000.00</w:t>
            </w:r>
          </w:p>
        </w:tc>
        <w:tc>
          <w:tcPr>
            <w:tcW w:w="100" w:type="dxa"/>
            <w:vAlign w:val="bottom"/>
          </w:tcPr>
          <w:p>
            <w:pPr>
              <w:spacing w:after="0"/>
              <w:rPr>
                <w:sz w:val="11"/>
                <w:szCs w:val="11"/>
                <w:color w:val="auto"/>
              </w:rPr>
            </w:pPr>
          </w:p>
        </w:tc>
        <w:tc>
          <w:tcPr>
            <w:tcW w:w="1020" w:type="dxa"/>
            <w:vAlign w:val="bottom"/>
          </w:tcPr>
          <w:p>
            <w:pPr>
              <w:ind w:left="60"/>
              <w:spacing w:after="0" w:line="138" w:lineRule="exact"/>
              <w:rPr>
                <w:sz w:val="20"/>
                <w:szCs w:val="20"/>
                <w:color w:val="auto"/>
              </w:rPr>
            </w:pPr>
            <w:r>
              <w:rPr>
                <w:rFonts w:ascii="Arial" w:cs="Arial" w:eastAsia="Arial" w:hAnsi="Arial"/>
                <w:sz w:val="14"/>
                <w:szCs w:val="14"/>
                <w:color w:val="auto"/>
              </w:rPr>
              <w:t>7.5% annually</w:t>
            </w:r>
          </w:p>
        </w:tc>
        <w:tc>
          <w:tcPr>
            <w:tcW w:w="1320" w:type="dxa"/>
            <w:vAlign w:val="bottom"/>
          </w:tcPr>
          <w:p>
            <w:pPr>
              <w:ind w:left="60"/>
              <w:spacing w:after="0" w:line="138" w:lineRule="exact"/>
              <w:rPr>
                <w:sz w:val="20"/>
                <w:szCs w:val="20"/>
                <w:color w:val="auto"/>
              </w:rPr>
            </w:pPr>
            <w:r>
              <w:rPr>
                <w:rFonts w:ascii="Arial" w:cs="Arial" w:eastAsia="Arial" w:hAnsi="Arial"/>
                <w:sz w:val="14"/>
                <w:szCs w:val="14"/>
                <w:color w:val="auto"/>
              </w:rPr>
              <w:t>Interest due at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60" w:type="dxa"/>
            <w:vAlign w:val="bottom"/>
          </w:tcPr>
          <w:p>
            <w:pPr>
              <w:ind w:left="80"/>
              <w:spacing w:after="0" w:line="159" w:lineRule="exact"/>
              <w:rPr>
                <w:sz w:val="20"/>
                <w:szCs w:val="20"/>
                <w:color w:val="auto"/>
              </w:rPr>
            </w:pPr>
            <w:r>
              <w:rPr>
                <w:rFonts w:ascii="Arial" w:cs="Arial" w:eastAsia="Arial" w:hAnsi="Arial"/>
                <w:sz w:val="14"/>
                <w:szCs w:val="14"/>
                <w:color w:val="auto"/>
              </w:rPr>
              <w:t>Corporation</w:t>
            </w: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20" w:type="dxa"/>
            <w:vAlign w:val="bottom"/>
          </w:tcPr>
          <w:p>
            <w:pPr>
              <w:ind w:left="60"/>
              <w:spacing w:after="0" w:line="159" w:lineRule="exact"/>
              <w:rPr>
                <w:sz w:val="20"/>
                <w:szCs w:val="20"/>
                <w:color w:val="auto"/>
              </w:rPr>
            </w:pPr>
            <w:r>
              <w:rPr>
                <w:rFonts w:ascii="Arial" w:cs="Arial" w:eastAsia="Arial" w:hAnsi="Arial"/>
                <w:sz w:val="14"/>
                <w:szCs w:val="14"/>
                <w:color w:val="auto"/>
              </w:rPr>
              <w:t>Maturity.</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 w:type="dxa"/>
            <w:vAlign w:val="bottom"/>
            <w:tcBorders>
              <w:lef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L</w:t>
            </w:r>
          </w:p>
        </w:tc>
        <w:tc>
          <w:tcPr>
            <w:tcW w:w="60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7.31.06</w:t>
            </w:r>
          </w:p>
        </w:tc>
        <w:tc>
          <w:tcPr>
            <w:tcW w:w="6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7.31.11</w:t>
            </w:r>
          </w:p>
        </w:tc>
        <w:tc>
          <w:tcPr>
            <w:tcW w:w="520" w:type="dxa"/>
            <w:vAlign w:val="bottom"/>
            <w:shd w:val="clear" w:color="auto" w:fill="CCEEFF"/>
          </w:tcPr>
          <w:p>
            <w:pPr>
              <w:spacing w:after="0"/>
              <w:rPr>
                <w:sz w:val="11"/>
                <w:szCs w:val="11"/>
                <w:color w:val="auto"/>
              </w:rPr>
            </w:pPr>
          </w:p>
        </w:tc>
        <w:tc>
          <w:tcPr>
            <w:tcW w:w="21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Integra LifeSciences Corporation</w:t>
            </w:r>
          </w:p>
        </w:tc>
        <w:tc>
          <w:tcPr>
            <w:tcW w:w="46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1115</w:t>
            </w:r>
          </w:p>
        </w:tc>
        <w:tc>
          <w:tcPr>
            <w:tcW w:w="206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Integra LifeSciences Holdings</w:t>
            </w:r>
          </w:p>
        </w:tc>
        <w:tc>
          <w:tcPr>
            <w:tcW w:w="600" w:type="dxa"/>
            <w:vAlign w:val="bottom"/>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rPr>
              <w:t>1105</w:t>
            </w:r>
          </w:p>
        </w:tc>
        <w:tc>
          <w:tcPr>
            <w:tcW w:w="54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USD</w:t>
            </w:r>
          </w:p>
        </w:tc>
        <w:tc>
          <w:tcPr>
            <w:tcW w:w="1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1"/>
              </w:rPr>
              <w:t>39,515,000.00</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7.5% annually</w:t>
            </w:r>
          </w:p>
        </w:tc>
        <w:tc>
          <w:tcPr>
            <w:tcW w:w="13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w w:val="93"/>
              </w:rPr>
              <w:t>Purchase of Kintekos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Borders>
              <w:left w:val="single" w:sz="8" w:color="CCEEFF"/>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6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Corporation</w:t>
            </w:r>
          </w:p>
        </w:tc>
        <w:tc>
          <w:tcPr>
            <w:tcW w:w="6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32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Medical, Inc.</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 w:type="dxa"/>
            <w:vAlign w:val="bottom"/>
          </w:tcPr>
          <w:p>
            <w:pPr>
              <w:spacing w:after="0" w:line="138" w:lineRule="exact"/>
              <w:rPr>
                <w:sz w:val="20"/>
                <w:szCs w:val="20"/>
                <w:color w:val="auto"/>
              </w:rPr>
            </w:pPr>
            <w:r>
              <w:rPr>
                <w:rFonts w:ascii="Arial" w:cs="Arial" w:eastAsia="Arial" w:hAnsi="Arial"/>
                <w:sz w:val="14"/>
                <w:szCs w:val="14"/>
                <w:color w:val="auto"/>
              </w:rPr>
              <w:t>P</w:t>
            </w:r>
          </w:p>
        </w:tc>
        <w:tc>
          <w:tcPr>
            <w:tcW w:w="60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1"/>
              </w:rPr>
              <w:t>12.31.06</w:t>
            </w:r>
          </w:p>
        </w:tc>
        <w:tc>
          <w:tcPr>
            <w:tcW w:w="680" w:type="dxa"/>
            <w:vAlign w:val="bottom"/>
          </w:tcPr>
          <w:p>
            <w:pPr>
              <w:jc w:val="right"/>
              <w:ind w:right="12"/>
              <w:spacing w:after="0" w:line="138" w:lineRule="exact"/>
              <w:rPr>
                <w:sz w:val="20"/>
                <w:szCs w:val="20"/>
                <w:color w:val="auto"/>
              </w:rPr>
            </w:pPr>
            <w:r>
              <w:rPr>
                <w:rFonts w:ascii="Arial" w:cs="Arial" w:eastAsia="Arial" w:hAnsi="Arial"/>
                <w:sz w:val="14"/>
                <w:szCs w:val="14"/>
                <w:color w:val="auto"/>
              </w:rPr>
              <w:t>12.31.11</w:t>
            </w:r>
          </w:p>
        </w:tc>
        <w:tc>
          <w:tcPr>
            <w:tcW w:w="520" w:type="dxa"/>
            <w:vAlign w:val="bottom"/>
          </w:tcPr>
          <w:p>
            <w:pPr>
              <w:spacing w:after="0"/>
              <w:rPr>
                <w:sz w:val="11"/>
                <w:szCs w:val="11"/>
                <w:color w:val="auto"/>
              </w:rPr>
            </w:pPr>
          </w:p>
        </w:tc>
        <w:tc>
          <w:tcPr>
            <w:tcW w:w="2120" w:type="dxa"/>
            <w:vAlign w:val="bottom"/>
          </w:tcPr>
          <w:p>
            <w:pPr>
              <w:ind w:left="60"/>
              <w:spacing w:after="0" w:line="138" w:lineRule="exact"/>
              <w:rPr>
                <w:sz w:val="20"/>
                <w:szCs w:val="20"/>
                <w:color w:val="auto"/>
              </w:rPr>
            </w:pPr>
            <w:r>
              <w:rPr>
                <w:rFonts w:ascii="Arial" w:cs="Arial" w:eastAsia="Arial" w:hAnsi="Arial"/>
                <w:sz w:val="14"/>
                <w:szCs w:val="14"/>
                <w:color w:val="auto"/>
              </w:rPr>
              <w:t>Integra LifeSciences Corporation</w:t>
            </w:r>
          </w:p>
        </w:tc>
        <w:tc>
          <w:tcPr>
            <w:tcW w:w="460" w:type="dxa"/>
            <w:vAlign w:val="bottom"/>
          </w:tcPr>
          <w:p>
            <w:pPr>
              <w:jc w:val="right"/>
              <w:ind w:right="12"/>
              <w:spacing w:after="0" w:line="138" w:lineRule="exact"/>
              <w:rPr>
                <w:sz w:val="20"/>
                <w:szCs w:val="20"/>
                <w:color w:val="auto"/>
              </w:rPr>
            </w:pPr>
            <w:r>
              <w:rPr>
                <w:rFonts w:ascii="Arial" w:cs="Arial" w:eastAsia="Arial" w:hAnsi="Arial"/>
                <w:sz w:val="14"/>
                <w:szCs w:val="14"/>
                <w:color w:val="auto"/>
              </w:rPr>
              <w:t>1115</w:t>
            </w:r>
          </w:p>
        </w:tc>
        <w:tc>
          <w:tcPr>
            <w:tcW w:w="2060" w:type="dxa"/>
            <w:vAlign w:val="bottom"/>
          </w:tcPr>
          <w:p>
            <w:pPr>
              <w:ind w:left="80"/>
              <w:spacing w:after="0" w:line="138" w:lineRule="exact"/>
              <w:rPr>
                <w:sz w:val="20"/>
                <w:szCs w:val="20"/>
                <w:color w:val="auto"/>
              </w:rPr>
            </w:pPr>
            <w:r>
              <w:rPr>
                <w:rFonts w:ascii="Arial" w:cs="Arial" w:eastAsia="Arial" w:hAnsi="Arial"/>
                <w:sz w:val="14"/>
                <w:szCs w:val="14"/>
                <w:color w:val="auto"/>
              </w:rPr>
              <w:t>Integra LifeSciences Holdings</w:t>
            </w:r>
          </w:p>
        </w:tc>
        <w:tc>
          <w:tcPr>
            <w:tcW w:w="600" w:type="dxa"/>
            <w:vAlign w:val="bottom"/>
          </w:tcPr>
          <w:p>
            <w:pPr>
              <w:jc w:val="right"/>
              <w:ind w:right="112"/>
              <w:spacing w:after="0" w:line="138" w:lineRule="exact"/>
              <w:rPr>
                <w:sz w:val="20"/>
                <w:szCs w:val="20"/>
                <w:color w:val="auto"/>
              </w:rPr>
            </w:pPr>
            <w:r>
              <w:rPr>
                <w:rFonts w:ascii="Arial" w:cs="Arial" w:eastAsia="Arial" w:hAnsi="Arial"/>
                <w:sz w:val="14"/>
                <w:szCs w:val="14"/>
                <w:color w:val="auto"/>
              </w:rPr>
              <w:t>1105</w:t>
            </w:r>
          </w:p>
        </w:tc>
        <w:tc>
          <w:tcPr>
            <w:tcW w:w="540" w:type="dxa"/>
            <w:vAlign w:val="bottom"/>
          </w:tcPr>
          <w:p>
            <w:pPr>
              <w:jc w:val="right"/>
              <w:ind w:right="12"/>
              <w:spacing w:after="0" w:line="138" w:lineRule="exact"/>
              <w:rPr>
                <w:sz w:val="20"/>
                <w:szCs w:val="20"/>
                <w:color w:val="auto"/>
              </w:rPr>
            </w:pPr>
            <w:r>
              <w:rPr>
                <w:rFonts w:ascii="Arial" w:cs="Arial" w:eastAsia="Arial" w:hAnsi="Arial"/>
                <w:sz w:val="14"/>
                <w:szCs w:val="14"/>
                <w:color w:val="auto"/>
              </w:rPr>
              <w:t>USD</w:t>
            </w:r>
          </w:p>
        </w:tc>
        <w:tc>
          <w:tcPr>
            <w:tcW w:w="1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38" w:lineRule="exact"/>
              <w:rPr>
                <w:sz w:val="20"/>
                <w:szCs w:val="20"/>
                <w:color w:val="auto"/>
              </w:rPr>
            </w:pPr>
            <w:r>
              <w:rPr>
                <w:rFonts w:ascii="Arial" w:cs="Arial" w:eastAsia="Arial" w:hAnsi="Arial"/>
                <w:sz w:val="14"/>
                <w:szCs w:val="14"/>
                <w:color w:val="auto"/>
                <w:w w:val="91"/>
              </w:rPr>
              <w:t>48,943,866.58</w:t>
            </w:r>
          </w:p>
        </w:tc>
        <w:tc>
          <w:tcPr>
            <w:tcW w:w="100" w:type="dxa"/>
            <w:vAlign w:val="bottom"/>
          </w:tcPr>
          <w:p>
            <w:pPr>
              <w:spacing w:after="0"/>
              <w:rPr>
                <w:sz w:val="11"/>
                <w:szCs w:val="11"/>
                <w:color w:val="auto"/>
              </w:rPr>
            </w:pPr>
          </w:p>
        </w:tc>
        <w:tc>
          <w:tcPr>
            <w:tcW w:w="1020" w:type="dxa"/>
            <w:vAlign w:val="bottom"/>
          </w:tcPr>
          <w:p>
            <w:pPr>
              <w:ind w:left="60"/>
              <w:spacing w:after="0" w:line="138" w:lineRule="exact"/>
              <w:rPr>
                <w:sz w:val="20"/>
                <w:szCs w:val="20"/>
                <w:color w:val="auto"/>
              </w:rPr>
            </w:pPr>
            <w:r>
              <w:rPr>
                <w:rFonts w:ascii="Arial" w:cs="Arial" w:eastAsia="Arial" w:hAnsi="Arial"/>
                <w:sz w:val="14"/>
                <w:szCs w:val="14"/>
                <w:color w:val="auto"/>
              </w:rPr>
              <w:t>7% annually</w:t>
            </w:r>
          </w:p>
        </w:tc>
        <w:tc>
          <w:tcPr>
            <w:tcW w:w="1320" w:type="dxa"/>
            <w:vAlign w:val="bottom"/>
          </w:tcPr>
          <w:p>
            <w:pPr>
              <w:ind w:left="60"/>
              <w:spacing w:after="0" w:line="138" w:lineRule="exact"/>
              <w:rPr>
                <w:sz w:val="20"/>
                <w:szCs w:val="20"/>
                <w:color w:val="auto"/>
              </w:rPr>
            </w:pPr>
            <w:r>
              <w:rPr>
                <w:rFonts w:ascii="Arial" w:cs="Arial" w:eastAsia="Arial" w:hAnsi="Arial"/>
                <w:sz w:val="14"/>
                <w:szCs w:val="14"/>
                <w:color w:val="auto"/>
              </w:rPr>
              <w:t>Interest due at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60" w:type="dxa"/>
            <w:vAlign w:val="bottom"/>
          </w:tcPr>
          <w:p>
            <w:pPr>
              <w:ind w:left="80"/>
              <w:spacing w:after="0" w:line="159" w:lineRule="exact"/>
              <w:rPr>
                <w:sz w:val="20"/>
                <w:szCs w:val="20"/>
                <w:color w:val="auto"/>
              </w:rPr>
            </w:pPr>
            <w:r>
              <w:rPr>
                <w:rFonts w:ascii="Arial" w:cs="Arial" w:eastAsia="Arial" w:hAnsi="Arial"/>
                <w:sz w:val="14"/>
                <w:szCs w:val="14"/>
                <w:color w:val="auto"/>
              </w:rPr>
              <w:t>Corporation</w:t>
            </w: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20" w:type="dxa"/>
            <w:vAlign w:val="bottom"/>
          </w:tcPr>
          <w:p>
            <w:pPr>
              <w:ind w:left="60"/>
              <w:spacing w:after="0" w:line="159" w:lineRule="exact"/>
              <w:rPr>
                <w:sz w:val="20"/>
                <w:szCs w:val="20"/>
                <w:color w:val="auto"/>
              </w:rPr>
            </w:pPr>
            <w:r>
              <w:rPr>
                <w:rFonts w:ascii="Arial" w:cs="Arial" w:eastAsia="Arial" w:hAnsi="Arial"/>
                <w:sz w:val="14"/>
                <w:szCs w:val="14"/>
                <w:color w:val="auto"/>
              </w:rPr>
              <w:t>Maturity.</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 w:type="dxa"/>
            <w:vAlign w:val="bottom"/>
            <w:tcBorders>
              <w:lef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W</w:t>
            </w:r>
          </w:p>
        </w:tc>
        <w:tc>
          <w:tcPr>
            <w:tcW w:w="60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1"/>
              </w:rPr>
              <w:t>05.07.07</w:t>
            </w:r>
          </w:p>
        </w:tc>
        <w:tc>
          <w:tcPr>
            <w:tcW w:w="6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05.07.12</w:t>
            </w:r>
          </w:p>
        </w:tc>
        <w:tc>
          <w:tcPr>
            <w:tcW w:w="520" w:type="dxa"/>
            <w:vAlign w:val="bottom"/>
            <w:shd w:val="clear" w:color="auto" w:fill="CCEEFF"/>
          </w:tcPr>
          <w:p>
            <w:pPr>
              <w:spacing w:after="0"/>
              <w:rPr>
                <w:sz w:val="11"/>
                <w:szCs w:val="11"/>
                <w:color w:val="auto"/>
              </w:rPr>
            </w:pPr>
          </w:p>
        </w:tc>
        <w:tc>
          <w:tcPr>
            <w:tcW w:w="21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Integra LifeSciences Corporation</w:t>
            </w:r>
          </w:p>
        </w:tc>
        <w:tc>
          <w:tcPr>
            <w:tcW w:w="46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1115</w:t>
            </w:r>
          </w:p>
        </w:tc>
        <w:tc>
          <w:tcPr>
            <w:tcW w:w="206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Integra LifeSciences Holdings</w:t>
            </w:r>
          </w:p>
        </w:tc>
        <w:tc>
          <w:tcPr>
            <w:tcW w:w="600" w:type="dxa"/>
            <w:vAlign w:val="bottom"/>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rPr>
              <w:t>1105</w:t>
            </w:r>
          </w:p>
        </w:tc>
        <w:tc>
          <w:tcPr>
            <w:tcW w:w="54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USD</w:t>
            </w:r>
          </w:p>
        </w:tc>
        <w:tc>
          <w:tcPr>
            <w:tcW w:w="1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1"/>
              </w:rPr>
              <w:t>30,000,000.00</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7% annually</w:t>
            </w:r>
          </w:p>
        </w:tc>
        <w:tc>
          <w:tcPr>
            <w:tcW w:w="13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Interest due at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Borders>
              <w:left w:val="single" w:sz="8" w:color="CCEEFF"/>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6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Corporation</w:t>
            </w:r>
          </w:p>
        </w:tc>
        <w:tc>
          <w:tcPr>
            <w:tcW w:w="6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32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Maturity.</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 w:type="dxa"/>
            <w:vAlign w:val="bottom"/>
          </w:tcPr>
          <w:p>
            <w:pPr>
              <w:spacing w:after="0" w:line="138" w:lineRule="exact"/>
              <w:rPr>
                <w:sz w:val="20"/>
                <w:szCs w:val="20"/>
                <w:color w:val="auto"/>
              </w:rPr>
            </w:pPr>
            <w:r>
              <w:rPr>
                <w:rFonts w:ascii="Arial" w:cs="Arial" w:eastAsia="Arial" w:hAnsi="Arial"/>
                <w:sz w:val="14"/>
                <w:szCs w:val="14"/>
                <w:color w:val="auto"/>
              </w:rPr>
              <w:t>X</w:t>
            </w:r>
          </w:p>
        </w:tc>
        <w:tc>
          <w:tcPr>
            <w:tcW w:w="60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1"/>
              </w:rPr>
              <w:t>05.11.07</w:t>
            </w:r>
          </w:p>
        </w:tc>
        <w:tc>
          <w:tcPr>
            <w:tcW w:w="680" w:type="dxa"/>
            <w:vAlign w:val="bottom"/>
          </w:tcPr>
          <w:p>
            <w:pPr>
              <w:jc w:val="right"/>
              <w:ind w:right="12"/>
              <w:spacing w:after="0" w:line="138" w:lineRule="exact"/>
              <w:rPr>
                <w:sz w:val="20"/>
                <w:szCs w:val="20"/>
                <w:color w:val="auto"/>
              </w:rPr>
            </w:pPr>
            <w:r>
              <w:rPr>
                <w:rFonts w:ascii="Arial" w:cs="Arial" w:eastAsia="Arial" w:hAnsi="Arial"/>
                <w:sz w:val="14"/>
                <w:szCs w:val="14"/>
                <w:color w:val="auto"/>
              </w:rPr>
              <w:t>05.11.12</w:t>
            </w:r>
          </w:p>
        </w:tc>
        <w:tc>
          <w:tcPr>
            <w:tcW w:w="520" w:type="dxa"/>
            <w:vAlign w:val="bottom"/>
          </w:tcPr>
          <w:p>
            <w:pPr>
              <w:spacing w:after="0"/>
              <w:rPr>
                <w:sz w:val="11"/>
                <w:szCs w:val="11"/>
                <w:color w:val="auto"/>
              </w:rPr>
            </w:pPr>
          </w:p>
        </w:tc>
        <w:tc>
          <w:tcPr>
            <w:tcW w:w="2120" w:type="dxa"/>
            <w:vAlign w:val="bottom"/>
          </w:tcPr>
          <w:p>
            <w:pPr>
              <w:ind w:left="60"/>
              <w:spacing w:after="0" w:line="138" w:lineRule="exact"/>
              <w:rPr>
                <w:sz w:val="20"/>
                <w:szCs w:val="20"/>
                <w:color w:val="auto"/>
              </w:rPr>
            </w:pPr>
            <w:r>
              <w:rPr>
                <w:rFonts w:ascii="Arial" w:cs="Arial" w:eastAsia="Arial" w:hAnsi="Arial"/>
                <w:sz w:val="14"/>
                <w:szCs w:val="14"/>
                <w:color w:val="auto"/>
              </w:rPr>
              <w:t>Integra LifeSciences Corporation</w:t>
            </w:r>
          </w:p>
        </w:tc>
        <w:tc>
          <w:tcPr>
            <w:tcW w:w="460" w:type="dxa"/>
            <w:vAlign w:val="bottom"/>
          </w:tcPr>
          <w:p>
            <w:pPr>
              <w:jc w:val="right"/>
              <w:ind w:right="12"/>
              <w:spacing w:after="0" w:line="138" w:lineRule="exact"/>
              <w:rPr>
                <w:sz w:val="20"/>
                <w:szCs w:val="20"/>
                <w:color w:val="auto"/>
              </w:rPr>
            </w:pPr>
            <w:r>
              <w:rPr>
                <w:rFonts w:ascii="Arial" w:cs="Arial" w:eastAsia="Arial" w:hAnsi="Arial"/>
                <w:sz w:val="14"/>
                <w:szCs w:val="14"/>
                <w:color w:val="auto"/>
              </w:rPr>
              <w:t>1115</w:t>
            </w:r>
          </w:p>
        </w:tc>
        <w:tc>
          <w:tcPr>
            <w:tcW w:w="2060" w:type="dxa"/>
            <w:vAlign w:val="bottom"/>
          </w:tcPr>
          <w:p>
            <w:pPr>
              <w:ind w:left="80"/>
              <w:spacing w:after="0" w:line="138" w:lineRule="exact"/>
              <w:rPr>
                <w:sz w:val="20"/>
                <w:szCs w:val="20"/>
                <w:color w:val="auto"/>
              </w:rPr>
            </w:pPr>
            <w:r>
              <w:rPr>
                <w:rFonts w:ascii="Arial" w:cs="Arial" w:eastAsia="Arial" w:hAnsi="Arial"/>
                <w:sz w:val="14"/>
                <w:szCs w:val="14"/>
                <w:color w:val="auto"/>
              </w:rPr>
              <w:t>Integra LifeSciences Holdings</w:t>
            </w:r>
          </w:p>
        </w:tc>
        <w:tc>
          <w:tcPr>
            <w:tcW w:w="600" w:type="dxa"/>
            <w:vAlign w:val="bottom"/>
          </w:tcPr>
          <w:p>
            <w:pPr>
              <w:jc w:val="right"/>
              <w:ind w:right="112"/>
              <w:spacing w:after="0" w:line="138" w:lineRule="exact"/>
              <w:rPr>
                <w:sz w:val="20"/>
                <w:szCs w:val="20"/>
                <w:color w:val="auto"/>
              </w:rPr>
            </w:pPr>
            <w:r>
              <w:rPr>
                <w:rFonts w:ascii="Arial" w:cs="Arial" w:eastAsia="Arial" w:hAnsi="Arial"/>
                <w:sz w:val="14"/>
                <w:szCs w:val="14"/>
                <w:color w:val="auto"/>
              </w:rPr>
              <w:t>1105</w:t>
            </w:r>
          </w:p>
        </w:tc>
        <w:tc>
          <w:tcPr>
            <w:tcW w:w="540" w:type="dxa"/>
            <w:vAlign w:val="bottom"/>
          </w:tcPr>
          <w:p>
            <w:pPr>
              <w:jc w:val="right"/>
              <w:ind w:right="12"/>
              <w:spacing w:after="0" w:line="138" w:lineRule="exact"/>
              <w:rPr>
                <w:sz w:val="20"/>
                <w:szCs w:val="20"/>
                <w:color w:val="auto"/>
              </w:rPr>
            </w:pPr>
            <w:r>
              <w:rPr>
                <w:rFonts w:ascii="Arial" w:cs="Arial" w:eastAsia="Arial" w:hAnsi="Arial"/>
                <w:sz w:val="14"/>
                <w:szCs w:val="14"/>
                <w:color w:val="auto"/>
              </w:rPr>
              <w:t>USD</w:t>
            </w:r>
          </w:p>
        </w:tc>
        <w:tc>
          <w:tcPr>
            <w:tcW w:w="1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38" w:lineRule="exact"/>
              <w:rPr>
                <w:sz w:val="20"/>
                <w:szCs w:val="20"/>
                <w:color w:val="auto"/>
              </w:rPr>
            </w:pPr>
            <w:r>
              <w:rPr>
                <w:rFonts w:ascii="Arial" w:cs="Arial" w:eastAsia="Arial" w:hAnsi="Arial"/>
                <w:sz w:val="14"/>
                <w:szCs w:val="14"/>
                <w:color w:val="auto"/>
              </w:rPr>
              <w:t>4,000,000.00</w:t>
            </w:r>
          </w:p>
        </w:tc>
        <w:tc>
          <w:tcPr>
            <w:tcW w:w="100" w:type="dxa"/>
            <w:vAlign w:val="bottom"/>
          </w:tcPr>
          <w:p>
            <w:pPr>
              <w:spacing w:after="0"/>
              <w:rPr>
                <w:sz w:val="11"/>
                <w:szCs w:val="11"/>
                <w:color w:val="auto"/>
              </w:rPr>
            </w:pPr>
          </w:p>
        </w:tc>
        <w:tc>
          <w:tcPr>
            <w:tcW w:w="1020" w:type="dxa"/>
            <w:vAlign w:val="bottom"/>
          </w:tcPr>
          <w:p>
            <w:pPr>
              <w:ind w:left="60"/>
              <w:spacing w:after="0" w:line="138" w:lineRule="exact"/>
              <w:rPr>
                <w:sz w:val="20"/>
                <w:szCs w:val="20"/>
                <w:color w:val="auto"/>
              </w:rPr>
            </w:pPr>
            <w:r>
              <w:rPr>
                <w:rFonts w:ascii="Arial" w:cs="Arial" w:eastAsia="Arial" w:hAnsi="Arial"/>
                <w:sz w:val="14"/>
                <w:szCs w:val="14"/>
                <w:color w:val="auto"/>
              </w:rPr>
              <w:t>7% annually</w:t>
            </w:r>
          </w:p>
        </w:tc>
        <w:tc>
          <w:tcPr>
            <w:tcW w:w="1320" w:type="dxa"/>
            <w:vAlign w:val="bottom"/>
          </w:tcPr>
          <w:p>
            <w:pPr>
              <w:ind w:left="60"/>
              <w:spacing w:after="0" w:line="138" w:lineRule="exact"/>
              <w:rPr>
                <w:sz w:val="20"/>
                <w:szCs w:val="20"/>
                <w:color w:val="auto"/>
              </w:rPr>
            </w:pPr>
            <w:r>
              <w:rPr>
                <w:rFonts w:ascii="Arial" w:cs="Arial" w:eastAsia="Arial" w:hAnsi="Arial"/>
                <w:sz w:val="14"/>
                <w:szCs w:val="14"/>
                <w:color w:val="auto"/>
              </w:rPr>
              <w:t>Interest due at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60" w:type="dxa"/>
            <w:vAlign w:val="bottom"/>
          </w:tcPr>
          <w:p>
            <w:pPr>
              <w:ind w:left="80"/>
              <w:spacing w:after="0" w:line="159" w:lineRule="exact"/>
              <w:rPr>
                <w:sz w:val="20"/>
                <w:szCs w:val="20"/>
                <w:color w:val="auto"/>
              </w:rPr>
            </w:pPr>
            <w:r>
              <w:rPr>
                <w:rFonts w:ascii="Arial" w:cs="Arial" w:eastAsia="Arial" w:hAnsi="Arial"/>
                <w:sz w:val="14"/>
                <w:szCs w:val="14"/>
                <w:color w:val="auto"/>
              </w:rPr>
              <w:t>Corporation</w:t>
            </w: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20" w:type="dxa"/>
            <w:vAlign w:val="bottom"/>
          </w:tcPr>
          <w:p>
            <w:pPr>
              <w:ind w:left="60"/>
              <w:spacing w:after="0" w:line="159" w:lineRule="exact"/>
              <w:rPr>
                <w:sz w:val="20"/>
                <w:szCs w:val="20"/>
                <w:color w:val="auto"/>
              </w:rPr>
            </w:pPr>
            <w:r>
              <w:rPr>
                <w:rFonts w:ascii="Arial" w:cs="Arial" w:eastAsia="Arial" w:hAnsi="Arial"/>
                <w:sz w:val="14"/>
                <w:szCs w:val="14"/>
                <w:color w:val="auto"/>
              </w:rPr>
              <w:t>Maturity.</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 w:type="dxa"/>
            <w:vAlign w:val="bottom"/>
            <w:tcBorders>
              <w:lef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AG</w:t>
            </w:r>
          </w:p>
        </w:tc>
        <w:tc>
          <w:tcPr>
            <w:tcW w:w="60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1"/>
              </w:rPr>
              <w:t>12.28.07</w:t>
            </w:r>
          </w:p>
        </w:tc>
        <w:tc>
          <w:tcPr>
            <w:tcW w:w="6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12.28.12</w:t>
            </w:r>
          </w:p>
        </w:tc>
        <w:tc>
          <w:tcPr>
            <w:tcW w:w="520" w:type="dxa"/>
            <w:vAlign w:val="bottom"/>
            <w:shd w:val="clear" w:color="auto" w:fill="CCEEFF"/>
          </w:tcPr>
          <w:p>
            <w:pPr>
              <w:spacing w:after="0"/>
              <w:rPr>
                <w:sz w:val="11"/>
                <w:szCs w:val="11"/>
                <w:color w:val="auto"/>
              </w:rPr>
            </w:pPr>
          </w:p>
        </w:tc>
        <w:tc>
          <w:tcPr>
            <w:tcW w:w="21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Integra LifeSciences Corporation</w:t>
            </w:r>
          </w:p>
        </w:tc>
        <w:tc>
          <w:tcPr>
            <w:tcW w:w="46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1115</w:t>
            </w:r>
          </w:p>
        </w:tc>
        <w:tc>
          <w:tcPr>
            <w:tcW w:w="206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Integra LifeSciences Holdings</w:t>
            </w:r>
          </w:p>
        </w:tc>
        <w:tc>
          <w:tcPr>
            <w:tcW w:w="600" w:type="dxa"/>
            <w:vAlign w:val="bottom"/>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rPr>
              <w:t>1105</w:t>
            </w:r>
          </w:p>
        </w:tc>
        <w:tc>
          <w:tcPr>
            <w:tcW w:w="54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USD</w:t>
            </w:r>
          </w:p>
        </w:tc>
        <w:tc>
          <w:tcPr>
            <w:tcW w:w="1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3,500,000.00</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7% annually</w:t>
            </w:r>
          </w:p>
        </w:tc>
        <w:tc>
          <w:tcPr>
            <w:tcW w:w="13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Interest due at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Borders>
              <w:left w:val="single" w:sz="8" w:color="CCEEFF"/>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6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Corporation</w:t>
            </w:r>
          </w:p>
        </w:tc>
        <w:tc>
          <w:tcPr>
            <w:tcW w:w="6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32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Maturity.</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 w:type="dxa"/>
            <w:vAlign w:val="bottom"/>
          </w:tcPr>
          <w:p>
            <w:pPr>
              <w:spacing w:after="0" w:line="138" w:lineRule="exact"/>
              <w:rPr>
                <w:sz w:val="20"/>
                <w:szCs w:val="20"/>
                <w:color w:val="auto"/>
              </w:rPr>
            </w:pPr>
            <w:r>
              <w:rPr>
                <w:rFonts w:ascii="Arial" w:cs="Arial" w:eastAsia="Arial" w:hAnsi="Arial"/>
                <w:sz w:val="14"/>
                <w:szCs w:val="14"/>
                <w:color w:val="auto"/>
              </w:rPr>
              <w:t>AO</w:t>
            </w:r>
          </w:p>
        </w:tc>
        <w:tc>
          <w:tcPr>
            <w:tcW w:w="60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1"/>
              </w:rPr>
              <w:t>07.28.08</w:t>
            </w:r>
          </w:p>
        </w:tc>
        <w:tc>
          <w:tcPr>
            <w:tcW w:w="680" w:type="dxa"/>
            <w:vAlign w:val="bottom"/>
          </w:tcPr>
          <w:p>
            <w:pPr>
              <w:jc w:val="right"/>
              <w:ind w:right="12"/>
              <w:spacing w:after="0" w:line="138" w:lineRule="exact"/>
              <w:rPr>
                <w:sz w:val="20"/>
                <w:szCs w:val="20"/>
                <w:color w:val="auto"/>
              </w:rPr>
            </w:pPr>
            <w:r>
              <w:rPr>
                <w:rFonts w:ascii="Arial" w:cs="Arial" w:eastAsia="Arial" w:hAnsi="Arial"/>
                <w:sz w:val="14"/>
                <w:szCs w:val="14"/>
                <w:color w:val="auto"/>
              </w:rPr>
              <w:t>07.28.13</w:t>
            </w:r>
          </w:p>
        </w:tc>
        <w:tc>
          <w:tcPr>
            <w:tcW w:w="520" w:type="dxa"/>
            <w:vAlign w:val="bottom"/>
          </w:tcPr>
          <w:p>
            <w:pPr>
              <w:spacing w:after="0"/>
              <w:rPr>
                <w:sz w:val="11"/>
                <w:szCs w:val="11"/>
                <w:color w:val="auto"/>
              </w:rPr>
            </w:pPr>
          </w:p>
        </w:tc>
        <w:tc>
          <w:tcPr>
            <w:tcW w:w="2120" w:type="dxa"/>
            <w:vAlign w:val="bottom"/>
          </w:tcPr>
          <w:p>
            <w:pPr>
              <w:ind w:left="60"/>
              <w:spacing w:after="0" w:line="138" w:lineRule="exact"/>
              <w:rPr>
                <w:sz w:val="20"/>
                <w:szCs w:val="20"/>
                <w:color w:val="auto"/>
              </w:rPr>
            </w:pPr>
            <w:r>
              <w:rPr>
                <w:rFonts w:ascii="Arial" w:cs="Arial" w:eastAsia="Arial" w:hAnsi="Arial"/>
                <w:sz w:val="14"/>
                <w:szCs w:val="14"/>
                <w:color w:val="auto"/>
              </w:rPr>
              <w:t>Integra LifeSciences Corporation</w:t>
            </w:r>
          </w:p>
        </w:tc>
        <w:tc>
          <w:tcPr>
            <w:tcW w:w="460" w:type="dxa"/>
            <w:vAlign w:val="bottom"/>
          </w:tcPr>
          <w:p>
            <w:pPr>
              <w:jc w:val="right"/>
              <w:ind w:right="12"/>
              <w:spacing w:after="0" w:line="138" w:lineRule="exact"/>
              <w:rPr>
                <w:sz w:val="20"/>
                <w:szCs w:val="20"/>
                <w:color w:val="auto"/>
              </w:rPr>
            </w:pPr>
            <w:r>
              <w:rPr>
                <w:rFonts w:ascii="Arial" w:cs="Arial" w:eastAsia="Arial" w:hAnsi="Arial"/>
                <w:sz w:val="14"/>
                <w:szCs w:val="14"/>
                <w:color w:val="auto"/>
              </w:rPr>
              <w:t>1115</w:t>
            </w:r>
          </w:p>
        </w:tc>
        <w:tc>
          <w:tcPr>
            <w:tcW w:w="2060" w:type="dxa"/>
            <w:vAlign w:val="bottom"/>
          </w:tcPr>
          <w:p>
            <w:pPr>
              <w:ind w:left="80"/>
              <w:spacing w:after="0" w:line="138" w:lineRule="exact"/>
              <w:rPr>
                <w:sz w:val="20"/>
                <w:szCs w:val="20"/>
                <w:color w:val="auto"/>
              </w:rPr>
            </w:pPr>
            <w:r>
              <w:rPr>
                <w:rFonts w:ascii="Arial" w:cs="Arial" w:eastAsia="Arial" w:hAnsi="Arial"/>
                <w:sz w:val="14"/>
                <w:szCs w:val="14"/>
                <w:color w:val="auto"/>
              </w:rPr>
              <w:t>Integra LifeSciences Holdings</w:t>
            </w:r>
          </w:p>
        </w:tc>
        <w:tc>
          <w:tcPr>
            <w:tcW w:w="600" w:type="dxa"/>
            <w:vAlign w:val="bottom"/>
          </w:tcPr>
          <w:p>
            <w:pPr>
              <w:jc w:val="right"/>
              <w:ind w:right="112"/>
              <w:spacing w:after="0" w:line="138" w:lineRule="exact"/>
              <w:rPr>
                <w:sz w:val="20"/>
                <w:szCs w:val="20"/>
                <w:color w:val="auto"/>
              </w:rPr>
            </w:pPr>
            <w:r>
              <w:rPr>
                <w:rFonts w:ascii="Arial" w:cs="Arial" w:eastAsia="Arial" w:hAnsi="Arial"/>
                <w:sz w:val="14"/>
                <w:szCs w:val="14"/>
                <w:color w:val="auto"/>
              </w:rPr>
              <w:t>1105</w:t>
            </w:r>
          </w:p>
        </w:tc>
        <w:tc>
          <w:tcPr>
            <w:tcW w:w="540" w:type="dxa"/>
            <w:vAlign w:val="bottom"/>
          </w:tcPr>
          <w:p>
            <w:pPr>
              <w:jc w:val="right"/>
              <w:ind w:right="12"/>
              <w:spacing w:after="0" w:line="138" w:lineRule="exact"/>
              <w:rPr>
                <w:sz w:val="20"/>
                <w:szCs w:val="20"/>
                <w:color w:val="auto"/>
              </w:rPr>
            </w:pPr>
            <w:r>
              <w:rPr>
                <w:rFonts w:ascii="Arial" w:cs="Arial" w:eastAsia="Arial" w:hAnsi="Arial"/>
                <w:sz w:val="14"/>
                <w:szCs w:val="14"/>
                <w:color w:val="auto"/>
              </w:rPr>
              <w:t>USD</w:t>
            </w:r>
          </w:p>
        </w:tc>
        <w:tc>
          <w:tcPr>
            <w:tcW w:w="1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38" w:lineRule="exact"/>
              <w:rPr>
                <w:sz w:val="20"/>
                <w:szCs w:val="20"/>
                <w:color w:val="auto"/>
              </w:rPr>
            </w:pPr>
            <w:r>
              <w:rPr>
                <w:rFonts w:ascii="Arial" w:cs="Arial" w:eastAsia="Arial" w:hAnsi="Arial"/>
                <w:sz w:val="14"/>
                <w:szCs w:val="14"/>
                <w:color w:val="auto"/>
                <w:w w:val="91"/>
              </w:rPr>
              <w:t>75,000,000.00</w:t>
            </w:r>
          </w:p>
        </w:tc>
        <w:tc>
          <w:tcPr>
            <w:tcW w:w="100" w:type="dxa"/>
            <w:vAlign w:val="bottom"/>
          </w:tcPr>
          <w:p>
            <w:pPr>
              <w:spacing w:after="0"/>
              <w:rPr>
                <w:sz w:val="11"/>
                <w:szCs w:val="11"/>
                <w:color w:val="auto"/>
              </w:rPr>
            </w:pPr>
          </w:p>
        </w:tc>
        <w:tc>
          <w:tcPr>
            <w:tcW w:w="1020" w:type="dxa"/>
            <w:vAlign w:val="bottom"/>
          </w:tcPr>
          <w:p>
            <w:pPr>
              <w:ind w:left="60"/>
              <w:spacing w:after="0" w:line="138" w:lineRule="exact"/>
              <w:rPr>
                <w:sz w:val="20"/>
                <w:szCs w:val="20"/>
                <w:color w:val="auto"/>
              </w:rPr>
            </w:pPr>
            <w:r>
              <w:rPr>
                <w:rFonts w:ascii="Arial" w:cs="Arial" w:eastAsia="Arial" w:hAnsi="Arial"/>
                <w:sz w:val="14"/>
                <w:szCs w:val="14"/>
                <w:color w:val="auto"/>
              </w:rPr>
              <w:t>8.0% Interest</w:t>
            </w:r>
          </w:p>
        </w:tc>
        <w:tc>
          <w:tcPr>
            <w:tcW w:w="1320" w:type="dxa"/>
            <w:vAlign w:val="bottom"/>
          </w:tcPr>
          <w:p>
            <w:pPr>
              <w:ind w:left="60"/>
              <w:spacing w:after="0" w:line="138" w:lineRule="exact"/>
              <w:rPr>
                <w:sz w:val="20"/>
                <w:szCs w:val="20"/>
                <w:color w:val="auto"/>
              </w:rPr>
            </w:pPr>
            <w:r>
              <w:rPr>
                <w:rFonts w:ascii="Arial" w:cs="Arial" w:eastAsia="Arial" w:hAnsi="Arial"/>
                <w:sz w:val="14"/>
                <w:szCs w:val="14"/>
                <w:color w:val="auto"/>
                <w:w w:val="98"/>
              </w:rPr>
              <w:t>Purchase of Theken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60" w:type="dxa"/>
            <w:vAlign w:val="bottom"/>
          </w:tcPr>
          <w:p>
            <w:pPr>
              <w:ind w:left="80"/>
              <w:spacing w:after="0" w:line="159" w:lineRule="exact"/>
              <w:rPr>
                <w:sz w:val="20"/>
                <w:szCs w:val="20"/>
                <w:color w:val="auto"/>
              </w:rPr>
            </w:pPr>
            <w:r>
              <w:rPr>
                <w:rFonts w:ascii="Arial" w:cs="Arial" w:eastAsia="Arial" w:hAnsi="Arial"/>
                <w:sz w:val="14"/>
                <w:szCs w:val="14"/>
                <w:color w:val="auto"/>
              </w:rPr>
              <w:t>Corporation</w:t>
            </w: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 w:type="dxa"/>
            <w:vAlign w:val="bottom"/>
            <w:tcBorders>
              <w:lef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BJ</w:t>
            </w:r>
          </w:p>
        </w:tc>
        <w:tc>
          <w:tcPr>
            <w:tcW w:w="60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1"/>
              </w:rPr>
              <w:t>07.28.08</w:t>
            </w:r>
          </w:p>
        </w:tc>
        <w:tc>
          <w:tcPr>
            <w:tcW w:w="6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07.28.13</w:t>
            </w:r>
          </w:p>
        </w:tc>
        <w:tc>
          <w:tcPr>
            <w:tcW w:w="520" w:type="dxa"/>
            <w:vAlign w:val="bottom"/>
            <w:shd w:val="clear" w:color="auto" w:fill="CCEEFF"/>
          </w:tcPr>
          <w:p>
            <w:pPr>
              <w:spacing w:after="0"/>
              <w:rPr>
                <w:sz w:val="11"/>
                <w:szCs w:val="11"/>
                <w:color w:val="auto"/>
              </w:rPr>
            </w:pPr>
          </w:p>
        </w:tc>
        <w:tc>
          <w:tcPr>
            <w:tcW w:w="21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Integra LifeSciences Corporation</w:t>
            </w:r>
          </w:p>
        </w:tc>
        <w:tc>
          <w:tcPr>
            <w:tcW w:w="46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1115</w:t>
            </w:r>
          </w:p>
        </w:tc>
        <w:tc>
          <w:tcPr>
            <w:tcW w:w="206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Integra LifeSciences Holdings</w:t>
            </w:r>
          </w:p>
        </w:tc>
        <w:tc>
          <w:tcPr>
            <w:tcW w:w="600" w:type="dxa"/>
            <w:vAlign w:val="bottom"/>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rPr>
              <w:t>1105</w:t>
            </w:r>
          </w:p>
        </w:tc>
        <w:tc>
          <w:tcPr>
            <w:tcW w:w="54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USD</w:t>
            </w:r>
          </w:p>
        </w:tc>
        <w:tc>
          <w:tcPr>
            <w:tcW w:w="1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5,000,000.00</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8.0% Interest</w:t>
            </w:r>
          </w:p>
        </w:tc>
        <w:tc>
          <w:tcPr>
            <w:tcW w:w="13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w w:val="86"/>
              </w:rPr>
              <w:t>Interest due at maturity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Borders>
              <w:left w:val="single" w:sz="8" w:color="CCEEFF"/>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6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Corporation</w:t>
            </w:r>
          </w:p>
        </w:tc>
        <w:tc>
          <w:tcPr>
            <w:tcW w:w="6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32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date.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 w:type="dxa"/>
            <w:vAlign w:val="bottom"/>
          </w:tcPr>
          <w:p>
            <w:pPr>
              <w:spacing w:after="0" w:line="138" w:lineRule="exact"/>
              <w:rPr>
                <w:sz w:val="20"/>
                <w:szCs w:val="20"/>
                <w:color w:val="auto"/>
              </w:rPr>
            </w:pPr>
            <w:r>
              <w:rPr>
                <w:rFonts w:ascii="Arial" w:cs="Arial" w:eastAsia="Arial" w:hAnsi="Arial"/>
                <w:sz w:val="14"/>
                <w:szCs w:val="14"/>
                <w:color w:val="auto"/>
              </w:rPr>
              <w:t>BV</w:t>
            </w:r>
          </w:p>
        </w:tc>
        <w:tc>
          <w:tcPr>
            <w:tcW w:w="60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1"/>
              </w:rPr>
              <w:t>11.30.09</w:t>
            </w:r>
          </w:p>
        </w:tc>
        <w:tc>
          <w:tcPr>
            <w:tcW w:w="680" w:type="dxa"/>
            <w:vAlign w:val="bottom"/>
          </w:tcPr>
          <w:p>
            <w:pPr>
              <w:jc w:val="right"/>
              <w:ind w:right="12"/>
              <w:spacing w:after="0" w:line="138" w:lineRule="exact"/>
              <w:rPr>
                <w:sz w:val="20"/>
                <w:szCs w:val="20"/>
                <w:color w:val="auto"/>
              </w:rPr>
            </w:pPr>
            <w:r>
              <w:rPr>
                <w:rFonts w:ascii="Arial" w:cs="Arial" w:eastAsia="Arial" w:hAnsi="Arial"/>
                <w:sz w:val="14"/>
                <w:szCs w:val="14"/>
                <w:color w:val="auto"/>
              </w:rPr>
              <w:t>11.30.14</w:t>
            </w:r>
          </w:p>
        </w:tc>
        <w:tc>
          <w:tcPr>
            <w:tcW w:w="520" w:type="dxa"/>
            <w:vAlign w:val="bottom"/>
          </w:tcPr>
          <w:p>
            <w:pPr>
              <w:spacing w:after="0"/>
              <w:rPr>
                <w:sz w:val="11"/>
                <w:szCs w:val="11"/>
                <w:color w:val="auto"/>
              </w:rPr>
            </w:pPr>
          </w:p>
        </w:tc>
        <w:tc>
          <w:tcPr>
            <w:tcW w:w="2120" w:type="dxa"/>
            <w:vAlign w:val="bottom"/>
          </w:tcPr>
          <w:p>
            <w:pPr>
              <w:ind w:left="60"/>
              <w:spacing w:after="0" w:line="138" w:lineRule="exact"/>
              <w:rPr>
                <w:sz w:val="20"/>
                <w:szCs w:val="20"/>
                <w:color w:val="auto"/>
              </w:rPr>
            </w:pPr>
            <w:r>
              <w:rPr>
                <w:rFonts w:ascii="Arial" w:cs="Arial" w:eastAsia="Arial" w:hAnsi="Arial"/>
                <w:sz w:val="14"/>
                <w:szCs w:val="14"/>
                <w:color w:val="auto"/>
              </w:rPr>
              <w:t>Integra LifeSciences Corporation</w:t>
            </w:r>
          </w:p>
        </w:tc>
        <w:tc>
          <w:tcPr>
            <w:tcW w:w="460" w:type="dxa"/>
            <w:vAlign w:val="bottom"/>
          </w:tcPr>
          <w:p>
            <w:pPr>
              <w:jc w:val="right"/>
              <w:ind w:right="12"/>
              <w:spacing w:after="0" w:line="138" w:lineRule="exact"/>
              <w:rPr>
                <w:sz w:val="20"/>
                <w:szCs w:val="20"/>
                <w:color w:val="auto"/>
              </w:rPr>
            </w:pPr>
            <w:r>
              <w:rPr>
                <w:rFonts w:ascii="Arial" w:cs="Arial" w:eastAsia="Arial" w:hAnsi="Arial"/>
                <w:sz w:val="14"/>
                <w:szCs w:val="14"/>
                <w:color w:val="auto"/>
              </w:rPr>
              <w:t>1115</w:t>
            </w:r>
          </w:p>
        </w:tc>
        <w:tc>
          <w:tcPr>
            <w:tcW w:w="2060" w:type="dxa"/>
            <w:vAlign w:val="bottom"/>
          </w:tcPr>
          <w:p>
            <w:pPr>
              <w:ind w:left="80"/>
              <w:spacing w:after="0" w:line="138" w:lineRule="exact"/>
              <w:rPr>
                <w:sz w:val="20"/>
                <w:szCs w:val="20"/>
                <w:color w:val="auto"/>
              </w:rPr>
            </w:pPr>
            <w:r>
              <w:rPr>
                <w:rFonts w:ascii="Arial" w:cs="Arial" w:eastAsia="Arial" w:hAnsi="Arial"/>
                <w:sz w:val="14"/>
                <w:szCs w:val="14"/>
                <w:color w:val="auto"/>
              </w:rPr>
              <w:t>Integra LifeSciences Holdings</w:t>
            </w:r>
          </w:p>
        </w:tc>
        <w:tc>
          <w:tcPr>
            <w:tcW w:w="600" w:type="dxa"/>
            <w:vAlign w:val="bottom"/>
          </w:tcPr>
          <w:p>
            <w:pPr>
              <w:jc w:val="right"/>
              <w:ind w:right="112"/>
              <w:spacing w:after="0" w:line="138" w:lineRule="exact"/>
              <w:rPr>
                <w:sz w:val="20"/>
                <w:szCs w:val="20"/>
                <w:color w:val="auto"/>
              </w:rPr>
            </w:pPr>
            <w:r>
              <w:rPr>
                <w:rFonts w:ascii="Arial" w:cs="Arial" w:eastAsia="Arial" w:hAnsi="Arial"/>
                <w:sz w:val="14"/>
                <w:szCs w:val="14"/>
                <w:color w:val="auto"/>
              </w:rPr>
              <w:t>1105</w:t>
            </w:r>
          </w:p>
        </w:tc>
        <w:tc>
          <w:tcPr>
            <w:tcW w:w="540" w:type="dxa"/>
            <w:vAlign w:val="bottom"/>
          </w:tcPr>
          <w:p>
            <w:pPr>
              <w:jc w:val="right"/>
              <w:ind w:right="12"/>
              <w:spacing w:after="0" w:line="138" w:lineRule="exact"/>
              <w:rPr>
                <w:sz w:val="20"/>
                <w:szCs w:val="20"/>
                <w:color w:val="auto"/>
              </w:rPr>
            </w:pPr>
            <w:r>
              <w:rPr>
                <w:rFonts w:ascii="Arial" w:cs="Arial" w:eastAsia="Arial" w:hAnsi="Arial"/>
                <w:sz w:val="14"/>
                <w:szCs w:val="14"/>
                <w:color w:val="auto"/>
              </w:rPr>
              <w:t>USD</w:t>
            </w:r>
          </w:p>
        </w:tc>
        <w:tc>
          <w:tcPr>
            <w:tcW w:w="1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38" w:lineRule="exact"/>
              <w:rPr>
                <w:sz w:val="20"/>
                <w:szCs w:val="20"/>
                <w:color w:val="auto"/>
              </w:rPr>
            </w:pPr>
            <w:r>
              <w:rPr>
                <w:rFonts w:ascii="Arial" w:cs="Arial" w:eastAsia="Arial" w:hAnsi="Arial"/>
                <w:sz w:val="14"/>
                <w:szCs w:val="14"/>
                <w:color w:val="auto"/>
                <w:w w:val="91"/>
              </w:rPr>
              <w:t>12,500,000.00</w:t>
            </w:r>
          </w:p>
        </w:tc>
        <w:tc>
          <w:tcPr>
            <w:tcW w:w="100" w:type="dxa"/>
            <w:vAlign w:val="bottom"/>
          </w:tcPr>
          <w:p>
            <w:pPr>
              <w:spacing w:after="0"/>
              <w:rPr>
                <w:sz w:val="11"/>
                <w:szCs w:val="11"/>
                <w:color w:val="auto"/>
              </w:rPr>
            </w:pPr>
          </w:p>
        </w:tc>
        <w:tc>
          <w:tcPr>
            <w:tcW w:w="1020" w:type="dxa"/>
            <w:vAlign w:val="bottom"/>
          </w:tcPr>
          <w:p>
            <w:pPr>
              <w:ind w:left="60"/>
              <w:spacing w:after="0" w:line="138" w:lineRule="exact"/>
              <w:rPr>
                <w:sz w:val="20"/>
                <w:szCs w:val="20"/>
                <w:color w:val="auto"/>
              </w:rPr>
            </w:pPr>
            <w:r>
              <w:rPr>
                <w:rFonts w:ascii="Arial" w:cs="Arial" w:eastAsia="Arial" w:hAnsi="Arial"/>
                <w:sz w:val="14"/>
                <w:szCs w:val="14"/>
                <w:color w:val="auto"/>
              </w:rPr>
              <w:t>6.5% annually</w:t>
            </w:r>
          </w:p>
        </w:tc>
        <w:tc>
          <w:tcPr>
            <w:tcW w:w="1320" w:type="dxa"/>
            <w:vAlign w:val="bottom"/>
          </w:tcPr>
          <w:p>
            <w:pPr>
              <w:ind w:left="60"/>
              <w:spacing w:after="0" w:line="138" w:lineRule="exact"/>
              <w:rPr>
                <w:sz w:val="20"/>
                <w:szCs w:val="20"/>
                <w:color w:val="auto"/>
              </w:rPr>
            </w:pPr>
            <w:r>
              <w:rPr>
                <w:rFonts w:ascii="Arial" w:cs="Arial" w:eastAsia="Arial" w:hAnsi="Arial"/>
                <w:sz w:val="14"/>
                <w:szCs w:val="14"/>
                <w:color w:val="auto"/>
              </w:rPr>
              <w:t>Loan to pay Randy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60" w:type="dxa"/>
            <w:vAlign w:val="bottom"/>
          </w:tcPr>
          <w:p>
            <w:pPr>
              <w:ind w:left="80"/>
              <w:spacing w:after="0" w:line="159" w:lineRule="exact"/>
              <w:rPr>
                <w:sz w:val="20"/>
                <w:szCs w:val="20"/>
                <w:color w:val="auto"/>
              </w:rPr>
            </w:pPr>
            <w:r>
              <w:rPr>
                <w:rFonts w:ascii="Arial" w:cs="Arial" w:eastAsia="Arial" w:hAnsi="Arial"/>
                <w:sz w:val="14"/>
                <w:szCs w:val="14"/>
                <w:color w:val="auto"/>
              </w:rPr>
              <w:t>Corporation</w:t>
            </w: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20" w:type="dxa"/>
            <w:vAlign w:val="bottom"/>
          </w:tcPr>
          <w:p>
            <w:pPr>
              <w:ind w:left="60"/>
              <w:spacing w:after="0" w:line="159" w:lineRule="exact"/>
              <w:rPr>
                <w:sz w:val="20"/>
                <w:szCs w:val="20"/>
                <w:color w:val="auto"/>
              </w:rPr>
            </w:pPr>
            <w:r>
              <w:rPr>
                <w:rFonts w:ascii="Arial" w:cs="Arial" w:eastAsia="Arial" w:hAnsi="Arial"/>
                <w:sz w:val="14"/>
                <w:szCs w:val="14"/>
                <w:color w:val="auto"/>
              </w:rPr>
              <w:t>Theken earnout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 w:type="dxa"/>
            <w:vAlign w:val="bottom"/>
            <w:tcBorders>
              <w:lef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CJ</w:t>
            </w:r>
          </w:p>
        </w:tc>
        <w:tc>
          <w:tcPr>
            <w:tcW w:w="60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1"/>
              </w:rPr>
              <w:t>10.19.10</w:t>
            </w:r>
          </w:p>
        </w:tc>
        <w:tc>
          <w:tcPr>
            <w:tcW w:w="6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10.19.15</w:t>
            </w:r>
          </w:p>
        </w:tc>
        <w:tc>
          <w:tcPr>
            <w:tcW w:w="520" w:type="dxa"/>
            <w:vAlign w:val="bottom"/>
            <w:shd w:val="clear" w:color="auto" w:fill="CCEEFF"/>
          </w:tcPr>
          <w:p>
            <w:pPr>
              <w:spacing w:after="0"/>
              <w:rPr>
                <w:sz w:val="11"/>
                <w:szCs w:val="11"/>
                <w:color w:val="auto"/>
              </w:rPr>
            </w:pPr>
          </w:p>
        </w:tc>
        <w:tc>
          <w:tcPr>
            <w:tcW w:w="21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Integra LifeSciences Corporation</w:t>
            </w:r>
          </w:p>
        </w:tc>
        <w:tc>
          <w:tcPr>
            <w:tcW w:w="46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1115</w:t>
            </w:r>
          </w:p>
        </w:tc>
        <w:tc>
          <w:tcPr>
            <w:tcW w:w="206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Integra LifeSciences Holdings</w:t>
            </w:r>
          </w:p>
        </w:tc>
        <w:tc>
          <w:tcPr>
            <w:tcW w:w="600" w:type="dxa"/>
            <w:vAlign w:val="bottom"/>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rPr>
              <w:t>1105</w:t>
            </w:r>
          </w:p>
        </w:tc>
        <w:tc>
          <w:tcPr>
            <w:tcW w:w="54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USD</w:t>
            </w:r>
          </w:p>
        </w:tc>
        <w:tc>
          <w:tcPr>
            <w:tcW w:w="1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1"/>
              </w:rPr>
              <w:t>30,000,000.00</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4.85%</w:t>
            </w:r>
          </w:p>
        </w:tc>
        <w:tc>
          <w:tcPr>
            <w:tcW w:w="13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 to repay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Borders>
              <w:left w:val="single" w:sz="8" w:color="CCEEFF"/>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6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Corporation</w:t>
            </w:r>
          </w:p>
        </w:tc>
        <w:tc>
          <w:tcPr>
            <w:tcW w:w="6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32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intercompany loan</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 w:type="dxa"/>
            <w:vAlign w:val="bottom"/>
          </w:tcPr>
          <w:p>
            <w:pPr>
              <w:spacing w:after="0" w:line="138" w:lineRule="exact"/>
              <w:rPr>
                <w:sz w:val="20"/>
                <w:szCs w:val="20"/>
                <w:color w:val="auto"/>
              </w:rPr>
            </w:pPr>
            <w:r>
              <w:rPr>
                <w:rFonts w:ascii="Arial" w:cs="Arial" w:eastAsia="Arial" w:hAnsi="Arial"/>
                <w:sz w:val="14"/>
                <w:szCs w:val="14"/>
                <w:color w:val="auto"/>
              </w:rPr>
              <w:t>CO</w:t>
            </w:r>
          </w:p>
        </w:tc>
        <w:tc>
          <w:tcPr>
            <w:tcW w:w="60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1"/>
              </w:rPr>
              <w:t>05.23.11</w:t>
            </w:r>
          </w:p>
        </w:tc>
        <w:tc>
          <w:tcPr>
            <w:tcW w:w="680" w:type="dxa"/>
            <w:vAlign w:val="bottom"/>
          </w:tcPr>
          <w:p>
            <w:pPr>
              <w:jc w:val="right"/>
              <w:ind w:right="12"/>
              <w:spacing w:after="0" w:line="138" w:lineRule="exact"/>
              <w:rPr>
                <w:sz w:val="20"/>
                <w:szCs w:val="20"/>
                <w:color w:val="auto"/>
              </w:rPr>
            </w:pPr>
            <w:r>
              <w:rPr>
                <w:rFonts w:ascii="Arial" w:cs="Arial" w:eastAsia="Arial" w:hAnsi="Arial"/>
                <w:sz w:val="14"/>
                <w:szCs w:val="14"/>
                <w:color w:val="auto"/>
              </w:rPr>
              <w:t>05.23.16</w:t>
            </w:r>
          </w:p>
        </w:tc>
        <w:tc>
          <w:tcPr>
            <w:tcW w:w="520" w:type="dxa"/>
            <w:vAlign w:val="bottom"/>
          </w:tcPr>
          <w:p>
            <w:pPr>
              <w:spacing w:after="0"/>
              <w:rPr>
                <w:sz w:val="11"/>
                <w:szCs w:val="11"/>
                <w:color w:val="auto"/>
              </w:rPr>
            </w:pPr>
          </w:p>
        </w:tc>
        <w:tc>
          <w:tcPr>
            <w:tcW w:w="2120" w:type="dxa"/>
            <w:vAlign w:val="bottom"/>
          </w:tcPr>
          <w:p>
            <w:pPr>
              <w:ind w:left="60"/>
              <w:spacing w:after="0" w:line="138" w:lineRule="exact"/>
              <w:rPr>
                <w:sz w:val="20"/>
                <w:szCs w:val="20"/>
                <w:color w:val="auto"/>
              </w:rPr>
            </w:pPr>
            <w:r>
              <w:rPr>
                <w:rFonts w:ascii="Arial" w:cs="Arial" w:eastAsia="Arial" w:hAnsi="Arial"/>
                <w:sz w:val="14"/>
                <w:szCs w:val="14"/>
                <w:color w:val="auto"/>
              </w:rPr>
              <w:t>Integra LifeSciences Corporation</w:t>
            </w:r>
          </w:p>
        </w:tc>
        <w:tc>
          <w:tcPr>
            <w:tcW w:w="460" w:type="dxa"/>
            <w:vAlign w:val="bottom"/>
          </w:tcPr>
          <w:p>
            <w:pPr>
              <w:jc w:val="right"/>
              <w:ind w:right="12"/>
              <w:spacing w:after="0" w:line="138" w:lineRule="exact"/>
              <w:rPr>
                <w:sz w:val="20"/>
                <w:szCs w:val="20"/>
                <w:color w:val="auto"/>
              </w:rPr>
            </w:pPr>
            <w:r>
              <w:rPr>
                <w:rFonts w:ascii="Arial" w:cs="Arial" w:eastAsia="Arial" w:hAnsi="Arial"/>
                <w:sz w:val="14"/>
                <w:szCs w:val="14"/>
                <w:color w:val="auto"/>
              </w:rPr>
              <w:t>1115</w:t>
            </w:r>
          </w:p>
        </w:tc>
        <w:tc>
          <w:tcPr>
            <w:tcW w:w="2060" w:type="dxa"/>
            <w:vAlign w:val="bottom"/>
          </w:tcPr>
          <w:p>
            <w:pPr>
              <w:ind w:left="80"/>
              <w:spacing w:after="0" w:line="138" w:lineRule="exact"/>
              <w:rPr>
                <w:sz w:val="20"/>
                <w:szCs w:val="20"/>
                <w:color w:val="auto"/>
              </w:rPr>
            </w:pPr>
            <w:r>
              <w:rPr>
                <w:rFonts w:ascii="Arial" w:cs="Arial" w:eastAsia="Arial" w:hAnsi="Arial"/>
                <w:sz w:val="14"/>
                <w:szCs w:val="14"/>
                <w:color w:val="auto"/>
              </w:rPr>
              <w:t>Integra LifeSciences Holdings</w:t>
            </w:r>
          </w:p>
        </w:tc>
        <w:tc>
          <w:tcPr>
            <w:tcW w:w="600" w:type="dxa"/>
            <w:vAlign w:val="bottom"/>
          </w:tcPr>
          <w:p>
            <w:pPr>
              <w:jc w:val="right"/>
              <w:ind w:right="112"/>
              <w:spacing w:after="0" w:line="138" w:lineRule="exact"/>
              <w:rPr>
                <w:sz w:val="20"/>
                <w:szCs w:val="20"/>
                <w:color w:val="auto"/>
              </w:rPr>
            </w:pPr>
            <w:r>
              <w:rPr>
                <w:rFonts w:ascii="Arial" w:cs="Arial" w:eastAsia="Arial" w:hAnsi="Arial"/>
                <w:sz w:val="14"/>
                <w:szCs w:val="14"/>
                <w:color w:val="auto"/>
              </w:rPr>
              <w:t>1105</w:t>
            </w:r>
          </w:p>
        </w:tc>
        <w:tc>
          <w:tcPr>
            <w:tcW w:w="540" w:type="dxa"/>
            <w:vAlign w:val="bottom"/>
          </w:tcPr>
          <w:p>
            <w:pPr>
              <w:jc w:val="right"/>
              <w:ind w:right="12"/>
              <w:spacing w:after="0" w:line="138" w:lineRule="exact"/>
              <w:rPr>
                <w:sz w:val="20"/>
                <w:szCs w:val="20"/>
                <w:color w:val="auto"/>
              </w:rPr>
            </w:pPr>
            <w:r>
              <w:rPr>
                <w:rFonts w:ascii="Arial" w:cs="Arial" w:eastAsia="Arial" w:hAnsi="Arial"/>
                <w:sz w:val="14"/>
                <w:szCs w:val="14"/>
                <w:color w:val="auto"/>
              </w:rPr>
              <w:t>USD</w:t>
            </w:r>
          </w:p>
        </w:tc>
        <w:tc>
          <w:tcPr>
            <w:tcW w:w="1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38" w:lineRule="exact"/>
              <w:rPr>
                <w:sz w:val="20"/>
                <w:szCs w:val="20"/>
                <w:color w:val="auto"/>
              </w:rPr>
            </w:pPr>
            <w:r>
              <w:rPr>
                <w:rFonts w:ascii="Arial" w:cs="Arial" w:eastAsia="Arial" w:hAnsi="Arial"/>
                <w:sz w:val="14"/>
                <w:szCs w:val="14"/>
                <w:color w:val="auto"/>
                <w:w w:val="91"/>
              </w:rPr>
              <w:t>85,000,000.00</w:t>
            </w:r>
          </w:p>
        </w:tc>
        <w:tc>
          <w:tcPr>
            <w:tcW w:w="100" w:type="dxa"/>
            <w:vAlign w:val="bottom"/>
          </w:tcPr>
          <w:p>
            <w:pPr>
              <w:spacing w:after="0"/>
              <w:rPr>
                <w:sz w:val="11"/>
                <w:szCs w:val="11"/>
                <w:color w:val="auto"/>
              </w:rPr>
            </w:pPr>
          </w:p>
        </w:tc>
        <w:tc>
          <w:tcPr>
            <w:tcW w:w="1020" w:type="dxa"/>
            <w:vAlign w:val="bottom"/>
          </w:tcPr>
          <w:p>
            <w:pPr>
              <w:ind w:left="60"/>
              <w:spacing w:after="0" w:line="138" w:lineRule="exact"/>
              <w:rPr>
                <w:sz w:val="20"/>
                <w:szCs w:val="20"/>
                <w:color w:val="auto"/>
              </w:rPr>
            </w:pPr>
            <w:r>
              <w:rPr>
                <w:rFonts w:ascii="Arial" w:cs="Arial" w:eastAsia="Arial" w:hAnsi="Arial"/>
                <w:sz w:val="14"/>
                <w:szCs w:val="14"/>
                <w:color w:val="auto"/>
              </w:rPr>
              <w:t>5.1% annually</w:t>
            </w:r>
          </w:p>
        </w:tc>
        <w:tc>
          <w:tcPr>
            <w:tcW w:w="1320" w:type="dxa"/>
            <w:vAlign w:val="bottom"/>
          </w:tcPr>
          <w:p>
            <w:pPr>
              <w:ind w:left="60"/>
              <w:spacing w:after="0" w:line="138" w:lineRule="exact"/>
              <w:rPr>
                <w:sz w:val="20"/>
                <w:szCs w:val="20"/>
                <w:color w:val="auto"/>
              </w:rPr>
            </w:pPr>
            <w:r>
              <w:rPr>
                <w:rFonts w:ascii="Arial" w:cs="Arial" w:eastAsia="Arial" w:hAnsi="Arial"/>
                <w:sz w:val="14"/>
                <w:szCs w:val="14"/>
                <w:color w:val="auto"/>
              </w:rPr>
              <w:t>SeaSpine Inc</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60" w:type="dxa"/>
            <w:vAlign w:val="bottom"/>
          </w:tcPr>
          <w:p>
            <w:pPr>
              <w:ind w:left="80"/>
              <w:spacing w:after="0" w:line="159" w:lineRule="exact"/>
              <w:rPr>
                <w:sz w:val="20"/>
                <w:szCs w:val="20"/>
                <w:color w:val="auto"/>
              </w:rPr>
            </w:pPr>
            <w:r>
              <w:rPr>
                <w:rFonts w:ascii="Arial" w:cs="Arial" w:eastAsia="Arial" w:hAnsi="Arial"/>
                <w:sz w:val="14"/>
                <w:szCs w:val="14"/>
                <w:color w:val="auto"/>
              </w:rPr>
              <w:t>Corporation</w:t>
            </w: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20" w:type="dxa"/>
            <w:vAlign w:val="bottom"/>
          </w:tcPr>
          <w:p>
            <w:pPr>
              <w:ind w:left="60"/>
              <w:spacing w:after="0" w:line="159" w:lineRule="exact"/>
              <w:rPr>
                <w:sz w:val="20"/>
                <w:szCs w:val="20"/>
                <w:color w:val="auto"/>
              </w:rPr>
            </w:pPr>
            <w:r>
              <w:rPr>
                <w:rFonts w:ascii="Arial" w:cs="Arial" w:eastAsia="Arial" w:hAnsi="Arial"/>
                <w:sz w:val="14"/>
                <w:szCs w:val="14"/>
                <w:color w:val="auto"/>
              </w:rPr>
              <w:t>acquisition</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Borders>
              <w:lef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w w:val="84"/>
              </w:rPr>
              <w:t>440,458,866.58</w:t>
            </w:r>
          </w:p>
        </w:tc>
        <w:tc>
          <w:tcPr>
            <w:tcW w:w="100" w:type="dxa"/>
            <w:vAlign w:val="bottom"/>
          </w:tcPr>
          <w:p>
            <w:pPr>
              <w:spacing w:after="0"/>
              <w:rPr>
                <w:sz w:val="13"/>
                <w:szCs w:val="13"/>
                <w:color w:val="auto"/>
              </w:rPr>
            </w:pPr>
          </w:p>
        </w:tc>
        <w:tc>
          <w:tcPr>
            <w:tcW w:w="1020" w:type="dxa"/>
            <w:vAlign w:val="bottom"/>
          </w:tcPr>
          <w:p>
            <w:pPr>
              <w:ind w:left="60"/>
              <w:spacing w:after="0" w:line="155" w:lineRule="exact"/>
              <w:rPr>
                <w:sz w:val="20"/>
                <w:szCs w:val="20"/>
                <w:color w:val="auto"/>
              </w:rPr>
            </w:pPr>
            <w:r>
              <w:rPr>
                <w:rFonts w:ascii="Arial" w:cs="Arial" w:eastAsia="Arial" w:hAnsi="Arial"/>
                <w:sz w:val="14"/>
                <w:szCs w:val="14"/>
                <w:color w:val="auto"/>
              </w:rPr>
              <w:t>subtotal</w:t>
            </w: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380" w:type="dxa"/>
            <w:vAlign w:val="bottom"/>
            <w:tcBorders>
              <w:lef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80" w:type="dxa"/>
            <w:vAlign w:val="bottom"/>
          </w:tcPr>
          <w:p>
            <w:pPr>
              <w:spacing w:after="0" w:line="138" w:lineRule="exact"/>
              <w:rPr>
                <w:sz w:val="20"/>
                <w:szCs w:val="20"/>
                <w:color w:val="auto"/>
              </w:rPr>
            </w:pPr>
            <w:r>
              <w:rPr>
                <w:rFonts w:ascii="Arial" w:cs="Arial" w:eastAsia="Arial" w:hAnsi="Arial"/>
                <w:sz w:val="14"/>
                <w:szCs w:val="14"/>
                <w:color w:val="auto"/>
              </w:rPr>
              <w:t>AJ</w:t>
            </w:r>
          </w:p>
        </w:tc>
        <w:tc>
          <w:tcPr>
            <w:tcW w:w="60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1"/>
              </w:rPr>
              <w:t>12.13.07</w:t>
            </w:r>
          </w:p>
        </w:tc>
        <w:tc>
          <w:tcPr>
            <w:tcW w:w="680" w:type="dxa"/>
            <w:vAlign w:val="bottom"/>
          </w:tcPr>
          <w:p>
            <w:pPr>
              <w:jc w:val="right"/>
              <w:ind w:right="12"/>
              <w:spacing w:after="0" w:line="138" w:lineRule="exact"/>
              <w:rPr>
                <w:sz w:val="20"/>
                <w:szCs w:val="20"/>
                <w:color w:val="auto"/>
              </w:rPr>
            </w:pPr>
            <w:r>
              <w:rPr>
                <w:rFonts w:ascii="Arial" w:cs="Arial" w:eastAsia="Arial" w:hAnsi="Arial"/>
                <w:sz w:val="14"/>
                <w:szCs w:val="14"/>
                <w:color w:val="auto"/>
              </w:rPr>
              <w:t>12.13.12</w:t>
            </w:r>
          </w:p>
        </w:tc>
        <w:tc>
          <w:tcPr>
            <w:tcW w:w="520" w:type="dxa"/>
            <w:vAlign w:val="bottom"/>
          </w:tcPr>
          <w:p>
            <w:pPr>
              <w:spacing w:after="0"/>
              <w:rPr>
                <w:sz w:val="11"/>
                <w:szCs w:val="11"/>
                <w:color w:val="auto"/>
              </w:rPr>
            </w:pPr>
          </w:p>
        </w:tc>
        <w:tc>
          <w:tcPr>
            <w:tcW w:w="2120" w:type="dxa"/>
            <w:vAlign w:val="bottom"/>
          </w:tcPr>
          <w:p>
            <w:pPr>
              <w:ind w:left="60"/>
              <w:spacing w:after="0" w:line="138" w:lineRule="exact"/>
              <w:rPr>
                <w:sz w:val="20"/>
                <w:szCs w:val="20"/>
                <w:color w:val="auto"/>
              </w:rPr>
            </w:pPr>
            <w:r>
              <w:rPr>
                <w:rFonts w:ascii="Arial" w:cs="Arial" w:eastAsia="Arial" w:hAnsi="Arial"/>
                <w:sz w:val="14"/>
                <w:szCs w:val="14"/>
                <w:color w:val="auto"/>
              </w:rPr>
              <w:t>Integra LifeSciences Corporation</w:t>
            </w:r>
          </w:p>
        </w:tc>
        <w:tc>
          <w:tcPr>
            <w:tcW w:w="460" w:type="dxa"/>
            <w:vAlign w:val="bottom"/>
          </w:tcPr>
          <w:p>
            <w:pPr>
              <w:jc w:val="right"/>
              <w:ind w:right="12"/>
              <w:spacing w:after="0" w:line="138" w:lineRule="exact"/>
              <w:rPr>
                <w:sz w:val="20"/>
                <w:szCs w:val="20"/>
                <w:color w:val="auto"/>
              </w:rPr>
            </w:pPr>
            <w:r>
              <w:rPr>
                <w:rFonts w:ascii="Arial" w:cs="Arial" w:eastAsia="Arial" w:hAnsi="Arial"/>
                <w:sz w:val="14"/>
                <w:szCs w:val="14"/>
                <w:color w:val="auto"/>
              </w:rPr>
              <w:t>1115</w:t>
            </w:r>
          </w:p>
        </w:tc>
        <w:tc>
          <w:tcPr>
            <w:tcW w:w="2060" w:type="dxa"/>
            <w:vAlign w:val="bottom"/>
          </w:tcPr>
          <w:p>
            <w:pPr>
              <w:ind w:left="80"/>
              <w:spacing w:after="0" w:line="138" w:lineRule="exact"/>
              <w:rPr>
                <w:sz w:val="20"/>
                <w:szCs w:val="20"/>
                <w:color w:val="auto"/>
              </w:rPr>
            </w:pPr>
            <w:r>
              <w:rPr>
                <w:rFonts w:ascii="Arial" w:cs="Arial" w:eastAsia="Arial" w:hAnsi="Arial"/>
                <w:sz w:val="14"/>
                <w:szCs w:val="14"/>
                <w:color w:val="auto"/>
              </w:rPr>
              <w:t>LXU Healthcare, Inc</w:t>
            </w:r>
          </w:p>
        </w:tc>
        <w:tc>
          <w:tcPr>
            <w:tcW w:w="600" w:type="dxa"/>
            <w:vAlign w:val="bottom"/>
          </w:tcPr>
          <w:p>
            <w:pPr>
              <w:jc w:val="right"/>
              <w:ind w:right="112"/>
              <w:spacing w:after="0" w:line="138" w:lineRule="exact"/>
              <w:rPr>
                <w:sz w:val="20"/>
                <w:szCs w:val="20"/>
                <w:color w:val="auto"/>
              </w:rPr>
            </w:pPr>
            <w:r>
              <w:rPr>
                <w:rFonts w:ascii="Arial" w:cs="Arial" w:eastAsia="Arial" w:hAnsi="Arial"/>
                <w:sz w:val="14"/>
                <w:szCs w:val="14"/>
                <w:color w:val="auto"/>
              </w:rPr>
              <w:t>1250</w:t>
            </w:r>
          </w:p>
        </w:tc>
        <w:tc>
          <w:tcPr>
            <w:tcW w:w="540" w:type="dxa"/>
            <w:vAlign w:val="bottom"/>
          </w:tcPr>
          <w:p>
            <w:pPr>
              <w:jc w:val="right"/>
              <w:ind w:right="12"/>
              <w:spacing w:after="0" w:line="138" w:lineRule="exact"/>
              <w:rPr>
                <w:sz w:val="20"/>
                <w:szCs w:val="20"/>
                <w:color w:val="auto"/>
              </w:rPr>
            </w:pPr>
            <w:r>
              <w:rPr>
                <w:rFonts w:ascii="Arial" w:cs="Arial" w:eastAsia="Arial" w:hAnsi="Arial"/>
                <w:sz w:val="14"/>
                <w:szCs w:val="14"/>
                <w:color w:val="auto"/>
              </w:rPr>
              <w:t>USD</w:t>
            </w:r>
          </w:p>
        </w:tc>
        <w:tc>
          <w:tcPr>
            <w:tcW w:w="1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38" w:lineRule="exact"/>
              <w:rPr>
                <w:sz w:val="20"/>
                <w:szCs w:val="20"/>
                <w:color w:val="auto"/>
              </w:rPr>
            </w:pPr>
            <w:r>
              <w:rPr>
                <w:rFonts w:ascii="Arial" w:cs="Arial" w:eastAsia="Arial" w:hAnsi="Arial"/>
                <w:sz w:val="14"/>
                <w:szCs w:val="14"/>
                <w:color w:val="auto"/>
              </w:rPr>
              <w:t>1,000,000.00</w:t>
            </w:r>
          </w:p>
        </w:tc>
        <w:tc>
          <w:tcPr>
            <w:tcW w:w="100" w:type="dxa"/>
            <w:vAlign w:val="bottom"/>
          </w:tcPr>
          <w:p>
            <w:pPr>
              <w:spacing w:after="0"/>
              <w:rPr>
                <w:sz w:val="11"/>
                <w:szCs w:val="11"/>
                <w:color w:val="auto"/>
              </w:rPr>
            </w:pPr>
          </w:p>
        </w:tc>
        <w:tc>
          <w:tcPr>
            <w:tcW w:w="1020" w:type="dxa"/>
            <w:vAlign w:val="bottom"/>
          </w:tcPr>
          <w:p>
            <w:pPr>
              <w:ind w:left="60"/>
              <w:spacing w:after="0" w:line="138" w:lineRule="exact"/>
              <w:rPr>
                <w:sz w:val="20"/>
                <w:szCs w:val="20"/>
                <w:color w:val="auto"/>
              </w:rPr>
            </w:pPr>
            <w:r>
              <w:rPr>
                <w:rFonts w:ascii="Arial" w:cs="Arial" w:eastAsia="Arial" w:hAnsi="Arial"/>
                <w:sz w:val="14"/>
                <w:szCs w:val="14"/>
                <w:color w:val="auto"/>
              </w:rPr>
              <w:t>7.0% Interest</w:t>
            </w:r>
          </w:p>
        </w:tc>
        <w:tc>
          <w:tcPr>
            <w:tcW w:w="1320" w:type="dxa"/>
            <w:vAlign w:val="bottom"/>
          </w:tcPr>
          <w:p>
            <w:pPr>
              <w:ind w:left="60"/>
              <w:spacing w:after="0" w:line="138" w:lineRule="exact"/>
              <w:rPr>
                <w:sz w:val="20"/>
                <w:szCs w:val="20"/>
                <w:color w:val="auto"/>
              </w:rPr>
            </w:pPr>
            <w:r>
              <w:rPr>
                <w:rFonts w:ascii="Arial" w:cs="Arial" w:eastAsia="Arial" w:hAnsi="Arial"/>
                <w:sz w:val="14"/>
                <w:szCs w:val="14"/>
                <w:color w:val="auto"/>
              </w:rPr>
              <w:t>Interest due at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ind w:left="60"/>
              <w:spacing w:after="0" w:line="159" w:lineRule="exact"/>
              <w:rPr>
                <w:sz w:val="20"/>
                <w:szCs w:val="20"/>
                <w:color w:val="auto"/>
              </w:rPr>
            </w:pPr>
            <w:r>
              <w:rPr>
                <w:rFonts w:ascii="Arial" w:cs="Arial" w:eastAsia="Arial" w:hAnsi="Arial"/>
                <w:sz w:val="14"/>
                <w:szCs w:val="14"/>
                <w:color w:val="auto"/>
              </w:rPr>
              <w:t>Maturity.</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80" w:type="dxa"/>
            <w:vAlign w:val="bottom"/>
            <w:tcBorders>
              <w:left w:val="single" w:sz="8" w:color="CCEEFF"/>
            </w:tcBorders>
            <w:shd w:val="clear" w:color="auto" w:fill="CCEEFF"/>
          </w:tcPr>
          <w:p>
            <w:pPr>
              <w:spacing w:after="0" w:line="131" w:lineRule="exact"/>
              <w:rPr>
                <w:sz w:val="20"/>
                <w:szCs w:val="20"/>
                <w:color w:val="auto"/>
              </w:rPr>
            </w:pPr>
            <w:r>
              <w:rPr>
                <w:rFonts w:ascii="Arial" w:cs="Arial" w:eastAsia="Arial" w:hAnsi="Arial"/>
                <w:sz w:val="14"/>
                <w:szCs w:val="14"/>
                <w:color w:val="auto"/>
              </w:rPr>
              <w:t>B</w:t>
            </w:r>
          </w:p>
        </w:tc>
        <w:tc>
          <w:tcPr>
            <w:tcW w:w="600" w:type="dxa"/>
            <w:vAlign w:val="bottom"/>
            <w:shd w:val="clear" w:color="auto" w:fill="CCEEFF"/>
          </w:tcPr>
          <w:p>
            <w:pPr>
              <w:jc w:val="right"/>
              <w:ind w:right="12"/>
              <w:spacing w:after="0" w:line="131" w:lineRule="exact"/>
              <w:rPr>
                <w:sz w:val="20"/>
                <w:szCs w:val="20"/>
                <w:color w:val="auto"/>
              </w:rPr>
            </w:pPr>
            <w:r>
              <w:rPr>
                <w:rFonts w:ascii="Arial" w:cs="Arial" w:eastAsia="Arial" w:hAnsi="Arial"/>
                <w:sz w:val="14"/>
                <w:szCs w:val="14"/>
                <w:color w:val="auto"/>
                <w:w w:val="91"/>
              </w:rPr>
              <w:t>12.22.04</w:t>
            </w:r>
          </w:p>
        </w:tc>
        <w:tc>
          <w:tcPr>
            <w:tcW w:w="680" w:type="dxa"/>
            <w:vAlign w:val="bottom"/>
            <w:shd w:val="clear" w:color="auto" w:fill="CCEEFF"/>
          </w:tcPr>
          <w:p>
            <w:pPr>
              <w:jc w:val="right"/>
              <w:ind w:right="12"/>
              <w:spacing w:after="0" w:line="131" w:lineRule="exact"/>
              <w:rPr>
                <w:sz w:val="20"/>
                <w:szCs w:val="20"/>
                <w:color w:val="auto"/>
              </w:rPr>
            </w:pPr>
            <w:r>
              <w:rPr>
                <w:rFonts w:ascii="Arial" w:cs="Arial" w:eastAsia="Arial" w:hAnsi="Arial"/>
                <w:sz w:val="14"/>
                <w:szCs w:val="14"/>
                <w:color w:val="auto"/>
              </w:rPr>
              <w:t>12.22.14</w:t>
            </w:r>
          </w:p>
        </w:tc>
        <w:tc>
          <w:tcPr>
            <w:tcW w:w="520" w:type="dxa"/>
            <w:vAlign w:val="bottom"/>
            <w:shd w:val="clear" w:color="auto" w:fill="CCEEFF"/>
          </w:tcPr>
          <w:p>
            <w:pPr>
              <w:spacing w:after="0"/>
              <w:rPr>
                <w:sz w:val="11"/>
                <w:szCs w:val="11"/>
                <w:color w:val="auto"/>
              </w:rPr>
            </w:pPr>
          </w:p>
        </w:tc>
        <w:tc>
          <w:tcPr>
            <w:tcW w:w="2120" w:type="dxa"/>
            <w:vAlign w:val="bottom"/>
            <w:shd w:val="clear" w:color="auto" w:fill="CCEEFF"/>
          </w:tcPr>
          <w:p>
            <w:pPr>
              <w:ind w:left="60"/>
              <w:spacing w:after="0" w:line="131" w:lineRule="exact"/>
              <w:rPr>
                <w:sz w:val="20"/>
                <w:szCs w:val="20"/>
                <w:color w:val="auto"/>
              </w:rPr>
            </w:pPr>
            <w:r>
              <w:rPr>
                <w:rFonts w:ascii="Arial" w:cs="Arial" w:eastAsia="Arial" w:hAnsi="Arial"/>
                <w:sz w:val="14"/>
                <w:szCs w:val="14"/>
                <w:color w:val="auto"/>
                <w:w w:val="91"/>
              </w:rPr>
              <w:t>J. Jamner Surgical Instruments, Inc.</w:t>
            </w:r>
          </w:p>
        </w:tc>
        <w:tc>
          <w:tcPr>
            <w:tcW w:w="460" w:type="dxa"/>
            <w:vAlign w:val="bottom"/>
            <w:shd w:val="clear" w:color="auto" w:fill="CCEEFF"/>
          </w:tcPr>
          <w:p>
            <w:pPr>
              <w:jc w:val="right"/>
              <w:ind w:right="12"/>
              <w:spacing w:after="0" w:line="131" w:lineRule="exact"/>
              <w:rPr>
                <w:sz w:val="20"/>
                <w:szCs w:val="20"/>
                <w:color w:val="auto"/>
              </w:rPr>
            </w:pPr>
            <w:r>
              <w:rPr>
                <w:rFonts w:ascii="Arial" w:cs="Arial" w:eastAsia="Arial" w:hAnsi="Arial"/>
                <w:sz w:val="14"/>
                <w:szCs w:val="14"/>
                <w:color w:val="auto"/>
              </w:rPr>
              <w:t>1135</w:t>
            </w:r>
          </w:p>
        </w:tc>
        <w:tc>
          <w:tcPr>
            <w:tcW w:w="2060" w:type="dxa"/>
            <w:vAlign w:val="bottom"/>
            <w:shd w:val="clear" w:color="auto" w:fill="CCEEFF"/>
          </w:tcPr>
          <w:p>
            <w:pPr>
              <w:ind w:left="80"/>
              <w:spacing w:after="0" w:line="131" w:lineRule="exact"/>
              <w:rPr>
                <w:sz w:val="20"/>
                <w:szCs w:val="20"/>
                <w:color w:val="auto"/>
              </w:rPr>
            </w:pPr>
            <w:r>
              <w:rPr>
                <w:rFonts w:ascii="Arial" w:cs="Arial" w:eastAsia="Arial" w:hAnsi="Arial"/>
                <w:sz w:val="14"/>
                <w:szCs w:val="14"/>
                <w:color w:val="auto"/>
              </w:rPr>
              <w:t>Integra LifeSciences Holdings</w:t>
            </w:r>
          </w:p>
        </w:tc>
        <w:tc>
          <w:tcPr>
            <w:tcW w:w="600" w:type="dxa"/>
            <w:vAlign w:val="bottom"/>
            <w:shd w:val="clear" w:color="auto" w:fill="CCEEFF"/>
          </w:tcPr>
          <w:p>
            <w:pPr>
              <w:jc w:val="right"/>
              <w:ind w:right="112"/>
              <w:spacing w:after="0" w:line="131" w:lineRule="exact"/>
              <w:rPr>
                <w:sz w:val="20"/>
                <w:szCs w:val="20"/>
                <w:color w:val="auto"/>
              </w:rPr>
            </w:pPr>
            <w:r>
              <w:rPr>
                <w:rFonts w:ascii="Arial" w:cs="Arial" w:eastAsia="Arial" w:hAnsi="Arial"/>
                <w:sz w:val="14"/>
                <w:szCs w:val="14"/>
                <w:color w:val="auto"/>
              </w:rPr>
              <w:t>1105</w:t>
            </w:r>
          </w:p>
        </w:tc>
        <w:tc>
          <w:tcPr>
            <w:tcW w:w="540" w:type="dxa"/>
            <w:vAlign w:val="bottom"/>
            <w:shd w:val="clear" w:color="auto" w:fill="CCEEFF"/>
          </w:tcPr>
          <w:p>
            <w:pPr>
              <w:jc w:val="right"/>
              <w:ind w:right="12"/>
              <w:spacing w:after="0" w:line="131" w:lineRule="exact"/>
              <w:rPr>
                <w:sz w:val="20"/>
                <w:szCs w:val="20"/>
                <w:color w:val="auto"/>
              </w:rPr>
            </w:pPr>
            <w:r>
              <w:rPr>
                <w:rFonts w:ascii="Arial" w:cs="Arial" w:eastAsia="Arial" w:hAnsi="Arial"/>
                <w:sz w:val="14"/>
                <w:szCs w:val="14"/>
                <w:color w:val="auto"/>
              </w:rPr>
              <w:t>USD</w:t>
            </w:r>
          </w:p>
        </w:tc>
        <w:tc>
          <w:tcPr>
            <w:tcW w:w="16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w w:val="91"/>
              </w:rPr>
              <w:t>24,000,000.00</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ind w:left="60"/>
              <w:spacing w:after="0" w:line="131" w:lineRule="exact"/>
              <w:rPr>
                <w:sz w:val="20"/>
                <w:szCs w:val="20"/>
                <w:color w:val="auto"/>
              </w:rPr>
            </w:pPr>
            <w:r>
              <w:rPr>
                <w:rFonts w:ascii="Arial" w:cs="Arial" w:eastAsia="Arial" w:hAnsi="Arial"/>
                <w:sz w:val="14"/>
                <w:szCs w:val="14"/>
                <w:color w:val="auto"/>
              </w:rPr>
              <w:t>5% annually</w:t>
            </w:r>
          </w:p>
        </w:tc>
        <w:tc>
          <w:tcPr>
            <w:tcW w:w="1320" w:type="dxa"/>
            <w:vAlign w:val="bottom"/>
            <w:shd w:val="clear" w:color="auto" w:fill="CCEEFF"/>
          </w:tcPr>
          <w:p>
            <w:pPr>
              <w:ind w:left="60"/>
              <w:spacing w:after="0" w:line="131" w:lineRule="exact"/>
              <w:rPr>
                <w:sz w:val="20"/>
                <w:szCs w:val="20"/>
                <w:color w:val="auto"/>
              </w:rPr>
            </w:pPr>
            <w:r>
              <w:rPr>
                <w:rFonts w:ascii="Arial" w:cs="Arial" w:eastAsia="Arial" w:hAnsi="Arial"/>
                <w:sz w:val="14"/>
                <w:szCs w:val="14"/>
                <w:color w:val="auto"/>
              </w:rPr>
              <w:t>To make limited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Borders>
              <w:lef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Corporation</w:t>
            </w:r>
          </w:p>
        </w:tc>
        <w:tc>
          <w:tcPr>
            <w:tcW w:w="6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3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partner capital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Borders>
              <w:lef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3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contribution to Jarit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Borders>
              <w:lef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3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2"/>
              </w:rPr>
              <w:t>Instruments Inc &amp; Co.</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0" w:type="dxa"/>
            <w:vAlign w:val="bottom"/>
            <w:tcBorders>
              <w:left w:val="single" w:sz="8" w:color="CCEEFF"/>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212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20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KG</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0" w:type="dxa"/>
            <w:vAlign w:val="bottom"/>
          </w:tcPr>
          <w:p>
            <w:pPr>
              <w:spacing w:after="0" w:line="132" w:lineRule="exact"/>
              <w:rPr>
                <w:sz w:val="20"/>
                <w:szCs w:val="20"/>
                <w:color w:val="auto"/>
              </w:rPr>
            </w:pPr>
            <w:r>
              <w:rPr>
                <w:rFonts w:ascii="Arial" w:cs="Arial" w:eastAsia="Arial" w:hAnsi="Arial"/>
                <w:sz w:val="14"/>
                <w:szCs w:val="14"/>
                <w:color w:val="auto"/>
              </w:rPr>
              <w:t>Q</w:t>
            </w:r>
          </w:p>
        </w:tc>
        <w:tc>
          <w:tcPr>
            <w:tcW w:w="600" w:type="dxa"/>
            <w:vAlign w:val="bottom"/>
          </w:tcPr>
          <w:p>
            <w:pPr>
              <w:jc w:val="right"/>
              <w:ind w:right="12"/>
              <w:spacing w:after="0" w:line="132" w:lineRule="exact"/>
              <w:rPr>
                <w:sz w:val="20"/>
                <w:szCs w:val="20"/>
                <w:color w:val="auto"/>
              </w:rPr>
            </w:pPr>
            <w:r>
              <w:rPr>
                <w:rFonts w:ascii="Arial" w:cs="Arial" w:eastAsia="Arial" w:hAnsi="Arial"/>
                <w:sz w:val="14"/>
                <w:szCs w:val="14"/>
                <w:color w:val="auto"/>
                <w:w w:val="91"/>
              </w:rPr>
              <w:t>12.31.06</w:t>
            </w:r>
          </w:p>
        </w:tc>
        <w:tc>
          <w:tcPr>
            <w:tcW w:w="680" w:type="dxa"/>
            <w:vAlign w:val="bottom"/>
          </w:tcPr>
          <w:p>
            <w:pPr>
              <w:jc w:val="right"/>
              <w:ind w:right="12"/>
              <w:spacing w:after="0" w:line="132" w:lineRule="exact"/>
              <w:rPr>
                <w:sz w:val="20"/>
                <w:szCs w:val="20"/>
                <w:color w:val="auto"/>
              </w:rPr>
            </w:pPr>
            <w:r>
              <w:rPr>
                <w:rFonts w:ascii="Arial" w:cs="Arial" w:eastAsia="Arial" w:hAnsi="Arial"/>
                <w:sz w:val="14"/>
                <w:szCs w:val="14"/>
                <w:color w:val="auto"/>
              </w:rPr>
              <w:t>12.31.11</w:t>
            </w:r>
          </w:p>
        </w:tc>
        <w:tc>
          <w:tcPr>
            <w:tcW w:w="520" w:type="dxa"/>
            <w:vAlign w:val="bottom"/>
          </w:tcPr>
          <w:p>
            <w:pPr>
              <w:spacing w:after="0"/>
              <w:rPr>
                <w:sz w:val="11"/>
                <w:szCs w:val="11"/>
                <w:color w:val="auto"/>
              </w:rPr>
            </w:pPr>
          </w:p>
        </w:tc>
        <w:tc>
          <w:tcPr>
            <w:tcW w:w="2120" w:type="dxa"/>
            <w:vAlign w:val="bottom"/>
          </w:tcPr>
          <w:p>
            <w:pPr>
              <w:ind w:left="60"/>
              <w:spacing w:after="0" w:line="132" w:lineRule="exact"/>
              <w:rPr>
                <w:sz w:val="20"/>
                <w:szCs w:val="20"/>
                <w:color w:val="auto"/>
              </w:rPr>
            </w:pPr>
            <w:r>
              <w:rPr>
                <w:rFonts w:ascii="Arial" w:cs="Arial" w:eastAsia="Arial" w:hAnsi="Arial"/>
                <w:sz w:val="14"/>
                <w:szCs w:val="14"/>
                <w:color w:val="auto"/>
              </w:rPr>
              <w:t>Integra Radionics</w:t>
            </w:r>
          </w:p>
        </w:tc>
        <w:tc>
          <w:tcPr>
            <w:tcW w:w="460" w:type="dxa"/>
            <w:vAlign w:val="bottom"/>
          </w:tcPr>
          <w:p>
            <w:pPr>
              <w:jc w:val="right"/>
              <w:ind w:right="12"/>
              <w:spacing w:after="0" w:line="132" w:lineRule="exact"/>
              <w:rPr>
                <w:sz w:val="20"/>
                <w:szCs w:val="20"/>
                <w:color w:val="auto"/>
              </w:rPr>
            </w:pPr>
            <w:r>
              <w:rPr>
                <w:rFonts w:ascii="Arial" w:cs="Arial" w:eastAsia="Arial" w:hAnsi="Arial"/>
                <w:sz w:val="14"/>
                <w:szCs w:val="14"/>
                <w:color w:val="auto"/>
              </w:rPr>
              <w:t>1215</w:t>
            </w:r>
          </w:p>
        </w:tc>
        <w:tc>
          <w:tcPr>
            <w:tcW w:w="2060" w:type="dxa"/>
            <w:vAlign w:val="bottom"/>
          </w:tcPr>
          <w:p>
            <w:pPr>
              <w:ind w:left="80"/>
              <w:spacing w:after="0" w:line="132" w:lineRule="exact"/>
              <w:rPr>
                <w:sz w:val="20"/>
                <w:szCs w:val="20"/>
                <w:color w:val="auto"/>
              </w:rPr>
            </w:pPr>
            <w:r>
              <w:rPr>
                <w:rFonts w:ascii="Arial" w:cs="Arial" w:eastAsia="Arial" w:hAnsi="Arial"/>
                <w:sz w:val="14"/>
                <w:szCs w:val="14"/>
                <w:color w:val="auto"/>
                <w:w w:val="96"/>
              </w:rPr>
              <w:t>Integra LifeSciences Corporation</w:t>
            </w:r>
          </w:p>
        </w:tc>
        <w:tc>
          <w:tcPr>
            <w:tcW w:w="600" w:type="dxa"/>
            <w:vAlign w:val="bottom"/>
          </w:tcPr>
          <w:p>
            <w:pPr>
              <w:jc w:val="right"/>
              <w:ind w:right="112"/>
              <w:spacing w:after="0" w:line="132" w:lineRule="exact"/>
              <w:rPr>
                <w:sz w:val="20"/>
                <w:szCs w:val="20"/>
                <w:color w:val="auto"/>
              </w:rPr>
            </w:pPr>
            <w:r>
              <w:rPr>
                <w:rFonts w:ascii="Arial" w:cs="Arial" w:eastAsia="Arial" w:hAnsi="Arial"/>
                <w:sz w:val="14"/>
                <w:szCs w:val="14"/>
                <w:color w:val="auto"/>
              </w:rPr>
              <w:t>1115</w:t>
            </w:r>
          </w:p>
        </w:tc>
        <w:tc>
          <w:tcPr>
            <w:tcW w:w="540" w:type="dxa"/>
            <w:vAlign w:val="bottom"/>
          </w:tcPr>
          <w:p>
            <w:pPr>
              <w:jc w:val="right"/>
              <w:ind w:right="12"/>
              <w:spacing w:after="0" w:line="132" w:lineRule="exact"/>
              <w:rPr>
                <w:sz w:val="20"/>
                <w:szCs w:val="20"/>
                <w:color w:val="auto"/>
              </w:rPr>
            </w:pPr>
            <w:r>
              <w:rPr>
                <w:rFonts w:ascii="Arial" w:cs="Arial" w:eastAsia="Arial" w:hAnsi="Arial"/>
                <w:sz w:val="14"/>
                <w:szCs w:val="14"/>
                <w:color w:val="auto"/>
              </w:rPr>
              <w:t>USD</w:t>
            </w:r>
          </w:p>
        </w:tc>
        <w:tc>
          <w:tcPr>
            <w:tcW w:w="160" w:type="dxa"/>
            <w:vAlign w:val="bottom"/>
            <w:gridSpan w:val="2"/>
          </w:tcPr>
          <w:p>
            <w:pPr>
              <w:jc w:val="right"/>
              <w:spacing w:after="0" w:line="132"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32" w:lineRule="exact"/>
              <w:rPr>
                <w:sz w:val="20"/>
                <w:szCs w:val="20"/>
                <w:color w:val="auto"/>
              </w:rPr>
            </w:pPr>
            <w:r>
              <w:rPr>
                <w:rFonts w:ascii="Arial" w:cs="Arial" w:eastAsia="Arial" w:hAnsi="Arial"/>
                <w:sz w:val="14"/>
                <w:szCs w:val="14"/>
                <w:color w:val="auto"/>
              </w:rPr>
              <w:t>4,966,897.00</w:t>
            </w:r>
          </w:p>
        </w:tc>
        <w:tc>
          <w:tcPr>
            <w:tcW w:w="100" w:type="dxa"/>
            <w:vAlign w:val="bottom"/>
          </w:tcPr>
          <w:p>
            <w:pPr>
              <w:spacing w:after="0"/>
              <w:rPr>
                <w:sz w:val="11"/>
                <w:szCs w:val="11"/>
                <w:color w:val="auto"/>
              </w:rPr>
            </w:pPr>
          </w:p>
        </w:tc>
        <w:tc>
          <w:tcPr>
            <w:tcW w:w="1020" w:type="dxa"/>
            <w:vAlign w:val="bottom"/>
          </w:tcPr>
          <w:p>
            <w:pPr>
              <w:ind w:left="60"/>
              <w:spacing w:after="0" w:line="132" w:lineRule="exact"/>
              <w:rPr>
                <w:sz w:val="20"/>
                <w:szCs w:val="20"/>
                <w:color w:val="auto"/>
              </w:rPr>
            </w:pPr>
            <w:r>
              <w:rPr>
                <w:rFonts w:ascii="Arial" w:cs="Arial" w:eastAsia="Arial" w:hAnsi="Arial"/>
                <w:sz w:val="14"/>
                <w:szCs w:val="14"/>
                <w:color w:val="auto"/>
              </w:rPr>
              <w:t>7% annually</w:t>
            </w:r>
          </w:p>
        </w:tc>
        <w:tc>
          <w:tcPr>
            <w:tcW w:w="1320" w:type="dxa"/>
            <w:vAlign w:val="bottom"/>
          </w:tcPr>
          <w:p>
            <w:pPr>
              <w:ind w:left="60"/>
              <w:spacing w:after="0" w:line="132" w:lineRule="exact"/>
              <w:rPr>
                <w:sz w:val="20"/>
                <w:szCs w:val="20"/>
                <w:color w:val="auto"/>
              </w:rPr>
            </w:pPr>
            <w:r>
              <w:rPr>
                <w:rFonts w:ascii="Arial" w:cs="Arial" w:eastAsia="Arial" w:hAnsi="Arial"/>
                <w:sz w:val="14"/>
                <w:szCs w:val="14"/>
                <w:color w:val="auto"/>
              </w:rPr>
              <w:t>Interest due at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20" w:type="dxa"/>
            <w:vAlign w:val="bottom"/>
          </w:tcPr>
          <w:p>
            <w:pPr>
              <w:ind w:left="60"/>
              <w:spacing w:after="0" w:line="159" w:lineRule="exact"/>
              <w:rPr>
                <w:sz w:val="20"/>
                <w:szCs w:val="20"/>
                <w:color w:val="auto"/>
              </w:rPr>
            </w:pPr>
            <w:r>
              <w:rPr>
                <w:rFonts w:ascii="Arial" w:cs="Arial" w:eastAsia="Arial" w:hAnsi="Arial"/>
                <w:sz w:val="14"/>
                <w:szCs w:val="14"/>
                <w:color w:val="auto"/>
              </w:rPr>
              <w:t>Maturity.</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Borders>
              <w:lef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CB</w:t>
            </w: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1"/>
              </w:rPr>
              <w:t>05.07.07</w:t>
            </w:r>
          </w:p>
        </w:tc>
        <w:tc>
          <w:tcPr>
            <w:tcW w:w="6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05.07.12</w:t>
            </w:r>
          </w:p>
        </w:tc>
        <w:tc>
          <w:tcPr>
            <w:tcW w:w="520" w:type="dxa"/>
            <w:vAlign w:val="bottom"/>
            <w:shd w:val="clear" w:color="auto" w:fill="CCEEFF"/>
          </w:tcPr>
          <w:p>
            <w:pPr>
              <w:spacing w:after="0"/>
              <w:rPr>
                <w:sz w:val="12"/>
                <w:szCs w:val="12"/>
                <w:color w:val="auto"/>
              </w:rPr>
            </w:pPr>
          </w:p>
        </w:tc>
        <w:tc>
          <w:tcPr>
            <w:tcW w:w="21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Integra Radionics</w:t>
            </w: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1215</w:t>
            </w:r>
          </w:p>
        </w:tc>
        <w:tc>
          <w:tcPr>
            <w:tcW w:w="20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6"/>
              </w:rPr>
              <w:t>Integra LifeSciences Corporation</w:t>
            </w:r>
          </w:p>
        </w:tc>
        <w:tc>
          <w:tcPr>
            <w:tcW w:w="6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1115</w:t>
            </w: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USD</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30,000,000.00</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8"/>
              </w:rPr>
              <w:t>7.25% annually</w:t>
            </w:r>
          </w:p>
        </w:tc>
        <w:tc>
          <w:tcPr>
            <w:tcW w:w="13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Luxtec acquisition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Borders>
              <w:left w:val="single" w:sz="8" w:color="CCEEFF"/>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21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20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34,966,897.00</w:t>
            </w:r>
          </w:p>
        </w:tc>
        <w:tc>
          <w:tcPr>
            <w:tcW w:w="1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ind w:left="60"/>
              <w:spacing w:after="0" w:line="149" w:lineRule="exact"/>
              <w:rPr>
                <w:sz w:val="20"/>
                <w:szCs w:val="20"/>
                <w:color w:val="auto"/>
              </w:rPr>
            </w:pPr>
            <w:r>
              <w:rPr>
                <w:rFonts w:ascii="Arial" w:cs="Arial" w:eastAsia="Arial" w:hAnsi="Arial"/>
                <w:sz w:val="14"/>
                <w:szCs w:val="14"/>
                <w:color w:val="auto"/>
              </w:rPr>
              <w:t>subtotal</w:t>
            </w:r>
          </w:p>
        </w:tc>
        <w:tc>
          <w:tcPr>
            <w:tcW w:w="1320" w:type="dxa"/>
            <w:vAlign w:val="bottom"/>
            <w:tcBorders>
              <w:bottom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80" w:type="dxa"/>
            <w:vAlign w:val="bottom"/>
            <w:tcBorders>
              <w:lef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BN</w:t>
            </w:r>
          </w:p>
        </w:tc>
        <w:tc>
          <w:tcPr>
            <w:tcW w:w="60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1"/>
              </w:rPr>
              <w:t>03.30.09</w:t>
            </w:r>
          </w:p>
        </w:tc>
        <w:tc>
          <w:tcPr>
            <w:tcW w:w="6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03.30.14</w:t>
            </w:r>
          </w:p>
        </w:tc>
        <w:tc>
          <w:tcPr>
            <w:tcW w:w="520" w:type="dxa"/>
            <w:vAlign w:val="bottom"/>
            <w:shd w:val="clear" w:color="auto" w:fill="CCEEFF"/>
          </w:tcPr>
          <w:p>
            <w:pPr>
              <w:spacing w:after="0"/>
              <w:rPr>
                <w:sz w:val="11"/>
                <w:szCs w:val="11"/>
                <w:color w:val="auto"/>
              </w:rPr>
            </w:pPr>
          </w:p>
        </w:tc>
        <w:tc>
          <w:tcPr>
            <w:tcW w:w="21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Integra Luxtec</w:t>
            </w:r>
          </w:p>
        </w:tc>
        <w:tc>
          <w:tcPr>
            <w:tcW w:w="46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1245</w:t>
            </w:r>
          </w:p>
        </w:tc>
        <w:tc>
          <w:tcPr>
            <w:tcW w:w="206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Bimeco, Inc</w:t>
            </w:r>
          </w:p>
        </w:tc>
        <w:tc>
          <w:tcPr>
            <w:tcW w:w="600" w:type="dxa"/>
            <w:vAlign w:val="bottom"/>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rPr>
              <w:t>1255</w:t>
            </w:r>
          </w:p>
        </w:tc>
        <w:tc>
          <w:tcPr>
            <w:tcW w:w="54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USD</w:t>
            </w:r>
          </w:p>
        </w:tc>
        <w:tc>
          <w:tcPr>
            <w:tcW w:w="1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8,902.14</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11.5% Interest</w:t>
            </w:r>
          </w:p>
        </w:tc>
        <w:tc>
          <w:tcPr>
            <w:tcW w:w="13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w w:val="86"/>
              </w:rPr>
              <w:t>Interest due at maturity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Borders>
              <w:left w:val="single" w:sz="8" w:color="CCEEFF"/>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32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date.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 w:type="dxa"/>
            <w:vAlign w:val="bottom"/>
          </w:tcPr>
          <w:p>
            <w:pPr>
              <w:spacing w:after="0" w:line="138" w:lineRule="exact"/>
              <w:rPr>
                <w:sz w:val="20"/>
                <w:szCs w:val="20"/>
                <w:color w:val="auto"/>
              </w:rPr>
            </w:pPr>
            <w:r>
              <w:rPr>
                <w:rFonts w:ascii="Arial" w:cs="Arial" w:eastAsia="Arial" w:hAnsi="Arial"/>
                <w:sz w:val="14"/>
                <w:szCs w:val="14"/>
                <w:color w:val="auto"/>
              </w:rPr>
              <w:t>BO</w:t>
            </w:r>
          </w:p>
        </w:tc>
        <w:tc>
          <w:tcPr>
            <w:tcW w:w="60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1"/>
              </w:rPr>
              <w:t>03.30.09</w:t>
            </w:r>
          </w:p>
        </w:tc>
        <w:tc>
          <w:tcPr>
            <w:tcW w:w="680" w:type="dxa"/>
            <w:vAlign w:val="bottom"/>
          </w:tcPr>
          <w:p>
            <w:pPr>
              <w:jc w:val="right"/>
              <w:ind w:right="12"/>
              <w:spacing w:after="0" w:line="138" w:lineRule="exact"/>
              <w:rPr>
                <w:sz w:val="20"/>
                <w:szCs w:val="20"/>
                <w:color w:val="auto"/>
              </w:rPr>
            </w:pPr>
            <w:r>
              <w:rPr>
                <w:rFonts w:ascii="Arial" w:cs="Arial" w:eastAsia="Arial" w:hAnsi="Arial"/>
                <w:sz w:val="14"/>
                <w:szCs w:val="14"/>
                <w:color w:val="auto"/>
              </w:rPr>
              <w:t>03.30.14</w:t>
            </w:r>
          </w:p>
        </w:tc>
        <w:tc>
          <w:tcPr>
            <w:tcW w:w="520" w:type="dxa"/>
            <w:vAlign w:val="bottom"/>
          </w:tcPr>
          <w:p>
            <w:pPr>
              <w:spacing w:after="0"/>
              <w:rPr>
                <w:sz w:val="11"/>
                <w:szCs w:val="11"/>
                <w:color w:val="auto"/>
              </w:rPr>
            </w:pPr>
          </w:p>
        </w:tc>
        <w:tc>
          <w:tcPr>
            <w:tcW w:w="2120" w:type="dxa"/>
            <w:vAlign w:val="bottom"/>
          </w:tcPr>
          <w:p>
            <w:pPr>
              <w:ind w:left="60"/>
              <w:spacing w:after="0" w:line="138" w:lineRule="exact"/>
              <w:rPr>
                <w:sz w:val="20"/>
                <w:szCs w:val="20"/>
                <w:color w:val="auto"/>
              </w:rPr>
            </w:pPr>
            <w:r>
              <w:rPr>
                <w:rFonts w:ascii="Arial" w:cs="Arial" w:eastAsia="Arial" w:hAnsi="Arial"/>
                <w:sz w:val="14"/>
                <w:szCs w:val="14"/>
                <w:color w:val="auto"/>
              </w:rPr>
              <w:t>Integra Luxtec</w:t>
            </w:r>
          </w:p>
        </w:tc>
        <w:tc>
          <w:tcPr>
            <w:tcW w:w="460" w:type="dxa"/>
            <w:vAlign w:val="bottom"/>
          </w:tcPr>
          <w:p>
            <w:pPr>
              <w:jc w:val="right"/>
              <w:ind w:right="12"/>
              <w:spacing w:after="0" w:line="138" w:lineRule="exact"/>
              <w:rPr>
                <w:sz w:val="20"/>
                <w:szCs w:val="20"/>
                <w:color w:val="auto"/>
              </w:rPr>
            </w:pPr>
            <w:r>
              <w:rPr>
                <w:rFonts w:ascii="Arial" w:cs="Arial" w:eastAsia="Arial" w:hAnsi="Arial"/>
                <w:sz w:val="14"/>
                <w:szCs w:val="14"/>
                <w:color w:val="auto"/>
              </w:rPr>
              <w:t>1245</w:t>
            </w:r>
          </w:p>
        </w:tc>
        <w:tc>
          <w:tcPr>
            <w:tcW w:w="2060" w:type="dxa"/>
            <w:vAlign w:val="bottom"/>
          </w:tcPr>
          <w:p>
            <w:pPr>
              <w:ind w:left="80"/>
              <w:spacing w:after="0" w:line="138" w:lineRule="exact"/>
              <w:rPr>
                <w:sz w:val="20"/>
                <w:szCs w:val="20"/>
                <w:color w:val="auto"/>
              </w:rPr>
            </w:pPr>
            <w:r>
              <w:rPr>
                <w:rFonts w:ascii="Arial" w:cs="Arial" w:eastAsia="Arial" w:hAnsi="Arial"/>
                <w:sz w:val="14"/>
                <w:szCs w:val="14"/>
                <w:color w:val="auto"/>
              </w:rPr>
              <w:t>LXU Healthcare, Inc</w:t>
            </w:r>
          </w:p>
        </w:tc>
        <w:tc>
          <w:tcPr>
            <w:tcW w:w="600" w:type="dxa"/>
            <w:vAlign w:val="bottom"/>
          </w:tcPr>
          <w:p>
            <w:pPr>
              <w:jc w:val="right"/>
              <w:ind w:right="112"/>
              <w:spacing w:after="0" w:line="138" w:lineRule="exact"/>
              <w:rPr>
                <w:sz w:val="20"/>
                <w:szCs w:val="20"/>
                <w:color w:val="auto"/>
              </w:rPr>
            </w:pPr>
            <w:r>
              <w:rPr>
                <w:rFonts w:ascii="Arial" w:cs="Arial" w:eastAsia="Arial" w:hAnsi="Arial"/>
                <w:sz w:val="14"/>
                <w:szCs w:val="14"/>
                <w:color w:val="auto"/>
              </w:rPr>
              <w:t>1250</w:t>
            </w:r>
          </w:p>
        </w:tc>
        <w:tc>
          <w:tcPr>
            <w:tcW w:w="540" w:type="dxa"/>
            <w:vAlign w:val="bottom"/>
          </w:tcPr>
          <w:p>
            <w:pPr>
              <w:jc w:val="right"/>
              <w:ind w:right="12"/>
              <w:spacing w:after="0" w:line="138" w:lineRule="exact"/>
              <w:rPr>
                <w:sz w:val="20"/>
                <w:szCs w:val="20"/>
                <w:color w:val="auto"/>
              </w:rPr>
            </w:pPr>
            <w:r>
              <w:rPr>
                <w:rFonts w:ascii="Arial" w:cs="Arial" w:eastAsia="Arial" w:hAnsi="Arial"/>
                <w:sz w:val="14"/>
                <w:szCs w:val="14"/>
                <w:color w:val="auto"/>
              </w:rPr>
              <w:t>USD</w:t>
            </w:r>
          </w:p>
        </w:tc>
        <w:tc>
          <w:tcPr>
            <w:tcW w:w="1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38" w:lineRule="exact"/>
              <w:rPr>
                <w:sz w:val="20"/>
                <w:szCs w:val="20"/>
                <w:color w:val="auto"/>
              </w:rPr>
            </w:pPr>
            <w:r>
              <w:rPr>
                <w:rFonts w:ascii="Arial" w:cs="Arial" w:eastAsia="Arial" w:hAnsi="Arial"/>
                <w:sz w:val="14"/>
                <w:szCs w:val="14"/>
                <w:color w:val="auto"/>
              </w:rPr>
              <w:t>569,763.98</w:t>
            </w:r>
          </w:p>
        </w:tc>
        <w:tc>
          <w:tcPr>
            <w:tcW w:w="100" w:type="dxa"/>
            <w:vAlign w:val="bottom"/>
          </w:tcPr>
          <w:p>
            <w:pPr>
              <w:spacing w:after="0"/>
              <w:rPr>
                <w:sz w:val="11"/>
                <w:szCs w:val="11"/>
                <w:color w:val="auto"/>
              </w:rPr>
            </w:pPr>
          </w:p>
        </w:tc>
        <w:tc>
          <w:tcPr>
            <w:tcW w:w="1020" w:type="dxa"/>
            <w:vAlign w:val="bottom"/>
          </w:tcPr>
          <w:p>
            <w:pPr>
              <w:ind w:left="60"/>
              <w:spacing w:after="0" w:line="138" w:lineRule="exact"/>
              <w:rPr>
                <w:sz w:val="20"/>
                <w:szCs w:val="20"/>
                <w:color w:val="auto"/>
              </w:rPr>
            </w:pPr>
            <w:r>
              <w:rPr>
                <w:rFonts w:ascii="Arial" w:cs="Arial" w:eastAsia="Arial" w:hAnsi="Arial"/>
                <w:sz w:val="14"/>
                <w:szCs w:val="14"/>
                <w:color w:val="auto"/>
              </w:rPr>
              <w:t>11.5% Interest</w:t>
            </w:r>
          </w:p>
        </w:tc>
        <w:tc>
          <w:tcPr>
            <w:tcW w:w="1320" w:type="dxa"/>
            <w:vAlign w:val="bottom"/>
          </w:tcPr>
          <w:p>
            <w:pPr>
              <w:ind w:left="60"/>
              <w:spacing w:after="0" w:line="138" w:lineRule="exact"/>
              <w:rPr>
                <w:sz w:val="20"/>
                <w:szCs w:val="20"/>
                <w:color w:val="auto"/>
              </w:rPr>
            </w:pPr>
            <w:r>
              <w:rPr>
                <w:rFonts w:ascii="Arial" w:cs="Arial" w:eastAsia="Arial" w:hAnsi="Arial"/>
                <w:sz w:val="14"/>
                <w:szCs w:val="14"/>
                <w:color w:val="auto"/>
                <w:w w:val="86"/>
              </w:rPr>
              <w:t>Interest due at maturity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20" w:type="dxa"/>
            <w:vAlign w:val="bottom"/>
          </w:tcPr>
          <w:p>
            <w:pPr>
              <w:ind w:left="60"/>
              <w:spacing w:after="0" w:line="159" w:lineRule="exact"/>
              <w:rPr>
                <w:sz w:val="20"/>
                <w:szCs w:val="20"/>
                <w:color w:val="auto"/>
              </w:rPr>
            </w:pPr>
            <w:r>
              <w:rPr>
                <w:rFonts w:ascii="Arial" w:cs="Arial" w:eastAsia="Arial" w:hAnsi="Arial"/>
                <w:sz w:val="14"/>
                <w:szCs w:val="14"/>
                <w:color w:val="auto"/>
              </w:rPr>
              <w:t>date.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Borders>
              <w:lef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578,666.12</w:t>
            </w: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ind w:left="60"/>
              <w:spacing w:after="0" w:line="149" w:lineRule="exact"/>
              <w:rPr>
                <w:sz w:val="20"/>
                <w:szCs w:val="20"/>
                <w:color w:val="auto"/>
              </w:rPr>
            </w:pPr>
            <w:r>
              <w:rPr>
                <w:rFonts w:ascii="Arial" w:cs="Arial" w:eastAsia="Arial" w:hAnsi="Arial"/>
                <w:sz w:val="14"/>
                <w:szCs w:val="14"/>
                <w:color w:val="auto"/>
              </w:rPr>
              <w:t>subtotal</w:t>
            </w:r>
          </w:p>
        </w:tc>
        <w:tc>
          <w:tcPr>
            <w:tcW w:w="13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80" w:type="dxa"/>
            <w:vAlign w:val="bottom"/>
            <w:tcBorders>
              <w:lef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CH</w:t>
            </w:r>
          </w:p>
        </w:tc>
        <w:tc>
          <w:tcPr>
            <w:tcW w:w="6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w w:val="91"/>
              </w:rPr>
              <w:t>08.24.10</w:t>
            </w:r>
          </w:p>
        </w:tc>
        <w:tc>
          <w:tcPr>
            <w:tcW w:w="68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08.24.15</w:t>
            </w:r>
          </w:p>
        </w:tc>
        <w:tc>
          <w:tcPr>
            <w:tcW w:w="52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tcPr>
          <w:p>
            <w:pPr>
              <w:ind w:left="60"/>
              <w:spacing w:after="0" w:line="149" w:lineRule="exact"/>
              <w:rPr>
                <w:sz w:val="20"/>
                <w:szCs w:val="20"/>
                <w:color w:val="auto"/>
              </w:rPr>
            </w:pPr>
            <w:r>
              <w:rPr>
                <w:rFonts w:ascii="Arial" w:cs="Arial" w:eastAsia="Arial" w:hAnsi="Arial"/>
                <w:sz w:val="14"/>
                <w:szCs w:val="14"/>
                <w:color w:val="auto"/>
              </w:rPr>
              <w:t>Isotis Orthobiologics, Inc</w:t>
            </w:r>
          </w:p>
        </w:tc>
        <w:tc>
          <w:tcPr>
            <w:tcW w:w="46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1260</w:t>
            </w:r>
          </w:p>
        </w:tc>
        <w:tc>
          <w:tcPr>
            <w:tcW w:w="2060" w:type="dxa"/>
            <w:vAlign w:val="bottom"/>
            <w:tcBorders>
              <w:bottom w:val="single" w:sz="8" w:color="auto"/>
            </w:tcBorders>
          </w:tcPr>
          <w:p>
            <w:pPr>
              <w:ind w:left="80"/>
              <w:spacing w:after="0" w:line="149" w:lineRule="exact"/>
              <w:rPr>
                <w:sz w:val="20"/>
                <w:szCs w:val="20"/>
                <w:color w:val="auto"/>
              </w:rPr>
            </w:pPr>
            <w:r>
              <w:rPr>
                <w:rFonts w:ascii="Arial" w:cs="Arial" w:eastAsia="Arial" w:hAnsi="Arial"/>
                <w:sz w:val="14"/>
                <w:szCs w:val="14"/>
                <w:color w:val="auto"/>
              </w:rPr>
              <w:t>Isotis International SA</w:t>
            </w:r>
          </w:p>
        </w:tc>
        <w:tc>
          <w:tcPr>
            <w:tcW w:w="60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4710</w:t>
            </w:r>
          </w:p>
        </w:tc>
        <w:tc>
          <w:tcPr>
            <w:tcW w:w="54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USD</w:t>
            </w:r>
          </w:p>
        </w:tc>
        <w:tc>
          <w:tcPr>
            <w:tcW w:w="16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3,100,000.00</w:t>
            </w: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ind w:left="60"/>
              <w:spacing w:after="0" w:line="149" w:lineRule="exact"/>
              <w:rPr>
                <w:sz w:val="20"/>
                <w:szCs w:val="20"/>
                <w:color w:val="auto"/>
              </w:rPr>
            </w:pPr>
            <w:r>
              <w:rPr>
                <w:rFonts w:ascii="Arial" w:cs="Arial" w:eastAsia="Arial" w:hAnsi="Arial"/>
                <w:sz w:val="14"/>
                <w:szCs w:val="14"/>
                <w:color w:val="auto"/>
              </w:rPr>
              <w:t>5.4% annually</w:t>
            </w:r>
          </w:p>
        </w:tc>
        <w:tc>
          <w:tcPr>
            <w:tcW w:w="13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80" w:type="dxa"/>
            <w:vAlign w:val="bottom"/>
            <w:tcBorders>
              <w:left w:val="single" w:sz="8" w:color="CCEEFF"/>
            </w:tcBorders>
            <w:shd w:val="clear" w:color="auto" w:fill="CCEEFF"/>
          </w:tcPr>
          <w:p>
            <w:pPr>
              <w:spacing w:after="0" w:line="131" w:lineRule="exact"/>
              <w:rPr>
                <w:sz w:val="20"/>
                <w:szCs w:val="20"/>
                <w:color w:val="auto"/>
              </w:rPr>
            </w:pPr>
            <w:r>
              <w:rPr>
                <w:rFonts w:ascii="Arial" w:cs="Arial" w:eastAsia="Arial" w:hAnsi="Arial"/>
                <w:sz w:val="14"/>
                <w:szCs w:val="14"/>
                <w:color w:val="auto"/>
              </w:rPr>
              <w:t>AP</w:t>
            </w:r>
          </w:p>
        </w:tc>
        <w:tc>
          <w:tcPr>
            <w:tcW w:w="600" w:type="dxa"/>
            <w:vAlign w:val="bottom"/>
            <w:shd w:val="clear" w:color="auto" w:fill="CCEEFF"/>
          </w:tcPr>
          <w:p>
            <w:pPr>
              <w:jc w:val="right"/>
              <w:ind w:right="12"/>
              <w:spacing w:after="0" w:line="131" w:lineRule="exact"/>
              <w:rPr>
                <w:sz w:val="20"/>
                <w:szCs w:val="20"/>
                <w:color w:val="auto"/>
              </w:rPr>
            </w:pPr>
            <w:r>
              <w:rPr>
                <w:rFonts w:ascii="Arial" w:cs="Arial" w:eastAsia="Arial" w:hAnsi="Arial"/>
                <w:sz w:val="14"/>
                <w:szCs w:val="14"/>
                <w:color w:val="auto"/>
                <w:w w:val="91"/>
              </w:rPr>
              <w:t>08.01.08</w:t>
            </w:r>
          </w:p>
        </w:tc>
        <w:tc>
          <w:tcPr>
            <w:tcW w:w="680" w:type="dxa"/>
            <w:vAlign w:val="bottom"/>
            <w:shd w:val="clear" w:color="auto" w:fill="CCEEFF"/>
          </w:tcPr>
          <w:p>
            <w:pPr>
              <w:jc w:val="right"/>
              <w:ind w:right="12"/>
              <w:spacing w:after="0" w:line="131" w:lineRule="exact"/>
              <w:rPr>
                <w:sz w:val="20"/>
                <w:szCs w:val="20"/>
                <w:color w:val="auto"/>
              </w:rPr>
            </w:pPr>
            <w:r>
              <w:rPr>
                <w:rFonts w:ascii="Arial" w:cs="Arial" w:eastAsia="Arial" w:hAnsi="Arial"/>
                <w:sz w:val="14"/>
                <w:szCs w:val="14"/>
                <w:color w:val="auto"/>
              </w:rPr>
              <w:t>08.01.13</w:t>
            </w:r>
          </w:p>
        </w:tc>
        <w:tc>
          <w:tcPr>
            <w:tcW w:w="520" w:type="dxa"/>
            <w:vAlign w:val="bottom"/>
            <w:shd w:val="clear" w:color="auto" w:fill="CCEEFF"/>
          </w:tcPr>
          <w:p>
            <w:pPr>
              <w:spacing w:after="0"/>
              <w:rPr>
                <w:sz w:val="11"/>
                <w:szCs w:val="11"/>
                <w:color w:val="auto"/>
              </w:rPr>
            </w:pPr>
          </w:p>
        </w:tc>
        <w:tc>
          <w:tcPr>
            <w:tcW w:w="2120" w:type="dxa"/>
            <w:vAlign w:val="bottom"/>
            <w:shd w:val="clear" w:color="auto" w:fill="CCEEFF"/>
          </w:tcPr>
          <w:p>
            <w:pPr>
              <w:ind w:left="60"/>
              <w:spacing w:after="0" w:line="131" w:lineRule="exact"/>
              <w:rPr>
                <w:sz w:val="20"/>
                <w:szCs w:val="20"/>
                <w:color w:val="auto"/>
              </w:rPr>
            </w:pPr>
            <w:r>
              <w:rPr>
                <w:rFonts w:ascii="Arial" w:cs="Arial" w:eastAsia="Arial" w:hAnsi="Arial"/>
                <w:sz w:val="14"/>
                <w:szCs w:val="14"/>
                <w:color w:val="auto"/>
              </w:rPr>
              <w:t>Theken Spine, LLC</w:t>
            </w:r>
          </w:p>
        </w:tc>
        <w:tc>
          <w:tcPr>
            <w:tcW w:w="460" w:type="dxa"/>
            <w:vAlign w:val="bottom"/>
            <w:shd w:val="clear" w:color="auto" w:fill="CCEEFF"/>
          </w:tcPr>
          <w:p>
            <w:pPr>
              <w:jc w:val="right"/>
              <w:ind w:right="12"/>
              <w:spacing w:after="0" w:line="131" w:lineRule="exact"/>
              <w:rPr>
                <w:sz w:val="20"/>
                <w:szCs w:val="20"/>
                <w:color w:val="auto"/>
              </w:rPr>
            </w:pPr>
            <w:r>
              <w:rPr>
                <w:rFonts w:ascii="Arial" w:cs="Arial" w:eastAsia="Arial" w:hAnsi="Arial"/>
                <w:sz w:val="14"/>
                <w:szCs w:val="14"/>
                <w:color w:val="auto"/>
              </w:rPr>
              <w:t>1285</w:t>
            </w:r>
          </w:p>
        </w:tc>
        <w:tc>
          <w:tcPr>
            <w:tcW w:w="2060" w:type="dxa"/>
            <w:vAlign w:val="bottom"/>
            <w:shd w:val="clear" w:color="auto" w:fill="CCEEFF"/>
          </w:tcPr>
          <w:p>
            <w:pPr>
              <w:ind w:left="80"/>
              <w:spacing w:after="0" w:line="131" w:lineRule="exact"/>
              <w:rPr>
                <w:sz w:val="20"/>
                <w:szCs w:val="20"/>
                <w:color w:val="auto"/>
              </w:rPr>
            </w:pPr>
            <w:r>
              <w:rPr>
                <w:rFonts w:ascii="Arial" w:cs="Arial" w:eastAsia="Arial" w:hAnsi="Arial"/>
                <w:sz w:val="14"/>
                <w:szCs w:val="14"/>
                <w:color w:val="auto"/>
                <w:w w:val="96"/>
              </w:rPr>
              <w:t>Integra LifeSciences Corporation</w:t>
            </w:r>
          </w:p>
        </w:tc>
        <w:tc>
          <w:tcPr>
            <w:tcW w:w="600" w:type="dxa"/>
            <w:vAlign w:val="bottom"/>
            <w:shd w:val="clear" w:color="auto" w:fill="CCEEFF"/>
          </w:tcPr>
          <w:p>
            <w:pPr>
              <w:jc w:val="right"/>
              <w:ind w:right="112"/>
              <w:spacing w:after="0" w:line="131" w:lineRule="exact"/>
              <w:rPr>
                <w:sz w:val="20"/>
                <w:szCs w:val="20"/>
                <w:color w:val="auto"/>
              </w:rPr>
            </w:pPr>
            <w:r>
              <w:rPr>
                <w:rFonts w:ascii="Arial" w:cs="Arial" w:eastAsia="Arial" w:hAnsi="Arial"/>
                <w:sz w:val="14"/>
                <w:szCs w:val="14"/>
                <w:color w:val="auto"/>
              </w:rPr>
              <w:t>1115</w:t>
            </w:r>
          </w:p>
        </w:tc>
        <w:tc>
          <w:tcPr>
            <w:tcW w:w="540" w:type="dxa"/>
            <w:vAlign w:val="bottom"/>
            <w:shd w:val="clear" w:color="auto" w:fill="CCEEFF"/>
          </w:tcPr>
          <w:p>
            <w:pPr>
              <w:jc w:val="right"/>
              <w:ind w:right="12"/>
              <w:spacing w:after="0" w:line="131" w:lineRule="exact"/>
              <w:rPr>
                <w:sz w:val="20"/>
                <w:szCs w:val="20"/>
                <w:color w:val="auto"/>
              </w:rPr>
            </w:pPr>
            <w:r>
              <w:rPr>
                <w:rFonts w:ascii="Arial" w:cs="Arial" w:eastAsia="Arial" w:hAnsi="Arial"/>
                <w:sz w:val="14"/>
                <w:szCs w:val="14"/>
                <w:color w:val="auto"/>
              </w:rPr>
              <w:t>USD</w:t>
            </w:r>
          </w:p>
        </w:tc>
        <w:tc>
          <w:tcPr>
            <w:tcW w:w="16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w w:val="91"/>
              </w:rPr>
              <w:t>75,000,000.00</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ind w:left="60"/>
              <w:spacing w:after="0" w:line="131" w:lineRule="exact"/>
              <w:rPr>
                <w:sz w:val="20"/>
                <w:szCs w:val="20"/>
                <w:color w:val="auto"/>
              </w:rPr>
            </w:pPr>
            <w:r>
              <w:rPr>
                <w:rFonts w:ascii="Arial" w:cs="Arial" w:eastAsia="Arial" w:hAnsi="Arial"/>
                <w:sz w:val="14"/>
                <w:szCs w:val="14"/>
                <w:color w:val="auto"/>
              </w:rPr>
              <w:t>8.5% Interest</w:t>
            </w:r>
          </w:p>
        </w:tc>
        <w:tc>
          <w:tcPr>
            <w:tcW w:w="1320" w:type="dxa"/>
            <w:vAlign w:val="bottom"/>
            <w:shd w:val="clear" w:color="auto" w:fill="CCEEFF"/>
          </w:tcPr>
          <w:p>
            <w:pPr>
              <w:ind w:left="60"/>
              <w:spacing w:after="0" w:line="131" w:lineRule="exact"/>
              <w:rPr>
                <w:sz w:val="20"/>
                <w:szCs w:val="20"/>
                <w:color w:val="auto"/>
              </w:rPr>
            </w:pPr>
            <w:r>
              <w:rPr>
                <w:rFonts w:ascii="Arial" w:cs="Arial" w:eastAsia="Arial" w:hAnsi="Arial"/>
                <w:sz w:val="14"/>
                <w:szCs w:val="14"/>
                <w:color w:val="auto"/>
                <w:w w:val="86"/>
              </w:rPr>
              <w:t>Interest due at maturity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Borders>
              <w:left w:val="single" w:sz="8" w:color="CCEEFF"/>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32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date.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 w:type="dxa"/>
            <w:vAlign w:val="bottom"/>
          </w:tcPr>
          <w:p>
            <w:pPr>
              <w:spacing w:after="0" w:line="138" w:lineRule="exact"/>
              <w:rPr>
                <w:sz w:val="20"/>
                <w:szCs w:val="20"/>
                <w:color w:val="auto"/>
              </w:rPr>
            </w:pPr>
            <w:r>
              <w:rPr>
                <w:rFonts w:ascii="Arial" w:cs="Arial" w:eastAsia="Arial" w:hAnsi="Arial"/>
                <w:sz w:val="14"/>
                <w:szCs w:val="14"/>
                <w:color w:val="auto"/>
              </w:rPr>
              <w:t>BL</w:t>
            </w:r>
          </w:p>
        </w:tc>
        <w:tc>
          <w:tcPr>
            <w:tcW w:w="60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1"/>
              </w:rPr>
              <w:t>02.10.09</w:t>
            </w:r>
          </w:p>
        </w:tc>
        <w:tc>
          <w:tcPr>
            <w:tcW w:w="680" w:type="dxa"/>
            <w:vAlign w:val="bottom"/>
          </w:tcPr>
          <w:p>
            <w:pPr>
              <w:jc w:val="right"/>
              <w:ind w:right="12"/>
              <w:spacing w:after="0" w:line="138" w:lineRule="exact"/>
              <w:rPr>
                <w:sz w:val="20"/>
                <w:szCs w:val="20"/>
                <w:color w:val="auto"/>
              </w:rPr>
            </w:pPr>
            <w:r>
              <w:rPr>
                <w:rFonts w:ascii="Arial" w:cs="Arial" w:eastAsia="Arial" w:hAnsi="Arial"/>
                <w:sz w:val="14"/>
                <w:szCs w:val="14"/>
                <w:color w:val="auto"/>
              </w:rPr>
              <w:t>02.10.14</w:t>
            </w:r>
          </w:p>
        </w:tc>
        <w:tc>
          <w:tcPr>
            <w:tcW w:w="520" w:type="dxa"/>
            <w:vAlign w:val="bottom"/>
          </w:tcPr>
          <w:p>
            <w:pPr>
              <w:spacing w:after="0"/>
              <w:rPr>
                <w:sz w:val="11"/>
                <w:szCs w:val="11"/>
                <w:color w:val="auto"/>
              </w:rPr>
            </w:pPr>
          </w:p>
        </w:tc>
        <w:tc>
          <w:tcPr>
            <w:tcW w:w="2120" w:type="dxa"/>
            <w:vAlign w:val="bottom"/>
          </w:tcPr>
          <w:p>
            <w:pPr>
              <w:ind w:left="60"/>
              <w:spacing w:after="0" w:line="138" w:lineRule="exact"/>
              <w:rPr>
                <w:sz w:val="20"/>
                <w:szCs w:val="20"/>
                <w:color w:val="auto"/>
              </w:rPr>
            </w:pPr>
            <w:r>
              <w:rPr>
                <w:rFonts w:ascii="Arial" w:cs="Arial" w:eastAsia="Arial" w:hAnsi="Arial"/>
                <w:sz w:val="14"/>
                <w:szCs w:val="14"/>
                <w:color w:val="auto"/>
              </w:rPr>
              <w:t>Theken Spine LLC</w:t>
            </w:r>
          </w:p>
        </w:tc>
        <w:tc>
          <w:tcPr>
            <w:tcW w:w="460" w:type="dxa"/>
            <w:vAlign w:val="bottom"/>
          </w:tcPr>
          <w:p>
            <w:pPr>
              <w:jc w:val="right"/>
              <w:ind w:right="12"/>
              <w:spacing w:after="0" w:line="138" w:lineRule="exact"/>
              <w:rPr>
                <w:sz w:val="20"/>
                <w:szCs w:val="20"/>
                <w:color w:val="auto"/>
              </w:rPr>
            </w:pPr>
            <w:r>
              <w:rPr>
                <w:rFonts w:ascii="Arial" w:cs="Arial" w:eastAsia="Arial" w:hAnsi="Arial"/>
                <w:sz w:val="14"/>
                <w:szCs w:val="14"/>
                <w:color w:val="auto"/>
              </w:rPr>
              <w:t>1285</w:t>
            </w:r>
          </w:p>
        </w:tc>
        <w:tc>
          <w:tcPr>
            <w:tcW w:w="2060" w:type="dxa"/>
            <w:vAlign w:val="bottom"/>
          </w:tcPr>
          <w:p>
            <w:pPr>
              <w:ind w:left="80"/>
              <w:spacing w:after="0" w:line="138" w:lineRule="exact"/>
              <w:rPr>
                <w:sz w:val="20"/>
                <w:szCs w:val="20"/>
                <w:color w:val="auto"/>
              </w:rPr>
            </w:pPr>
            <w:r>
              <w:rPr>
                <w:rFonts w:ascii="Arial" w:cs="Arial" w:eastAsia="Arial" w:hAnsi="Arial"/>
                <w:sz w:val="14"/>
                <w:szCs w:val="14"/>
                <w:color w:val="auto"/>
                <w:w w:val="96"/>
              </w:rPr>
              <w:t>Integra LifeSciences Corporation</w:t>
            </w:r>
          </w:p>
        </w:tc>
        <w:tc>
          <w:tcPr>
            <w:tcW w:w="600" w:type="dxa"/>
            <w:vAlign w:val="bottom"/>
          </w:tcPr>
          <w:p>
            <w:pPr>
              <w:jc w:val="right"/>
              <w:ind w:right="112"/>
              <w:spacing w:after="0" w:line="138" w:lineRule="exact"/>
              <w:rPr>
                <w:sz w:val="20"/>
                <w:szCs w:val="20"/>
                <w:color w:val="auto"/>
              </w:rPr>
            </w:pPr>
            <w:r>
              <w:rPr>
                <w:rFonts w:ascii="Arial" w:cs="Arial" w:eastAsia="Arial" w:hAnsi="Arial"/>
                <w:sz w:val="14"/>
                <w:szCs w:val="14"/>
                <w:color w:val="auto"/>
              </w:rPr>
              <w:t>1115</w:t>
            </w:r>
          </w:p>
        </w:tc>
        <w:tc>
          <w:tcPr>
            <w:tcW w:w="540" w:type="dxa"/>
            <w:vAlign w:val="bottom"/>
          </w:tcPr>
          <w:p>
            <w:pPr>
              <w:jc w:val="right"/>
              <w:ind w:right="12"/>
              <w:spacing w:after="0" w:line="138" w:lineRule="exact"/>
              <w:rPr>
                <w:sz w:val="20"/>
                <w:szCs w:val="20"/>
                <w:color w:val="auto"/>
              </w:rPr>
            </w:pPr>
            <w:r>
              <w:rPr>
                <w:rFonts w:ascii="Arial" w:cs="Arial" w:eastAsia="Arial" w:hAnsi="Arial"/>
                <w:sz w:val="14"/>
                <w:szCs w:val="14"/>
                <w:color w:val="auto"/>
              </w:rPr>
              <w:t>USD</w:t>
            </w:r>
          </w:p>
        </w:tc>
        <w:tc>
          <w:tcPr>
            <w:tcW w:w="1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38" w:lineRule="exact"/>
              <w:rPr>
                <w:sz w:val="20"/>
                <w:szCs w:val="20"/>
                <w:color w:val="auto"/>
              </w:rPr>
            </w:pPr>
            <w:r>
              <w:rPr>
                <w:rFonts w:ascii="Arial" w:cs="Arial" w:eastAsia="Arial" w:hAnsi="Arial"/>
                <w:sz w:val="14"/>
                <w:szCs w:val="14"/>
                <w:color w:val="auto"/>
              </w:rPr>
              <w:t>3,924,467.94</w:t>
            </w:r>
          </w:p>
        </w:tc>
        <w:tc>
          <w:tcPr>
            <w:tcW w:w="100" w:type="dxa"/>
            <w:vAlign w:val="bottom"/>
          </w:tcPr>
          <w:p>
            <w:pPr>
              <w:spacing w:after="0"/>
              <w:rPr>
                <w:sz w:val="11"/>
                <w:szCs w:val="11"/>
                <w:color w:val="auto"/>
              </w:rPr>
            </w:pPr>
          </w:p>
        </w:tc>
        <w:tc>
          <w:tcPr>
            <w:tcW w:w="1020" w:type="dxa"/>
            <w:vAlign w:val="bottom"/>
          </w:tcPr>
          <w:p>
            <w:pPr>
              <w:ind w:left="60"/>
              <w:spacing w:after="0" w:line="138" w:lineRule="exact"/>
              <w:rPr>
                <w:sz w:val="20"/>
                <w:szCs w:val="20"/>
                <w:color w:val="auto"/>
              </w:rPr>
            </w:pPr>
            <w:r>
              <w:rPr>
                <w:rFonts w:ascii="Arial" w:cs="Arial" w:eastAsia="Arial" w:hAnsi="Arial"/>
                <w:sz w:val="14"/>
                <w:szCs w:val="14"/>
                <w:color w:val="auto"/>
              </w:rPr>
              <w:t>11.5% Interest</w:t>
            </w:r>
          </w:p>
        </w:tc>
        <w:tc>
          <w:tcPr>
            <w:tcW w:w="1320" w:type="dxa"/>
            <w:vAlign w:val="bottom"/>
          </w:tcPr>
          <w:p>
            <w:pPr>
              <w:ind w:left="60"/>
              <w:spacing w:after="0" w:line="138" w:lineRule="exact"/>
              <w:rPr>
                <w:sz w:val="20"/>
                <w:szCs w:val="20"/>
                <w:color w:val="auto"/>
              </w:rPr>
            </w:pPr>
            <w:r>
              <w:rPr>
                <w:rFonts w:ascii="Arial" w:cs="Arial" w:eastAsia="Arial" w:hAnsi="Arial"/>
                <w:sz w:val="14"/>
                <w:szCs w:val="14"/>
                <w:color w:val="auto"/>
              </w:rPr>
              <w:t>Theken working</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20" w:type="dxa"/>
            <w:vAlign w:val="bottom"/>
          </w:tcPr>
          <w:p>
            <w:pPr>
              <w:ind w:left="60"/>
              <w:spacing w:after="0" w:line="159" w:lineRule="exact"/>
              <w:rPr>
                <w:sz w:val="20"/>
                <w:szCs w:val="20"/>
                <w:color w:val="auto"/>
              </w:rPr>
            </w:pPr>
            <w:r>
              <w:rPr>
                <w:rFonts w:ascii="Arial" w:cs="Arial" w:eastAsia="Arial" w:hAnsi="Arial"/>
                <w:sz w:val="14"/>
                <w:szCs w:val="14"/>
                <w:color w:val="auto"/>
              </w:rPr>
              <w:t>capital adjustment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Borders>
              <w:lef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BR</w:t>
            </w: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1"/>
              </w:rPr>
              <w:t>09.11.09</w:t>
            </w:r>
          </w:p>
        </w:tc>
        <w:tc>
          <w:tcPr>
            <w:tcW w:w="6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09.11.14</w:t>
            </w:r>
          </w:p>
        </w:tc>
        <w:tc>
          <w:tcPr>
            <w:tcW w:w="520" w:type="dxa"/>
            <w:vAlign w:val="bottom"/>
            <w:shd w:val="clear" w:color="auto" w:fill="CCEEFF"/>
          </w:tcPr>
          <w:p>
            <w:pPr>
              <w:spacing w:after="0"/>
              <w:rPr>
                <w:sz w:val="12"/>
                <w:szCs w:val="12"/>
                <w:color w:val="auto"/>
              </w:rPr>
            </w:pPr>
          </w:p>
        </w:tc>
        <w:tc>
          <w:tcPr>
            <w:tcW w:w="21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Theken Spine LLC</w:t>
            </w: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1285</w:t>
            </w:r>
          </w:p>
        </w:tc>
        <w:tc>
          <w:tcPr>
            <w:tcW w:w="20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6"/>
              </w:rPr>
              <w:t>Integra LifeSciences Corporation</w:t>
            </w:r>
          </w:p>
        </w:tc>
        <w:tc>
          <w:tcPr>
            <w:tcW w:w="6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1115</w:t>
            </w: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USD</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9,270,001.53</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8"/>
              </w:rPr>
              <w:t>7.25% annually</w:t>
            </w:r>
          </w:p>
        </w:tc>
        <w:tc>
          <w:tcPr>
            <w:tcW w:w="13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Purchase of IST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 w:type="dxa"/>
            <w:vAlign w:val="bottom"/>
          </w:tcPr>
          <w:p>
            <w:pPr>
              <w:spacing w:after="0" w:line="138" w:lineRule="exact"/>
              <w:rPr>
                <w:sz w:val="20"/>
                <w:szCs w:val="20"/>
                <w:color w:val="auto"/>
              </w:rPr>
            </w:pPr>
            <w:r>
              <w:rPr>
                <w:rFonts w:ascii="Arial" w:cs="Arial" w:eastAsia="Arial" w:hAnsi="Arial"/>
                <w:sz w:val="14"/>
                <w:szCs w:val="14"/>
                <w:color w:val="auto"/>
              </w:rPr>
              <w:t>BT</w:t>
            </w:r>
          </w:p>
        </w:tc>
        <w:tc>
          <w:tcPr>
            <w:tcW w:w="60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1"/>
              </w:rPr>
              <w:t>09.11.09</w:t>
            </w:r>
          </w:p>
        </w:tc>
        <w:tc>
          <w:tcPr>
            <w:tcW w:w="680" w:type="dxa"/>
            <w:vAlign w:val="bottom"/>
          </w:tcPr>
          <w:p>
            <w:pPr>
              <w:jc w:val="right"/>
              <w:ind w:right="12"/>
              <w:spacing w:after="0" w:line="138" w:lineRule="exact"/>
              <w:rPr>
                <w:sz w:val="20"/>
                <w:szCs w:val="20"/>
                <w:color w:val="auto"/>
              </w:rPr>
            </w:pPr>
            <w:r>
              <w:rPr>
                <w:rFonts w:ascii="Arial" w:cs="Arial" w:eastAsia="Arial" w:hAnsi="Arial"/>
                <w:sz w:val="14"/>
                <w:szCs w:val="14"/>
                <w:color w:val="auto"/>
              </w:rPr>
              <w:t>09.11.14</w:t>
            </w:r>
          </w:p>
        </w:tc>
        <w:tc>
          <w:tcPr>
            <w:tcW w:w="520" w:type="dxa"/>
            <w:vAlign w:val="bottom"/>
          </w:tcPr>
          <w:p>
            <w:pPr>
              <w:spacing w:after="0"/>
              <w:rPr>
                <w:sz w:val="11"/>
                <w:szCs w:val="11"/>
                <w:color w:val="auto"/>
              </w:rPr>
            </w:pPr>
          </w:p>
        </w:tc>
        <w:tc>
          <w:tcPr>
            <w:tcW w:w="2120" w:type="dxa"/>
            <w:vAlign w:val="bottom"/>
          </w:tcPr>
          <w:p>
            <w:pPr>
              <w:ind w:left="60"/>
              <w:spacing w:after="0" w:line="138" w:lineRule="exact"/>
              <w:rPr>
                <w:sz w:val="20"/>
                <w:szCs w:val="20"/>
                <w:color w:val="auto"/>
              </w:rPr>
            </w:pPr>
            <w:r>
              <w:rPr>
                <w:rFonts w:ascii="Arial" w:cs="Arial" w:eastAsia="Arial" w:hAnsi="Arial"/>
                <w:sz w:val="14"/>
                <w:szCs w:val="14"/>
                <w:color w:val="auto"/>
              </w:rPr>
              <w:t>Theken Spine LLC</w:t>
            </w:r>
          </w:p>
        </w:tc>
        <w:tc>
          <w:tcPr>
            <w:tcW w:w="460" w:type="dxa"/>
            <w:vAlign w:val="bottom"/>
          </w:tcPr>
          <w:p>
            <w:pPr>
              <w:jc w:val="right"/>
              <w:ind w:right="12"/>
              <w:spacing w:after="0" w:line="138" w:lineRule="exact"/>
              <w:rPr>
                <w:sz w:val="20"/>
                <w:szCs w:val="20"/>
                <w:color w:val="auto"/>
              </w:rPr>
            </w:pPr>
            <w:r>
              <w:rPr>
                <w:rFonts w:ascii="Arial" w:cs="Arial" w:eastAsia="Arial" w:hAnsi="Arial"/>
                <w:sz w:val="14"/>
                <w:szCs w:val="14"/>
                <w:color w:val="auto"/>
              </w:rPr>
              <w:t>1285</w:t>
            </w:r>
          </w:p>
        </w:tc>
        <w:tc>
          <w:tcPr>
            <w:tcW w:w="2060" w:type="dxa"/>
            <w:vAlign w:val="bottom"/>
          </w:tcPr>
          <w:p>
            <w:pPr>
              <w:ind w:left="80"/>
              <w:spacing w:after="0" w:line="138" w:lineRule="exact"/>
              <w:rPr>
                <w:sz w:val="20"/>
                <w:szCs w:val="20"/>
                <w:color w:val="auto"/>
              </w:rPr>
            </w:pPr>
            <w:r>
              <w:rPr>
                <w:rFonts w:ascii="Arial" w:cs="Arial" w:eastAsia="Arial" w:hAnsi="Arial"/>
                <w:sz w:val="14"/>
                <w:szCs w:val="14"/>
                <w:color w:val="auto"/>
                <w:w w:val="96"/>
              </w:rPr>
              <w:t>Integra LifeSciences Corporation</w:t>
            </w:r>
          </w:p>
        </w:tc>
        <w:tc>
          <w:tcPr>
            <w:tcW w:w="600" w:type="dxa"/>
            <w:vAlign w:val="bottom"/>
          </w:tcPr>
          <w:p>
            <w:pPr>
              <w:jc w:val="right"/>
              <w:ind w:right="112"/>
              <w:spacing w:after="0" w:line="138" w:lineRule="exact"/>
              <w:rPr>
                <w:sz w:val="20"/>
                <w:szCs w:val="20"/>
                <w:color w:val="auto"/>
              </w:rPr>
            </w:pPr>
            <w:r>
              <w:rPr>
                <w:rFonts w:ascii="Arial" w:cs="Arial" w:eastAsia="Arial" w:hAnsi="Arial"/>
                <w:sz w:val="14"/>
                <w:szCs w:val="14"/>
                <w:color w:val="auto"/>
              </w:rPr>
              <w:t>1115</w:t>
            </w:r>
          </w:p>
        </w:tc>
        <w:tc>
          <w:tcPr>
            <w:tcW w:w="540" w:type="dxa"/>
            <w:vAlign w:val="bottom"/>
          </w:tcPr>
          <w:p>
            <w:pPr>
              <w:jc w:val="right"/>
              <w:ind w:right="12"/>
              <w:spacing w:after="0" w:line="138" w:lineRule="exact"/>
              <w:rPr>
                <w:sz w:val="20"/>
                <w:szCs w:val="20"/>
                <w:color w:val="auto"/>
              </w:rPr>
            </w:pPr>
            <w:r>
              <w:rPr>
                <w:rFonts w:ascii="Arial" w:cs="Arial" w:eastAsia="Arial" w:hAnsi="Arial"/>
                <w:sz w:val="14"/>
                <w:szCs w:val="14"/>
                <w:color w:val="auto"/>
              </w:rPr>
              <w:t>USD</w:t>
            </w:r>
          </w:p>
        </w:tc>
        <w:tc>
          <w:tcPr>
            <w:tcW w:w="1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38" w:lineRule="exact"/>
              <w:rPr>
                <w:sz w:val="20"/>
                <w:szCs w:val="20"/>
                <w:color w:val="auto"/>
              </w:rPr>
            </w:pPr>
            <w:r>
              <w:rPr>
                <w:rFonts w:ascii="Arial" w:cs="Arial" w:eastAsia="Arial" w:hAnsi="Arial"/>
                <w:sz w:val="14"/>
                <w:szCs w:val="14"/>
                <w:color w:val="auto"/>
              </w:rPr>
              <w:t>254,100.00</w:t>
            </w:r>
          </w:p>
        </w:tc>
        <w:tc>
          <w:tcPr>
            <w:tcW w:w="100" w:type="dxa"/>
            <w:vAlign w:val="bottom"/>
          </w:tcPr>
          <w:p>
            <w:pPr>
              <w:spacing w:after="0"/>
              <w:rPr>
                <w:sz w:val="11"/>
                <w:szCs w:val="11"/>
                <w:color w:val="auto"/>
              </w:rPr>
            </w:pPr>
          </w:p>
        </w:tc>
        <w:tc>
          <w:tcPr>
            <w:tcW w:w="1020" w:type="dxa"/>
            <w:vAlign w:val="bottom"/>
          </w:tcPr>
          <w:p>
            <w:pPr>
              <w:ind w:left="60"/>
              <w:spacing w:after="0" w:line="138" w:lineRule="exact"/>
              <w:rPr>
                <w:sz w:val="20"/>
                <w:szCs w:val="20"/>
                <w:color w:val="auto"/>
              </w:rPr>
            </w:pPr>
            <w:r>
              <w:rPr>
                <w:rFonts w:ascii="Arial" w:cs="Arial" w:eastAsia="Arial" w:hAnsi="Arial"/>
                <w:sz w:val="14"/>
                <w:szCs w:val="14"/>
                <w:color w:val="auto"/>
                <w:w w:val="98"/>
              </w:rPr>
              <w:t>7.25% annually</w:t>
            </w:r>
          </w:p>
        </w:tc>
        <w:tc>
          <w:tcPr>
            <w:tcW w:w="1320" w:type="dxa"/>
            <w:vAlign w:val="bottom"/>
          </w:tcPr>
          <w:p>
            <w:pPr>
              <w:ind w:left="60"/>
              <w:spacing w:after="0" w:line="138" w:lineRule="exact"/>
              <w:rPr>
                <w:sz w:val="20"/>
                <w:szCs w:val="20"/>
                <w:color w:val="auto"/>
              </w:rPr>
            </w:pPr>
            <w:r>
              <w:rPr>
                <w:rFonts w:ascii="Arial" w:cs="Arial" w:eastAsia="Arial" w:hAnsi="Arial"/>
                <w:sz w:val="14"/>
                <w:szCs w:val="14"/>
                <w:color w:val="auto"/>
              </w:rPr>
              <w:t>Loan for capitalized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20" w:type="dxa"/>
            <w:vAlign w:val="bottom"/>
          </w:tcPr>
          <w:p>
            <w:pPr>
              <w:ind w:left="60"/>
              <w:spacing w:after="0" w:line="159" w:lineRule="exact"/>
              <w:rPr>
                <w:sz w:val="20"/>
                <w:szCs w:val="20"/>
                <w:color w:val="auto"/>
              </w:rPr>
            </w:pPr>
            <w:r>
              <w:rPr>
                <w:rFonts w:ascii="Arial" w:cs="Arial" w:eastAsia="Arial" w:hAnsi="Arial"/>
                <w:sz w:val="14"/>
                <w:szCs w:val="14"/>
                <w:color w:val="auto"/>
              </w:rPr>
              <w:t>legal fees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 w:type="dxa"/>
            <w:vAlign w:val="bottom"/>
            <w:tcBorders>
              <w:lef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AQ</w:t>
            </w:r>
          </w:p>
        </w:tc>
        <w:tc>
          <w:tcPr>
            <w:tcW w:w="60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1"/>
              </w:rPr>
              <w:t>08.12.08</w:t>
            </w:r>
          </w:p>
        </w:tc>
        <w:tc>
          <w:tcPr>
            <w:tcW w:w="6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08.12.13</w:t>
            </w:r>
          </w:p>
        </w:tc>
        <w:tc>
          <w:tcPr>
            <w:tcW w:w="520" w:type="dxa"/>
            <w:vAlign w:val="bottom"/>
            <w:shd w:val="clear" w:color="auto" w:fill="CCEEFF"/>
          </w:tcPr>
          <w:p>
            <w:pPr>
              <w:spacing w:after="0"/>
              <w:rPr>
                <w:sz w:val="11"/>
                <w:szCs w:val="11"/>
                <w:color w:val="auto"/>
              </w:rPr>
            </w:pPr>
          </w:p>
        </w:tc>
        <w:tc>
          <w:tcPr>
            <w:tcW w:w="21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Theken Spine, LLC</w:t>
            </w:r>
          </w:p>
        </w:tc>
        <w:tc>
          <w:tcPr>
            <w:tcW w:w="46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1285</w:t>
            </w:r>
          </w:p>
        </w:tc>
        <w:tc>
          <w:tcPr>
            <w:tcW w:w="206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w w:val="96"/>
              </w:rPr>
              <w:t>Integra LifeSciences Corporation</w:t>
            </w:r>
          </w:p>
        </w:tc>
        <w:tc>
          <w:tcPr>
            <w:tcW w:w="600" w:type="dxa"/>
            <w:vAlign w:val="bottom"/>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rPr>
              <w:t>1115</w:t>
            </w:r>
          </w:p>
        </w:tc>
        <w:tc>
          <w:tcPr>
            <w:tcW w:w="54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USD</w:t>
            </w:r>
          </w:p>
        </w:tc>
        <w:tc>
          <w:tcPr>
            <w:tcW w:w="1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3,915,950.00</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8.5% Interest</w:t>
            </w:r>
          </w:p>
        </w:tc>
        <w:tc>
          <w:tcPr>
            <w:tcW w:w="13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w w:val="86"/>
              </w:rPr>
              <w:t>Interest due at maturity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Borders>
              <w:left w:val="single" w:sz="8" w:color="CCEEFF"/>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32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date.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 w:type="dxa"/>
            <w:vAlign w:val="bottom"/>
          </w:tcPr>
          <w:p>
            <w:pPr>
              <w:spacing w:after="0" w:line="138" w:lineRule="exact"/>
              <w:rPr>
                <w:sz w:val="20"/>
                <w:szCs w:val="20"/>
                <w:color w:val="auto"/>
              </w:rPr>
            </w:pPr>
            <w:r>
              <w:rPr>
                <w:rFonts w:ascii="Arial" w:cs="Arial" w:eastAsia="Arial" w:hAnsi="Arial"/>
                <w:sz w:val="14"/>
                <w:szCs w:val="14"/>
                <w:color w:val="auto"/>
              </w:rPr>
              <w:t>AS</w:t>
            </w:r>
          </w:p>
        </w:tc>
        <w:tc>
          <w:tcPr>
            <w:tcW w:w="60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1"/>
              </w:rPr>
              <w:t>08.12.08</w:t>
            </w:r>
          </w:p>
        </w:tc>
        <w:tc>
          <w:tcPr>
            <w:tcW w:w="680" w:type="dxa"/>
            <w:vAlign w:val="bottom"/>
          </w:tcPr>
          <w:p>
            <w:pPr>
              <w:jc w:val="right"/>
              <w:ind w:right="12"/>
              <w:spacing w:after="0" w:line="138" w:lineRule="exact"/>
              <w:rPr>
                <w:sz w:val="20"/>
                <w:szCs w:val="20"/>
                <w:color w:val="auto"/>
              </w:rPr>
            </w:pPr>
            <w:r>
              <w:rPr>
                <w:rFonts w:ascii="Arial" w:cs="Arial" w:eastAsia="Arial" w:hAnsi="Arial"/>
                <w:sz w:val="14"/>
                <w:szCs w:val="14"/>
                <w:color w:val="auto"/>
              </w:rPr>
              <w:t>08.12.13</w:t>
            </w:r>
          </w:p>
        </w:tc>
        <w:tc>
          <w:tcPr>
            <w:tcW w:w="520" w:type="dxa"/>
            <w:vAlign w:val="bottom"/>
          </w:tcPr>
          <w:p>
            <w:pPr>
              <w:spacing w:after="0"/>
              <w:rPr>
                <w:sz w:val="11"/>
                <w:szCs w:val="11"/>
                <w:color w:val="auto"/>
              </w:rPr>
            </w:pPr>
          </w:p>
        </w:tc>
        <w:tc>
          <w:tcPr>
            <w:tcW w:w="2120" w:type="dxa"/>
            <w:vAlign w:val="bottom"/>
          </w:tcPr>
          <w:p>
            <w:pPr>
              <w:ind w:left="60"/>
              <w:spacing w:after="0" w:line="138" w:lineRule="exact"/>
              <w:rPr>
                <w:sz w:val="20"/>
                <w:szCs w:val="20"/>
                <w:color w:val="auto"/>
              </w:rPr>
            </w:pPr>
            <w:r>
              <w:rPr>
                <w:rFonts w:ascii="Arial" w:cs="Arial" w:eastAsia="Arial" w:hAnsi="Arial"/>
                <w:sz w:val="14"/>
                <w:szCs w:val="14"/>
                <w:color w:val="auto"/>
              </w:rPr>
              <w:t>Theken Spine, LLC</w:t>
            </w:r>
          </w:p>
        </w:tc>
        <w:tc>
          <w:tcPr>
            <w:tcW w:w="460" w:type="dxa"/>
            <w:vAlign w:val="bottom"/>
          </w:tcPr>
          <w:p>
            <w:pPr>
              <w:jc w:val="right"/>
              <w:ind w:right="12"/>
              <w:spacing w:after="0" w:line="138" w:lineRule="exact"/>
              <w:rPr>
                <w:sz w:val="20"/>
                <w:szCs w:val="20"/>
                <w:color w:val="auto"/>
              </w:rPr>
            </w:pPr>
            <w:r>
              <w:rPr>
                <w:rFonts w:ascii="Arial" w:cs="Arial" w:eastAsia="Arial" w:hAnsi="Arial"/>
                <w:sz w:val="14"/>
                <w:szCs w:val="14"/>
                <w:color w:val="auto"/>
              </w:rPr>
              <w:t>1285</w:t>
            </w:r>
          </w:p>
        </w:tc>
        <w:tc>
          <w:tcPr>
            <w:tcW w:w="2060" w:type="dxa"/>
            <w:vAlign w:val="bottom"/>
          </w:tcPr>
          <w:p>
            <w:pPr>
              <w:ind w:left="80"/>
              <w:spacing w:after="0" w:line="138" w:lineRule="exact"/>
              <w:rPr>
                <w:sz w:val="20"/>
                <w:szCs w:val="20"/>
                <w:color w:val="auto"/>
              </w:rPr>
            </w:pPr>
            <w:r>
              <w:rPr>
                <w:rFonts w:ascii="Arial" w:cs="Arial" w:eastAsia="Arial" w:hAnsi="Arial"/>
                <w:sz w:val="14"/>
                <w:szCs w:val="14"/>
                <w:color w:val="auto"/>
                <w:w w:val="96"/>
              </w:rPr>
              <w:t>Integra LifeSciences Corporation</w:t>
            </w:r>
          </w:p>
        </w:tc>
        <w:tc>
          <w:tcPr>
            <w:tcW w:w="600" w:type="dxa"/>
            <w:vAlign w:val="bottom"/>
          </w:tcPr>
          <w:p>
            <w:pPr>
              <w:jc w:val="right"/>
              <w:ind w:right="112"/>
              <w:spacing w:after="0" w:line="138" w:lineRule="exact"/>
              <w:rPr>
                <w:sz w:val="20"/>
                <w:szCs w:val="20"/>
                <w:color w:val="auto"/>
              </w:rPr>
            </w:pPr>
            <w:r>
              <w:rPr>
                <w:rFonts w:ascii="Arial" w:cs="Arial" w:eastAsia="Arial" w:hAnsi="Arial"/>
                <w:sz w:val="14"/>
                <w:szCs w:val="14"/>
                <w:color w:val="auto"/>
              </w:rPr>
              <w:t>1115</w:t>
            </w:r>
          </w:p>
        </w:tc>
        <w:tc>
          <w:tcPr>
            <w:tcW w:w="540" w:type="dxa"/>
            <w:vAlign w:val="bottom"/>
          </w:tcPr>
          <w:p>
            <w:pPr>
              <w:jc w:val="right"/>
              <w:ind w:right="12"/>
              <w:spacing w:after="0" w:line="138" w:lineRule="exact"/>
              <w:rPr>
                <w:sz w:val="20"/>
                <w:szCs w:val="20"/>
                <w:color w:val="auto"/>
              </w:rPr>
            </w:pPr>
            <w:r>
              <w:rPr>
                <w:rFonts w:ascii="Arial" w:cs="Arial" w:eastAsia="Arial" w:hAnsi="Arial"/>
                <w:sz w:val="14"/>
                <w:szCs w:val="14"/>
                <w:color w:val="auto"/>
              </w:rPr>
              <w:t>USD</w:t>
            </w:r>
          </w:p>
        </w:tc>
        <w:tc>
          <w:tcPr>
            <w:tcW w:w="1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38" w:lineRule="exact"/>
              <w:rPr>
                <w:sz w:val="20"/>
                <w:szCs w:val="20"/>
                <w:color w:val="auto"/>
              </w:rPr>
            </w:pPr>
            <w:r>
              <w:rPr>
                <w:rFonts w:ascii="Arial" w:cs="Arial" w:eastAsia="Arial" w:hAnsi="Arial"/>
                <w:sz w:val="14"/>
                <w:szCs w:val="14"/>
                <w:color w:val="auto"/>
              </w:rPr>
              <w:t>338,838.00</w:t>
            </w:r>
          </w:p>
        </w:tc>
        <w:tc>
          <w:tcPr>
            <w:tcW w:w="100" w:type="dxa"/>
            <w:vAlign w:val="bottom"/>
          </w:tcPr>
          <w:p>
            <w:pPr>
              <w:spacing w:after="0"/>
              <w:rPr>
                <w:sz w:val="11"/>
                <w:szCs w:val="11"/>
                <w:color w:val="auto"/>
              </w:rPr>
            </w:pPr>
          </w:p>
        </w:tc>
        <w:tc>
          <w:tcPr>
            <w:tcW w:w="1020" w:type="dxa"/>
            <w:vAlign w:val="bottom"/>
          </w:tcPr>
          <w:p>
            <w:pPr>
              <w:ind w:left="60"/>
              <w:spacing w:after="0" w:line="138" w:lineRule="exact"/>
              <w:rPr>
                <w:sz w:val="20"/>
                <w:szCs w:val="20"/>
                <w:color w:val="auto"/>
              </w:rPr>
            </w:pPr>
            <w:r>
              <w:rPr>
                <w:rFonts w:ascii="Arial" w:cs="Arial" w:eastAsia="Arial" w:hAnsi="Arial"/>
                <w:sz w:val="14"/>
                <w:szCs w:val="14"/>
                <w:color w:val="auto"/>
              </w:rPr>
              <w:t>8.5% Interest</w:t>
            </w:r>
          </w:p>
        </w:tc>
        <w:tc>
          <w:tcPr>
            <w:tcW w:w="1320" w:type="dxa"/>
            <w:vAlign w:val="bottom"/>
          </w:tcPr>
          <w:p>
            <w:pPr>
              <w:ind w:left="60"/>
              <w:spacing w:after="0" w:line="138" w:lineRule="exact"/>
              <w:rPr>
                <w:sz w:val="20"/>
                <w:szCs w:val="20"/>
                <w:color w:val="auto"/>
              </w:rPr>
            </w:pPr>
            <w:r>
              <w:rPr>
                <w:rFonts w:ascii="Arial" w:cs="Arial" w:eastAsia="Arial" w:hAnsi="Arial"/>
                <w:sz w:val="14"/>
                <w:szCs w:val="14"/>
                <w:color w:val="auto"/>
                <w:w w:val="86"/>
              </w:rPr>
              <w:t>Interest due at maturity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20" w:type="dxa"/>
            <w:vAlign w:val="bottom"/>
          </w:tcPr>
          <w:p>
            <w:pPr>
              <w:ind w:left="60"/>
              <w:spacing w:after="0" w:line="159" w:lineRule="exact"/>
              <w:rPr>
                <w:sz w:val="20"/>
                <w:szCs w:val="20"/>
                <w:color w:val="auto"/>
              </w:rPr>
            </w:pPr>
            <w:r>
              <w:rPr>
                <w:rFonts w:ascii="Arial" w:cs="Arial" w:eastAsia="Arial" w:hAnsi="Arial"/>
                <w:sz w:val="14"/>
                <w:szCs w:val="14"/>
                <w:color w:val="auto"/>
              </w:rPr>
              <w:t>date.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 w:type="dxa"/>
            <w:vAlign w:val="bottom"/>
            <w:tcBorders>
              <w:lef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AR</w:t>
            </w:r>
          </w:p>
        </w:tc>
        <w:tc>
          <w:tcPr>
            <w:tcW w:w="60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1"/>
              </w:rPr>
              <w:t>08.12.08</w:t>
            </w:r>
          </w:p>
        </w:tc>
        <w:tc>
          <w:tcPr>
            <w:tcW w:w="6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08.12.13</w:t>
            </w:r>
          </w:p>
        </w:tc>
        <w:tc>
          <w:tcPr>
            <w:tcW w:w="520" w:type="dxa"/>
            <w:vAlign w:val="bottom"/>
            <w:shd w:val="clear" w:color="auto" w:fill="CCEEFF"/>
          </w:tcPr>
          <w:p>
            <w:pPr>
              <w:spacing w:after="0"/>
              <w:rPr>
                <w:sz w:val="11"/>
                <w:szCs w:val="11"/>
                <w:color w:val="auto"/>
              </w:rPr>
            </w:pPr>
          </w:p>
        </w:tc>
        <w:tc>
          <w:tcPr>
            <w:tcW w:w="21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Theken Spine, LLC</w:t>
            </w:r>
          </w:p>
        </w:tc>
        <w:tc>
          <w:tcPr>
            <w:tcW w:w="46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1285</w:t>
            </w:r>
          </w:p>
        </w:tc>
        <w:tc>
          <w:tcPr>
            <w:tcW w:w="206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w w:val="96"/>
              </w:rPr>
              <w:t>Integra LifeSciences Corporation</w:t>
            </w:r>
          </w:p>
        </w:tc>
        <w:tc>
          <w:tcPr>
            <w:tcW w:w="600" w:type="dxa"/>
            <w:vAlign w:val="bottom"/>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rPr>
              <w:t>1115</w:t>
            </w:r>
          </w:p>
        </w:tc>
        <w:tc>
          <w:tcPr>
            <w:tcW w:w="54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USD</w:t>
            </w:r>
          </w:p>
        </w:tc>
        <w:tc>
          <w:tcPr>
            <w:tcW w:w="1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423,557.00</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8.5% Interest</w:t>
            </w:r>
          </w:p>
        </w:tc>
        <w:tc>
          <w:tcPr>
            <w:tcW w:w="13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w w:val="86"/>
              </w:rPr>
              <w:t>Interest due at maturity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Borders>
              <w:left w:val="single" w:sz="8" w:color="CCEEFF"/>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32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date.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Borders>
              <w:left w:val="single" w:sz="8" w:color="CCEEFF"/>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21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20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93,126,914.47</w:t>
            </w:r>
          </w:p>
        </w:tc>
        <w:tc>
          <w:tcPr>
            <w:tcW w:w="1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ind w:left="60"/>
              <w:spacing w:after="0" w:line="149" w:lineRule="exact"/>
              <w:rPr>
                <w:sz w:val="20"/>
                <w:szCs w:val="20"/>
                <w:color w:val="auto"/>
              </w:rPr>
            </w:pPr>
            <w:r>
              <w:rPr>
                <w:rFonts w:ascii="Arial" w:cs="Arial" w:eastAsia="Arial" w:hAnsi="Arial"/>
                <w:sz w:val="14"/>
                <w:szCs w:val="14"/>
                <w:color w:val="auto"/>
              </w:rPr>
              <w:t>subtotal</w:t>
            </w:r>
          </w:p>
        </w:tc>
        <w:tc>
          <w:tcPr>
            <w:tcW w:w="1320" w:type="dxa"/>
            <w:vAlign w:val="bottom"/>
            <w:tcBorders>
              <w:bottom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80" w:type="dxa"/>
            <w:vAlign w:val="bottom"/>
            <w:tcBorders>
              <w:lef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K</w:t>
            </w:r>
          </w:p>
        </w:tc>
        <w:tc>
          <w:tcPr>
            <w:tcW w:w="60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7.05.06</w:t>
            </w:r>
          </w:p>
        </w:tc>
        <w:tc>
          <w:tcPr>
            <w:tcW w:w="6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7.05.11</w:t>
            </w:r>
          </w:p>
        </w:tc>
        <w:tc>
          <w:tcPr>
            <w:tcW w:w="520" w:type="dxa"/>
            <w:vAlign w:val="bottom"/>
            <w:shd w:val="clear" w:color="auto" w:fill="CCEEFF"/>
          </w:tcPr>
          <w:p>
            <w:pPr>
              <w:spacing w:after="0"/>
              <w:rPr>
                <w:sz w:val="11"/>
                <w:szCs w:val="11"/>
                <w:color w:val="auto"/>
              </w:rPr>
            </w:pPr>
          </w:p>
        </w:tc>
        <w:tc>
          <w:tcPr>
            <w:tcW w:w="21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Integra LifeScience (Canada)</w:t>
            </w:r>
          </w:p>
        </w:tc>
        <w:tc>
          <w:tcPr>
            <w:tcW w:w="46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1510</w:t>
            </w:r>
          </w:p>
        </w:tc>
        <w:tc>
          <w:tcPr>
            <w:tcW w:w="206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w w:val="96"/>
              </w:rPr>
              <w:t>Integra LifeSciences Corporation</w:t>
            </w:r>
          </w:p>
        </w:tc>
        <w:tc>
          <w:tcPr>
            <w:tcW w:w="600" w:type="dxa"/>
            <w:vAlign w:val="bottom"/>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rPr>
              <w:t>1115</w:t>
            </w:r>
          </w:p>
        </w:tc>
        <w:tc>
          <w:tcPr>
            <w:tcW w:w="54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USD</w:t>
            </w:r>
          </w:p>
        </w:tc>
        <w:tc>
          <w:tcPr>
            <w:tcW w:w="1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1,400,678.33</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7.5% annually</w:t>
            </w:r>
          </w:p>
        </w:tc>
        <w:tc>
          <w:tcPr>
            <w:tcW w:w="13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w w:val="97"/>
              </w:rPr>
              <w:t>Purchase of Canada</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Borders>
              <w:left w:val="single" w:sz="8" w:color="CCEEFF"/>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2120" w:type="dxa"/>
            <w:vAlign w:val="bottom"/>
            <w:tcBorders>
              <w:bottom w:val="single" w:sz="8" w:color="auto"/>
            </w:tcBorders>
            <w:shd w:val="clear" w:color="auto" w:fill="CCEEFF"/>
          </w:tcPr>
          <w:p>
            <w:pPr>
              <w:ind w:left="60"/>
              <w:spacing w:after="0" w:line="159" w:lineRule="exact"/>
              <w:rPr>
                <w:sz w:val="20"/>
                <w:szCs w:val="20"/>
                <w:color w:val="auto"/>
              </w:rPr>
            </w:pPr>
            <w:r>
              <w:rPr>
                <w:rFonts w:ascii="Arial" w:cs="Arial" w:eastAsia="Arial" w:hAnsi="Arial"/>
                <w:sz w:val="14"/>
                <w:szCs w:val="14"/>
                <w:color w:val="auto"/>
              </w:rPr>
              <w:t>Holdings Inc.</w:t>
            </w:r>
          </w:p>
        </w:tc>
        <w:tc>
          <w:tcPr>
            <w:tcW w:w="460" w:type="dxa"/>
            <w:vAlign w:val="bottom"/>
            <w:tcBorders>
              <w:bottom w:val="single" w:sz="8" w:color="auto"/>
            </w:tcBorders>
            <w:shd w:val="clear" w:color="auto" w:fill="CCEEFF"/>
          </w:tcPr>
          <w:p>
            <w:pPr>
              <w:spacing w:after="0"/>
              <w:rPr>
                <w:sz w:val="13"/>
                <w:szCs w:val="13"/>
                <w:color w:val="auto"/>
              </w:rPr>
            </w:pPr>
          </w:p>
        </w:tc>
        <w:tc>
          <w:tcPr>
            <w:tcW w:w="206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ind w:left="60"/>
              <w:spacing w:after="0" w:line="159" w:lineRule="exact"/>
              <w:rPr>
                <w:sz w:val="20"/>
                <w:szCs w:val="20"/>
                <w:color w:val="auto"/>
              </w:rPr>
            </w:pPr>
            <w:r>
              <w:rPr>
                <w:rFonts w:ascii="Arial" w:cs="Arial" w:eastAsia="Arial" w:hAnsi="Arial"/>
                <w:sz w:val="14"/>
                <w:szCs w:val="14"/>
                <w:color w:val="auto"/>
              </w:rPr>
              <w:t>Microsurgical Ltd.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80" w:type="dxa"/>
            <w:vAlign w:val="bottom"/>
          </w:tcPr>
          <w:p>
            <w:pPr>
              <w:spacing w:after="0" w:line="131" w:lineRule="exact"/>
              <w:rPr>
                <w:sz w:val="20"/>
                <w:szCs w:val="20"/>
                <w:color w:val="auto"/>
              </w:rPr>
            </w:pPr>
            <w:r>
              <w:rPr>
                <w:rFonts w:ascii="Arial" w:cs="Arial" w:eastAsia="Arial" w:hAnsi="Arial"/>
                <w:sz w:val="14"/>
                <w:szCs w:val="14"/>
                <w:color w:val="auto"/>
              </w:rPr>
              <w:t>CE</w:t>
            </w:r>
          </w:p>
        </w:tc>
        <w:tc>
          <w:tcPr>
            <w:tcW w:w="600" w:type="dxa"/>
            <w:vAlign w:val="bottom"/>
          </w:tcPr>
          <w:p>
            <w:pPr>
              <w:jc w:val="right"/>
              <w:ind w:right="12"/>
              <w:spacing w:after="0" w:line="131" w:lineRule="exact"/>
              <w:rPr>
                <w:sz w:val="20"/>
                <w:szCs w:val="20"/>
                <w:color w:val="auto"/>
              </w:rPr>
            </w:pPr>
            <w:r>
              <w:rPr>
                <w:rFonts w:ascii="Arial" w:cs="Arial" w:eastAsia="Arial" w:hAnsi="Arial"/>
                <w:sz w:val="14"/>
                <w:szCs w:val="14"/>
                <w:color w:val="auto"/>
                <w:w w:val="91"/>
              </w:rPr>
              <w:t>05.10.10</w:t>
            </w:r>
          </w:p>
        </w:tc>
        <w:tc>
          <w:tcPr>
            <w:tcW w:w="680" w:type="dxa"/>
            <w:vAlign w:val="bottom"/>
          </w:tcPr>
          <w:p>
            <w:pPr>
              <w:jc w:val="right"/>
              <w:ind w:right="12"/>
              <w:spacing w:after="0" w:line="131" w:lineRule="exact"/>
              <w:rPr>
                <w:sz w:val="20"/>
                <w:szCs w:val="20"/>
                <w:color w:val="auto"/>
              </w:rPr>
            </w:pPr>
            <w:r>
              <w:rPr>
                <w:rFonts w:ascii="Arial" w:cs="Arial" w:eastAsia="Arial" w:hAnsi="Arial"/>
                <w:sz w:val="14"/>
                <w:szCs w:val="14"/>
                <w:color w:val="auto"/>
              </w:rPr>
              <w:t>05.10.15</w:t>
            </w:r>
          </w:p>
        </w:tc>
        <w:tc>
          <w:tcPr>
            <w:tcW w:w="520" w:type="dxa"/>
            <w:vAlign w:val="bottom"/>
          </w:tcPr>
          <w:p>
            <w:pPr>
              <w:spacing w:after="0"/>
              <w:rPr>
                <w:sz w:val="11"/>
                <w:szCs w:val="11"/>
                <w:color w:val="auto"/>
              </w:rPr>
            </w:pPr>
          </w:p>
        </w:tc>
        <w:tc>
          <w:tcPr>
            <w:tcW w:w="2120" w:type="dxa"/>
            <w:vAlign w:val="bottom"/>
          </w:tcPr>
          <w:p>
            <w:pPr>
              <w:ind w:left="60"/>
              <w:spacing w:after="0" w:line="131" w:lineRule="exact"/>
              <w:rPr>
                <w:sz w:val="20"/>
                <w:szCs w:val="20"/>
                <w:color w:val="auto"/>
              </w:rPr>
            </w:pPr>
            <w:r>
              <w:rPr>
                <w:rFonts w:ascii="Arial" w:cs="Arial" w:eastAsia="Arial" w:hAnsi="Arial"/>
                <w:sz w:val="14"/>
                <w:szCs w:val="14"/>
                <w:color w:val="auto"/>
              </w:rPr>
              <w:t>GMS mbh</w:t>
            </w:r>
          </w:p>
        </w:tc>
        <w:tc>
          <w:tcPr>
            <w:tcW w:w="460" w:type="dxa"/>
            <w:vAlign w:val="bottom"/>
          </w:tcPr>
          <w:p>
            <w:pPr>
              <w:jc w:val="right"/>
              <w:ind w:right="12"/>
              <w:spacing w:after="0" w:line="131" w:lineRule="exact"/>
              <w:rPr>
                <w:sz w:val="20"/>
                <w:szCs w:val="20"/>
                <w:color w:val="auto"/>
              </w:rPr>
            </w:pPr>
            <w:r>
              <w:rPr>
                <w:rFonts w:ascii="Arial" w:cs="Arial" w:eastAsia="Arial" w:hAnsi="Arial"/>
                <w:sz w:val="14"/>
                <w:szCs w:val="14"/>
                <w:color w:val="auto"/>
              </w:rPr>
              <w:t>4205</w:t>
            </w:r>
          </w:p>
        </w:tc>
        <w:tc>
          <w:tcPr>
            <w:tcW w:w="2060" w:type="dxa"/>
            <w:vAlign w:val="bottom"/>
          </w:tcPr>
          <w:p>
            <w:pPr>
              <w:ind w:left="80"/>
              <w:spacing w:after="0" w:line="131" w:lineRule="exact"/>
              <w:rPr>
                <w:sz w:val="20"/>
                <w:szCs w:val="20"/>
                <w:color w:val="auto"/>
              </w:rPr>
            </w:pPr>
            <w:r>
              <w:rPr>
                <w:rFonts w:ascii="Arial" w:cs="Arial" w:eastAsia="Arial" w:hAnsi="Arial"/>
                <w:sz w:val="14"/>
                <w:szCs w:val="14"/>
                <w:color w:val="auto"/>
              </w:rPr>
              <w:t>Integra LifeSciences Shared</w:t>
            </w:r>
          </w:p>
        </w:tc>
        <w:tc>
          <w:tcPr>
            <w:tcW w:w="600" w:type="dxa"/>
            <w:vAlign w:val="bottom"/>
          </w:tcPr>
          <w:p>
            <w:pPr>
              <w:jc w:val="right"/>
              <w:ind w:right="112"/>
              <w:spacing w:after="0" w:line="131" w:lineRule="exact"/>
              <w:rPr>
                <w:sz w:val="20"/>
                <w:szCs w:val="20"/>
                <w:color w:val="auto"/>
              </w:rPr>
            </w:pPr>
            <w:r>
              <w:rPr>
                <w:rFonts w:ascii="Arial" w:cs="Arial" w:eastAsia="Arial" w:hAnsi="Arial"/>
                <w:sz w:val="14"/>
                <w:szCs w:val="14"/>
                <w:color w:val="auto"/>
              </w:rPr>
              <w:t>4435</w:t>
            </w:r>
          </w:p>
        </w:tc>
        <w:tc>
          <w:tcPr>
            <w:tcW w:w="540" w:type="dxa"/>
            <w:vAlign w:val="bottom"/>
          </w:tcPr>
          <w:p>
            <w:pPr>
              <w:jc w:val="right"/>
              <w:ind w:right="12"/>
              <w:spacing w:after="0" w:line="131" w:lineRule="exact"/>
              <w:rPr>
                <w:sz w:val="20"/>
                <w:szCs w:val="20"/>
                <w:color w:val="auto"/>
              </w:rPr>
            </w:pPr>
            <w:r>
              <w:rPr>
                <w:rFonts w:ascii="Arial" w:cs="Arial" w:eastAsia="Arial" w:hAnsi="Arial"/>
                <w:sz w:val="14"/>
                <w:szCs w:val="14"/>
                <w:color w:val="auto"/>
              </w:rPr>
              <w:t>EUR</w:t>
            </w:r>
          </w:p>
        </w:tc>
        <w:tc>
          <w:tcPr>
            <w:tcW w:w="16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31" w:lineRule="exact"/>
              <w:rPr>
                <w:sz w:val="20"/>
                <w:szCs w:val="20"/>
                <w:color w:val="auto"/>
              </w:rPr>
            </w:pPr>
            <w:r>
              <w:rPr>
                <w:rFonts w:ascii="Arial" w:cs="Arial" w:eastAsia="Arial" w:hAnsi="Arial"/>
                <w:sz w:val="14"/>
                <w:szCs w:val="14"/>
                <w:color w:val="auto"/>
              </w:rPr>
              <w:t>1,300,000.00</w:t>
            </w:r>
          </w:p>
        </w:tc>
        <w:tc>
          <w:tcPr>
            <w:tcW w:w="100" w:type="dxa"/>
            <w:vAlign w:val="bottom"/>
          </w:tcPr>
          <w:p>
            <w:pPr>
              <w:spacing w:after="0"/>
              <w:rPr>
                <w:sz w:val="11"/>
                <w:szCs w:val="11"/>
                <w:color w:val="auto"/>
              </w:rPr>
            </w:pPr>
          </w:p>
        </w:tc>
        <w:tc>
          <w:tcPr>
            <w:tcW w:w="1020" w:type="dxa"/>
            <w:vAlign w:val="bottom"/>
          </w:tcPr>
          <w:p>
            <w:pPr>
              <w:ind w:left="60"/>
              <w:spacing w:after="0" w:line="131" w:lineRule="exact"/>
              <w:rPr>
                <w:sz w:val="20"/>
                <w:szCs w:val="20"/>
                <w:color w:val="auto"/>
              </w:rPr>
            </w:pPr>
            <w:r>
              <w:rPr>
                <w:rFonts w:ascii="Arial" w:cs="Arial" w:eastAsia="Arial" w:hAnsi="Arial"/>
                <w:sz w:val="14"/>
                <w:szCs w:val="14"/>
                <w:color w:val="auto"/>
              </w:rPr>
              <w:t>6.6% annually</w:t>
            </w:r>
          </w:p>
        </w:tc>
        <w:tc>
          <w:tcPr>
            <w:tcW w:w="1320" w:type="dxa"/>
            <w:vAlign w:val="bottom"/>
          </w:tcPr>
          <w:p>
            <w:pPr>
              <w:ind w:left="60"/>
              <w:spacing w:after="0" w:line="131" w:lineRule="exact"/>
              <w:rPr>
                <w:sz w:val="20"/>
                <w:szCs w:val="20"/>
                <w:color w:val="auto"/>
              </w:rPr>
            </w:pPr>
            <w:r>
              <w:rPr>
                <w:rFonts w:ascii="Arial" w:cs="Arial" w:eastAsia="Arial" w:hAnsi="Arial"/>
                <w:sz w:val="14"/>
                <w:szCs w:val="14"/>
                <w:color w:val="auto"/>
                <w:w w:val="96"/>
              </w:rPr>
              <w:t>EMEA Intercompany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ind w:left="80"/>
              <w:spacing w:after="0" w:line="159" w:lineRule="exact"/>
              <w:rPr>
                <w:sz w:val="20"/>
                <w:szCs w:val="20"/>
                <w:color w:val="auto"/>
              </w:rPr>
            </w:pPr>
            <w:r>
              <w:rPr>
                <w:rFonts w:ascii="Arial" w:cs="Arial" w:eastAsia="Arial" w:hAnsi="Arial"/>
                <w:sz w:val="14"/>
                <w:szCs w:val="14"/>
                <w:color w:val="auto"/>
              </w:rPr>
              <w:t>Services (Ireland) Ltd</w:t>
            </w:r>
          </w:p>
        </w:tc>
        <w:tc>
          <w:tcPr>
            <w:tcW w:w="6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ind w:left="60"/>
              <w:spacing w:after="0" w:line="159" w:lineRule="exact"/>
              <w:rPr>
                <w:sz w:val="20"/>
                <w:szCs w:val="20"/>
                <w:color w:val="auto"/>
              </w:rPr>
            </w:pPr>
            <w:r>
              <w:rPr>
                <w:rFonts w:ascii="Arial" w:cs="Arial" w:eastAsia="Arial" w:hAnsi="Arial"/>
                <w:sz w:val="14"/>
                <w:szCs w:val="14"/>
                <w:color w:val="auto"/>
                <w:w w:val="86"/>
              </w:rPr>
              <w:t>investment pooling and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80" w:type="dxa"/>
            <w:vAlign w:val="bottom"/>
            <w:tcBorders>
              <w:left w:val="single" w:sz="8" w:color="CCEEFF"/>
            </w:tcBorders>
            <w:shd w:val="clear" w:color="auto" w:fill="CCEEFF"/>
          </w:tcPr>
          <w:p>
            <w:pPr>
              <w:spacing w:after="0" w:line="131" w:lineRule="exact"/>
              <w:rPr>
                <w:sz w:val="20"/>
                <w:szCs w:val="20"/>
                <w:color w:val="auto"/>
              </w:rPr>
            </w:pPr>
            <w:r>
              <w:rPr>
                <w:rFonts w:ascii="Arial" w:cs="Arial" w:eastAsia="Arial" w:hAnsi="Arial"/>
                <w:sz w:val="14"/>
                <w:szCs w:val="14"/>
                <w:color w:val="auto"/>
              </w:rPr>
              <w:t>CF</w:t>
            </w:r>
          </w:p>
        </w:tc>
        <w:tc>
          <w:tcPr>
            <w:tcW w:w="600" w:type="dxa"/>
            <w:vAlign w:val="bottom"/>
            <w:shd w:val="clear" w:color="auto" w:fill="CCEEFF"/>
          </w:tcPr>
          <w:p>
            <w:pPr>
              <w:jc w:val="right"/>
              <w:ind w:right="12"/>
              <w:spacing w:after="0" w:line="131" w:lineRule="exact"/>
              <w:rPr>
                <w:sz w:val="20"/>
                <w:szCs w:val="20"/>
                <w:color w:val="auto"/>
              </w:rPr>
            </w:pPr>
            <w:r>
              <w:rPr>
                <w:rFonts w:ascii="Arial" w:cs="Arial" w:eastAsia="Arial" w:hAnsi="Arial"/>
                <w:sz w:val="14"/>
                <w:szCs w:val="14"/>
                <w:color w:val="auto"/>
                <w:w w:val="91"/>
              </w:rPr>
              <w:t>05.10.10</w:t>
            </w:r>
          </w:p>
        </w:tc>
        <w:tc>
          <w:tcPr>
            <w:tcW w:w="680" w:type="dxa"/>
            <w:vAlign w:val="bottom"/>
            <w:shd w:val="clear" w:color="auto" w:fill="CCEEFF"/>
          </w:tcPr>
          <w:p>
            <w:pPr>
              <w:jc w:val="right"/>
              <w:ind w:right="12"/>
              <w:spacing w:after="0" w:line="131" w:lineRule="exact"/>
              <w:rPr>
                <w:sz w:val="20"/>
                <w:szCs w:val="20"/>
                <w:color w:val="auto"/>
              </w:rPr>
            </w:pPr>
            <w:r>
              <w:rPr>
                <w:rFonts w:ascii="Arial" w:cs="Arial" w:eastAsia="Arial" w:hAnsi="Arial"/>
                <w:sz w:val="14"/>
                <w:szCs w:val="14"/>
                <w:color w:val="auto"/>
              </w:rPr>
              <w:t>05.10.15</w:t>
            </w:r>
          </w:p>
        </w:tc>
        <w:tc>
          <w:tcPr>
            <w:tcW w:w="520" w:type="dxa"/>
            <w:vAlign w:val="bottom"/>
            <w:shd w:val="clear" w:color="auto" w:fill="CCEEFF"/>
          </w:tcPr>
          <w:p>
            <w:pPr>
              <w:spacing w:after="0"/>
              <w:rPr>
                <w:sz w:val="11"/>
                <w:szCs w:val="11"/>
                <w:color w:val="auto"/>
              </w:rPr>
            </w:pPr>
          </w:p>
        </w:tc>
        <w:tc>
          <w:tcPr>
            <w:tcW w:w="2120" w:type="dxa"/>
            <w:vAlign w:val="bottom"/>
            <w:shd w:val="clear" w:color="auto" w:fill="CCEEFF"/>
          </w:tcPr>
          <w:p>
            <w:pPr>
              <w:ind w:left="60"/>
              <w:spacing w:after="0" w:line="131" w:lineRule="exact"/>
              <w:rPr>
                <w:sz w:val="20"/>
                <w:szCs w:val="20"/>
                <w:color w:val="auto"/>
              </w:rPr>
            </w:pPr>
            <w:r>
              <w:rPr>
                <w:rFonts w:ascii="Arial" w:cs="Arial" w:eastAsia="Arial" w:hAnsi="Arial"/>
                <w:sz w:val="14"/>
                <w:szCs w:val="14"/>
                <w:color w:val="auto"/>
              </w:rPr>
              <w:t>Integra NeuroSciences GmbH</w:t>
            </w:r>
          </w:p>
        </w:tc>
        <w:tc>
          <w:tcPr>
            <w:tcW w:w="460" w:type="dxa"/>
            <w:vAlign w:val="bottom"/>
            <w:shd w:val="clear" w:color="auto" w:fill="CCEEFF"/>
          </w:tcPr>
          <w:p>
            <w:pPr>
              <w:jc w:val="right"/>
              <w:ind w:right="12"/>
              <w:spacing w:after="0" w:line="131" w:lineRule="exact"/>
              <w:rPr>
                <w:sz w:val="20"/>
                <w:szCs w:val="20"/>
                <w:color w:val="auto"/>
              </w:rPr>
            </w:pPr>
            <w:r>
              <w:rPr>
                <w:rFonts w:ascii="Arial" w:cs="Arial" w:eastAsia="Arial" w:hAnsi="Arial"/>
                <w:sz w:val="14"/>
                <w:szCs w:val="14"/>
                <w:color w:val="auto"/>
              </w:rPr>
              <w:t>4225</w:t>
            </w:r>
          </w:p>
        </w:tc>
        <w:tc>
          <w:tcPr>
            <w:tcW w:w="2060" w:type="dxa"/>
            <w:vAlign w:val="bottom"/>
            <w:shd w:val="clear" w:color="auto" w:fill="CCEEFF"/>
          </w:tcPr>
          <w:p>
            <w:pPr>
              <w:ind w:left="80"/>
              <w:spacing w:after="0" w:line="131" w:lineRule="exact"/>
              <w:rPr>
                <w:sz w:val="20"/>
                <w:szCs w:val="20"/>
                <w:color w:val="auto"/>
              </w:rPr>
            </w:pPr>
            <w:r>
              <w:rPr>
                <w:rFonts w:ascii="Arial" w:cs="Arial" w:eastAsia="Arial" w:hAnsi="Arial"/>
                <w:sz w:val="14"/>
                <w:szCs w:val="14"/>
                <w:color w:val="auto"/>
              </w:rPr>
              <w:t>Integra LifeSciences Shared</w:t>
            </w:r>
          </w:p>
        </w:tc>
        <w:tc>
          <w:tcPr>
            <w:tcW w:w="600" w:type="dxa"/>
            <w:vAlign w:val="bottom"/>
            <w:shd w:val="clear" w:color="auto" w:fill="CCEEFF"/>
          </w:tcPr>
          <w:p>
            <w:pPr>
              <w:jc w:val="right"/>
              <w:ind w:right="112"/>
              <w:spacing w:after="0" w:line="131" w:lineRule="exact"/>
              <w:rPr>
                <w:sz w:val="20"/>
                <w:szCs w:val="20"/>
                <w:color w:val="auto"/>
              </w:rPr>
            </w:pPr>
            <w:r>
              <w:rPr>
                <w:rFonts w:ascii="Arial" w:cs="Arial" w:eastAsia="Arial" w:hAnsi="Arial"/>
                <w:sz w:val="14"/>
                <w:szCs w:val="14"/>
                <w:color w:val="auto"/>
              </w:rPr>
              <w:t>4435</w:t>
            </w:r>
          </w:p>
        </w:tc>
        <w:tc>
          <w:tcPr>
            <w:tcW w:w="540" w:type="dxa"/>
            <w:vAlign w:val="bottom"/>
            <w:shd w:val="clear" w:color="auto" w:fill="CCEEFF"/>
          </w:tcPr>
          <w:p>
            <w:pPr>
              <w:jc w:val="right"/>
              <w:ind w:right="12"/>
              <w:spacing w:after="0" w:line="131" w:lineRule="exact"/>
              <w:rPr>
                <w:sz w:val="20"/>
                <w:szCs w:val="20"/>
                <w:color w:val="auto"/>
              </w:rPr>
            </w:pPr>
            <w:r>
              <w:rPr>
                <w:rFonts w:ascii="Arial" w:cs="Arial" w:eastAsia="Arial" w:hAnsi="Arial"/>
                <w:sz w:val="14"/>
                <w:szCs w:val="14"/>
                <w:color w:val="auto"/>
              </w:rPr>
              <w:t>EUR</w:t>
            </w:r>
          </w:p>
        </w:tc>
        <w:tc>
          <w:tcPr>
            <w:tcW w:w="16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1,300,000.00</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ind w:left="60"/>
              <w:spacing w:after="0" w:line="131" w:lineRule="exact"/>
              <w:rPr>
                <w:sz w:val="20"/>
                <w:szCs w:val="20"/>
                <w:color w:val="auto"/>
              </w:rPr>
            </w:pPr>
            <w:r>
              <w:rPr>
                <w:rFonts w:ascii="Arial" w:cs="Arial" w:eastAsia="Arial" w:hAnsi="Arial"/>
                <w:sz w:val="14"/>
                <w:szCs w:val="14"/>
                <w:color w:val="auto"/>
              </w:rPr>
              <w:t>6.6% annually</w:t>
            </w:r>
          </w:p>
        </w:tc>
        <w:tc>
          <w:tcPr>
            <w:tcW w:w="1320" w:type="dxa"/>
            <w:vAlign w:val="bottom"/>
            <w:shd w:val="clear" w:color="auto" w:fill="CCEEFF"/>
          </w:tcPr>
          <w:p>
            <w:pPr>
              <w:ind w:left="60"/>
              <w:spacing w:after="0" w:line="131" w:lineRule="exact"/>
              <w:rPr>
                <w:sz w:val="20"/>
                <w:szCs w:val="20"/>
                <w:color w:val="auto"/>
              </w:rPr>
            </w:pPr>
            <w:r>
              <w:rPr>
                <w:rFonts w:ascii="Arial" w:cs="Arial" w:eastAsia="Arial" w:hAnsi="Arial"/>
                <w:sz w:val="14"/>
                <w:szCs w:val="14"/>
                <w:color w:val="auto"/>
                <w:w w:val="96"/>
              </w:rPr>
              <w:t>EMEA Intercompany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Borders>
              <w:left w:val="single" w:sz="8" w:color="CCEEFF"/>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21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2060" w:type="dxa"/>
            <w:vAlign w:val="bottom"/>
            <w:tcBorders>
              <w:bottom w:val="single" w:sz="8" w:color="auto"/>
            </w:tcBorders>
            <w:shd w:val="clear" w:color="auto" w:fill="CCEEFF"/>
          </w:tcPr>
          <w:p>
            <w:pPr>
              <w:ind w:left="80"/>
              <w:spacing w:after="0" w:line="159" w:lineRule="exact"/>
              <w:rPr>
                <w:sz w:val="20"/>
                <w:szCs w:val="20"/>
                <w:color w:val="auto"/>
              </w:rPr>
            </w:pPr>
            <w:r>
              <w:rPr>
                <w:rFonts w:ascii="Arial" w:cs="Arial" w:eastAsia="Arial" w:hAnsi="Arial"/>
                <w:sz w:val="14"/>
                <w:szCs w:val="14"/>
                <w:color w:val="auto"/>
              </w:rPr>
              <w:t>Services (Ireland) Ltd</w:t>
            </w:r>
          </w:p>
        </w:tc>
        <w:tc>
          <w:tcPr>
            <w:tcW w:w="60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ind w:left="60"/>
              <w:spacing w:after="0" w:line="159" w:lineRule="exact"/>
              <w:rPr>
                <w:sz w:val="20"/>
                <w:szCs w:val="20"/>
                <w:color w:val="auto"/>
              </w:rPr>
            </w:pPr>
            <w:r>
              <w:rPr>
                <w:rFonts w:ascii="Arial" w:cs="Arial" w:eastAsia="Arial" w:hAnsi="Arial"/>
                <w:sz w:val="14"/>
                <w:szCs w:val="14"/>
                <w:color w:val="auto"/>
                <w:w w:val="86"/>
              </w:rPr>
              <w:t>investment pooling and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80" w:type="dxa"/>
            <w:vAlign w:val="bottom"/>
          </w:tcPr>
          <w:p>
            <w:pPr>
              <w:spacing w:after="0" w:line="131" w:lineRule="exact"/>
              <w:rPr>
                <w:sz w:val="20"/>
                <w:szCs w:val="20"/>
                <w:color w:val="auto"/>
              </w:rPr>
            </w:pPr>
            <w:r>
              <w:rPr>
                <w:rFonts w:ascii="Arial" w:cs="Arial" w:eastAsia="Arial" w:hAnsi="Arial"/>
                <w:sz w:val="14"/>
                <w:szCs w:val="14"/>
                <w:color w:val="auto"/>
              </w:rPr>
              <w:t>BD</w:t>
            </w:r>
          </w:p>
        </w:tc>
        <w:tc>
          <w:tcPr>
            <w:tcW w:w="600" w:type="dxa"/>
            <w:vAlign w:val="bottom"/>
          </w:tcPr>
          <w:p>
            <w:pPr>
              <w:jc w:val="right"/>
              <w:ind w:right="12"/>
              <w:spacing w:after="0" w:line="131" w:lineRule="exact"/>
              <w:rPr>
                <w:sz w:val="20"/>
                <w:szCs w:val="20"/>
                <w:color w:val="auto"/>
              </w:rPr>
            </w:pPr>
            <w:r>
              <w:rPr>
                <w:rFonts w:ascii="Arial" w:cs="Arial" w:eastAsia="Arial" w:hAnsi="Arial"/>
                <w:sz w:val="14"/>
                <w:szCs w:val="14"/>
                <w:color w:val="auto"/>
                <w:w w:val="91"/>
              </w:rPr>
              <w:t>12.16.08</w:t>
            </w:r>
          </w:p>
        </w:tc>
        <w:tc>
          <w:tcPr>
            <w:tcW w:w="680" w:type="dxa"/>
            <w:vAlign w:val="bottom"/>
          </w:tcPr>
          <w:p>
            <w:pPr>
              <w:jc w:val="right"/>
              <w:ind w:right="12"/>
              <w:spacing w:after="0" w:line="131" w:lineRule="exact"/>
              <w:rPr>
                <w:sz w:val="20"/>
                <w:szCs w:val="20"/>
                <w:color w:val="auto"/>
              </w:rPr>
            </w:pPr>
            <w:r>
              <w:rPr>
                <w:rFonts w:ascii="Arial" w:cs="Arial" w:eastAsia="Arial" w:hAnsi="Arial"/>
                <w:sz w:val="14"/>
                <w:szCs w:val="14"/>
                <w:color w:val="auto"/>
              </w:rPr>
              <w:t>02.26.12</w:t>
            </w:r>
          </w:p>
        </w:tc>
        <w:tc>
          <w:tcPr>
            <w:tcW w:w="520" w:type="dxa"/>
            <w:vAlign w:val="bottom"/>
          </w:tcPr>
          <w:p>
            <w:pPr>
              <w:spacing w:after="0"/>
              <w:rPr>
                <w:sz w:val="11"/>
                <w:szCs w:val="11"/>
                <w:color w:val="auto"/>
              </w:rPr>
            </w:pPr>
          </w:p>
        </w:tc>
        <w:tc>
          <w:tcPr>
            <w:tcW w:w="2120" w:type="dxa"/>
            <w:vAlign w:val="bottom"/>
          </w:tcPr>
          <w:p>
            <w:pPr>
              <w:ind w:left="60"/>
              <w:spacing w:after="0" w:line="131" w:lineRule="exact"/>
              <w:rPr>
                <w:sz w:val="20"/>
                <w:szCs w:val="20"/>
                <w:color w:val="auto"/>
              </w:rPr>
            </w:pPr>
            <w:r>
              <w:rPr>
                <w:rFonts w:ascii="Arial" w:cs="Arial" w:eastAsia="Arial" w:hAnsi="Arial"/>
                <w:sz w:val="14"/>
                <w:szCs w:val="14"/>
                <w:color w:val="auto"/>
              </w:rPr>
              <w:t>ILS Services Switzerland Ltd.</w:t>
            </w:r>
          </w:p>
        </w:tc>
        <w:tc>
          <w:tcPr>
            <w:tcW w:w="460" w:type="dxa"/>
            <w:vAlign w:val="bottom"/>
          </w:tcPr>
          <w:p>
            <w:pPr>
              <w:jc w:val="right"/>
              <w:ind w:right="12"/>
              <w:spacing w:after="0" w:line="131" w:lineRule="exact"/>
              <w:rPr>
                <w:sz w:val="20"/>
                <w:szCs w:val="20"/>
                <w:color w:val="auto"/>
              </w:rPr>
            </w:pPr>
            <w:r>
              <w:rPr>
                <w:rFonts w:ascii="Arial" w:cs="Arial" w:eastAsia="Arial" w:hAnsi="Arial"/>
                <w:sz w:val="14"/>
                <w:szCs w:val="14"/>
                <w:color w:val="auto"/>
              </w:rPr>
              <w:t>4230</w:t>
            </w:r>
          </w:p>
        </w:tc>
        <w:tc>
          <w:tcPr>
            <w:tcW w:w="2060" w:type="dxa"/>
            <w:vAlign w:val="bottom"/>
          </w:tcPr>
          <w:p>
            <w:pPr>
              <w:ind w:left="80"/>
              <w:spacing w:after="0" w:line="131" w:lineRule="exact"/>
              <w:rPr>
                <w:sz w:val="20"/>
                <w:szCs w:val="20"/>
                <w:color w:val="auto"/>
              </w:rPr>
            </w:pPr>
            <w:r>
              <w:rPr>
                <w:rFonts w:ascii="Arial" w:cs="Arial" w:eastAsia="Arial" w:hAnsi="Arial"/>
                <w:sz w:val="14"/>
                <w:szCs w:val="14"/>
                <w:color w:val="auto"/>
              </w:rPr>
              <w:t>Integra LifeSciences Shared</w:t>
            </w:r>
          </w:p>
        </w:tc>
        <w:tc>
          <w:tcPr>
            <w:tcW w:w="600" w:type="dxa"/>
            <w:vAlign w:val="bottom"/>
          </w:tcPr>
          <w:p>
            <w:pPr>
              <w:jc w:val="right"/>
              <w:ind w:right="112"/>
              <w:spacing w:after="0" w:line="131" w:lineRule="exact"/>
              <w:rPr>
                <w:sz w:val="20"/>
                <w:szCs w:val="20"/>
                <w:color w:val="auto"/>
              </w:rPr>
            </w:pPr>
            <w:r>
              <w:rPr>
                <w:rFonts w:ascii="Arial" w:cs="Arial" w:eastAsia="Arial" w:hAnsi="Arial"/>
                <w:sz w:val="14"/>
                <w:szCs w:val="14"/>
                <w:color w:val="auto"/>
              </w:rPr>
              <w:t>4430</w:t>
            </w:r>
          </w:p>
        </w:tc>
        <w:tc>
          <w:tcPr>
            <w:tcW w:w="540" w:type="dxa"/>
            <w:vAlign w:val="bottom"/>
          </w:tcPr>
          <w:p>
            <w:pPr>
              <w:jc w:val="right"/>
              <w:ind w:right="12"/>
              <w:spacing w:after="0" w:line="131" w:lineRule="exact"/>
              <w:rPr>
                <w:sz w:val="20"/>
                <w:szCs w:val="20"/>
                <w:color w:val="auto"/>
              </w:rPr>
            </w:pPr>
            <w:r>
              <w:rPr>
                <w:rFonts w:ascii="Arial" w:cs="Arial" w:eastAsia="Arial" w:hAnsi="Arial"/>
                <w:sz w:val="14"/>
                <w:szCs w:val="14"/>
                <w:color w:val="auto"/>
              </w:rPr>
              <w:t>EUR</w:t>
            </w:r>
          </w:p>
        </w:tc>
        <w:tc>
          <w:tcPr>
            <w:tcW w:w="16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31" w:lineRule="exact"/>
              <w:rPr>
                <w:sz w:val="20"/>
                <w:szCs w:val="20"/>
                <w:color w:val="auto"/>
              </w:rPr>
            </w:pPr>
            <w:r>
              <w:rPr>
                <w:rFonts w:ascii="Arial" w:cs="Arial" w:eastAsia="Arial" w:hAnsi="Arial"/>
                <w:sz w:val="14"/>
                <w:szCs w:val="14"/>
                <w:color w:val="auto"/>
              </w:rPr>
              <w:t>500,000.00</w:t>
            </w:r>
          </w:p>
        </w:tc>
        <w:tc>
          <w:tcPr>
            <w:tcW w:w="100" w:type="dxa"/>
            <w:vAlign w:val="bottom"/>
          </w:tcPr>
          <w:p>
            <w:pPr>
              <w:spacing w:after="0"/>
              <w:rPr>
                <w:sz w:val="11"/>
                <w:szCs w:val="11"/>
                <w:color w:val="auto"/>
              </w:rPr>
            </w:pPr>
          </w:p>
        </w:tc>
        <w:tc>
          <w:tcPr>
            <w:tcW w:w="1020" w:type="dxa"/>
            <w:vAlign w:val="bottom"/>
          </w:tcPr>
          <w:p>
            <w:pPr>
              <w:ind w:left="60"/>
              <w:spacing w:after="0" w:line="131" w:lineRule="exact"/>
              <w:rPr>
                <w:sz w:val="20"/>
                <w:szCs w:val="20"/>
                <w:color w:val="auto"/>
              </w:rPr>
            </w:pPr>
            <w:r>
              <w:rPr>
                <w:rFonts w:ascii="Arial" w:cs="Arial" w:eastAsia="Arial" w:hAnsi="Arial"/>
                <w:sz w:val="14"/>
                <w:szCs w:val="14"/>
                <w:color w:val="auto"/>
              </w:rPr>
              <w:t>3.5% Max rate</w:t>
            </w:r>
          </w:p>
        </w:tc>
        <w:tc>
          <w:tcPr>
            <w:tcW w:w="1320" w:type="dxa"/>
            <w:vAlign w:val="bottom"/>
          </w:tcPr>
          <w:p>
            <w:pPr>
              <w:ind w:left="60"/>
              <w:spacing w:after="0" w:line="131" w:lineRule="exact"/>
              <w:rPr>
                <w:sz w:val="20"/>
                <w:szCs w:val="20"/>
                <w:color w:val="auto"/>
              </w:rPr>
            </w:pPr>
            <w:r>
              <w:rPr>
                <w:rFonts w:ascii="Arial" w:cs="Arial" w:eastAsia="Arial" w:hAnsi="Arial"/>
                <w:sz w:val="14"/>
                <w:szCs w:val="14"/>
                <w:color w:val="auto"/>
                <w:w w:val="89"/>
              </w:rPr>
              <w:t>Amended interest rate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ind w:left="80"/>
              <w:spacing w:after="0" w:line="159" w:lineRule="exact"/>
              <w:rPr>
                <w:sz w:val="20"/>
                <w:szCs w:val="20"/>
                <w:color w:val="auto"/>
              </w:rPr>
            </w:pPr>
            <w:r>
              <w:rPr>
                <w:rFonts w:ascii="Arial" w:cs="Arial" w:eastAsia="Arial" w:hAnsi="Arial"/>
                <w:sz w:val="14"/>
                <w:szCs w:val="14"/>
                <w:color w:val="auto"/>
              </w:rPr>
              <w:t>Services (Ireland) Ltd</w:t>
            </w:r>
          </w:p>
        </w:tc>
        <w:tc>
          <w:tcPr>
            <w:tcW w:w="6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ind w:left="60"/>
              <w:spacing w:after="0" w:line="159" w:lineRule="exact"/>
              <w:rPr>
                <w:sz w:val="20"/>
                <w:szCs w:val="20"/>
                <w:color w:val="auto"/>
              </w:rPr>
            </w:pPr>
            <w:r>
              <w:rPr>
                <w:rFonts w:ascii="Arial" w:cs="Arial" w:eastAsia="Arial" w:hAnsi="Arial"/>
                <w:sz w:val="14"/>
                <w:szCs w:val="14"/>
                <w:color w:val="auto"/>
                <w:w w:val="95"/>
              </w:rPr>
              <w:t>effective Jan 1, 2010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80" w:type="dxa"/>
            <w:vAlign w:val="bottom"/>
            <w:tcBorders>
              <w:left w:val="single" w:sz="8" w:color="CCEEFF"/>
            </w:tcBorders>
            <w:shd w:val="clear" w:color="auto" w:fill="CCEEFF"/>
          </w:tcPr>
          <w:p>
            <w:pPr>
              <w:spacing w:after="0" w:line="131" w:lineRule="exact"/>
              <w:rPr>
                <w:sz w:val="20"/>
                <w:szCs w:val="20"/>
                <w:color w:val="auto"/>
              </w:rPr>
            </w:pPr>
            <w:r>
              <w:rPr>
                <w:rFonts w:ascii="Arial" w:cs="Arial" w:eastAsia="Arial" w:hAnsi="Arial"/>
                <w:sz w:val="14"/>
                <w:szCs w:val="14"/>
                <w:color w:val="auto"/>
              </w:rPr>
              <w:t>CG</w:t>
            </w:r>
          </w:p>
        </w:tc>
        <w:tc>
          <w:tcPr>
            <w:tcW w:w="600" w:type="dxa"/>
            <w:vAlign w:val="bottom"/>
            <w:shd w:val="clear" w:color="auto" w:fill="CCEEFF"/>
          </w:tcPr>
          <w:p>
            <w:pPr>
              <w:jc w:val="right"/>
              <w:ind w:right="12"/>
              <w:spacing w:after="0" w:line="131" w:lineRule="exact"/>
              <w:rPr>
                <w:sz w:val="20"/>
                <w:szCs w:val="20"/>
                <w:color w:val="auto"/>
              </w:rPr>
            </w:pPr>
            <w:r>
              <w:rPr>
                <w:rFonts w:ascii="Arial" w:cs="Arial" w:eastAsia="Arial" w:hAnsi="Arial"/>
                <w:sz w:val="14"/>
                <w:szCs w:val="14"/>
                <w:color w:val="auto"/>
                <w:w w:val="91"/>
              </w:rPr>
              <w:t>05.10.10</w:t>
            </w:r>
          </w:p>
        </w:tc>
        <w:tc>
          <w:tcPr>
            <w:tcW w:w="680" w:type="dxa"/>
            <w:vAlign w:val="bottom"/>
            <w:shd w:val="clear" w:color="auto" w:fill="CCEEFF"/>
          </w:tcPr>
          <w:p>
            <w:pPr>
              <w:jc w:val="right"/>
              <w:ind w:right="12"/>
              <w:spacing w:after="0" w:line="131" w:lineRule="exact"/>
              <w:rPr>
                <w:sz w:val="20"/>
                <w:szCs w:val="20"/>
                <w:color w:val="auto"/>
              </w:rPr>
            </w:pPr>
            <w:r>
              <w:rPr>
                <w:rFonts w:ascii="Arial" w:cs="Arial" w:eastAsia="Arial" w:hAnsi="Arial"/>
                <w:sz w:val="14"/>
                <w:szCs w:val="14"/>
                <w:color w:val="auto"/>
              </w:rPr>
              <w:t>05.10.13</w:t>
            </w:r>
          </w:p>
        </w:tc>
        <w:tc>
          <w:tcPr>
            <w:tcW w:w="520" w:type="dxa"/>
            <w:vAlign w:val="bottom"/>
            <w:shd w:val="clear" w:color="auto" w:fill="CCEEFF"/>
          </w:tcPr>
          <w:p>
            <w:pPr>
              <w:spacing w:after="0"/>
              <w:rPr>
                <w:sz w:val="11"/>
                <w:szCs w:val="11"/>
                <w:color w:val="auto"/>
              </w:rPr>
            </w:pPr>
          </w:p>
        </w:tc>
        <w:tc>
          <w:tcPr>
            <w:tcW w:w="2120" w:type="dxa"/>
            <w:vAlign w:val="bottom"/>
            <w:shd w:val="clear" w:color="auto" w:fill="CCEEFF"/>
          </w:tcPr>
          <w:p>
            <w:pPr>
              <w:ind w:left="60"/>
              <w:spacing w:after="0" w:line="131" w:lineRule="exact"/>
              <w:rPr>
                <w:sz w:val="20"/>
                <w:szCs w:val="20"/>
                <w:color w:val="auto"/>
              </w:rPr>
            </w:pPr>
            <w:r>
              <w:rPr>
                <w:rFonts w:ascii="Arial" w:cs="Arial" w:eastAsia="Arial" w:hAnsi="Arial"/>
                <w:sz w:val="14"/>
                <w:szCs w:val="14"/>
                <w:color w:val="auto"/>
                <w:w w:val="98"/>
              </w:rPr>
              <w:t>Integra LifeSciences (Ireland) Ltd</w:t>
            </w:r>
          </w:p>
        </w:tc>
        <w:tc>
          <w:tcPr>
            <w:tcW w:w="460" w:type="dxa"/>
            <w:vAlign w:val="bottom"/>
            <w:shd w:val="clear" w:color="auto" w:fill="CCEEFF"/>
          </w:tcPr>
          <w:p>
            <w:pPr>
              <w:jc w:val="right"/>
              <w:ind w:right="12"/>
              <w:spacing w:after="0" w:line="131" w:lineRule="exact"/>
              <w:rPr>
                <w:sz w:val="20"/>
                <w:szCs w:val="20"/>
                <w:color w:val="auto"/>
              </w:rPr>
            </w:pPr>
            <w:r>
              <w:rPr>
                <w:rFonts w:ascii="Arial" w:cs="Arial" w:eastAsia="Arial" w:hAnsi="Arial"/>
                <w:sz w:val="14"/>
                <w:szCs w:val="14"/>
                <w:color w:val="auto"/>
              </w:rPr>
              <w:t>4410</w:t>
            </w:r>
          </w:p>
        </w:tc>
        <w:tc>
          <w:tcPr>
            <w:tcW w:w="2060" w:type="dxa"/>
            <w:vAlign w:val="bottom"/>
            <w:shd w:val="clear" w:color="auto" w:fill="CCEEFF"/>
          </w:tcPr>
          <w:p>
            <w:pPr>
              <w:ind w:left="80"/>
              <w:spacing w:after="0" w:line="131" w:lineRule="exact"/>
              <w:rPr>
                <w:sz w:val="20"/>
                <w:szCs w:val="20"/>
                <w:color w:val="auto"/>
              </w:rPr>
            </w:pPr>
            <w:r>
              <w:rPr>
                <w:rFonts w:ascii="Arial" w:cs="Arial" w:eastAsia="Arial" w:hAnsi="Arial"/>
                <w:sz w:val="14"/>
                <w:szCs w:val="14"/>
                <w:color w:val="auto"/>
              </w:rPr>
              <w:t>Integra LifeSciences Shared</w:t>
            </w:r>
          </w:p>
        </w:tc>
        <w:tc>
          <w:tcPr>
            <w:tcW w:w="600" w:type="dxa"/>
            <w:vAlign w:val="bottom"/>
            <w:shd w:val="clear" w:color="auto" w:fill="CCEEFF"/>
          </w:tcPr>
          <w:p>
            <w:pPr>
              <w:jc w:val="right"/>
              <w:ind w:right="112"/>
              <w:spacing w:after="0" w:line="131" w:lineRule="exact"/>
              <w:rPr>
                <w:sz w:val="20"/>
                <w:szCs w:val="20"/>
                <w:color w:val="auto"/>
              </w:rPr>
            </w:pPr>
            <w:r>
              <w:rPr>
                <w:rFonts w:ascii="Arial" w:cs="Arial" w:eastAsia="Arial" w:hAnsi="Arial"/>
                <w:sz w:val="14"/>
                <w:szCs w:val="14"/>
                <w:color w:val="auto"/>
              </w:rPr>
              <w:t>4435</w:t>
            </w:r>
          </w:p>
        </w:tc>
        <w:tc>
          <w:tcPr>
            <w:tcW w:w="540" w:type="dxa"/>
            <w:vAlign w:val="bottom"/>
            <w:shd w:val="clear" w:color="auto" w:fill="CCEEFF"/>
          </w:tcPr>
          <w:p>
            <w:pPr>
              <w:jc w:val="right"/>
              <w:ind w:right="12"/>
              <w:spacing w:after="0" w:line="131" w:lineRule="exact"/>
              <w:rPr>
                <w:sz w:val="20"/>
                <w:szCs w:val="20"/>
                <w:color w:val="auto"/>
              </w:rPr>
            </w:pPr>
            <w:r>
              <w:rPr>
                <w:rFonts w:ascii="Arial" w:cs="Arial" w:eastAsia="Arial" w:hAnsi="Arial"/>
                <w:sz w:val="14"/>
                <w:szCs w:val="14"/>
                <w:color w:val="auto"/>
              </w:rPr>
              <w:t>EUR</w:t>
            </w:r>
          </w:p>
        </w:tc>
        <w:tc>
          <w:tcPr>
            <w:tcW w:w="16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w w:val="91"/>
              </w:rPr>
              <w:t>10,000,000.00</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ind w:left="60"/>
              <w:spacing w:after="0" w:line="131" w:lineRule="exact"/>
              <w:rPr>
                <w:sz w:val="20"/>
                <w:szCs w:val="20"/>
                <w:color w:val="auto"/>
              </w:rPr>
            </w:pPr>
            <w:r>
              <w:rPr>
                <w:rFonts w:ascii="Arial" w:cs="Arial" w:eastAsia="Arial" w:hAnsi="Arial"/>
                <w:sz w:val="14"/>
                <w:szCs w:val="14"/>
                <w:color w:val="auto"/>
              </w:rPr>
              <w:t>5.0% annually</w:t>
            </w:r>
          </w:p>
        </w:tc>
        <w:tc>
          <w:tcPr>
            <w:tcW w:w="1320" w:type="dxa"/>
            <w:vAlign w:val="bottom"/>
            <w:shd w:val="clear" w:color="auto" w:fill="CCEEFF"/>
          </w:tcPr>
          <w:p>
            <w:pPr>
              <w:ind w:left="60"/>
              <w:spacing w:after="0" w:line="131" w:lineRule="exact"/>
              <w:rPr>
                <w:sz w:val="20"/>
                <w:szCs w:val="20"/>
                <w:color w:val="auto"/>
              </w:rPr>
            </w:pPr>
            <w:r>
              <w:rPr>
                <w:rFonts w:ascii="Arial" w:cs="Arial" w:eastAsia="Arial" w:hAnsi="Arial"/>
                <w:sz w:val="14"/>
                <w:szCs w:val="14"/>
                <w:color w:val="auto"/>
                <w:w w:val="96"/>
              </w:rPr>
              <w:t>EMEA Intercompany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0" w:type="dxa"/>
            <w:vAlign w:val="bottom"/>
            <w:tcBorders>
              <w:left w:val="single" w:sz="8" w:color="CCEEFF"/>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2120" w:type="dxa"/>
            <w:vAlign w:val="bottom"/>
            <w:tcBorders>
              <w:bottom w:val="single" w:sz="8" w:color="auto"/>
            </w:tcBorders>
            <w:shd w:val="clear" w:color="auto" w:fill="CCEEFF"/>
          </w:tcPr>
          <w:p>
            <w:pPr>
              <w:ind w:left="60"/>
              <w:spacing w:after="0" w:line="159" w:lineRule="exact"/>
              <w:rPr>
                <w:sz w:val="20"/>
                <w:szCs w:val="20"/>
                <w:color w:val="auto"/>
              </w:rPr>
            </w:pPr>
            <w:r>
              <w:rPr>
                <w:rFonts w:ascii="Arial" w:cs="Arial" w:eastAsia="Arial" w:hAnsi="Arial"/>
                <w:sz w:val="14"/>
                <w:szCs w:val="14"/>
                <w:color w:val="auto"/>
              </w:rPr>
              <w:t>Mfg</w:t>
            </w:r>
          </w:p>
        </w:tc>
        <w:tc>
          <w:tcPr>
            <w:tcW w:w="460" w:type="dxa"/>
            <w:vAlign w:val="bottom"/>
            <w:tcBorders>
              <w:bottom w:val="single" w:sz="8" w:color="auto"/>
            </w:tcBorders>
            <w:shd w:val="clear" w:color="auto" w:fill="CCEEFF"/>
          </w:tcPr>
          <w:p>
            <w:pPr>
              <w:spacing w:after="0"/>
              <w:rPr>
                <w:sz w:val="14"/>
                <w:szCs w:val="14"/>
                <w:color w:val="auto"/>
              </w:rPr>
            </w:pPr>
          </w:p>
        </w:tc>
        <w:tc>
          <w:tcPr>
            <w:tcW w:w="2060" w:type="dxa"/>
            <w:vAlign w:val="bottom"/>
            <w:tcBorders>
              <w:bottom w:val="single" w:sz="8" w:color="auto"/>
            </w:tcBorders>
            <w:shd w:val="clear" w:color="auto" w:fill="CCEEFF"/>
          </w:tcPr>
          <w:p>
            <w:pPr>
              <w:ind w:left="80"/>
              <w:spacing w:after="0" w:line="159" w:lineRule="exact"/>
              <w:rPr>
                <w:sz w:val="20"/>
                <w:szCs w:val="20"/>
                <w:color w:val="auto"/>
              </w:rPr>
            </w:pPr>
            <w:r>
              <w:rPr>
                <w:rFonts w:ascii="Arial" w:cs="Arial" w:eastAsia="Arial" w:hAnsi="Arial"/>
                <w:sz w:val="14"/>
                <w:szCs w:val="14"/>
                <w:color w:val="auto"/>
              </w:rPr>
              <w:t>Services (Ireland) Ltd</w:t>
            </w:r>
          </w:p>
        </w:tc>
        <w:tc>
          <w:tcPr>
            <w:tcW w:w="6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ind w:left="60"/>
              <w:spacing w:after="0" w:line="159" w:lineRule="exact"/>
              <w:rPr>
                <w:sz w:val="20"/>
                <w:szCs w:val="20"/>
                <w:color w:val="auto"/>
              </w:rPr>
            </w:pPr>
            <w:r>
              <w:rPr>
                <w:rFonts w:ascii="Arial" w:cs="Arial" w:eastAsia="Arial" w:hAnsi="Arial"/>
                <w:sz w:val="14"/>
                <w:szCs w:val="14"/>
                <w:color w:val="auto"/>
                <w:w w:val="86"/>
              </w:rPr>
              <w:t>investment pooling and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 w:type="dxa"/>
            <w:vAlign w:val="bottom"/>
          </w:tcPr>
          <w:p>
            <w:pPr>
              <w:spacing w:after="0" w:line="138" w:lineRule="exact"/>
              <w:rPr>
                <w:sz w:val="20"/>
                <w:szCs w:val="20"/>
                <w:color w:val="auto"/>
              </w:rPr>
            </w:pPr>
            <w:r>
              <w:rPr>
                <w:rFonts w:ascii="Arial" w:cs="Arial" w:eastAsia="Arial" w:hAnsi="Arial"/>
                <w:sz w:val="14"/>
                <w:szCs w:val="14"/>
                <w:color w:val="auto"/>
              </w:rPr>
              <w:t>A</w:t>
            </w:r>
          </w:p>
        </w:tc>
        <w:tc>
          <w:tcPr>
            <w:tcW w:w="60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1"/>
              </w:rPr>
              <w:t>12.21.04</w:t>
            </w:r>
          </w:p>
        </w:tc>
        <w:tc>
          <w:tcPr>
            <w:tcW w:w="680" w:type="dxa"/>
            <w:vAlign w:val="bottom"/>
          </w:tcPr>
          <w:p>
            <w:pPr>
              <w:jc w:val="right"/>
              <w:ind w:right="12"/>
              <w:spacing w:after="0" w:line="138" w:lineRule="exact"/>
              <w:rPr>
                <w:sz w:val="20"/>
                <w:szCs w:val="20"/>
                <w:color w:val="auto"/>
              </w:rPr>
            </w:pPr>
            <w:r>
              <w:rPr>
                <w:rFonts w:ascii="Arial" w:cs="Arial" w:eastAsia="Arial" w:hAnsi="Arial"/>
                <w:sz w:val="14"/>
                <w:szCs w:val="14"/>
                <w:color w:val="auto"/>
              </w:rPr>
              <w:t>01.03.15</w:t>
            </w:r>
          </w:p>
        </w:tc>
        <w:tc>
          <w:tcPr>
            <w:tcW w:w="520" w:type="dxa"/>
            <w:vAlign w:val="bottom"/>
          </w:tcPr>
          <w:p>
            <w:pPr>
              <w:spacing w:after="0"/>
              <w:rPr>
                <w:sz w:val="11"/>
                <w:szCs w:val="11"/>
                <w:color w:val="auto"/>
              </w:rPr>
            </w:pPr>
          </w:p>
        </w:tc>
        <w:tc>
          <w:tcPr>
            <w:tcW w:w="2120" w:type="dxa"/>
            <w:vAlign w:val="bottom"/>
          </w:tcPr>
          <w:p>
            <w:pPr>
              <w:ind w:left="60"/>
              <w:spacing w:after="0" w:line="138" w:lineRule="exact"/>
              <w:rPr>
                <w:sz w:val="20"/>
                <w:szCs w:val="20"/>
                <w:color w:val="auto"/>
              </w:rPr>
            </w:pPr>
            <w:r>
              <w:rPr>
                <w:rFonts w:ascii="Arial" w:cs="Arial" w:eastAsia="Arial" w:hAnsi="Arial"/>
                <w:sz w:val="14"/>
                <w:szCs w:val="14"/>
                <w:color w:val="auto"/>
              </w:rPr>
              <w:t>Integra LifeSciences Holdings</w:t>
            </w:r>
          </w:p>
        </w:tc>
        <w:tc>
          <w:tcPr>
            <w:tcW w:w="460" w:type="dxa"/>
            <w:vAlign w:val="bottom"/>
          </w:tcPr>
          <w:p>
            <w:pPr>
              <w:jc w:val="right"/>
              <w:ind w:right="12"/>
              <w:spacing w:after="0" w:line="138" w:lineRule="exact"/>
              <w:rPr>
                <w:sz w:val="20"/>
                <w:szCs w:val="20"/>
                <w:color w:val="auto"/>
              </w:rPr>
            </w:pPr>
            <w:r>
              <w:rPr>
                <w:rFonts w:ascii="Arial" w:cs="Arial" w:eastAsia="Arial" w:hAnsi="Arial"/>
                <w:sz w:val="14"/>
                <w:szCs w:val="14"/>
                <w:color w:val="auto"/>
              </w:rPr>
              <w:t>4520</w:t>
            </w:r>
          </w:p>
        </w:tc>
        <w:tc>
          <w:tcPr>
            <w:tcW w:w="2060" w:type="dxa"/>
            <w:vAlign w:val="bottom"/>
          </w:tcPr>
          <w:p>
            <w:pPr>
              <w:ind w:left="80"/>
              <w:spacing w:after="0" w:line="138" w:lineRule="exact"/>
              <w:rPr>
                <w:sz w:val="20"/>
                <w:szCs w:val="20"/>
                <w:color w:val="auto"/>
              </w:rPr>
            </w:pPr>
            <w:r>
              <w:rPr>
                <w:rFonts w:ascii="Arial" w:cs="Arial" w:eastAsia="Arial" w:hAnsi="Arial"/>
                <w:sz w:val="14"/>
                <w:szCs w:val="14"/>
                <w:color w:val="auto"/>
                <w:w w:val="91"/>
              </w:rPr>
              <w:t>Integra LifeSciences (France) LLC</w:t>
            </w:r>
          </w:p>
        </w:tc>
        <w:tc>
          <w:tcPr>
            <w:tcW w:w="600" w:type="dxa"/>
            <w:vAlign w:val="bottom"/>
          </w:tcPr>
          <w:p>
            <w:pPr>
              <w:jc w:val="right"/>
              <w:ind w:right="112"/>
              <w:spacing w:after="0" w:line="138" w:lineRule="exact"/>
              <w:rPr>
                <w:sz w:val="20"/>
                <w:szCs w:val="20"/>
                <w:color w:val="auto"/>
              </w:rPr>
            </w:pPr>
            <w:r>
              <w:rPr>
                <w:rFonts w:ascii="Arial" w:cs="Arial" w:eastAsia="Arial" w:hAnsi="Arial"/>
                <w:sz w:val="14"/>
                <w:szCs w:val="14"/>
                <w:color w:val="auto"/>
              </w:rPr>
              <w:t>1405</w:t>
            </w:r>
          </w:p>
        </w:tc>
        <w:tc>
          <w:tcPr>
            <w:tcW w:w="540" w:type="dxa"/>
            <w:vAlign w:val="bottom"/>
          </w:tcPr>
          <w:p>
            <w:pPr>
              <w:jc w:val="right"/>
              <w:ind w:right="12"/>
              <w:spacing w:after="0" w:line="138" w:lineRule="exact"/>
              <w:rPr>
                <w:sz w:val="20"/>
                <w:szCs w:val="20"/>
                <w:color w:val="auto"/>
              </w:rPr>
            </w:pPr>
            <w:r>
              <w:rPr>
                <w:rFonts w:ascii="Arial" w:cs="Arial" w:eastAsia="Arial" w:hAnsi="Arial"/>
                <w:sz w:val="14"/>
                <w:szCs w:val="14"/>
                <w:color w:val="auto"/>
              </w:rPr>
              <w:t>EUR</w:t>
            </w:r>
          </w:p>
        </w:tc>
        <w:tc>
          <w:tcPr>
            <w:tcW w:w="1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38" w:lineRule="exact"/>
              <w:rPr>
                <w:sz w:val="20"/>
                <w:szCs w:val="20"/>
                <w:color w:val="auto"/>
              </w:rPr>
            </w:pPr>
            <w:r>
              <w:rPr>
                <w:rFonts w:ascii="Arial" w:cs="Arial" w:eastAsia="Arial" w:hAnsi="Arial"/>
                <w:sz w:val="14"/>
                <w:szCs w:val="14"/>
                <w:color w:val="auto"/>
                <w:w w:val="91"/>
              </w:rPr>
              <w:t>20,000,000.00</w:t>
            </w:r>
          </w:p>
        </w:tc>
        <w:tc>
          <w:tcPr>
            <w:tcW w:w="100" w:type="dxa"/>
            <w:vAlign w:val="bottom"/>
          </w:tcPr>
          <w:p>
            <w:pPr>
              <w:spacing w:after="0"/>
              <w:rPr>
                <w:sz w:val="11"/>
                <w:szCs w:val="11"/>
                <w:color w:val="auto"/>
              </w:rPr>
            </w:pPr>
          </w:p>
        </w:tc>
        <w:tc>
          <w:tcPr>
            <w:tcW w:w="1020" w:type="dxa"/>
            <w:vAlign w:val="bottom"/>
          </w:tcPr>
          <w:p>
            <w:pPr>
              <w:ind w:left="60"/>
              <w:spacing w:after="0" w:line="138" w:lineRule="exact"/>
              <w:rPr>
                <w:sz w:val="20"/>
                <w:szCs w:val="20"/>
                <w:color w:val="auto"/>
              </w:rPr>
            </w:pPr>
            <w:r>
              <w:rPr>
                <w:rFonts w:ascii="Arial" w:cs="Arial" w:eastAsia="Arial" w:hAnsi="Arial"/>
                <w:sz w:val="14"/>
                <w:szCs w:val="14"/>
                <w:color w:val="auto"/>
              </w:rPr>
              <w:t>5% annually</w:t>
            </w:r>
          </w:p>
        </w:tc>
        <w:tc>
          <w:tcPr>
            <w:tcW w:w="1320" w:type="dxa"/>
            <w:vAlign w:val="bottom"/>
          </w:tcPr>
          <w:p>
            <w:pPr>
              <w:ind w:left="60"/>
              <w:spacing w:after="0" w:line="138" w:lineRule="exact"/>
              <w:rPr>
                <w:sz w:val="20"/>
                <w:szCs w:val="20"/>
                <w:color w:val="auto"/>
              </w:rPr>
            </w:pPr>
            <w:r>
              <w:rPr>
                <w:rFonts w:ascii="Arial" w:cs="Arial" w:eastAsia="Arial" w:hAnsi="Arial"/>
                <w:sz w:val="14"/>
                <w:szCs w:val="14"/>
                <w:color w:val="auto"/>
                <w:w w:val="86"/>
              </w:rPr>
              <w:t>Purchase of New Deal.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tcPr>
          <w:p>
            <w:pPr>
              <w:ind w:left="60"/>
              <w:spacing w:after="0" w:line="159" w:lineRule="exact"/>
              <w:rPr>
                <w:sz w:val="20"/>
                <w:szCs w:val="20"/>
                <w:color w:val="auto"/>
              </w:rPr>
            </w:pPr>
            <w:r>
              <w:rPr>
                <w:rFonts w:ascii="Arial" w:cs="Arial" w:eastAsia="Arial" w:hAnsi="Arial"/>
                <w:sz w:val="14"/>
                <w:szCs w:val="14"/>
                <w:color w:val="auto"/>
              </w:rPr>
              <w:t>Corporation</w:t>
            </w:r>
          </w:p>
        </w:tc>
        <w:tc>
          <w:tcPr>
            <w:tcW w:w="46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80" w:type="dxa"/>
            <w:vAlign w:val="bottom"/>
            <w:tcBorders>
              <w:left w:val="single" w:sz="8" w:color="CCEEFF"/>
            </w:tcBorders>
            <w:shd w:val="clear" w:color="auto" w:fill="CCEEFF"/>
          </w:tcPr>
          <w:p>
            <w:pPr>
              <w:spacing w:after="0" w:line="131" w:lineRule="exact"/>
              <w:rPr>
                <w:sz w:val="20"/>
                <w:szCs w:val="20"/>
                <w:color w:val="auto"/>
              </w:rPr>
            </w:pPr>
            <w:r>
              <w:rPr>
                <w:rFonts w:ascii="Arial" w:cs="Arial" w:eastAsia="Arial" w:hAnsi="Arial"/>
                <w:sz w:val="14"/>
                <w:szCs w:val="14"/>
                <w:color w:val="auto"/>
              </w:rPr>
              <w:t>O</w:t>
            </w:r>
          </w:p>
        </w:tc>
        <w:tc>
          <w:tcPr>
            <w:tcW w:w="600" w:type="dxa"/>
            <w:vAlign w:val="bottom"/>
            <w:shd w:val="clear" w:color="auto" w:fill="CCEEFF"/>
          </w:tcPr>
          <w:p>
            <w:pPr>
              <w:jc w:val="right"/>
              <w:ind w:right="12"/>
              <w:spacing w:after="0" w:line="131" w:lineRule="exact"/>
              <w:rPr>
                <w:sz w:val="20"/>
                <w:szCs w:val="20"/>
                <w:color w:val="auto"/>
              </w:rPr>
            </w:pPr>
            <w:r>
              <w:rPr>
                <w:rFonts w:ascii="Arial" w:cs="Arial" w:eastAsia="Arial" w:hAnsi="Arial"/>
                <w:sz w:val="14"/>
                <w:szCs w:val="14"/>
                <w:color w:val="auto"/>
                <w:w w:val="91"/>
              </w:rPr>
              <w:t>10.03.06</w:t>
            </w:r>
          </w:p>
        </w:tc>
        <w:tc>
          <w:tcPr>
            <w:tcW w:w="680" w:type="dxa"/>
            <w:vAlign w:val="bottom"/>
            <w:shd w:val="clear" w:color="auto" w:fill="CCEEFF"/>
          </w:tcPr>
          <w:p>
            <w:pPr>
              <w:jc w:val="right"/>
              <w:ind w:right="12"/>
              <w:spacing w:after="0" w:line="131" w:lineRule="exact"/>
              <w:rPr>
                <w:sz w:val="20"/>
                <w:szCs w:val="20"/>
                <w:color w:val="auto"/>
              </w:rPr>
            </w:pPr>
            <w:r>
              <w:rPr>
                <w:rFonts w:ascii="Arial" w:cs="Arial" w:eastAsia="Arial" w:hAnsi="Arial"/>
                <w:sz w:val="14"/>
                <w:szCs w:val="14"/>
                <w:color w:val="auto"/>
              </w:rPr>
              <w:t>10.03.11</w:t>
            </w:r>
          </w:p>
        </w:tc>
        <w:tc>
          <w:tcPr>
            <w:tcW w:w="520" w:type="dxa"/>
            <w:vAlign w:val="bottom"/>
            <w:shd w:val="clear" w:color="auto" w:fill="CCEEFF"/>
          </w:tcPr>
          <w:p>
            <w:pPr>
              <w:spacing w:after="0"/>
              <w:rPr>
                <w:sz w:val="11"/>
                <w:szCs w:val="11"/>
                <w:color w:val="auto"/>
              </w:rPr>
            </w:pPr>
          </w:p>
        </w:tc>
        <w:tc>
          <w:tcPr>
            <w:tcW w:w="2120" w:type="dxa"/>
            <w:vAlign w:val="bottom"/>
            <w:shd w:val="clear" w:color="auto" w:fill="CCEEFF"/>
          </w:tcPr>
          <w:p>
            <w:pPr>
              <w:ind w:left="60"/>
              <w:spacing w:after="0" w:line="131" w:lineRule="exact"/>
              <w:rPr>
                <w:sz w:val="20"/>
                <w:szCs w:val="20"/>
                <w:color w:val="auto"/>
              </w:rPr>
            </w:pPr>
            <w:r>
              <w:rPr>
                <w:rFonts w:ascii="Arial" w:cs="Arial" w:eastAsia="Arial" w:hAnsi="Arial"/>
                <w:sz w:val="14"/>
                <w:szCs w:val="14"/>
                <w:color w:val="auto"/>
                <w:w w:val="91"/>
              </w:rPr>
              <w:t>Integra NeuroSciences Holdings BV</w:t>
            </w:r>
          </w:p>
        </w:tc>
        <w:tc>
          <w:tcPr>
            <w:tcW w:w="460" w:type="dxa"/>
            <w:vAlign w:val="bottom"/>
            <w:shd w:val="clear" w:color="auto" w:fill="CCEEFF"/>
          </w:tcPr>
          <w:p>
            <w:pPr>
              <w:jc w:val="right"/>
              <w:ind w:right="12"/>
              <w:spacing w:after="0" w:line="131" w:lineRule="exact"/>
              <w:rPr>
                <w:sz w:val="20"/>
                <w:szCs w:val="20"/>
                <w:color w:val="auto"/>
              </w:rPr>
            </w:pPr>
            <w:r>
              <w:rPr>
                <w:rFonts w:ascii="Arial" w:cs="Arial" w:eastAsia="Arial" w:hAnsi="Arial"/>
                <w:sz w:val="14"/>
                <w:szCs w:val="14"/>
                <w:color w:val="auto"/>
              </w:rPr>
              <w:t>4605</w:t>
            </w:r>
          </w:p>
        </w:tc>
        <w:tc>
          <w:tcPr>
            <w:tcW w:w="2060" w:type="dxa"/>
            <w:vAlign w:val="bottom"/>
            <w:shd w:val="clear" w:color="auto" w:fill="CCEEFF"/>
          </w:tcPr>
          <w:p>
            <w:pPr>
              <w:ind w:left="80"/>
              <w:spacing w:after="0" w:line="131" w:lineRule="exact"/>
              <w:rPr>
                <w:sz w:val="20"/>
                <w:szCs w:val="20"/>
                <w:color w:val="auto"/>
              </w:rPr>
            </w:pPr>
            <w:r>
              <w:rPr>
                <w:rFonts w:ascii="Arial" w:cs="Arial" w:eastAsia="Arial" w:hAnsi="Arial"/>
                <w:sz w:val="14"/>
                <w:szCs w:val="14"/>
                <w:color w:val="auto"/>
                <w:w w:val="96"/>
              </w:rPr>
              <w:t>Integra LifeSciences Corporation</w:t>
            </w:r>
          </w:p>
        </w:tc>
        <w:tc>
          <w:tcPr>
            <w:tcW w:w="600" w:type="dxa"/>
            <w:vAlign w:val="bottom"/>
            <w:shd w:val="clear" w:color="auto" w:fill="CCEEFF"/>
          </w:tcPr>
          <w:p>
            <w:pPr>
              <w:jc w:val="right"/>
              <w:ind w:right="112"/>
              <w:spacing w:after="0" w:line="131" w:lineRule="exact"/>
              <w:rPr>
                <w:sz w:val="20"/>
                <w:szCs w:val="20"/>
                <w:color w:val="auto"/>
              </w:rPr>
            </w:pPr>
            <w:r>
              <w:rPr>
                <w:rFonts w:ascii="Arial" w:cs="Arial" w:eastAsia="Arial" w:hAnsi="Arial"/>
                <w:sz w:val="14"/>
                <w:szCs w:val="14"/>
                <w:color w:val="auto"/>
              </w:rPr>
              <w:t>1115</w:t>
            </w:r>
          </w:p>
        </w:tc>
        <w:tc>
          <w:tcPr>
            <w:tcW w:w="540" w:type="dxa"/>
            <w:vAlign w:val="bottom"/>
            <w:shd w:val="clear" w:color="auto" w:fill="CCEEFF"/>
          </w:tcPr>
          <w:p>
            <w:pPr>
              <w:jc w:val="right"/>
              <w:ind w:right="12"/>
              <w:spacing w:after="0" w:line="131" w:lineRule="exact"/>
              <w:rPr>
                <w:sz w:val="20"/>
                <w:szCs w:val="20"/>
                <w:color w:val="auto"/>
              </w:rPr>
            </w:pPr>
            <w:r>
              <w:rPr>
                <w:rFonts w:ascii="Arial" w:cs="Arial" w:eastAsia="Arial" w:hAnsi="Arial"/>
                <w:sz w:val="14"/>
                <w:szCs w:val="14"/>
                <w:color w:val="auto"/>
              </w:rPr>
              <w:t>EUR</w:t>
            </w:r>
          </w:p>
        </w:tc>
        <w:tc>
          <w:tcPr>
            <w:tcW w:w="16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105,000.00</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ind w:left="60"/>
              <w:spacing w:after="0" w:line="131" w:lineRule="exact"/>
              <w:rPr>
                <w:sz w:val="20"/>
                <w:szCs w:val="20"/>
                <w:color w:val="auto"/>
              </w:rPr>
            </w:pPr>
            <w:r>
              <w:rPr>
                <w:rFonts w:ascii="Arial" w:cs="Arial" w:eastAsia="Arial" w:hAnsi="Arial"/>
                <w:sz w:val="14"/>
                <w:szCs w:val="14"/>
                <w:color w:val="auto"/>
                <w:w w:val="90"/>
              </w:rPr>
              <w:t>7.625% annually</w:t>
            </w:r>
          </w:p>
        </w:tc>
        <w:tc>
          <w:tcPr>
            <w:tcW w:w="1320" w:type="dxa"/>
            <w:vAlign w:val="bottom"/>
            <w:shd w:val="clear" w:color="auto" w:fill="CCEEFF"/>
          </w:tcPr>
          <w:p>
            <w:pPr>
              <w:ind w:left="60"/>
              <w:spacing w:after="0" w:line="131" w:lineRule="exact"/>
              <w:rPr>
                <w:sz w:val="20"/>
                <w:szCs w:val="20"/>
                <w:color w:val="auto"/>
              </w:rPr>
            </w:pPr>
            <w:r>
              <w:rPr>
                <w:rFonts w:ascii="Arial" w:cs="Arial" w:eastAsia="Arial" w:hAnsi="Arial"/>
                <w:sz w:val="14"/>
                <w:szCs w:val="14"/>
                <w:color w:val="auto"/>
              </w:rPr>
              <w:t>Interest due at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Borders>
              <w:left w:val="single" w:sz="8" w:color="CCEEFF"/>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32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Maturity.</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 w:type="dxa"/>
            <w:vAlign w:val="bottom"/>
          </w:tcPr>
          <w:p>
            <w:pPr>
              <w:spacing w:after="0" w:line="138" w:lineRule="exact"/>
              <w:rPr>
                <w:sz w:val="20"/>
                <w:szCs w:val="20"/>
                <w:color w:val="auto"/>
              </w:rPr>
            </w:pPr>
            <w:r>
              <w:rPr>
                <w:rFonts w:ascii="Arial" w:cs="Arial" w:eastAsia="Arial" w:hAnsi="Arial"/>
                <w:sz w:val="14"/>
                <w:szCs w:val="14"/>
                <w:color w:val="auto"/>
              </w:rPr>
              <w:t>CD</w:t>
            </w:r>
          </w:p>
        </w:tc>
        <w:tc>
          <w:tcPr>
            <w:tcW w:w="60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1"/>
              </w:rPr>
              <w:t>05.10.10</w:t>
            </w:r>
          </w:p>
        </w:tc>
        <w:tc>
          <w:tcPr>
            <w:tcW w:w="680" w:type="dxa"/>
            <w:vAlign w:val="bottom"/>
          </w:tcPr>
          <w:p>
            <w:pPr>
              <w:jc w:val="right"/>
              <w:ind w:right="12"/>
              <w:spacing w:after="0" w:line="138" w:lineRule="exact"/>
              <w:rPr>
                <w:sz w:val="20"/>
                <w:szCs w:val="20"/>
                <w:color w:val="auto"/>
              </w:rPr>
            </w:pPr>
            <w:r>
              <w:rPr>
                <w:rFonts w:ascii="Arial" w:cs="Arial" w:eastAsia="Arial" w:hAnsi="Arial"/>
                <w:sz w:val="14"/>
                <w:szCs w:val="14"/>
                <w:color w:val="auto"/>
              </w:rPr>
              <w:t>05.10.15</w:t>
            </w:r>
          </w:p>
        </w:tc>
        <w:tc>
          <w:tcPr>
            <w:tcW w:w="520" w:type="dxa"/>
            <w:vAlign w:val="bottom"/>
          </w:tcPr>
          <w:p>
            <w:pPr>
              <w:spacing w:after="0"/>
              <w:rPr>
                <w:sz w:val="11"/>
                <w:szCs w:val="11"/>
                <w:color w:val="auto"/>
              </w:rPr>
            </w:pPr>
          </w:p>
        </w:tc>
        <w:tc>
          <w:tcPr>
            <w:tcW w:w="2120" w:type="dxa"/>
            <w:vAlign w:val="bottom"/>
          </w:tcPr>
          <w:p>
            <w:pPr>
              <w:ind w:left="60"/>
              <w:spacing w:after="0" w:line="138" w:lineRule="exact"/>
              <w:rPr>
                <w:sz w:val="20"/>
                <w:szCs w:val="20"/>
                <w:color w:val="auto"/>
              </w:rPr>
            </w:pPr>
            <w:r>
              <w:rPr>
                <w:rFonts w:ascii="Arial" w:cs="Arial" w:eastAsia="Arial" w:hAnsi="Arial"/>
                <w:sz w:val="14"/>
                <w:szCs w:val="14"/>
                <w:color w:val="auto"/>
                <w:w w:val="91"/>
              </w:rPr>
              <w:t>Integra NeuroSciences Holdings BV</w:t>
            </w:r>
          </w:p>
        </w:tc>
        <w:tc>
          <w:tcPr>
            <w:tcW w:w="460" w:type="dxa"/>
            <w:vAlign w:val="bottom"/>
          </w:tcPr>
          <w:p>
            <w:pPr>
              <w:jc w:val="right"/>
              <w:ind w:right="12"/>
              <w:spacing w:after="0" w:line="138" w:lineRule="exact"/>
              <w:rPr>
                <w:sz w:val="20"/>
                <w:szCs w:val="20"/>
                <w:color w:val="auto"/>
              </w:rPr>
            </w:pPr>
            <w:r>
              <w:rPr>
                <w:rFonts w:ascii="Arial" w:cs="Arial" w:eastAsia="Arial" w:hAnsi="Arial"/>
                <w:sz w:val="14"/>
                <w:szCs w:val="14"/>
                <w:color w:val="auto"/>
              </w:rPr>
              <w:t>4605</w:t>
            </w:r>
          </w:p>
        </w:tc>
        <w:tc>
          <w:tcPr>
            <w:tcW w:w="2060" w:type="dxa"/>
            <w:vAlign w:val="bottom"/>
          </w:tcPr>
          <w:p>
            <w:pPr>
              <w:ind w:left="80"/>
              <w:spacing w:after="0" w:line="138" w:lineRule="exact"/>
              <w:rPr>
                <w:sz w:val="20"/>
                <w:szCs w:val="20"/>
                <w:color w:val="auto"/>
              </w:rPr>
            </w:pPr>
            <w:r>
              <w:rPr>
                <w:rFonts w:ascii="Arial" w:cs="Arial" w:eastAsia="Arial" w:hAnsi="Arial"/>
                <w:sz w:val="14"/>
                <w:szCs w:val="14"/>
                <w:color w:val="auto"/>
              </w:rPr>
              <w:t>Integra LifeSciences Shared</w:t>
            </w:r>
          </w:p>
        </w:tc>
        <w:tc>
          <w:tcPr>
            <w:tcW w:w="600" w:type="dxa"/>
            <w:vAlign w:val="bottom"/>
          </w:tcPr>
          <w:p>
            <w:pPr>
              <w:jc w:val="right"/>
              <w:ind w:right="112"/>
              <w:spacing w:after="0" w:line="138" w:lineRule="exact"/>
              <w:rPr>
                <w:sz w:val="20"/>
                <w:szCs w:val="20"/>
                <w:color w:val="auto"/>
              </w:rPr>
            </w:pPr>
            <w:r>
              <w:rPr>
                <w:rFonts w:ascii="Arial" w:cs="Arial" w:eastAsia="Arial" w:hAnsi="Arial"/>
                <w:sz w:val="14"/>
                <w:szCs w:val="14"/>
                <w:color w:val="auto"/>
              </w:rPr>
              <w:t>4435</w:t>
            </w:r>
          </w:p>
        </w:tc>
        <w:tc>
          <w:tcPr>
            <w:tcW w:w="540" w:type="dxa"/>
            <w:vAlign w:val="bottom"/>
          </w:tcPr>
          <w:p>
            <w:pPr>
              <w:jc w:val="right"/>
              <w:ind w:right="12"/>
              <w:spacing w:after="0" w:line="138" w:lineRule="exact"/>
              <w:rPr>
                <w:sz w:val="20"/>
                <w:szCs w:val="20"/>
                <w:color w:val="auto"/>
              </w:rPr>
            </w:pPr>
            <w:r>
              <w:rPr>
                <w:rFonts w:ascii="Arial" w:cs="Arial" w:eastAsia="Arial" w:hAnsi="Arial"/>
                <w:sz w:val="14"/>
                <w:szCs w:val="14"/>
                <w:color w:val="auto"/>
              </w:rPr>
              <w:t>EUR</w:t>
            </w:r>
          </w:p>
        </w:tc>
        <w:tc>
          <w:tcPr>
            <w:tcW w:w="1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38" w:lineRule="exact"/>
              <w:rPr>
                <w:sz w:val="20"/>
                <w:szCs w:val="20"/>
                <w:color w:val="auto"/>
              </w:rPr>
            </w:pPr>
            <w:r>
              <w:rPr>
                <w:rFonts w:ascii="Arial" w:cs="Arial" w:eastAsia="Arial" w:hAnsi="Arial"/>
                <w:sz w:val="14"/>
                <w:szCs w:val="14"/>
                <w:color w:val="auto"/>
              </w:rPr>
              <w:t>4,346,361.71</w:t>
            </w:r>
          </w:p>
        </w:tc>
        <w:tc>
          <w:tcPr>
            <w:tcW w:w="100" w:type="dxa"/>
            <w:vAlign w:val="bottom"/>
          </w:tcPr>
          <w:p>
            <w:pPr>
              <w:spacing w:after="0"/>
              <w:rPr>
                <w:sz w:val="11"/>
                <w:szCs w:val="11"/>
                <w:color w:val="auto"/>
              </w:rPr>
            </w:pPr>
          </w:p>
        </w:tc>
        <w:tc>
          <w:tcPr>
            <w:tcW w:w="1020" w:type="dxa"/>
            <w:vAlign w:val="bottom"/>
          </w:tcPr>
          <w:p>
            <w:pPr>
              <w:ind w:left="60"/>
              <w:spacing w:after="0" w:line="138" w:lineRule="exact"/>
              <w:rPr>
                <w:sz w:val="20"/>
                <w:szCs w:val="20"/>
                <w:color w:val="auto"/>
              </w:rPr>
            </w:pPr>
            <w:r>
              <w:rPr>
                <w:rFonts w:ascii="Arial" w:cs="Arial" w:eastAsia="Arial" w:hAnsi="Arial"/>
                <w:sz w:val="14"/>
                <w:szCs w:val="14"/>
                <w:color w:val="auto"/>
              </w:rPr>
              <w:t>6.6% annually</w:t>
            </w:r>
          </w:p>
        </w:tc>
        <w:tc>
          <w:tcPr>
            <w:tcW w:w="1320" w:type="dxa"/>
            <w:vAlign w:val="bottom"/>
          </w:tcPr>
          <w:p>
            <w:pPr>
              <w:ind w:left="60"/>
              <w:spacing w:after="0" w:line="138" w:lineRule="exact"/>
              <w:rPr>
                <w:sz w:val="20"/>
                <w:szCs w:val="20"/>
                <w:color w:val="auto"/>
              </w:rPr>
            </w:pPr>
            <w:r>
              <w:rPr>
                <w:rFonts w:ascii="Arial" w:cs="Arial" w:eastAsia="Arial" w:hAnsi="Arial"/>
                <w:sz w:val="14"/>
                <w:szCs w:val="14"/>
                <w:color w:val="auto"/>
                <w:w w:val="96"/>
              </w:rPr>
              <w:t>EMEA Intercompany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60" w:type="dxa"/>
            <w:vAlign w:val="bottom"/>
          </w:tcPr>
          <w:p>
            <w:pPr>
              <w:ind w:left="80"/>
              <w:spacing w:after="0" w:line="159" w:lineRule="exact"/>
              <w:rPr>
                <w:sz w:val="20"/>
                <w:szCs w:val="20"/>
                <w:color w:val="auto"/>
              </w:rPr>
            </w:pPr>
            <w:r>
              <w:rPr>
                <w:rFonts w:ascii="Arial" w:cs="Arial" w:eastAsia="Arial" w:hAnsi="Arial"/>
                <w:sz w:val="14"/>
                <w:szCs w:val="14"/>
                <w:color w:val="auto"/>
              </w:rPr>
              <w:t>Services (Ireland) Ltd</w:t>
            </w: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20" w:type="dxa"/>
            <w:vAlign w:val="bottom"/>
          </w:tcPr>
          <w:p>
            <w:pPr>
              <w:ind w:left="60"/>
              <w:spacing w:after="0" w:line="159" w:lineRule="exact"/>
              <w:rPr>
                <w:sz w:val="20"/>
                <w:szCs w:val="20"/>
                <w:color w:val="auto"/>
              </w:rPr>
            </w:pPr>
            <w:r>
              <w:rPr>
                <w:rFonts w:ascii="Arial" w:cs="Arial" w:eastAsia="Arial" w:hAnsi="Arial"/>
                <w:sz w:val="14"/>
                <w:szCs w:val="14"/>
                <w:color w:val="auto"/>
                <w:w w:val="86"/>
              </w:rPr>
              <w:t>investment pooling and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 w:type="dxa"/>
            <w:vAlign w:val="bottom"/>
            <w:tcBorders>
              <w:lef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CK</w:t>
            </w:r>
          </w:p>
        </w:tc>
        <w:tc>
          <w:tcPr>
            <w:tcW w:w="60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1"/>
              </w:rPr>
              <w:t>12.13.10</w:t>
            </w:r>
          </w:p>
        </w:tc>
        <w:tc>
          <w:tcPr>
            <w:tcW w:w="6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12.13.15</w:t>
            </w:r>
          </w:p>
        </w:tc>
        <w:tc>
          <w:tcPr>
            <w:tcW w:w="520" w:type="dxa"/>
            <w:vAlign w:val="bottom"/>
            <w:shd w:val="clear" w:color="auto" w:fill="CCEEFF"/>
          </w:tcPr>
          <w:p>
            <w:pPr>
              <w:spacing w:after="0"/>
              <w:rPr>
                <w:sz w:val="11"/>
                <w:szCs w:val="11"/>
                <w:color w:val="auto"/>
              </w:rPr>
            </w:pPr>
          </w:p>
        </w:tc>
        <w:tc>
          <w:tcPr>
            <w:tcW w:w="21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w w:val="91"/>
              </w:rPr>
              <w:t>Integra NeuroSciences Holdings BV</w:t>
            </w:r>
          </w:p>
        </w:tc>
        <w:tc>
          <w:tcPr>
            <w:tcW w:w="46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4605</w:t>
            </w:r>
          </w:p>
        </w:tc>
        <w:tc>
          <w:tcPr>
            <w:tcW w:w="206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Integra LifeSciences Shared</w:t>
            </w:r>
          </w:p>
        </w:tc>
        <w:tc>
          <w:tcPr>
            <w:tcW w:w="600" w:type="dxa"/>
            <w:vAlign w:val="bottom"/>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rPr>
              <w:t>4435</w:t>
            </w:r>
          </w:p>
        </w:tc>
        <w:tc>
          <w:tcPr>
            <w:tcW w:w="54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EUR</w:t>
            </w:r>
          </w:p>
        </w:tc>
        <w:tc>
          <w:tcPr>
            <w:tcW w:w="1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759,259.26</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5.0% annually</w:t>
            </w:r>
          </w:p>
        </w:tc>
        <w:tc>
          <w:tcPr>
            <w:tcW w:w="13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 to pay Bruce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Borders>
              <w:lef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Services (Ireland) Ltd</w:t>
            </w:r>
          </w:p>
        </w:tc>
        <w:tc>
          <w:tcPr>
            <w:tcW w:w="6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3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McMaster’s 2nd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Borders>
              <w:left w:val="single" w:sz="8" w:color="CCEEFF"/>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32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earnout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 w:type="dxa"/>
            <w:vAlign w:val="bottom"/>
            <w:tcBorders>
              <w:left w:val="single" w:sz="8" w:color="CCEEFF"/>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21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20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gridSpan w:val="2"/>
            <w:shd w:val="clear" w:color="auto" w:fill="CCEEFF"/>
          </w:tcPr>
          <w:p>
            <w:pPr>
              <w:jc w:val="right"/>
              <w:ind w:right="12"/>
              <w:spacing w:after="0"/>
              <w:rPr>
                <w:sz w:val="20"/>
                <w:szCs w:val="20"/>
                <w:color w:val="auto"/>
              </w:rPr>
            </w:pPr>
            <w:r>
              <w:rPr>
                <w:rFonts w:ascii="Arial" w:cs="Arial" w:eastAsia="Arial" w:hAnsi="Arial"/>
                <w:sz w:val="14"/>
                <w:szCs w:val="14"/>
                <w:color w:val="auto"/>
                <w:w w:val="96"/>
              </w:rPr>
              <w:t>Net Principal Amt</w:t>
            </w: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5,210,620.97</w:t>
            </w:r>
          </w:p>
        </w:tc>
        <w:tc>
          <w:tcPr>
            <w:tcW w:w="1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80" w:type="dxa"/>
            <w:vAlign w:val="bottom"/>
            <w:tcBorders>
              <w:lef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CL</w:t>
            </w:r>
          </w:p>
        </w:tc>
        <w:tc>
          <w:tcPr>
            <w:tcW w:w="60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1"/>
              </w:rPr>
              <w:t>11.23.10</w:t>
            </w:r>
          </w:p>
        </w:tc>
        <w:tc>
          <w:tcPr>
            <w:tcW w:w="6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11.23.17</w:t>
            </w:r>
          </w:p>
        </w:tc>
        <w:tc>
          <w:tcPr>
            <w:tcW w:w="520" w:type="dxa"/>
            <w:vAlign w:val="bottom"/>
            <w:shd w:val="clear" w:color="auto" w:fill="CCEEFF"/>
          </w:tcPr>
          <w:p>
            <w:pPr>
              <w:spacing w:after="0"/>
              <w:rPr>
                <w:sz w:val="11"/>
                <w:szCs w:val="11"/>
                <w:color w:val="auto"/>
              </w:rPr>
            </w:pPr>
          </w:p>
        </w:tc>
        <w:tc>
          <w:tcPr>
            <w:tcW w:w="21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Integra German Holdings GmbH</w:t>
            </w:r>
          </w:p>
        </w:tc>
        <w:tc>
          <w:tcPr>
            <w:tcW w:w="46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4250</w:t>
            </w:r>
          </w:p>
        </w:tc>
        <w:tc>
          <w:tcPr>
            <w:tcW w:w="206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Integra Euro Holdings Inc.</w:t>
            </w:r>
          </w:p>
        </w:tc>
        <w:tc>
          <w:tcPr>
            <w:tcW w:w="600" w:type="dxa"/>
            <w:vAlign w:val="bottom"/>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rPr>
              <w:t>1420</w:t>
            </w:r>
          </w:p>
        </w:tc>
        <w:tc>
          <w:tcPr>
            <w:tcW w:w="54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EUR</w:t>
            </w:r>
          </w:p>
        </w:tc>
        <w:tc>
          <w:tcPr>
            <w:tcW w:w="1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77,729,000</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7.5% annually</w:t>
            </w:r>
          </w:p>
        </w:tc>
        <w:tc>
          <w:tcPr>
            <w:tcW w:w="13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w w:val="91"/>
              </w:rPr>
              <w:t>For purchase of Jarith</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Borders>
              <w:lef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3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GmbH and Miltex</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Borders>
              <w:left w:val="single" w:sz="8" w:color="CCEEFF"/>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32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GmbH</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60" w:type="dxa"/>
            <w:vAlign w:val="bottom"/>
          </w:tcPr>
          <w:p>
            <w:pPr>
              <w:ind w:left="80"/>
              <w:spacing w:after="0" w:line="138" w:lineRule="exact"/>
              <w:rPr>
                <w:sz w:val="20"/>
                <w:szCs w:val="20"/>
                <w:color w:val="auto"/>
              </w:rPr>
            </w:pPr>
            <w:r>
              <w:rPr>
                <w:rFonts w:ascii="Arial" w:cs="Arial" w:eastAsia="Arial" w:hAnsi="Arial"/>
                <w:sz w:val="14"/>
                <w:szCs w:val="14"/>
                <w:color w:val="auto"/>
              </w:rPr>
              <w:t>Loan CL on 12.15.10 was</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(42,000,000)</w:t>
            </w:r>
          </w:p>
        </w:tc>
        <w:tc>
          <w:tcPr>
            <w:tcW w:w="10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60" w:type="dxa"/>
            <w:vAlign w:val="bottom"/>
          </w:tcPr>
          <w:p>
            <w:pPr>
              <w:ind w:left="80"/>
              <w:spacing w:after="0" w:line="159" w:lineRule="exact"/>
              <w:rPr>
                <w:sz w:val="20"/>
                <w:szCs w:val="20"/>
                <w:color w:val="auto"/>
              </w:rPr>
            </w:pPr>
            <w:r>
              <w:rPr>
                <w:rFonts w:ascii="Arial" w:cs="Arial" w:eastAsia="Arial" w:hAnsi="Arial"/>
                <w:sz w:val="14"/>
                <w:szCs w:val="14"/>
                <w:color w:val="auto"/>
              </w:rPr>
              <w:t>capitalized for EUR 42,000,000</w:t>
            </w: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Borders>
              <w:lef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4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w w:val="96"/>
              </w:rPr>
              <w:t>Net Principal Amt</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w w:val="91"/>
              </w:rPr>
              <w:t>35,729,000.00</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80" w:type="dxa"/>
            <w:vAlign w:val="bottom"/>
            <w:tcBorders>
              <w:lef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138" w:right="219" w:bottom="0" w:gutter="0" w:footer="0" w:header="0"/>
        </w:sectPr>
      </w:pPr>
    </w:p>
    <w:bookmarkStart w:id="191" w:name="page192"/>
    <w:bookmarkEnd w:id="1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20"/>
                <w:szCs w:val="20"/>
                <w:color w:val="auto"/>
              </w:rPr>
            </w:pPr>
            <w:r>
              <w:rPr>
                <w:rFonts w:ascii="Arial" w:cs="Arial" w:eastAsia="Arial" w:hAnsi="Arial"/>
                <w:sz w:val="14"/>
                <w:szCs w:val="14"/>
                <w:color w:val="auto"/>
              </w:rPr>
              <w:t>CM</w:t>
            </w: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12.22.10</w:t>
            </w:r>
          </w:p>
        </w:tc>
        <w:tc>
          <w:tcPr>
            <w:tcW w:w="900" w:type="dxa"/>
            <w:vAlign w:val="bottom"/>
          </w:tcPr>
          <w:p>
            <w:pPr>
              <w:jc w:val="right"/>
              <w:ind w:right="252"/>
              <w:spacing w:after="0"/>
              <w:rPr>
                <w:sz w:val="20"/>
                <w:szCs w:val="20"/>
                <w:color w:val="auto"/>
              </w:rPr>
            </w:pPr>
            <w:r>
              <w:rPr>
                <w:rFonts w:ascii="Arial" w:cs="Arial" w:eastAsia="Arial" w:hAnsi="Arial"/>
                <w:sz w:val="14"/>
                <w:szCs w:val="14"/>
                <w:color w:val="auto"/>
              </w:rPr>
              <w:t>12.22.20</w:t>
            </w:r>
          </w:p>
        </w:tc>
        <w:tc>
          <w:tcPr>
            <w:tcW w:w="2300" w:type="dxa"/>
            <w:vAlign w:val="bottom"/>
          </w:tcPr>
          <w:p>
            <w:pPr>
              <w:ind w:left="340"/>
              <w:spacing w:after="0"/>
              <w:rPr>
                <w:sz w:val="20"/>
                <w:szCs w:val="20"/>
                <w:color w:val="auto"/>
              </w:rPr>
            </w:pPr>
            <w:r>
              <w:rPr>
                <w:rFonts w:ascii="Arial" w:cs="Arial" w:eastAsia="Arial" w:hAnsi="Arial"/>
                <w:sz w:val="14"/>
                <w:szCs w:val="14"/>
                <w:color w:val="auto"/>
              </w:rPr>
              <w:t>Integra France Holdings SAS</w:t>
            </w: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4525</w:t>
            </w:r>
          </w:p>
        </w:tc>
        <w:tc>
          <w:tcPr>
            <w:tcW w:w="2000" w:type="dxa"/>
            <w:vAlign w:val="bottom"/>
          </w:tcPr>
          <w:p>
            <w:pPr>
              <w:ind w:left="80"/>
              <w:spacing w:after="0"/>
              <w:rPr>
                <w:sz w:val="20"/>
                <w:szCs w:val="20"/>
                <w:color w:val="auto"/>
              </w:rPr>
            </w:pPr>
            <w:r>
              <w:rPr>
                <w:rFonts w:ascii="Arial" w:cs="Arial" w:eastAsia="Arial" w:hAnsi="Arial"/>
                <w:sz w:val="14"/>
                <w:szCs w:val="14"/>
                <w:color w:val="auto"/>
              </w:rPr>
              <w:t>Integra Euro Holdings Inc.</w:t>
            </w:r>
          </w:p>
        </w:tc>
        <w:tc>
          <w:tcPr>
            <w:tcW w:w="660" w:type="dxa"/>
            <w:vAlign w:val="bottom"/>
          </w:tcPr>
          <w:p>
            <w:pPr>
              <w:jc w:val="right"/>
              <w:ind w:right="112"/>
              <w:spacing w:after="0"/>
              <w:rPr>
                <w:sz w:val="20"/>
                <w:szCs w:val="20"/>
                <w:color w:val="auto"/>
              </w:rPr>
            </w:pPr>
            <w:r>
              <w:rPr>
                <w:rFonts w:ascii="Arial" w:cs="Arial" w:eastAsia="Arial" w:hAnsi="Arial"/>
                <w:sz w:val="14"/>
                <w:szCs w:val="14"/>
                <w:color w:val="auto"/>
              </w:rPr>
              <w:t>1420</w:t>
            </w:r>
          </w:p>
        </w:tc>
        <w:tc>
          <w:tcPr>
            <w:tcW w:w="540" w:type="dxa"/>
            <w:vAlign w:val="bottom"/>
          </w:tcPr>
          <w:p>
            <w:pPr>
              <w:ind w:left="200"/>
              <w:spacing w:after="0"/>
              <w:rPr>
                <w:sz w:val="20"/>
                <w:szCs w:val="20"/>
                <w:color w:val="auto"/>
              </w:rPr>
            </w:pPr>
            <w:r>
              <w:rPr>
                <w:rFonts w:ascii="Arial" w:cs="Arial" w:eastAsia="Arial" w:hAnsi="Arial"/>
                <w:sz w:val="14"/>
                <w:szCs w:val="14"/>
                <w:color w:val="auto"/>
              </w:rPr>
              <w:t>EUR</w:t>
            </w:r>
          </w:p>
        </w:tc>
        <w:tc>
          <w:tcPr>
            <w:tcW w:w="280" w:type="dxa"/>
            <w:vAlign w:val="bottom"/>
          </w:tcPr>
          <w:p>
            <w:pPr>
              <w:ind w:left="1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
              <w:spacing w:after="0"/>
              <w:rPr>
                <w:sz w:val="20"/>
                <w:szCs w:val="20"/>
                <w:color w:val="auto"/>
              </w:rPr>
            </w:pPr>
            <w:r>
              <w:rPr>
                <w:rFonts w:ascii="Arial" w:cs="Arial" w:eastAsia="Arial" w:hAnsi="Arial"/>
                <w:sz w:val="14"/>
                <w:szCs w:val="14"/>
                <w:color w:val="auto"/>
                <w:w w:val="99"/>
              </w:rPr>
              <w:t>42,000,000</w:t>
            </w:r>
          </w:p>
        </w:tc>
        <w:tc>
          <w:tcPr>
            <w:tcW w:w="980" w:type="dxa"/>
            <w:vAlign w:val="bottom"/>
          </w:tcPr>
          <w:p>
            <w:pPr>
              <w:ind w:left="80"/>
              <w:spacing w:after="0"/>
              <w:rPr>
                <w:sz w:val="20"/>
                <w:szCs w:val="20"/>
                <w:color w:val="auto"/>
              </w:rPr>
            </w:pPr>
            <w:r>
              <w:rPr>
                <w:rFonts w:ascii="Arial" w:cs="Arial" w:eastAsia="Arial" w:hAnsi="Arial"/>
                <w:sz w:val="14"/>
                <w:szCs w:val="14"/>
                <w:color w:val="auto"/>
              </w:rPr>
              <w:t>7.5% annually</w:t>
            </w:r>
          </w:p>
        </w:tc>
        <w:tc>
          <w:tcPr>
            <w:tcW w:w="1380" w:type="dxa"/>
            <w:vAlign w:val="bottom"/>
          </w:tcPr>
          <w:p>
            <w:pPr>
              <w:ind w:left="120"/>
              <w:spacing w:after="0"/>
              <w:rPr>
                <w:sz w:val="20"/>
                <w:szCs w:val="20"/>
                <w:color w:val="auto"/>
              </w:rPr>
            </w:pPr>
            <w:r>
              <w:rPr>
                <w:rFonts w:ascii="Arial" w:cs="Arial" w:eastAsia="Arial" w:hAnsi="Arial"/>
                <w:sz w:val="14"/>
                <w:szCs w:val="14"/>
                <w:color w:val="auto"/>
              </w:rPr>
              <w:t>For purchase of</w:t>
            </w:r>
          </w:p>
        </w:tc>
      </w:tr>
      <w:tr>
        <w:trPr>
          <w:trHeight w:val="149"/>
        </w:trPr>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80" w:type="dxa"/>
            <w:vAlign w:val="bottom"/>
          </w:tcPr>
          <w:p>
            <w:pPr>
              <w:ind w:left="120"/>
              <w:spacing w:after="0" w:line="149" w:lineRule="exact"/>
              <w:rPr>
                <w:sz w:val="20"/>
                <w:szCs w:val="20"/>
                <w:color w:val="auto"/>
              </w:rPr>
            </w:pPr>
            <w:r>
              <w:rPr>
                <w:rFonts w:ascii="Arial" w:cs="Arial" w:eastAsia="Arial" w:hAnsi="Arial"/>
                <w:sz w:val="14"/>
                <w:szCs w:val="14"/>
                <w:color w:val="auto"/>
                <w:w w:val="97"/>
              </w:rPr>
              <w:t>German Holdings by</w:t>
            </w:r>
          </w:p>
        </w:tc>
      </w:tr>
      <w:tr>
        <w:trPr>
          <w:trHeight w:val="159"/>
        </w:trPr>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ind w:left="120"/>
              <w:spacing w:after="0" w:line="159" w:lineRule="exact"/>
              <w:rPr>
                <w:sz w:val="20"/>
                <w:szCs w:val="20"/>
                <w:color w:val="auto"/>
              </w:rPr>
            </w:pPr>
            <w:r>
              <w:rPr>
                <w:rFonts w:ascii="Arial" w:cs="Arial" w:eastAsia="Arial" w:hAnsi="Arial"/>
                <w:sz w:val="14"/>
                <w:szCs w:val="14"/>
                <w:color w:val="auto"/>
              </w:rPr>
              <w:t>France Holdings</w:t>
            </w:r>
          </w:p>
        </w:tc>
      </w:tr>
      <w:tr>
        <w:trPr>
          <w:trHeight w:val="131"/>
        </w:trPr>
        <w:tc>
          <w:tcPr>
            <w:tcW w:w="34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CN</w:t>
            </w:r>
          </w:p>
        </w:tc>
        <w:tc>
          <w:tcPr>
            <w:tcW w:w="680" w:type="dxa"/>
            <w:vAlign w:val="bottom"/>
            <w:shd w:val="clear" w:color="auto" w:fill="CCEEFF"/>
          </w:tcPr>
          <w:p>
            <w:pPr>
              <w:jc w:val="right"/>
              <w:ind w:right="32"/>
              <w:spacing w:after="0" w:line="131" w:lineRule="exact"/>
              <w:rPr>
                <w:sz w:val="20"/>
                <w:szCs w:val="20"/>
                <w:color w:val="auto"/>
              </w:rPr>
            </w:pPr>
            <w:r>
              <w:rPr>
                <w:rFonts w:ascii="Arial" w:cs="Arial" w:eastAsia="Arial" w:hAnsi="Arial"/>
                <w:sz w:val="14"/>
                <w:szCs w:val="14"/>
                <w:color w:val="auto"/>
              </w:rPr>
              <w:t>02.28.11</w:t>
            </w:r>
          </w:p>
        </w:tc>
        <w:tc>
          <w:tcPr>
            <w:tcW w:w="900" w:type="dxa"/>
            <w:vAlign w:val="bottom"/>
            <w:shd w:val="clear" w:color="auto" w:fill="CCEEFF"/>
          </w:tcPr>
          <w:p>
            <w:pPr>
              <w:jc w:val="right"/>
              <w:ind w:right="252"/>
              <w:spacing w:after="0" w:line="131" w:lineRule="exact"/>
              <w:rPr>
                <w:sz w:val="20"/>
                <w:szCs w:val="20"/>
                <w:color w:val="auto"/>
              </w:rPr>
            </w:pPr>
            <w:r>
              <w:rPr>
                <w:rFonts w:ascii="Arial" w:cs="Arial" w:eastAsia="Arial" w:hAnsi="Arial"/>
                <w:sz w:val="14"/>
                <w:szCs w:val="14"/>
                <w:color w:val="auto"/>
              </w:rPr>
              <w:t>02.28.13</w:t>
            </w:r>
          </w:p>
        </w:tc>
        <w:tc>
          <w:tcPr>
            <w:tcW w:w="2300" w:type="dxa"/>
            <w:vAlign w:val="bottom"/>
            <w:shd w:val="clear" w:color="auto" w:fill="CCEEFF"/>
          </w:tcPr>
          <w:p>
            <w:pPr>
              <w:ind w:left="340"/>
              <w:spacing w:after="0" w:line="131" w:lineRule="exact"/>
              <w:rPr>
                <w:sz w:val="20"/>
                <w:szCs w:val="20"/>
                <w:color w:val="auto"/>
              </w:rPr>
            </w:pPr>
            <w:r>
              <w:rPr>
                <w:rFonts w:ascii="Arial" w:cs="Arial" w:eastAsia="Arial" w:hAnsi="Arial"/>
                <w:sz w:val="14"/>
                <w:szCs w:val="14"/>
                <w:color w:val="auto"/>
                <w:w w:val="96"/>
              </w:rPr>
              <w:t>Integra German Holdings GmbH</w:t>
            </w:r>
          </w:p>
        </w:tc>
        <w:tc>
          <w:tcPr>
            <w:tcW w:w="560" w:type="dxa"/>
            <w:vAlign w:val="bottom"/>
            <w:shd w:val="clear" w:color="auto" w:fill="CCEEFF"/>
          </w:tcPr>
          <w:p>
            <w:pPr>
              <w:jc w:val="right"/>
              <w:ind w:right="12"/>
              <w:spacing w:after="0" w:line="131" w:lineRule="exact"/>
              <w:rPr>
                <w:sz w:val="20"/>
                <w:szCs w:val="20"/>
                <w:color w:val="auto"/>
              </w:rPr>
            </w:pPr>
            <w:r>
              <w:rPr>
                <w:rFonts w:ascii="Arial" w:cs="Arial" w:eastAsia="Arial" w:hAnsi="Arial"/>
                <w:sz w:val="14"/>
                <w:szCs w:val="14"/>
                <w:color w:val="auto"/>
              </w:rPr>
              <w:t>4250</w:t>
            </w:r>
          </w:p>
        </w:tc>
        <w:tc>
          <w:tcPr>
            <w:tcW w:w="2000" w:type="dxa"/>
            <w:vAlign w:val="bottom"/>
            <w:shd w:val="clear" w:color="auto" w:fill="CCEEFF"/>
          </w:tcPr>
          <w:p>
            <w:pPr>
              <w:ind w:left="80"/>
              <w:spacing w:after="0" w:line="131" w:lineRule="exact"/>
              <w:rPr>
                <w:sz w:val="20"/>
                <w:szCs w:val="20"/>
                <w:color w:val="auto"/>
              </w:rPr>
            </w:pPr>
            <w:r>
              <w:rPr>
                <w:rFonts w:ascii="Arial" w:cs="Arial" w:eastAsia="Arial" w:hAnsi="Arial"/>
                <w:sz w:val="14"/>
                <w:szCs w:val="14"/>
                <w:color w:val="auto"/>
                <w:w w:val="96"/>
              </w:rPr>
              <w:t>J. Jamner Surgical Instruments,</w:t>
            </w:r>
          </w:p>
        </w:tc>
        <w:tc>
          <w:tcPr>
            <w:tcW w:w="660" w:type="dxa"/>
            <w:vAlign w:val="bottom"/>
            <w:shd w:val="clear" w:color="auto" w:fill="CCEEFF"/>
          </w:tcPr>
          <w:p>
            <w:pPr>
              <w:jc w:val="right"/>
              <w:ind w:right="112"/>
              <w:spacing w:after="0" w:line="131" w:lineRule="exact"/>
              <w:rPr>
                <w:sz w:val="20"/>
                <w:szCs w:val="20"/>
                <w:color w:val="auto"/>
              </w:rPr>
            </w:pPr>
            <w:r>
              <w:rPr>
                <w:rFonts w:ascii="Arial" w:cs="Arial" w:eastAsia="Arial" w:hAnsi="Arial"/>
                <w:sz w:val="14"/>
                <w:szCs w:val="14"/>
                <w:color w:val="auto"/>
              </w:rPr>
              <w:t>1135</w:t>
            </w:r>
          </w:p>
        </w:tc>
        <w:tc>
          <w:tcPr>
            <w:tcW w:w="540" w:type="dxa"/>
            <w:vAlign w:val="bottom"/>
            <w:shd w:val="clear" w:color="auto" w:fill="CCEEFF"/>
          </w:tcPr>
          <w:p>
            <w:pPr>
              <w:ind w:left="200"/>
              <w:spacing w:after="0" w:line="131" w:lineRule="exact"/>
              <w:rPr>
                <w:sz w:val="20"/>
                <w:szCs w:val="20"/>
                <w:color w:val="auto"/>
              </w:rPr>
            </w:pPr>
            <w:r>
              <w:rPr>
                <w:rFonts w:ascii="Arial" w:cs="Arial" w:eastAsia="Arial" w:hAnsi="Arial"/>
                <w:sz w:val="14"/>
                <w:szCs w:val="14"/>
                <w:color w:val="auto"/>
              </w:rPr>
              <w:t>EUR</w:t>
            </w:r>
          </w:p>
        </w:tc>
        <w:tc>
          <w:tcPr>
            <w:tcW w:w="280" w:type="dxa"/>
            <w:vAlign w:val="bottom"/>
            <w:shd w:val="clear" w:color="auto" w:fill="CCEEFF"/>
          </w:tcPr>
          <w:p>
            <w:pPr>
              <w:ind w:left="100"/>
              <w:spacing w:after="0" w:line="131"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2"/>
              <w:spacing w:after="0" w:line="131" w:lineRule="exact"/>
              <w:rPr>
                <w:sz w:val="20"/>
                <w:szCs w:val="20"/>
                <w:color w:val="auto"/>
              </w:rPr>
            </w:pPr>
            <w:r>
              <w:rPr>
                <w:rFonts w:ascii="Arial" w:cs="Arial" w:eastAsia="Arial" w:hAnsi="Arial"/>
                <w:sz w:val="14"/>
                <w:szCs w:val="14"/>
                <w:color w:val="auto"/>
              </w:rPr>
              <w:t>202,861</w:t>
            </w:r>
          </w:p>
        </w:tc>
        <w:tc>
          <w:tcPr>
            <w:tcW w:w="980" w:type="dxa"/>
            <w:vAlign w:val="bottom"/>
            <w:shd w:val="clear" w:color="auto" w:fill="CCEEFF"/>
          </w:tcPr>
          <w:p>
            <w:pPr>
              <w:ind w:left="80"/>
              <w:spacing w:after="0" w:line="131" w:lineRule="exact"/>
              <w:rPr>
                <w:sz w:val="20"/>
                <w:szCs w:val="20"/>
                <w:color w:val="auto"/>
              </w:rPr>
            </w:pPr>
            <w:r>
              <w:rPr>
                <w:rFonts w:ascii="Arial" w:cs="Arial" w:eastAsia="Arial" w:hAnsi="Arial"/>
                <w:sz w:val="14"/>
                <w:szCs w:val="14"/>
                <w:color w:val="auto"/>
                <w:w w:val="98"/>
              </w:rPr>
              <w:t>Euribor +3.5%</w:t>
            </w:r>
          </w:p>
        </w:tc>
        <w:tc>
          <w:tcPr>
            <w:tcW w:w="1380" w:type="dxa"/>
            <w:vAlign w:val="bottom"/>
            <w:shd w:val="clear" w:color="auto" w:fill="CCEEFF"/>
          </w:tcPr>
          <w:p>
            <w:pPr>
              <w:ind w:left="120"/>
              <w:spacing w:after="0" w:line="131" w:lineRule="exact"/>
              <w:rPr>
                <w:sz w:val="20"/>
                <w:szCs w:val="20"/>
                <w:color w:val="auto"/>
              </w:rPr>
            </w:pPr>
            <w:r>
              <w:rPr>
                <w:rFonts w:ascii="Arial" w:cs="Arial" w:eastAsia="Arial" w:hAnsi="Arial"/>
                <w:sz w:val="14"/>
                <w:szCs w:val="14"/>
                <w:color w:val="auto"/>
                <w:w w:val="98"/>
              </w:rPr>
              <w:t>Short-term revolving</w:t>
            </w:r>
          </w:p>
        </w:tc>
      </w:tr>
      <w:tr>
        <w:trPr>
          <w:trHeight w:val="159"/>
        </w:trPr>
        <w:tc>
          <w:tcPr>
            <w:tcW w:w="3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23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2000" w:type="dxa"/>
            <w:vAlign w:val="bottom"/>
            <w:tcBorders>
              <w:bottom w:val="single" w:sz="8" w:color="auto"/>
            </w:tcBorders>
            <w:shd w:val="clear" w:color="auto" w:fill="CCEEFF"/>
          </w:tcPr>
          <w:p>
            <w:pPr>
              <w:ind w:left="80"/>
              <w:spacing w:after="0" w:line="159" w:lineRule="exact"/>
              <w:rPr>
                <w:sz w:val="20"/>
                <w:szCs w:val="20"/>
                <w:color w:val="auto"/>
              </w:rPr>
            </w:pPr>
            <w:r>
              <w:rPr>
                <w:rFonts w:ascii="Arial" w:cs="Arial" w:eastAsia="Arial" w:hAnsi="Arial"/>
                <w:sz w:val="14"/>
                <w:szCs w:val="14"/>
                <w:color w:val="auto"/>
              </w:rPr>
              <w:t>Inc.</w:t>
            </w:r>
          </w:p>
        </w:tc>
        <w:tc>
          <w:tcPr>
            <w:tcW w:w="6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ind w:left="120"/>
              <w:spacing w:after="0" w:line="159" w:lineRule="exact"/>
              <w:rPr>
                <w:sz w:val="20"/>
                <w:szCs w:val="20"/>
                <w:color w:val="auto"/>
              </w:rPr>
            </w:pPr>
            <w:r>
              <w:rPr>
                <w:rFonts w:ascii="Arial" w:cs="Arial" w:eastAsia="Arial" w:hAnsi="Arial"/>
                <w:sz w:val="14"/>
                <w:szCs w:val="14"/>
                <w:color w:val="auto"/>
                <w:w w:val="95"/>
              </w:rPr>
              <w:t>credit of Eur 500,000</w:t>
            </w: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116" w:right="2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5.18</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u w:val="single" w:color="auto"/>
          <w:color w:val="auto"/>
        </w:rPr>
        <w:t>PENSION PLANS</w:t>
      </w:r>
    </w:p>
    <w:p>
      <w:pPr>
        <w:spacing w:after="0" w:line="200"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220"/>
          </w:cols>
          <w:pgMar w:left="1440" w:top="274" w:right="2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5.23</w:t>
      </w:r>
    </w:p>
    <w:p>
      <w:pPr>
        <w:spacing w:after="0" w:line="171" w:lineRule="exact"/>
        <w:rPr>
          <w:sz w:val="20"/>
          <w:szCs w:val="20"/>
          <w:color w:val="auto"/>
        </w:rPr>
      </w:pPr>
    </w:p>
    <w:p>
      <w:pPr>
        <w:ind w:left="4960"/>
        <w:spacing w:after="0"/>
        <w:rPr>
          <w:sz w:val="20"/>
          <w:szCs w:val="20"/>
          <w:color w:val="auto"/>
        </w:rPr>
      </w:pPr>
      <w:r>
        <w:rPr>
          <w:rFonts w:ascii="Arial" w:cs="Arial" w:eastAsia="Arial" w:hAnsi="Arial"/>
          <w:sz w:val="18"/>
          <w:szCs w:val="18"/>
          <w:b w:val="1"/>
          <w:bCs w:val="1"/>
          <w:u w:val="single" w:color="auto"/>
          <w:color w:val="auto"/>
        </w:rPr>
        <w:t>LABOR MATTERS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Integra LifeSciences Holdings Corporation and its subsidiaries are parties to the following collective bargaining arrangements:</w:t>
      </w:r>
    </w:p>
    <w:p>
      <w:pPr>
        <w:spacing w:after="0" w:line="90" w:lineRule="exact"/>
        <w:rPr>
          <w:sz w:val="20"/>
          <w:szCs w:val="20"/>
          <w:color w:val="auto"/>
        </w:rPr>
      </w:pPr>
    </w:p>
    <w:p>
      <w:pPr>
        <w:jc w:val="both"/>
        <w:ind w:left="460" w:hanging="452"/>
        <w:spacing w:after="0" w:line="259" w:lineRule="auto"/>
        <w:tabs>
          <w:tab w:leader="none" w:pos="4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GMS, Geselleschaft für Medizinische Sondentechnik mbH has a works council relating to its employees. There are no collective bargaining agreements but two work shop agreements of which the one being of importance deals with general work rules (e.g. weekly working time, breaks, overtime, vacation, sickness, non-paid special leave and the like).</w:t>
      </w:r>
    </w:p>
    <w:p>
      <w:pPr>
        <w:spacing w:after="0" w:line="59"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Jarit GmbH does not have any collective bargaining agreements. However, certain employment agreements make reference to the collective bargaining agreements of the German metal industry and the subsidiary is complying with the terms of those agreements.</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Miltex GmbH does not have any collective bargaining agreements. However, certain employment agreements make reference to collective bargaining agreements of the German metal industry and the subsidiary is complying with the terms of those agreements.</w:t>
      </w:r>
    </w:p>
    <w:p>
      <w:pPr>
        <w:spacing w:after="0" w:line="5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Newdeal SAS is not a party to a collective bargaining agreement. However, certain employment agreements made reference to the collective bargaining agreements of the Métallurgie du Rhone and the subsidiary is complying with certain terms of those agreements.</w:t>
      </w:r>
    </w:p>
    <w:p>
      <w:pPr>
        <w:spacing w:after="0" w:line="5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Integra LifeSciences Services (France) SAS falls under the Collective Bargaining Agreement (Pharmacie - produits à usage pharmaceutique, para-pharmaceutique &amp; veterinarie (Fabrication et Commerce)).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Integra NeuroSciences Implants (France) SA is a party to a collective bargaining agreement.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Precise Dental Internacional S.A. de C.V. is a party to a collective bargaining agreement.</w:t>
      </w:r>
    </w:p>
    <w:p>
      <w:pPr>
        <w:sectPr>
          <w:pgSz w:w="11900" w:h="16838" w:orient="portrait"/>
          <w:cols w:equalWidth="0" w:num="1">
            <w:col w:w="11420"/>
          </w:cols>
          <w:pgMar w:left="240" w:top="274" w:right="2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5.25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MATERIAL CONTRACTS</w:t>
      </w:r>
    </w:p>
    <w:p>
      <w:pPr>
        <w:spacing w:after="0" w:line="218" w:lineRule="exact"/>
        <w:rPr>
          <w:sz w:val="20"/>
          <w:szCs w:val="20"/>
          <w:color w:val="auto"/>
        </w:rPr>
      </w:pPr>
    </w:p>
    <w:p>
      <w:pPr>
        <w:ind w:left="460" w:hanging="452"/>
        <w:spacing w:after="0" w:line="268" w:lineRule="auto"/>
        <w:tabs>
          <w:tab w:leader="none" w:pos="4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Indenture, dated as of June 11, 2007 among Integra LifeSciences Holdings Corporation, Integra LifeSciences Corporation and Wells Fargo Bank, N.A., as trustee, relating to the 2.375% Senior Convertible Notes due 2012.</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Intercompany Notes evidencing indebtedness in excess of $15 million and listed on Schedule 7.03.</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ISDA (International Swaps and Derivatives Association) Master Agreement dated August 10, 2010 between Royal Bank of Canada and Integra LifeSciences Holdings Corporation (in amount not to exceed USD $25,000,000).</w:t>
      </w:r>
    </w:p>
    <w:p>
      <w:pPr>
        <w:sectPr>
          <w:pgSz w:w="11900" w:h="16838" w:orient="portrait"/>
          <w:cols w:equalWidth="0" w:num="1">
            <w:col w:w="11420"/>
          </w:cols>
          <w:pgMar w:left="240" w:top="274" w:right="2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7.01</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u w:val="single" w:color="auto"/>
          <w:color w:val="auto"/>
        </w:rPr>
        <w:t>EXISTING LIENS</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8"/>
          <w:szCs w:val="18"/>
          <w:i w:val="1"/>
          <w:iCs w:val="1"/>
          <w:color w:val="auto"/>
        </w:rPr>
        <w:t>See attached.</w:t>
      </w:r>
    </w:p>
    <w:p>
      <w:pPr>
        <w:sectPr>
          <w:pgSz w:w="11900" w:h="16838" w:orient="portrait"/>
          <w:cols w:equalWidth="0" w:num="1">
            <w:col w:w="10220"/>
          </w:cols>
          <w:pgMar w:left="1440" w:top="274" w:right="239" w:bottom="1440" w:gutter="0" w:footer="0" w:header="0"/>
        </w:sectPr>
      </w:pPr>
    </w:p>
    <w:bookmarkStart w:id="196" w:name="page197"/>
    <w:bookmarkEnd w:id="19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INTEGRA LIFESCIENCES HOLDINGS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UCC Lien Search Results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(Conducted with CT Corporation)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Debtor</w:t>
            </w:r>
          </w:p>
        </w:tc>
        <w:tc>
          <w:tcPr>
            <w:tcW w:w="2100" w:type="dxa"/>
            <w:vAlign w:val="bottom"/>
          </w:tcPr>
          <w:p>
            <w:pPr>
              <w:spacing w:after="0"/>
              <w:rPr>
                <w:sz w:val="15"/>
                <w:szCs w:val="15"/>
                <w:color w:val="auto"/>
              </w:rPr>
            </w:pPr>
          </w:p>
        </w:tc>
        <w:tc>
          <w:tcPr>
            <w:tcW w:w="216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Secured Party</w:t>
            </w:r>
          </w:p>
        </w:tc>
        <w:tc>
          <w:tcPr>
            <w:tcW w:w="120" w:type="dxa"/>
            <w:vAlign w:val="bottom"/>
          </w:tcPr>
          <w:p>
            <w:pPr>
              <w:spacing w:after="0"/>
              <w:rPr>
                <w:sz w:val="15"/>
                <w:szCs w:val="15"/>
                <w:color w:val="auto"/>
              </w:rPr>
            </w:pPr>
          </w:p>
        </w:tc>
        <w:tc>
          <w:tcPr>
            <w:tcW w:w="218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Jurisdiction</w:t>
            </w:r>
          </w:p>
        </w:tc>
        <w:tc>
          <w:tcPr>
            <w:tcW w:w="120" w:type="dxa"/>
            <w:vAlign w:val="bottom"/>
          </w:tcPr>
          <w:p>
            <w:pPr>
              <w:spacing w:after="0"/>
              <w:rPr>
                <w:sz w:val="15"/>
                <w:szCs w:val="15"/>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File Date</w:t>
            </w:r>
          </w:p>
        </w:tc>
        <w:tc>
          <w:tcPr>
            <w:tcW w:w="120" w:type="dxa"/>
            <w:vAlign w:val="bottom"/>
          </w:tcPr>
          <w:p>
            <w:pPr>
              <w:spacing w:after="0"/>
              <w:rPr>
                <w:sz w:val="15"/>
                <w:szCs w:val="15"/>
                <w:color w:val="auto"/>
              </w:rPr>
            </w:pPr>
          </w:p>
        </w:tc>
        <w:tc>
          <w:tcPr>
            <w:tcW w:w="11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File Number</w:t>
            </w:r>
          </w:p>
        </w:tc>
        <w:tc>
          <w:tcPr>
            <w:tcW w:w="100" w:type="dxa"/>
            <w:vAlign w:val="bottom"/>
          </w:tcPr>
          <w:p>
            <w:pPr>
              <w:spacing w:after="0"/>
              <w:rPr>
                <w:sz w:val="15"/>
                <w:szCs w:val="15"/>
                <w:color w:val="auto"/>
              </w:rPr>
            </w:pPr>
          </w:p>
        </w:tc>
        <w:tc>
          <w:tcPr>
            <w:tcW w:w="21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Brief Collateral Description</w:t>
            </w:r>
          </w:p>
        </w:tc>
      </w:tr>
      <w:tr>
        <w:trPr>
          <w:trHeight w:val="215"/>
        </w:trPr>
        <w:tc>
          <w:tcPr>
            <w:tcW w:w="440" w:type="dxa"/>
            <w:vAlign w:val="bottom"/>
          </w:tcPr>
          <w:p>
            <w:pPr>
              <w:spacing w:after="0"/>
              <w:rPr>
                <w:sz w:val="20"/>
                <w:szCs w:val="20"/>
                <w:color w:val="auto"/>
              </w:rPr>
            </w:pPr>
            <w:r>
              <w:rPr>
                <w:rFonts w:ascii="Arial" w:cs="Arial" w:eastAsia="Arial" w:hAnsi="Arial"/>
                <w:sz w:val="16"/>
                <w:szCs w:val="16"/>
                <w:b w:val="1"/>
                <w:bCs w:val="1"/>
                <w:color w:val="auto"/>
                <w:w w:val="78"/>
              </w:rPr>
              <w:t>Integra</w:t>
            </w:r>
          </w:p>
        </w:tc>
        <w:tc>
          <w:tcPr>
            <w:tcW w:w="4260" w:type="dxa"/>
            <w:vAlign w:val="bottom"/>
            <w:gridSpan w:val="2"/>
          </w:tcPr>
          <w:p>
            <w:pPr>
              <w:ind w:left="160"/>
              <w:spacing w:after="0"/>
              <w:rPr>
                <w:sz w:val="20"/>
                <w:szCs w:val="20"/>
                <w:color w:val="auto"/>
              </w:rPr>
            </w:pPr>
            <w:r>
              <w:rPr>
                <w:rFonts w:ascii="Arial" w:cs="Arial" w:eastAsia="Arial" w:hAnsi="Arial"/>
                <w:sz w:val="18"/>
                <w:szCs w:val="18"/>
                <w:b w:val="1"/>
                <w:bCs w:val="1"/>
                <w:color w:val="auto"/>
              </w:rPr>
              <w:t>LifeSciences Holdings Corporation</w:t>
            </w: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90"/>
        </w:trPr>
        <w:tc>
          <w:tcPr>
            <w:tcW w:w="2540" w:type="dxa"/>
            <w:vAlign w:val="bottom"/>
            <w:gridSpan w:val="2"/>
          </w:tcPr>
          <w:p>
            <w:pPr>
              <w:spacing w:after="0"/>
              <w:rPr>
                <w:sz w:val="20"/>
                <w:szCs w:val="20"/>
                <w:color w:val="auto"/>
              </w:rPr>
            </w:pPr>
            <w:r>
              <w:rPr>
                <w:rFonts w:ascii="Arial" w:cs="Arial" w:eastAsia="Arial" w:hAnsi="Arial"/>
                <w:sz w:val="18"/>
                <w:szCs w:val="18"/>
                <w:color w:val="auto"/>
              </w:rPr>
              <w:t>Integra LifeSciences Holdings</w:t>
            </w:r>
          </w:p>
        </w:tc>
        <w:tc>
          <w:tcPr>
            <w:tcW w:w="2160" w:type="dxa"/>
            <w:vAlign w:val="bottom"/>
          </w:tcPr>
          <w:p>
            <w:pPr>
              <w:spacing w:after="0"/>
              <w:rPr>
                <w:sz w:val="20"/>
                <w:szCs w:val="20"/>
                <w:color w:val="auto"/>
              </w:rPr>
            </w:pPr>
            <w:r>
              <w:rPr>
                <w:rFonts w:ascii="Arial" w:cs="Arial" w:eastAsia="Arial" w:hAnsi="Arial"/>
                <w:sz w:val="18"/>
                <w:szCs w:val="18"/>
                <w:color w:val="auto"/>
              </w:rPr>
              <w:t>Bank of America, N.A., as</w:t>
            </w:r>
          </w:p>
        </w:tc>
        <w:tc>
          <w:tcPr>
            <w:tcW w:w="2420" w:type="dxa"/>
            <w:vAlign w:val="bottom"/>
            <w:gridSpan w:val="3"/>
          </w:tcPr>
          <w:p>
            <w:pPr>
              <w:ind w:left="120"/>
              <w:spacing w:after="0"/>
              <w:rPr>
                <w:sz w:val="20"/>
                <w:szCs w:val="20"/>
                <w:color w:val="auto"/>
              </w:rPr>
            </w:pPr>
            <w:r>
              <w:rPr>
                <w:rFonts w:ascii="Arial" w:cs="Arial" w:eastAsia="Arial" w:hAnsi="Arial"/>
                <w:sz w:val="18"/>
                <w:szCs w:val="18"/>
                <w:color w:val="auto"/>
              </w:rPr>
              <w:t>Delaware Secretary of State</w:t>
            </w: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12-23-05</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54000429</w:t>
            </w:r>
          </w:p>
        </w:tc>
        <w:tc>
          <w:tcPr>
            <w:tcW w:w="10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Blanket Lien</w:t>
            </w:r>
          </w:p>
        </w:tc>
      </w:tr>
      <w:tr>
        <w:trPr>
          <w:trHeight w:val="222"/>
        </w:trPr>
        <w:tc>
          <w:tcPr>
            <w:tcW w:w="2540" w:type="dxa"/>
            <w:vAlign w:val="bottom"/>
            <w:gridSpan w:val="2"/>
          </w:tcPr>
          <w:p>
            <w:pPr>
              <w:ind w:left="220"/>
              <w:spacing w:after="0"/>
              <w:rPr>
                <w:sz w:val="20"/>
                <w:szCs w:val="20"/>
                <w:color w:val="auto"/>
              </w:rPr>
            </w:pPr>
            <w:r>
              <w:rPr>
                <w:rFonts w:ascii="Arial" w:cs="Arial" w:eastAsia="Arial" w:hAnsi="Arial"/>
                <w:sz w:val="18"/>
                <w:szCs w:val="18"/>
                <w:color w:val="auto"/>
              </w:rPr>
              <w:t>Corporation</w:t>
            </w:r>
          </w:p>
        </w:tc>
        <w:tc>
          <w:tcPr>
            <w:tcW w:w="2160" w:type="dxa"/>
            <w:vAlign w:val="bottom"/>
          </w:tcPr>
          <w:p>
            <w:pPr>
              <w:spacing w:after="0"/>
              <w:rPr>
                <w:sz w:val="20"/>
                <w:szCs w:val="20"/>
                <w:color w:val="auto"/>
              </w:rPr>
            </w:pPr>
            <w:r>
              <w:rPr>
                <w:rFonts w:ascii="Arial" w:cs="Arial" w:eastAsia="Arial" w:hAnsi="Arial"/>
                <w:sz w:val="18"/>
                <w:szCs w:val="18"/>
                <w:color w:val="auto"/>
              </w:rPr>
              <w:t>Administrative Agent</w:t>
            </w:r>
          </w:p>
        </w:tc>
        <w:tc>
          <w:tcPr>
            <w:tcW w:w="1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318"/>
        </w:trPr>
        <w:tc>
          <w:tcPr>
            <w:tcW w:w="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06-14-06</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62030468</w:t>
            </w:r>
          </w:p>
        </w:tc>
        <w:tc>
          <w:tcPr>
            <w:tcW w:w="10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w w:val="91"/>
              </w:rPr>
              <w:t>Amendment adding collateral</w:t>
            </w:r>
          </w:p>
        </w:tc>
      </w:tr>
      <w:tr>
        <w:trPr>
          <w:trHeight w:val="222"/>
        </w:trPr>
        <w:tc>
          <w:tcPr>
            <w:tcW w:w="4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to Schedule I</w:t>
            </w:r>
          </w:p>
        </w:tc>
      </w:tr>
      <w:tr>
        <w:trPr>
          <w:trHeight w:val="324"/>
        </w:trPr>
        <w:tc>
          <w:tcPr>
            <w:tcW w:w="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08-25-10</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02968133</w:t>
            </w:r>
          </w:p>
        </w:tc>
        <w:tc>
          <w:tcPr>
            <w:tcW w:w="10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Continuation Statement</w:t>
            </w:r>
          </w:p>
        </w:tc>
      </w:tr>
      <w:tr>
        <w:trPr>
          <w:trHeight w:val="318"/>
        </w:trPr>
        <w:tc>
          <w:tcPr>
            <w:tcW w:w="2540" w:type="dxa"/>
            <w:vAlign w:val="bottom"/>
            <w:gridSpan w:val="2"/>
          </w:tcPr>
          <w:p>
            <w:pPr>
              <w:spacing w:after="0"/>
              <w:rPr>
                <w:sz w:val="20"/>
                <w:szCs w:val="20"/>
                <w:color w:val="auto"/>
              </w:rPr>
            </w:pPr>
            <w:r>
              <w:rPr>
                <w:rFonts w:ascii="Arial" w:cs="Arial" w:eastAsia="Arial" w:hAnsi="Arial"/>
                <w:sz w:val="18"/>
                <w:szCs w:val="18"/>
                <w:color w:val="auto"/>
              </w:rPr>
              <w:t>Integra LifeSciences</w:t>
            </w:r>
          </w:p>
        </w:tc>
        <w:tc>
          <w:tcPr>
            <w:tcW w:w="2160" w:type="dxa"/>
            <w:vAlign w:val="bottom"/>
          </w:tcPr>
          <w:p>
            <w:pPr>
              <w:spacing w:after="0"/>
              <w:rPr>
                <w:sz w:val="20"/>
                <w:szCs w:val="20"/>
                <w:color w:val="auto"/>
              </w:rPr>
            </w:pPr>
            <w:r>
              <w:rPr>
                <w:rFonts w:ascii="Arial" w:cs="Arial" w:eastAsia="Arial" w:hAnsi="Arial"/>
                <w:sz w:val="18"/>
                <w:szCs w:val="18"/>
                <w:color w:val="auto"/>
              </w:rPr>
              <w:t>Bank of America, N.A., as</w:t>
            </w:r>
          </w:p>
        </w:tc>
        <w:tc>
          <w:tcPr>
            <w:tcW w:w="2420" w:type="dxa"/>
            <w:vAlign w:val="bottom"/>
            <w:gridSpan w:val="3"/>
          </w:tcPr>
          <w:p>
            <w:pPr>
              <w:ind w:left="120"/>
              <w:spacing w:after="0"/>
              <w:rPr>
                <w:sz w:val="20"/>
                <w:szCs w:val="20"/>
                <w:color w:val="auto"/>
              </w:rPr>
            </w:pPr>
            <w:r>
              <w:rPr>
                <w:rFonts w:ascii="Arial" w:cs="Arial" w:eastAsia="Arial" w:hAnsi="Arial"/>
                <w:sz w:val="18"/>
                <w:szCs w:val="18"/>
                <w:color w:val="auto"/>
              </w:rPr>
              <w:t>Delaware Secretary of State</w:t>
            </w:r>
          </w:p>
        </w:tc>
        <w:tc>
          <w:tcPr>
            <w:tcW w:w="780" w:type="dxa"/>
            <w:vAlign w:val="bottom"/>
          </w:tcPr>
          <w:p>
            <w:pPr>
              <w:jc w:val="center"/>
              <w:spacing w:after="0"/>
              <w:rPr>
                <w:sz w:val="20"/>
                <w:szCs w:val="20"/>
                <w:color w:val="auto"/>
              </w:rPr>
            </w:pPr>
            <w:r>
              <w:rPr>
                <w:rFonts w:ascii="Arial" w:cs="Arial" w:eastAsia="Arial" w:hAnsi="Arial"/>
                <w:sz w:val="18"/>
                <w:szCs w:val="18"/>
                <w:color w:val="auto"/>
                <w:w w:val="86"/>
              </w:rPr>
              <w:t>8-10-10</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6"/>
              </w:rPr>
              <w:t>2010 2783755</w:t>
            </w:r>
          </w:p>
        </w:tc>
        <w:tc>
          <w:tcPr>
            <w:tcW w:w="10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Blanket Lien</w:t>
            </w:r>
          </w:p>
        </w:tc>
      </w:tr>
      <w:tr>
        <w:trPr>
          <w:trHeight w:val="222"/>
        </w:trPr>
        <w:tc>
          <w:tcPr>
            <w:tcW w:w="2540" w:type="dxa"/>
            <w:vAlign w:val="bottom"/>
            <w:gridSpan w:val="2"/>
          </w:tcPr>
          <w:p>
            <w:pPr>
              <w:ind w:left="220"/>
              <w:spacing w:after="0"/>
              <w:rPr>
                <w:sz w:val="20"/>
                <w:szCs w:val="20"/>
                <w:color w:val="auto"/>
              </w:rPr>
            </w:pPr>
            <w:r>
              <w:rPr>
                <w:rFonts w:ascii="Arial" w:cs="Arial" w:eastAsia="Arial" w:hAnsi="Arial"/>
                <w:sz w:val="18"/>
                <w:szCs w:val="18"/>
                <w:color w:val="auto"/>
              </w:rPr>
              <w:t>Holdings Corporation</w:t>
            </w:r>
          </w:p>
        </w:tc>
        <w:tc>
          <w:tcPr>
            <w:tcW w:w="2160" w:type="dxa"/>
            <w:vAlign w:val="bottom"/>
          </w:tcPr>
          <w:p>
            <w:pPr>
              <w:spacing w:after="0"/>
              <w:rPr>
                <w:sz w:val="20"/>
                <w:szCs w:val="20"/>
                <w:color w:val="auto"/>
              </w:rPr>
            </w:pPr>
            <w:r>
              <w:rPr>
                <w:rFonts w:ascii="Arial" w:cs="Arial" w:eastAsia="Arial" w:hAnsi="Arial"/>
                <w:sz w:val="18"/>
                <w:szCs w:val="18"/>
                <w:color w:val="auto"/>
              </w:rPr>
              <w:t>Administrative Agent</w:t>
            </w:r>
          </w:p>
        </w:tc>
        <w:tc>
          <w:tcPr>
            <w:tcW w:w="1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324"/>
        </w:trPr>
        <w:tc>
          <w:tcPr>
            <w:tcW w:w="2540" w:type="dxa"/>
            <w:vAlign w:val="bottom"/>
            <w:gridSpan w:val="2"/>
          </w:tcPr>
          <w:p>
            <w:pPr>
              <w:spacing w:after="0"/>
              <w:rPr>
                <w:sz w:val="20"/>
                <w:szCs w:val="20"/>
                <w:color w:val="auto"/>
              </w:rPr>
            </w:pPr>
            <w:r>
              <w:rPr>
                <w:rFonts w:ascii="Arial" w:cs="Arial" w:eastAsia="Arial" w:hAnsi="Arial"/>
                <w:sz w:val="18"/>
                <w:szCs w:val="18"/>
                <w:b w:val="1"/>
                <w:bCs w:val="1"/>
                <w:color w:val="auto"/>
              </w:rPr>
              <w:t>EndoSolutions, Inc.</w:t>
            </w: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318"/>
        </w:trPr>
        <w:tc>
          <w:tcPr>
            <w:tcW w:w="2540" w:type="dxa"/>
            <w:vAlign w:val="bottom"/>
            <w:gridSpan w:val="2"/>
          </w:tcPr>
          <w:p>
            <w:pPr>
              <w:spacing w:after="0"/>
              <w:rPr>
                <w:sz w:val="20"/>
                <w:szCs w:val="20"/>
                <w:color w:val="auto"/>
              </w:rPr>
            </w:pPr>
            <w:r>
              <w:rPr>
                <w:rFonts w:ascii="Arial" w:cs="Arial" w:eastAsia="Arial" w:hAnsi="Arial"/>
                <w:sz w:val="18"/>
                <w:szCs w:val="18"/>
                <w:color w:val="auto"/>
              </w:rPr>
              <w:t>EndoSolutions, Inc.</w:t>
            </w:r>
          </w:p>
        </w:tc>
        <w:tc>
          <w:tcPr>
            <w:tcW w:w="2160" w:type="dxa"/>
            <w:vAlign w:val="bottom"/>
          </w:tcPr>
          <w:p>
            <w:pPr>
              <w:spacing w:after="0"/>
              <w:rPr>
                <w:sz w:val="20"/>
                <w:szCs w:val="20"/>
                <w:color w:val="auto"/>
              </w:rPr>
            </w:pPr>
            <w:r>
              <w:rPr>
                <w:rFonts w:ascii="Arial" w:cs="Arial" w:eastAsia="Arial" w:hAnsi="Arial"/>
                <w:sz w:val="18"/>
                <w:szCs w:val="18"/>
                <w:color w:val="auto"/>
              </w:rPr>
              <w:t>Bank of America, N.A., as</w:t>
            </w:r>
          </w:p>
        </w:tc>
        <w:tc>
          <w:tcPr>
            <w:tcW w:w="2420" w:type="dxa"/>
            <w:vAlign w:val="bottom"/>
            <w:gridSpan w:val="3"/>
          </w:tcPr>
          <w:p>
            <w:pPr>
              <w:ind w:left="120"/>
              <w:spacing w:after="0"/>
              <w:rPr>
                <w:sz w:val="20"/>
                <w:szCs w:val="20"/>
                <w:color w:val="auto"/>
              </w:rPr>
            </w:pPr>
            <w:r>
              <w:rPr>
                <w:rFonts w:ascii="Arial" w:cs="Arial" w:eastAsia="Arial" w:hAnsi="Arial"/>
                <w:sz w:val="18"/>
                <w:szCs w:val="18"/>
                <w:color w:val="auto"/>
              </w:rPr>
              <w:t>Delaware Secretary of State</w:t>
            </w: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06-14-06</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62032233</w:t>
            </w:r>
          </w:p>
        </w:tc>
        <w:tc>
          <w:tcPr>
            <w:tcW w:w="10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Blanket Lien</w:t>
            </w:r>
          </w:p>
        </w:tc>
      </w:tr>
      <w:tr>
        <w:trPr>
          <w:trHeight w:val="222"/>
        </w:trPr>
        <w:tc>
          <w:tcPr>
            <w:tcW w:w="4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Administrative Agent</w:t>
            </w:r>
          </w:p>
        </w:tc>
        <w:tc>
          <w:tcPr>
            <w:tcW w:w="1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324"/>
        </w:trPr>
        <w:tc>
          <w:tcPr>
            <w:tcW w:w="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5"/>
              </w:rPr>
              <w:t>01-07-11</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10078884</w:t>
            </w:r>
          </w:p>
        </w:tc>
        <w:tc>
          <w:tcPr>
            <w:tcW w:w="10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Continuation Statement</w:t>
            </w:r>
          </w:p>
        </w:tc>
      </w:tr>
      <w:tr>
        <w:trPr>
          <w:trHeight w:val="318"/>
        </w:trPr>
        <w:tc>
          <w:tcPr>
            <w:tcW w:w="2540" w:type="dxa"/>
            <w:vAlign w:val="bottom"/>
            <w:gridSpan w:val="2"/>
          </w:tcPr>
          <w:p>
            <w:pPr>
              <w:spacing w:after="0"/>
              <w:rPr>
                <w:sz w:val="20"/>
                <w:szCs w:val="20"/>
                <w:color w:val="auto"/>
              </w:rPr>
            </w:pPr>
            <w:r>
              <w:rPr>
                <w:rFonts w:ascii="Arial" w:cs="Arial" w:eastAsia="Arial" w:hAnsi="Arial"/>
                <w:sz w:val="18"/>
                <w:szCs w:val="18"/>
                <w:color w:val="auto"/>
              </w:rPr>
              <w:t>EndoSolutions, Inc.</w:t>
            </w:r>
          </w:p>
        </w:tc>
        <w:tc>
          <w:tcPr>
            <w:tcW w:w="2160" w:type="dxa"/>
            <w:vAlign w:val="bottom"/>
          </w:tcPr>
          <w:p>
            <w:pPr>
              <w:spacing w:after="0"/>
              <w:rPr>
                <w:sz w:val="20"/>
                <w:szCs w:val="20"/>
                <w:color w:val="auto"/>
              </w:rPr>
            </w:pPr>
            <w:r>
              <w:rPr>
                <w:rFonts w:ascii="Arial" w:cs="Arial" w:eastAsia="Arial" w:hAnsi="Arial"/>
                <w:sz w:val="18"/>
                <w:szCs w:val="18"/>
                <w:color w:val="auto"/>
              </w:rPr>
              <w:t>Bank of America, N.A., as</w:t>
            </w:r>
          </w:p>
        </w:tc>
        <w:tc>
          <w:tcPr>
            <w:tcW w:w="2420" w:type="dxa"/>
            <w:vAlign w:val="bottom"/>
            <w:gridSpan w:val="3"/>
          </w:tcPr>
          <w:p>
            <w:pPr>
              <w:ind w:left="120"/>
              <w:spacing w:after="0"/>
              <w:rPr>
                <w:sz w:val="20"/>
                <w:szCs w:val="20"/>
                <w:color w:val="auto"/>
              </w:rPr>
            </w:pPr>
            <w:r>
              <w:rPr>
                <w:rFonts w:ascii="Arial" w:cs="Arial" w:eastAsia="Arial" w:hAnsi="Arial"/>
                <w:sz w:val="18"/>
                <w:szCs w:val="18"/>
                <w:color w:val="auto"/>
              </w:rPr>
              <w:t>Delaware Secretary of State</w:t>
            </w: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08-10-10</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6"/>
              </w:rPr>
              <w:t>2010 2783821</w:t>
            </w:r>
          </w:p>
        </w:tc>
        <w:tc>
          <w:tcPr>
            <w:tcW w:w="10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Blanket Lien</w:t>
            </w:r>
          </w:p>
        </w:tc>
      </w:tr>
      <w:tr>
        <w:trPr>
          <w:trHeight w:val="222"/>
        </w:trPr>
        <w:tc>
          <w:tcPr>
            <w:tcW w:w="4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Administrative Agent</w:t>
            </w:r>
          </w:p>
        </w:tc>
        <w:tc>
          <w:tcPr>
            <w:tcW w:w="1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324"/>
        </w:trPr>
        <w:tc>
          <w:tcPr>
            <w:tcW w:w="2540" w:type="dxa"/>
            <w:vAlign w:val="bottom"/>
            <w:gridSpan w:val="2"/>
          </w:tcPr>
          <w:p>
            <w:pPr>
              <w:spacing w:after="0"/>
              <w:rPr>
                <w:sz w:val="20"/>
                <w:szCs w:val="20"/>
                <w:color w:val="auto"/>
              </w:rPr>
            </w:pPr>
            <w:r>
              <w:rPr>
                <w:rFonts w:ascii="Arial" w:cs="Arial" w:eastAsia="Arial" w:hAnsi="Arial"/>
                <w:sz w:val="18"/>
                <w:szCs w:val="18"/>
                <w:b w:val="1"/>
                <w:bCs w:val="1"/>
                <w:color w:val="auto"/>
                <w:w w:val="89"/>
              </w:rPr>
              <w:t>Integra LifeSciences Corporation</w:t>
            </w: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318"/>
        </w:trPr>
        <w:tc>
          <w:tcPr>
            <w:tcW w:w="2540" w:type="dxa"/>
            <w:vAlign w:val="bottom"/>
            <w:gridSpan w:val="2"/>
          </w:tcPr>
          <w:p>
            <w:pPr>
              <w:spacing w:after="0"/>
              <w:rPr>
                <w:sz w:val="20"/>
                <w:szCs w:val="20"/>
                <w:color w:val="auto"/>
              </w:rPr>
            </w:pPr>
            <w:r>
              <w:rPr>
                <w:rFonts w:ascii="Arial" w:cs="Arial" w:eastAsia="Arial" w:hAnsi="Arial"/>
                <w:sz w:val="18"/>
                <w:szCs w:val="18"/>
                <w:color w:val="auto"/>
                <w:w w:val="96"/>
              </w:rPr>
              <w:t>Integra LifeSciences Corporation</w:t>
            </w:r>
          </w:p>
        </w:tc>
        <w:tc>
          <w:tcPr>
            <w:tcW w:w="2160" w:type="dxa"/>
            <w:vAlign w:val="bottom"/>
          </w:tcPr>
          <w:p>
            <w:pPr>
              <w:spacing w:after="0"/>
              <w:rPr>
                <w:sz w:val="20"/>
                <w:szCs w:val="20"/>
                <w:color w:val="auto"/>
              </w:rPr>
            </w:pPr>
            <w:r>
              <w:rPr>
                <w:rFonts w:ascii="Arial" w:cs="Arial" w:eastAsia="Arial" w:hAnsi="Arial"/>
                <w:sz w:val="18"/>
                <w:szCs w:val="18"/>
                <w:color w:val="auto"/>
              </w:rPr>
              <w:t>Bank of America, N.A., as</w:t>
            </w:r>
          </w:p>
        </w:tc>
        <w:tc>
          <w:tcPr>
            <w:tcW w:w="2420" w:type="dxa"/>
            <w:vAlign w:val="bottom"/>
            <w:gridSpan w:val="3"/>
          </w:tcPr>
          <w:p>
            <w:pPr>
              <w:ind w:left="120"/>
              <w:spacing w:after="0"/>
              <w:rPr>
                <w:sz w:val="20"/>
                <w:szCs w:val="20"/>
                <w:color w:val="auto"/>
              </w:rPr>
            </w:pPr>
            <w:r>
              <w:rPr>
                <w:rFonts w:ascii="Arial" w:cs="Arial" w:eastAsia="Arial" w:hAnsi="Arial"/>
                <w:sz w:val="18"/>
                <w:szCs w:val="18"/>
                <w:color w:val="auto"/>
              </w:rPr>
              <w:t>Delaware Secretary of State</w:t>
            </w: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12-23-05</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54000510</w:t>
            </w:r>
          </w:p>
        </w:tc>
        <w:tc>
          <w:tcPr>
            <w:tcW w:w="10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Blanket Lien</w:t>
            </w:r>
          </w:p>
        </w:tc>
      </w:tr>
      <w:tr>
        <w:trPr>
          <w:trHeight w:val="222"/>
        </w:trPr>
        <w:tc>
          <w:tcPr>
            <w:tcW w:w="4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Administrative Agent</w:t>
            </w:r>
          </w:p>
        </w:tc>
        <w:tc>
          <w:tcPr>
            <w:tcW w:w="1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318"/>
        </w:trPr>
        <w:tc>
          <w:tcPr>
            <w:tcW w:w="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09-01-06</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63062148</w:t>
            </w:r>
          </w:p>
        </w:tc>
        <w:tc>
          <w:tcPr>
            <w:tcW w:w="10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w w:val="91"/>
              </w:rPr>
              <w:t>Amendment adding collateral</w:t>
            </w:r>
          </w:p>
        </w:tc>
      </w:tr>
      <w:tr>
        <w:trPr>
          <w:trHeight w:val="222"/>
        </w:trPr>
        <w:tc>
          <w:tcPr>
            <w:tcW w:w="4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to Schedule I</w:t>
            </w:r>
          </w:p>
        </w:tc>
      </w:tr>
      <w:tr>
        <w:trPr>
          <w:trHeight w:val="318"/>
        </w:trPr>
        <w:tc>
          <w:tcPr>
            <w:tcW w:w="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01-03-08</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80033272</w:t>
            </w:r>
          </w:p>
        </w:tc>
        <w:tc>
          <w:tcPr>
            <w:tcW w:w="10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w w:val="91"/>
              </w:rPr>
              <w:t>Amendment adding collateral</w:t>
            </w:r>
          </w:p>
        </w:tc>
      </w:tr>
      <w:tr>
        <w:trPr>
          <w:trHeight w:val="222"/>
        </w:trPr>
        <w:tc>
          <w:tcPr>
            <w:tcW w:w="4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to Schedule I</w:t>
            </w:r>
          </w:p>
        </w:tc>
      </w:tr>
      <w:tr>
        <w:trPr>
          <w:trHeight w:val="318"/>
        </w:trPr>
        <w:tc>
          <w:tcPr>
            <w:tcW w:w="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01-25-08</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80304715</w:t>
            </w:r>
          </w:p>
        </w:tc>
        <w:tc>
          <w:tcPr>
            <w:tcW w:w="10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w w:val="91"/>
              </w:rPr>
              <w:t>Amendment adding collateral</w:t>
            </w:r>
          </w:p>
        </w:tc>
      </w:tr>
      <w:tr>
        <w:trPr>
          <w:trHeight w:val="222"/>
        </w:trPr>
        <w:tc>
          <w:tcPr>
            <w:tcW w:w="4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to Schedule I</w:t>
            </w:r>
          </w:p>
        </w:tc>
      </w:tr>
      <w:tr>
        <w:trPr>
          <w:trHeight w:val="318"/>
        </w:trPr>
        <w:tc>
          <w:tcPr>
            <w:tcW w:w="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08-29-08</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82949210</w:t>
            </w:r>
          </w:p>
        </w:tc>
        <w:tc>
          <w:tcPr>
            <w:tcW w:w="10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w w:val="91"/>
              </w:rPr>
              <w:t>Amendment adding collateral</w:t>
            </w:r>
          </w:p>
        </w:tc>
      </w:tr>
      <w:tr>
        <w:trPr>
          <w:trHeight w:val="222"/>
        </w:trPr>
        <w:tc>
          <w:tcPr>
            <w:tcW w:w="4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to Schedule I</w:t>
            </w:r>
          </w:p>
        </w:tc>
      </w:tr>
      <w:tr>
        <w:trPr>
          <w:trHeight w:val="318"/>
        </w:trPr>
        <w:tc>
          <w:tcPr>
            <w:tcW w:w="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01-22-09</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90219839</w:t>
            </w:r>
          </w:p>
        </w:tc>
        <w:tc>
          <w:tcPr>
            <w:tcW w:w="10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w w:val="91"/>
              </w:rPr>
              <w:t>Amendment adding collateral</w:t>
            </w:r>
          </w:p>
        </w:tc>
      </w:tr>
      <w:tr>
        <w:trPr>
          <w:trHeight w:val="222"/>
        </w:trPr>
        <w:tc>
          <w:tcPr>
            <w:tcW w:w="4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to Schedule I</w:t>
            </w:r>
          </w:p>
        </w:tc>
      </w:tr>
      <w:tr>
        <w:trPr>
          <w:trHeight w:val="324"/>
        </w:trPr>
        <w:tc>
          <w:tcPr>
            <w:tcW w:w="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08-25-10</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02968182</w:t>
            </w:r>
          </w:p>
        </w:tc>
        <w:tc>
          <w:tcPr>
            <w:tcW w:w="10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Continuation Statement</w:t>
            </w:r>
          </w:p>
        </w:tc>
      </w:tr>
      <w:tr>
        <w:trPr>
          <w:trHeight w:val="324"/>
        </w:trPr>
        <w:tc>
          <w:tcPr>
            <w:tcW w:w="2540" w:type="dxa"/>
            <w:vAlign w:val="bottom"/>
            <w:gridSpan w:val="2"/>
          </w:tcPr>
          <w:p>
            <w:pPr>
              <w:spacing w:after="0"/>
              <w:rPr>
                <w:sz w:val="20"/>
                <w:szCs w:val="20"/>
                <w:color w:val="auto"/>
              </w:rPr>
            </w:pPr>
            <w:r>
              <w:rPr>
                <w:rFonts w:ascii="Arial" w:cs="Arial" w:eastAsia="Arial" w:hAnsi="Arial"/>
                <w:sz w:val="18"/>
                <w:szCs w:val="18"/>
                <w:color w:val="auto"/>
                <w:w w:val="96"/>
              </w:rPr>
              <w:t>Integra LifeSciences Corporation</w:t>
            </w:r>
          </w:p>
        </w:tc>
        <w:tc>
          <w:tcPr>
            <w:tcW w:w="2160" w:type="dxa"/>
            <w:vAlign w:val="bottom"/>
          </w:tcPr>
          <w:p>
            <w:pPr>
              <w:spacing w:after="0"/>
              <w:rPr>
                <w:sz w:val="20"/>
                <w:szCs w:val="20"/>
                <w:color w:val="auto"/>
              </w:rPr>
            </w:pPr>
            <w:r>
              <w:rPr>
                <w:rFonts w:ascii="Arial" w:cs="Arial" w:eastAsia="Arial" w:hAnsi="Arial"/>
                <w:sz w:val="18"/>
                <w:szCs w:val="18"/>
                <w:color w:val="auto"/>
              </w:rPr>
              <w:t>Canon Financial Services</w:t>
            </w:r>
          </w:p>
        </w:tc>
        <w:tc>
          <w:tcPr>
            <w:tcW w:w="2420" w:type="dxa"/>
            <w:vAlign w:val="bottom"/>
            <w:gridSpan w:val="3"/>
          </w:tcPr>
          <w:p>
            <w:pPr>
              <w:ind w:left="120"/>
              <w:spacing w:after="0"/>
              <w:rPr>
                <w:sz w:val="20"/>
                <w:szCs w:val="20"/>
                <w:color w:val="auto"/>
              </w:rPr>
            </w:pPr>
            <w:r>
              <w:rPr>
                <w:rFonts w:ascii="Arial" w:cs="Arial" w:eastAsia="Arial" w:hAnsi="Arial"/>
                <w:sz w:val="18"/>
                <w:szCs w:val="18"/>
                <w:color w:val="auto"/>
              </w:rPr>
              <w:t>Delaware Secretary of State</w:t>
            </w: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09-26-06</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63322500</w:t>
            </w:r>
          </w:p>
        </w:tc>
        <w:tc>
          <w:tcPr>
            <w:tcW w:w="10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Specified equipment</w:t>
            </w:r>
          </w:p>
        </w:tc>
      </w:tr>
      <w:tr>
        <w:trPr>
          <w:trHeight w:val="324"/>
        </w:trPr>
        <w:tc>
          <w:tcPr>
            <w:tcW w:w="2540" w:type="dxa"/>
            <w:vAlign w:val="bottom"/>
            <w:gridSpan w:val="2"/>
          </w:tcPr>
          <w:p>
            <w:pPr>
              <w:spacing w:after="0"/>
              <w:rPr>
                <w:sz w:val="20"/>
                <w:szCs w:val="20"/>
                <w:color w:val="auto"/>
              </w:rPr>
            </w:pPr>
            <w:r>
              <w:rPr>
                <w:rFonts w:ascii="Arial" w:cs="Arial" w:eastAsia="Arial" w:hAnsi="Arial"/>
                <w:sz w:val="18"/>
                <w:szCs w:val="18"/>
                <w:color w:val="auto"/>
                <w:w w:val="96"/>
              </w:rPr>
              <w:t>Integra LifeSciences Corporation</w:t>
            </w:r>
          </w:p>
        </w:tc>
        <w:tc>
          <w:tcPr>
            <w:tcW w:w="2160" w:type="dxa"/>
            <w:vAlign w:val="bottom"/>
          </w:tcPr>
          <w:p>
            <w:pPr>
              <w:spacing w:after="0"/>
              <w:rPr>
                <w:sz w:val="20"/>
                <w:szCs w:val="20"/>
                <w:color w:val="auto"/>
              </w:rPr>
            </w:pPr>
            <w:r>
              <w:rPr>
                <w:rFonts w:ascii="Arial" w:cs="Arial" w:eastAsia="Arial" w:hAnsi="Arial"/>
                <w:sz w:val="18"/>
                <w:szCs w:val="18"/>
                <w:color w:val="auto"/>
              </w:rPr>
              <w:t>Canon Financial Services</w:t>
            </w:r>
          </w:p>
        </w:tc>
        <w:tc>
          <w:tcPr>
            <w:tcW w:w="2420" w:type="dxa"/>
            <w:vAlign w:val="bottom"/>
            <w:gridSpan w:val="3"/>
          </w:tcPr>
          <w:p>
            <w:pPr>
              <w:ind w:left="120"/>
              <w:spacing w:after="0"/>
              <w:rPr>
                <w:sz w:val="20"/>
                <w:szCs w:val="20"/>
                <w:color w:val="auto"/>
              </w:rPr>
            </w:pPr>
            <w:r>
              <w:rPr>
                <w:rFonts w:ascii="Arial" w:cs="Arial" w:eastAsia="Arial" w:hAnsi="Arial"/>
                <w:sz w:val="18"/>
                <w:szCs w:val="18"/>
                <w:color w:val="auto"/>
              </w:rPr>
              <w:t>Delaware Secretary of State</w:t>
            </w: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12-12-06</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64342861</w:t>
            </w:r>
          </w:p>
        </w:tc>
        <w:tc>
          <w:tcPr>
            <w:tcW w:w="10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Specified equipment</w:t>
            </w:r>
          </w:p>
        </w:tc>
      </w:tr>
    </w:tbl>
    <w:p>
      <w:pPr>
        <w:sectPr>
          <w:pgSz w:w="11900" w:h="16838" w:orient="portrait"/>
          <w:cols w:equalWidth="0" w:num="1">
            <w:col w:w="11420"/>
          </w:cols>
          <w:pgMar w:left="240" w:top="274" w:right="239" w:bottom="1440" w:gutter="0" w:footer="0" w:header="0"/>
        </w:sectPr>
      </w:pPr>
    </w:p>
    <w:bookmarkStart w:id="197" w:name="page198"/>
    <w:bookmarkEnd w:id="19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1"/>
        </w:trPr>
        <w:tc>
          <w:tcPr>
            <w:tcW w:w="2760" w:type="dxa"/>
            <w:vAlign w:val="bottom"/>
            <w:gridSpan w:val="2"/>
          </w:tcPr>
          <w:p>
            <w:pPr>
              <w:spacing w:after="0"/>
              <w:rPr>
                <w:sz w:val="20"/>
                <w:szCs w:val="20"/>
                <w:color w:val="auto"/>
              </w:rPr>
            </w:pPr>
            <w:r>
              <w:rPr>
                <w:rFonts w:ascii="Arial" w:cs="Arial" w:eastAsia="Arial" w:hAnsi="Arial"/>
                <w:sz w:val="14"/>
                <w:szCs w:val="14"/>
                <w:b w:val="1"/>
                <w:bCs w:val="1"/>
                <w:color w:val="auto"/>
              </w:rPr>
              <w:t>Debtor</w:t>
            </w:r>
          </w:p>
        </w:tc>
        <w:tc>
          <w:tcPr>
            <w:tcW w:w="2200" w:type="dxa"/>
            <w:vAlign w:val="bottom"/>
            <w:gridSpan w:val="2"/>
          </w:tcPr>
          <w:p>
            <w:pPr>
              <w:ind w:left="620"/>
              <w:spacing w:after="0"/>
              <w:rPr>
                <w:sz w:val="20"/>
                <w:szCs w:val="20"/>
                <w:color w:val="auto"/>
              </w:rPr>
            </w:pPr>
            <w:r>
              <w:rPr>
                <w:rFonts w:ascii="Arial" w:cs="Arial" w:eastAsia="Arial" w:hAnsi="Arial"/>
                <w:sz w:val="14"/>
                <w:szCs w:val="14"/>
                <w:b w:val="1"/>
                <w:bCs w:val="1"/>
                <w:color w:val="auto"/>
              </w:rPr>
              <w:t>Secured Party</w:t>
            </w:r>
          </w:p>
        </w:tc>
        <w:tc>
          <w:tcPr>
            <w:tcW w:w="2160" w:type="dxa"/>
            <w:vAlign w:val="bottom"/>
            <w:gridSpan w:val="2"/>
          </w:tcPr>
          <w:p>
            <w:pPr>
              <w:ind w:left="680"/>
              <w:spacing w:after="0"/>
              <w:rPr>
                <w:sz w:val="20"/>
                <w:szCs w:val="20"/>
                <w:color w:val="auto"/>
              </w:rPr>
            </w:pPr>
            <w:r>
              <w:rPr>
                <w:rFonts w:ascii="Arial" w:cs="Arial" w:eastAsia="Arial" w:hAnsi="Arial"/>
                <w:sz w:val="14"/>
                <w:szCs w:val="14"/>
                <w:b w:val="1"/>
                <w:bCs w:val="1"/>
                <w:color w:val="auto"/>
              </w:rPr>
              <w:t>Jurisdiction</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File Date</w:t>
            </w:r>
          </w:p>
        </w:tc>
        <w:tc>
          <w:tcPr>
            <w:tcW w:w="1340" w:type="dxa"/>
            <w:vAlign w:val="bottom"/>
            <w:gridSpan w:val="2"/>
          </w:tcPr>
          <w:p>
            <w:pPr>
              <w:ind w:left="260"/>
              <w:spacing w:after="0"/>
              <w:rPr>
                <w:sz w:val="20"/>
                <w:szCs w:val="20"/>
                <w:color w:val="auto"/>
              </w:rPr>
            </w:pPr>
            <w:r>
              <w:rPr>
                <w:rFonts w:ascii="Arial" w:cs="Arial" w:eastAsia="Arial" w:hAnsi="Arial"/>
                <w:sz w:val="14"/>
                <w:szCs w:val="14"/>
                <w:b w:val="1"/>
                <w:bCs w:val="1"/>
                <w:color w:val="auto"/>
              </w:rPr>
              <w:t>File Number</w:t>
            </w:r>
          </w:p>
        </w:tc>
        <w:tc>
          <w:tcPr>
            <w:tcW w:w="2060" w:type="dxa"/>
            <w:vAlign w:val="bottom"/>
          </w:tcPr>
          <w:p>
            <w:pPr>
              <w:ind w:left="240"/>
              <w:spacing w:after="0"/>
              <w:rPr>
                <w:sz w:val="20"/>
                <w:szCs w:val="20"/>
                <w:color w:val="auto"/>
              </w:rPr>
            </w:pPr>
            <w:r>
              <w:rPr>
                <w:rFonts w:ascii="Arial" w:cs="Arial" w:eastAsia="Arial" w:hAnsi="Arial"/>
                <w:sz w:val="14"/>
                <w:szCs w:val="14"/>
                <w:b w:val="1"/>
                <w:bCs w:val="1"/>
                <w:color w:val="auto"/>
                <w:w w:val="99"/>
              </w:rPr>
              <w:t>Brief Collateral Description</w:t>
            </w:r>
          </w:p>
        </w:tc>
        <w:tc>
          <w:tcPr>
            <w:tcW w:w="0" w:type="dxa"/>
            <w:vAlign w:val="bottom"/>
          </w:tcPr>
          <w:p>
            <w:pPr>
              <w:spacing w:after="0"/>
              <w:rPr>
                <w:sz w:val="1"/>
                <w:szCs w:val="1"/>
                <w:color w:val="auto"/>
              </w:rPr>
            </w:pPr>
          </w:p>
        </w:tc>
      </w:tr>
      <w:tr>
        <w:trPr>
          <w:trHeight w:val="209"/>
        </w:trPr>
        <w:tc>
          <w:tcPr>
            <w:tcW w:w="44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w w:val="74"/>
              </w:rPr>
              <w:t>Integra</w:t>
            </w:r>
          </w:p>
        </w:tc>
        <w:tc>
          <w:tcPr>
            <w:tcW w:w="2320" w:type="dxa"/>
            <w:vAlign w:val="bottom"/>
          </w:tcPr>
          <w:p>
            <w:pPr>
              <w:ind w:left="100"/>
              <w:spacing w:after="0" w:line="188" w:lineRule="exact"/>
              <w:rPr>
                <w:sz w:val="20"/>
                <w:szCs w:val="20"/>
                <w:color w:val="auto"/>
              </w:rPr>
            </w:pPr>
            <w:r>
              <w:rPr>
                <w:rFonts w:ascii="Arial" w:cs="Arial" w:eastAsia="Arial" w:hAnsi="Arial"/>
                <w:sz w:val="18"/>
                <w:szCs w:val="18"/>
                <w:color w:val="auto"/>
              </w:rPr>
              <w:t>LifeSciences Corporation</w:t>
            </w:r>
          </w:p>
        </w:tc>
        <w:tc>
          <w:tcPr>
            <w:tcW w:w="20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Canon Financial Services</w:t>
            </w:r>
          </w:p>
        </w:tc>
        <w:tc>
          <w:tcPr>
            <w:tcW w:w="140" w:type="dxa"/>
            <w:vAlign w:val="bottom"/>
          </w:tcPr>
          <w:p>
            <w:pPr>
              <w:spacing w:after="0"/>
              <w:rPr>
                <w:sz w:val="18"/>
                <w:szCs w:val="18"/>
                <w:color w:val="auto"/>
              </w:rPr>
            </w:pPr>
          </w:p>
        </w:tc>
        <w:tc>
          <w:tcPr>
            <w:tcW w:w="20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9"/>
              </w:rPr>
              <w:t>Delaware Secretary of State</w:t>
            </w:r>
          </w:p>
        </w:tc>
        <w:tc>
          <w:tcPr>
            <w:tcW w:w="120" w:type="dxa"/>
            <w:vAlign w:val="bottom"/>
          </w:tcPr>
          <w:p>
            <w:pPr>
              <w:spacing w:after="0"/>
              <w:rPr>
                <w:sz w:val="18"/>
                <w:szCs w:val="18"/>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02-13-07</w:t>
            </w:r>
          </w:p>
        </w:tc>
        <w:tc>
          <w:tcPr>
            <w:tcW w:w="1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70575190</w:t>
            </w:r>
          </w:p>
        </w:tc>
        <w:tc>
          <w:tcPr>
            <w:tcW w:w="100" w:type="dxa"/>
            <w:vAlign w:val="bottom"/>
          </w:tcPr>
          <w:p>
            <w:pPr>
              <w:spacing w:after="0"/>
              <w:rPr>
                <w:sz w:val="18"/>
                <w:szCs w:val="18"/>
                <w:color w:val="auto"/>
              </w:rPr>
            </w:pPr>
          </w:p>
        </w:tc>
        <w:tc>
          <w:tcPr>
            <w:tcW w:w="2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Specified equipment</w:t>
            </w:r>
          </w:p>
        </w:tc>
        <w:tc>
          <w:tcPr>
            <w:tcW w:w="0" w:type="dxa"/>
            <w:vAlign w:val="bottom"/>
          </w:tcPr>
          <w:p>
            <w:pPr>
              <w:spacing w:after="0"/>
              <w:rPr>
                <w:sz w:val="1"/>
                <w:szCs w:val="1"/>
                <w:color w:val="auto"/>
              </w:rPr>
            </w:pPr>
          </w:p>
        </w:tc>
      </w:tr>
      <w:tr>
        <w:trPr>
          <w:trHeight w:val="316"/>
        </w:trPr>
        <w:tc>
          <w:tcPr>
            <w:tcW w:w="2760" w:type="dxa"/>
            <w:vAlign w:val="bottom"/>
            <w:gridSpan w:val="2"/>
          </w:tcPr>
          <w:p>
            <w:pPr>
              <w:spacing w:after="0"/>
              <w:rPr>
                <w:sz w:val="20"/>
                <w:szCs w:val="20"/>
                <w:color w:val="auto"/>
              </w:rPr>
            </w:pPr>
            <w:r>
              <w:rPr>
                <w:rFonts w:ascii="Arial" w:cs="Arial" w:eastAsia="Arial" w:hAnsi="Arial"/>
                <w:sz w:val="18"/>
                <w:szCs w:val="18"/>
                <w:color w:val="auto"/>
              </w:rPr>
              <w:t>Integra LifeSciences Corporation</w:t>
            </w:r>
          </w:p>
        </w:tc>
        <w:tc>
          <w:tcPr>
            <w:tcW w:w="2200" w:type="dxa"/>
            <w:vAlign w:val="bottom"/>
            <w:gridSpan w:val="2"/>
          </w:tcPr>
          <w:p>
            <w:pPr>
              <w:spacing w:after="0"/>
              <w:rPr>
                <w:sz w:val="20"/>
                <w:szCs w:val="20"/>
                <w:color w:val="auto"/>
              </w:rPr>
            </w:pPr>
            <w:r>
              <w:rPr>
                <w:rFonts w:ascii="Arial" w:cs="Arial" w:eastAsia="Arial" w:hAnsi="Arial"/>
                <w:sz w:val="18"/>
                <w:szCs w:val="18"/>
                <w:color w:val="auto"/>
              </w:rPr>
              <w:t>Canon Financial Services</w:t>
            </w:r>
          </w:p>
        </w:tc>
        <w:tc>
          <w:tcPr>
            <w:tcW w:w="2160" w:type="dxa"/>
            <w:vAlign w:val="bottom"/>
            <w:gridSpan w:val="2"/>
          </w:tcPr>
          <w:p>
            <w:pPr>
              <w:spacing w:after="0"/>
              <w:rPr>
                <w:sz w:val="20"/>
                <w:szCs w:val="20"/>
                <w:color w:val="auto"/>
              </w:rPr>
            </w:pPr>
            <w:r>
              <w:rPr>
                <w:rFonts w:ascii="Arial" w:cs="Arial" w:eastAsia="Arial" w:hAnsi="Arial"/>
                <w:sz w:val="18"/>
                <w:szCs w:val="18"/>
                <w:color w:val="auto"/>
                <w:w w:val="95"/>
              </w:rPr>
              <w:t>Delaware Secretary of State</w:t>
            </w: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06-29-07</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72489796</w:t>
            </w:r>
          </w:p>
        </w:tc>
        <w:tc>
          <w:tcPr>
            <w:tcW w:w="1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Specified equipment</w:t>
            </w:r>
          </w:p>
        </w:tc>
        <w:tc>
          <w:tcPr>
            <w:tcW w:w="0" w:type="dxa"/>
            <w:vAlign w:val="bottom"/>
          </w:tcPr>
          <w:p>
            <w:pPr>
              <w:spacing w:after="0"/>
              <w:rPr>
                <w:sz w:val="1"/>
                <w:szCs w:val="1"/>
                <w:color w:val="auto"/>
              </w:rPr>
            </w:pPr>
          </w:p>
        </w:tc>
      </w:tr>
      <w:tr>
        <w:trPr>
          <w:trHeight w:val="324"/>
        </w:trPr>
        <w:tc>
          <w:tcPr>
            <w:tcW w:w="2760" w:type="dxa"/>
            <w:vAlign w:val="bottom"/>
            <w:gridSpan w:val="2"/>
          </w:tcPr>
          <w:p>
            <w:pPr>
              <w:spacing w:after="0"/>
              <w:rPr>
                <w:sz w:val="20"/>
                <w:szCs w:val="20"/>
                <w:color w:val="auto"/>
              </w:rPr>
            </w:pPr>
            <w:r>
              <w:rPr>
                <w:rFonts w:ascii="Arial" w:cs="Arial" w:eastAsia="Arial" w:hAnsi="Arial"/>
                <w:sz w:val="18"/>
                <w:szCs w:val="18"/>
                <w:color w:val="auto"/>
              </w:rPr>
              <w:t>Integra LifeSciences Corporation</w:t>
            </w:r>
          </w:p>
        </w:tc>
        <w:tc>
          <w:tcPr>
            <w:tcW w:w="2200" w:type="dxa"/>
            <w:vAlign w:val="bottom"/>
            <w:gridSpan w:val="2"/>
          </w:tcPr>
          <w:p>
            <w:pPr>
              <w:spacing w:after="0"/>
              <w:rPr>
                <w:sz w:val="20"/>
                <w:szCs w:val="20"/>
                <w:color w:val="auto"/>
              </w:rPr>
            </w:pPr>
            <w:r>
              <w:rPr>
                <w:rFonts w:ascii="Arial" w:cs="Arial" w:eastAsia="Arial" w:hAnsi="Arial"/>
                <w:sz w:val="18"/>
                <w:szCs w:val="18"/>
                <w:color w:val="auto"/>
              </w:rPr>
              <w:t>Canon Financial Services</w:t>
            </w:r>
          </w:p>
        </w:tc>
        <w:tc>
          <w:tcPr>
            <w:tcW w:w="2160" w:type="dxa"/>
            <w:vAlign w:val="bottom"/>
            <w:gridSpan w:val="2"/>
          </w:tcPr>
          <w:p>
            <w:pPr>
              <w:spacing w:after="0"/>
              <w:rPr>
                <w:sz w:val="20"/>
                <w:szCs w:val="20"/>
                <w:color w:val="auto"/>
              </w:rPr>
            </w:pPr>
            <w:r>
              <w:rPr>
                <w:rFonts w:ascii="Arial" w:cs="Arial" w:eastAsia="Arial" w:hAnsi="Arial"/>
                <w:sz w:val="18"/>
                <w:szCs w:val="18"/>
                <w:color w:val="auto"/>
                <w:w w:val="95"/>
              </w:rPr>
              <w:t>Delaware Secretary of State</w:t>
            </w: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07-24-07</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72775145</w:t>
            </w:r>
          </w:p>
        </w:tc>
        <w:tc>
          <w:tcPr>
            <w:tcW w:w="1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Specified equipment</w:t>
            </w:r>
          </w:p>
        </w:tc>
        <w:tc>
          <w:tcPr>
            <w:tcW w:w="0" w:type="dxa"/>
            <w:vAlign w:val="bottom"/>
          </w:tcPr>
          <w:p>
            <w:pPr>
              <w:spacing w:after="0"/>
              <w:rPr>
                <w:sz w:val="1"/>
                <w:szCs w:val="1"/>
                <w:color w:val="auto"/>
              </w:rPr>
            </w:pPr>
          </w:p>
        </w:tc>
      </w:tr>
      <w:tr>
        <w:trPr>
          <w:trHeight w:val="324"/>
        </w:trPr>
        <w:tc>
          <w:tcPr>
            <w:tcW w:w="2760" w:type="dxa"/>
            <w:vAlign w:val="bottom"/>
            <w:gridSpan w:val="2"/>
          </w:tcPr>
          <w:p>
            <w:pPr>
              <w:spacing w:after="0"/>
              <w:rPr>
                <w:sz w:val="20"/>
                <w:szCs w:val="20"/>
                <w:color w:val="auto"/>
              </w:rPr>
            </w:pPr>
            <w:r>
              <w:rPr>
                <w:rFonts w:ascii="Arial" w:cs="Arial" w:eastAsia="Arial" w:hAnsi="Arial"/>
                <w:sz w:val="18"/>
                <w:szCs w:val="18"/>
                <w:color w:val="auto"/>
              </w:rPr>
              <w:t>Integra LifeSciences Corporation</w:t>
            </w:r>
          </w:p>
        </w:tc>
        <w:tc>
          <w:tcPr>
            <w:tcW w:w="2200" w:type="dxa"/>
            <w:vAlign w:val="bottom"/>
            <w:gridSpan w:val="2"/>
          </w:tcPr>
          <w:p>
            <w:pPr>
              <w:spacing w:after="0"/>
              <w:rPr>
                <w:sz w:val="20"/>
                <w:szCs w:val="20"/>
                <w:color w:val="auto"/>
              </w:rPr>
            </w:pPr>
            <w:r>
              <w:rPr>
                <w:rFonts w:ascii="Arial" w:cs="Arial" w:eastAsia="Arial" w:hAnsi="Arial"/>
                <w:sz w:val="18"/>
                <w:szCs w:val="18"/>
                <w:color w:val="auto"/>
              </w:rPr>
              <w:t>Canon Financial Services</w:t>
            </w:r>
          </w:p>
        </w:tc>
        <w:tc>
          <w:tcPr>
            <w:tcW w:w="2160" w:type="dxa"/>
            <w:vAlign w:val="bottom"/>
            <w:gridSpan w:val="2"/>
          </w:tcPr>
          <w:p>
            <w:pPr>
              <w:spacing w:after="0"/>
              <w:rPr>
                <w:sz w:val="20"/>
                <w:szCs w:val="20"/>
                <w:color w:val="auto"/>
              </w:rPr>
            </w:pPr>
            <w:r>
              <w:rPr>
                <w:rFonts w:ascii="Arial" w:cs="Arial" w:eastAsia="Arial" w:hAnsi="Arial"/>
                <w:sz w:val="18"/>
                <w:szCs w:val="18"/>
                <w:color w:val="auto"/>
                <w:w w:val="95"/>
              </w:rPr>
              <w:t>Delaware Secretary of State</w:t>
            </w:r>
          </w:p>
        </w:tc>
        <w:tc>
          <w:tcPr>
            <w:tcW w:w="780" w:type="dxa"/>
            <w:vAlign w:val="bottom"/>
          </w:tcPr>
          <w:p>
            <w:pPr>
              <w:jc w:val="center"/>
              <w:spacing w:after="0"/>
              <w:rPr>
                <w:sz w:val="20"/>
                <w:szCs w:val="20"/>
                <w:color w:val="auto"/>
              </w:rPr>
            </w:pPr>
            <w:r>
              <w:rPr>
                <w:rFonts w:ascii="Arial" w:cs="Arial" w:eastAsia="Arial" w:hAnsi="Arial"/>
                <w:sz w:val="18"/>
                <w:szCs w:val="18"/>
                <w:color w:val="auto"/>
                <w:w w:val="85"/>
              </w:rPr>
              <w:t>11-27-07</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74485966</w:t>
            </w:r>
          </w:p>
        </w:tc>
        <w:tc>
          <w:tcPr>
            <w:tcW w:w="1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Specified equipment</w:t>
            </w:r>
          </w:p>
        </w:tc>
        <w:tc>
          <w:tcPr>
            <w:tcW w:w="0" w:type="dxa"/>
            <w:vAlign w:val="bottom"/>
          </w:tcPr>
          <w:p>
            <w:pPr>
              <w:spacing w:after="0"/>
              <w:rPr>
                <w:sz w:val="1"/>
                <w:szCs w:val="1"/>
                <w:color w:val="auto"/>
              </w:rPr>
            </w:pPr>
          </w:p>
        </w:tc>
      </w:tr>
      <w:tr>
        <w:trPr>
          <w:trHeight w:val="324"/>
        </w:trPr>
        <w:tc>
          <w:tcPr>
            <w:tcW w:w="2760" w:type="dxa"/>
            <w:vAlign w:val="bottom"/>
            <w:gridSpan w:val="2"/>
          </w:tcPr>
          <w:p>
            <w:pPr>
              <w:spacing w:after="0"/>
              <w:rPr>
                <w:sz w:val="20"/>
                <w:szCs w:val="20"/>
                <w:color w:val="auto"/>
              </w:rPr>
            </w:pPr>
            <w:r>
              <w:rPr>
                <w:rFonts w:ascii="Arial" w:cs="Arial" w:eastAsia="Arial" w:hAnsi="Arial"/>
                <w:sz w:val="18"/>
                <w:szCs w:val="18"/>
                <w:color w:val="auto"/>
              </w:rPr>
              <w:t>Integra LifeSciences Corporation</w:t>
            </w:r>
          </w:p>
        </w:tc>
        <w:tc>
          <w:tcPr>
            <w:tcW w:w="2200" w:type="dxa"/>
            <w:vAlign w:val="bottom"/>
            <w:gridSpan w:val="2"/>
          </w:tcPr>
          <w:p>
            <w:pPr>
              <w:spacing w:after="0"/>
              <w:rPr>
                <w:sz w:val="20"/>
                <w:szCs w:val="20"/>
                <w:color w:val="auto"/>
              </w:rPr>
            </w:pPr>
            <w:r>
              <w:rPr>
                <w:rFonts w:ascii="Arial" w:cs="Arial" w:eastAsia="Arial" w:hAnsi="Arial"/>
                <w:sz w:val="18"/>
                <w:szCs w:val="18"/>
                <w:color w:val="auto"/>
              </w:rPr>
              <w:t>Canon Financial Services</w:t>
            </w:r>
          </w:p>
        </w:tc>
        <w:tc>
          <w:tcPr>
            <w:tcW w:w="2160" w:type="dxa"/>
            <w:vAlign w:val="bottom"/>
            <w:gridSpan w:val="2"/>
          </w:tcPr>
          <w:p>
            <w:pPr>
              <w:spacing w:after="0"/>
              <w:rPr>
                <w:sz w:val="20"/>
                <w:szCs w:val="20"/>
                <w:color w:val="auto"/>
              </w:rPr>
            </w:pPr>
            <w:r>
              <w:rPr>
                <w:rFonts w:ascii="Arial" w:cs="Arial" w:eastAsia="Arial" w:hAnsi="Arial"/>
                <w:sz w:val="18"/>
                <w:szCs w:val="18"/>
                <w:color w:val="auto"/>
                <w:w w:val="95"/>
              </w:rPr>
              <w:t>Delaware Secretary of State</w:t>
            </w: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07-02-08</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82276150</w:t>
            </w:r>
          </w:p>
        </w:tc>
        <w:tc>
          <w:tcPr>
            <w:tcW w:w="1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Specified equipment</w:t>
            </w:r>
          </w:p>
        </w:tc>
        <w:tc>
          <w:tcPr>
            <w:tcW w:w="0" w:type="dxa"/>
            <w:vAlign w:val="bottom"/>
          </w:tcPr>
          <w:p>
            <w:pPr>
              <w:spacing w:after="0"/>
              <w:rPr>
                <w:sz w:val="1"/>
                <w:szCs w:val="1"/>
                <w:color w:val="auto"/>
              </w:rPr>
            </w:pPr>
          </w:p>
        </w:tc>
      </w:tr>
      <w:tr>
        <w:trPr>
          <w:trHeight w:val="318"/>
        </w:trPr>
        <w:tc>
          <w:tcPr>
            <w:tcW w:w="2760" w:type="dxa"/>
            <w:vAlign w:val="bottom"/>
            <w:gridSpan w:val="2"/>
          </w:tcPr>
          <w:p>
            <w:pPr>
              <w:spacing w:after="0"/>
              <w:rPr>
                <w:sz w:val="20"/>
                <w:szCs w:val="20"/>
                <w:color w:val="auto"/>
              </w:rPr>
            </w:pPr>
            <w:r>
              <w:rPr>
                <w:rFonts w:ascii="Arial" w:cs="Arial" w:eastAsia="Arial" w:hAnsi="Arial"/>
                <w:sz w:val="18"/>
                <w:szCs w:val="18"/>
                <w:color w:val="auto"/>
              </w:rPr>
              <w:t>Integra LifeSciences Corporation</w:t>
            </w:r>
          </w:p>
        </w:tc>
        <w:tc>
          <w:tcPr>
            <w:tcW w:w="2200" w:type="dxa"/>
            <w:vAlign w:val="bottom"/>
            <w:gridSpan w:val="2"/>
          </w:tcPr>
          <w:p>
            <w:pPr>
              <w:spacing w:after="0"/>
              <w:rPr>
                <w:sz w:val="20"/>
                <w:szCs w:val="20"/>
                <w:color w:val="auto"/>
              </w:rPr>
            </w:pPr>
            <w:r>
              <w:rPr>
                <w:rFonts w:ascii="Arial" w:cs="Arial" w:eastAsia="Arial" w:hAnsi="Arial"/>
                <w:sz w:val="18"/>
                <w:szCs w:val="18"/>
                <w:color w:val="auto"/>
              </w:rPr>
              <w:t>Bank of America, N.A., as</w:t>
            </w:r>
          </w:p>
        </w:tc>
        <w:tc>
          <w:tcPr>
            <w:tcW w:w="2160" w:type="dxa"/>
            <w:vAlign w:val="bottom"/>
            <w:gridSpan w:val="2"/>
          </w:tcPr>
          <w:p>
            <w:pPr>
              <w:spacing w:after="0"/>
              <w:rPr>
                <w:sz w:val="20"/>
                <w:szCs w:val="20"/>
                <w:color w:val="auto"/>
              </w:rPr>
            </w:pPr>
            <w:r>
              <w:rPr>
                <w:rFonts w:ascii="Arial" w:cs="Arial" w:eastAsia="Arial" w:hAnsi="Arial"/>
                <w:sz w:val="18"/>
                <w:szCs w:val="18"/>
                <w:color w:val="auto"/>
                <w:w w:val="95"/>
              </w:rPr>
              <w:t>Delaware Secretary of State</w:t>
            </w: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08-10-10</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02783920</w:t>
            </w:r>
          </w:p>
        </w:tc>
        <w:tc>
          <w:tcPr>
            <w:tcW w:w="1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Blanket Lien</w:t>
            </w: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Administrative Agent</w:t>
            </w: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08-10-10</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02785529</w:t>
            </w:r>
          </w:p>
        </w:tc>
        <w:tc>
          <w:tcPr>
            <w:tcW w:w="1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w w:val="97"/>
              </w:rPr>
              <w:t>Amendment to change zip</w:t>
            </w:r>
          </w:p>
        </w:tc>
        <w:tc>
          <w:tcPr>
            <w:tcW w:w="0" w:type="dxa"/>
            <w:vAlign w:val="bottom"/>
          </w:tcPr>
          <w:p>
            <w:pPr>
              <w:spacing w:after="0"/>
              <w:rPr>
                <w:sz w:val="1"/>
                <w:szCs w:val="1"/>
                <w:color w:val="auto"/>
              </w:rPr>
            </w:pPr>
          </w:p>
        </w:tc>
      </w:tr>
      <w:tr>
        <w:trPr>
          <w:trHeight w:val="222"/>
        </w:trPr>
        <w:tc>
          <w:tcPr>
            <w:tcW w:w="2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Integra Luxtec, Inc.</w:t>
            </w:r>
          </w:p>
        </w:tc>
        <w:tc>
          <w:tcPr>
            <w:tcW w:w="2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code</w:t>
            </w:r>
          </w:p>
        </w:tc>
        <w:tc>
          <w:tcPr>
            <w:tcW w:w="0" w:type="dxa"/>
            <w:vAlign w:val="bottom"/>
          </w:tcPr>
          <w:p>
            <w:pPr>
              <w:spacing w:after="0"/>
              <w:rPr>
                <w:sz w:val="1"/>
                <w:szCs w:val="1"/>
                <w:color w:val="auto"/>
              </w:rPr>
            </w:pPr>
          </w:p>
        </w:tc>
      </w:tr>
      <w:tr>
        <w:trPr>
          <w:trHeight w:val="216"/>
        </w:trPr>
        <w:tc>
          <w:tcPr>
            <w:tcW w:w="2760" w:type="dxa"/>
            <w:vAlign w:val="bottom"/>
            <w:gridSpan w:val="2"/>
            <w:vMerge w:val="continue"/>
          </w:tcPr>
          <w:p>
            <w:pPr>
              <w:spacing w:after="0"/>
              <w:rPr>
                <w:sz w:val="18"/>
                <w:szCs w:val="18"/>
                <w:color w:val="auto"/>
              </w:rPr>
            </w:pP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2760" w:type="dxa"/>
            <w:vAlign w:val="bottom"/>
            <w:gridSpan w:val="2"/>
          </w:tcPr>
          <w:p>
            <w:pPr>
              <w:spacing w:after="0"/>
              <w:rPr>
                <w:sz w:val="20"/>
                <w:szCs w:val="20"/>
                <w:color w:val="auto"/>
              </w:rPr>
            </w:pPr>
            <w:r>
              <w:rPr>
                <w:rFonts w:ascii="Arial" w:cs="Arial" w:eastAsia="Arial" w:hAnsi="Arial"/>
                <w:sz w:val="18"/>
                <w:szCs w:val="18"/>
                <w:color w:val="auto"/>
              </w:rPr>
              <w:t>Integra Luxtec, Inc.</w:t>
            </w:r>
          </w:p>
        </w:tc>
        <w:tc>
          <w:tcPr>
            <w:tcW w:w="2200" w:type="dxa"/>
            <w:vAlign w:val="bottom"/>
            <w:gridSpan w:val="2"/>
          </w:tcPr>
          <w:p>
            <w:pPr>
              <w:spacing w:after="0"/>
              <w:rPr>
                <w:sz w:val="20"/>
                <w:szCs w:val="20"/>
                <w:color w:val="auto"/>
              </w:rPr>
            </w:pPr>
            <w:r>
              <w:rPr>
                <w:rFonts w:ascii="Arial" w:cs="Arial" w:eastAsia="Arial" w:hAnsi="Arial"/>
                <w:sz w:val="18"/>
                <w:szCs w:val="18"/>
                <w:color w:val="auto"/>
              </w:rPr>
              <w:t>Bank of America, N.A., as</w:t>
            </w:r>
          </w:p>
        </w:tc>
        <w:tc>
          <w:tcPr>
            <w:tcW w:w="2160" w:type="dxa"/>
            <w:vAlign w:val="bottom"/>
            <w:gridSpan w:val="2"/>
          </w:tcPr>
          <w:p>
            <w:pPr>
              <w:spacing w:after="0"/>
              <w:rPr>
                <w:sz w:val="20"/>
                <w:szCs w:val="20"/>
                <w:color w:val="auto"/>
              </w:rPr>
            </w:pPr>
            <w:r>
              <w:rPr>
                <w:rFonts w:ascii="Arial" w:cs="Arial" w:eastAsia="Arial" w:hAnsi="Arial"/>
                <w:sz w:val="18"/>
                <w:szCs w:val="18"/>
                <w:color w:val="auto"/>
                <w:w w:val="96"/>
              </w:rPr>
              <w:t>Massachusetts Secretary of</w:t>
            </w: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06-08-07</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6"/>
              </w:rPr>
              <w:t>200757482540</w:t>
            </w:r>
          </w:p>
        </w:tc>
        <w:tc>
          <w:tcPr>
            <w:tcW w:w="1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Blanket Lien</w:t>
            </w: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Administrative Agent</w:t>
            </w:r>
          </w:p>
        </w:tc>
        <w:tc>
          <w:tcPr>
            <w:tcW w:w="2160" w:type="dxa"/>
            <w:vAlign w:val="bottom"/>
            <w:gridSpan w:val="2"/>
          </w:tcPr>
          <w:p>
            <w:pPr>
              <w:spacing w:after="0"/>
              <w:rPr>
                <w:sz w:val="20"/>
                <w:szCs w:val="20"/>
                <w:color w:val="auto"/>
              </w:rPr>
            </w:pPr>
            <w:r>
              <w:rPr>
                <w:rFonts w:ascii="Arial" w:cs="Arial" w:eastAsia="Arial" w:hAnsi="Arial"/>
                <w:sz w:val="18"/>
                <w:szCs w:val="18"/>
                <w:color w:val="auto"/>
              </w:rPr>
              <w:t>State</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2760" w:type="dxa"/>
            <w:vAlign w:val="bottom"/>
            <w:gridSpan w:val="2"/>
          </w:tcPr>
          <w:p>
            <w:pPr>
              <w:spacing w:after="0"/>
              <w:rPr>
                <w:sz w:val="20"/>
                <w:szCs w:val="20"/>
                <w:color w:val="auto"/>
              </w:rPr>
            </w:pPr>
            <w:r>
              <w:rPr>
                <w:rFonts w:ascii="Arial" w:cs="Arial" w:eastAsia="Arial" w:hAnsi="Arial"/>
                <w:sz w:val="18"/>
                <w:szCs w:val="18"/>
                <w:color w:val="auto"/>
              </w:rPr>
              <w:t>Integra Luxtec, Inc.</w:t>
            </w:r>
          </w:p>
        </w:tc>
        <w:tc>
          <w:tcPr>
            <w:tcW w:w="2200" w:type="dxa"/>
            <w:vAlign w:val="bottom"/>
            <w:gridSpan w:val="2"/>
          </w:tcPr>
          <w:p>
            <w:pPr>
              <w:spacing w:after="0"/>
              <w:rPr>
                <w:sz w:val="20"/>
                <w:szCs w:val="20"/>
                <w:color w:val="auto"/>
              </w:rPr>
            </w:pPr>
            <w:r>
              <w:rPr>
                <w:rFonts w:ascii="Arial" w:cs="Arial" w:eastAsia="Arial" w:hAnsi="Arial"/>
                <w:sz w:val="18"/>
                <w:szCs w:val="18"/>
                <w:color w:val="auto"/>
              </w:rPr>
              <w:t>CIT Technology Financing</w:t>
            </w:r>
          </w:p>
        </w:tc>
        <w:tc>
          <w:tcPr>
            <w:tcW w:w="2160" w:type="dxa"/>
            <w:vAlign w:val="bottom"/>
            <w:gridSpan w:val="2"/>
          </w:tcPr>
          <w:p>
            <w:pPr>
              <w:spacing w:after="0"/>
              <w:rPr>
                <w:sz w:val="20"/>
                <w:szCs w:val="20"/>
                <w:color w:val="auto"/>
              </w:rPr>
            </w:pPr>
            <w:r>
              <w:rPr>
                <w:rFonts w:ascii="Arial" w:cs="Arial" w:eastAsia="Arial" w:hAnsi="Arial"/>
                <w:sz w:val="18"/>
                <w:szCs w:val="18"/>
                <w:color w:val="auto"/>
                <w:w w:val="96"/>
              </w:rPr>
              <w:t>Massachusetts Secretary of</w:t>
            </w: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10-23-08</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6"/>
              </w:rPr>
              <w:t>200869094800</w:t>
            </w:r>
          </w:p>
        </w:tc>
        <w:tc>
          <w:tcPr>
            <w:tcW w:w="1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w w:val="90"/>
              </w:rPr>
              <w:t>Specified collateral pursuant</w:t>
            </w: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Services, Inc.</w:t>
            </w:r>
          </w:p>
        </w:tc>
        <w:tc>
          <w:tcPr>
            <w:tcW w:w="2160" w:type="dxa"/>
            <w:vAlign w:val="bottom"/>
            <w:gridSpan w:val="2"/>
          </w:tcPr>
          <w:p>
            <w:pPr>
              <w:spacing w:after="0"/>
              <w:rPr>
                <w:sz w:val="20"/>
                <w:szCs w:val="20"/>
                <w:color w:val="auto"/>
              </w:rPr>
            </w:pPr>
            <w:r>
              <w:rPr>
                <w:rFonts w:ascii="Arial" w:cs="Arial" w:eastAsia="Arial" w:hAnsi="Arial"/>
                <w:sz w:val="18"/>
                <w:szCs w:val="18"/>
                <w:color w:val="auto"/>
              </w:rPr>
              <w:t>State</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to lease</w:t>
            </w:r>
          </w:p>
        </w:tc>
        <w:tc>
          <w:tcPr>
            <w:tcW w:w="0" w:type="dxa"/>
            <w:vAlign w:val="bottom"/>
          </w:tcPr>
          <w:p>
            <w:pPr>
              <w:spacing w:after="0"/>
              <w:rPr>
                <w:sz w:val="1"/>
                <w:szCs w:val="1"/>
                <w:color w:val="auto"/>
              </w:rPr>
            </w:pPr>
          </w:p>
        </w:tc>
      </w:tr>
      <w:tr>
        <w:trPr>
          <w:trHeight w:val="318"/>
        </w:trPr>
        <w:tc>
          <w:tcPr>
            <w:tcW w:w="2760" w:type="dxa"/>
            <w:vAlign w:val="bottom"/>
            <w:gridSpan w:val="2"/>
          </w:tcPr>
          <w:p>
            <w:pPr>
              <w:spacing w:after="0"/>
              <w:rPr>
                <w:sz w:val="20"/>
                <w:szCs w:val="20"/>
                <w:color w:val="auto"/>
              </w:rPr>
            </w:pPr>
            <w:r>
              <w:rPr>
                <w:rFonts w:ascii="Arial" w:cs="Arial" w:eastAsia="Arial" w:hAnsi="Arial"/>
                <w:sz w:val="18"/>
                <w:szCs w:val="18"/>
                <w:color w:val="auto"/>
              </w:rPr>
              <w:t>Integra Luxtec, Inc.</w:t>
            </w:r>
          </w:p>
        </w:tc>
        <w:tc>
          <w:tcPr>
            <w:tcW w:w="2200" w:type="dxa"/>
            <w:vAlign w:val="bottom"/>
            <w:gridSpan w:val="2"/>
          </w:tcPr>
          <w:p>
            <w:pPr>
              <w:spacing w:after="0"/>
              <w:rPr>
                <w:sz w:val="20"/>
                <w:szCs w:val="20"/>
                <w:color w:val="auto"/>
              </w:rPr>
            </w:pPr>
            <w:r>
              <w:rPr>
                <w:rFonts w:ascii="Arial" w:cs="Arial" w:eastAsia="Arial" w:hAnsi="Arial"/>
                <w:sz w:val="18"/>
                <w:szCs w:val="18"/>
                <w:color w:val="auto"/>
              </w:rPr>
              <w:t>Bank of America, N.A., as</w:t>
            </w:r>
          </w:p>
        </w:tc>
        <w:tc>
          <w:tcPr>
            <w:tcW w:w="2160" w:type="dxa"/>
            <w:vAlign w:val="bottom"/>
            <w:gridSpan w:val="2"/>
          </w:tcPr>
          <w:p>
            <w:pPr>
              <w:spacing w:after="0"/>
              <w:rPr>
                <w:sz w:val="20"/>
                <w:szCs w:val="20"/>
                <w:color w:val="auto"/>
              </w:rPr>
            </w:pPr>
            <w:r>
              <w:rPr>
                <w:rFonts w:ascii="Arial" w:cs="Arial" w:eastAsia="Arial" w:hAnsi="Arial"/>
                <w:sz w:val="18"/>
                <w:szCs w:val="18"/>
                <w:color w:val="auto"/>
                <w:w w:val="96"/>
              </w:rPr>
              <w:t>Massachusetts Secretary of</w:t>
            </w: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08-10-10</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6"/>
              </w:rPr>
              <w:t>201082132490</w:t>
            </w:r>
          </w:p>
        </w:tc>
        <w:tc>
          <w:tcPr>
            <w:tcW w:w="1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Blanket Lien</w:t>
            </w: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Administrative Agent</w:t>
            </w:r>
          </w:p>
        </w:tc>
        <w:tc>
          <w:tcPr>
            <w:tcW w:w="2160" w:type="dxa"/>
            <w:vAlign w:val="bottom"/>
            <w:gridSpan w:val="2"/>
          </w:tcPr>
          <w:p>
            <w:pPr>
              <w:spacing w:after="0"/>
              <w:rPr>
                <w:sz w:val="20"/>
                <w:szCs w:val="20"/>
                <w:color w:val="auto"/>
              </w:rPr>
            </w:pPr>
            <w:r>
              <w:rPr>
                <w:rFonts w:ascii="Arial" w:cs="Arial" w:eastAsia="Arial" w:hAnsi="Arial"/>
                <w:sz w:val="18"/>
                <w:szCs w:val="18"/>
                <w:color w:val="auto"/>
              </w:rPr>
              <w:t>State</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4960" w:type="dxa"/>
            <w:vAlign w:val="bottom"/>
            <w:gridSpan w:val="4"/>
          </w:tcPr>
          <w:p>
            <w:pPr>
              <w:spacing w:after="0"/>
              <w:rPr>
                <w:sz w:val="20"/>
                <w:szCs w:val="20"/>
                <w:color w:val="auto"/>
              </w:rPr>
            </w:pPr>
            <w:r>
              <w:rPr>
                <w:rFonts w:ascii="Arial" w:cs="Arial" w:eastAsia="Arial" w:hAnsi="Arial"/>
                <w:sz w:val="18"/>
                <w:szCs w:val="18"/>
                <w:b w:val="1"/>
                <w:bCs w:val="1"/>
                <w:color w:val="auto"/>
              </w:rPr>
              <w:t>Integra NeuroSciences (International), Inc.</w:t>
            </w: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760" w:type="dxa"/>
            <w:vAlign w:val="bottom"/>
            <w:gridSpan w:val="2"/>
          </w:tcPr>
          <w:p>
            <w:pPr>
              <w:spacing w:after="0"/>
              <w:rPr>
                <w:sz w:val="20"/>
                <w:szCs w:val="20"/>
                <w:color w:val="auto"/>
              </w:rPr>
            </w:pPr>
            <w:r>
              <w:rPr>
                <w:rFonts w:ascii="Arial" w:cs="Arial" w:eastAsia="Arial" w:hAnsi="Arial"/>
                <w:sz w:val="18"/>
                <w:szCs w:val="18"/>
                <w:color w:val="auto"/>
              </w:rPr>
              <w:t>Integra NeuroSciences</w:t>
            </w:r>
          </w:p>
        </w:tc>
        <w:tc>
          <w:tcPr>
            <w:tcW w:w="2200" w:type="dxa"/>
            <w:vAlign w:val="bottom"/>
            <w:gridSpan w:val="2"/>
          </w:tcPr>
          <w:p>
            <w:pPr>
              <w:spacing w:after="0"/>
              <w:rPr>
                <w:sz w:val="20"/>
                <w:szCs w:val="20"/>
                <w:color w:val="auto"/>
              </w:rPr>
            </w:pPr>
            <w:r>
              <w:rPr>
                <w:rFonts w:ascii="Arial" w:cs="Arial" w:eastAsia="Arial" w:hAnsi="Arial"/>
                <w:sz w:val="18"/>
                <w:szCs w:val="18"/>
                <w:color w:val="auto"/>
              </w:rPr>
              <w:t>Bank of America, N.A., as</w:t>
            </w:r>
          </w:p>
        </w:tc>
        <w:tc>
          <w:tcPr>
            <w:tcW w:w="2160" w:type="dxa"/>
            <w:vAlign w:val="bottom"/>
            <w:gridSpan w:val="2"/>
          </w:tcPr>
          <w:p>
            <w:pPr>
              <w:spacing w:after="0"/>
              <w:rPr>
                <w:sz w:val="20"/>
                <w:szCs w:val="20"/>
                <w:color w:val="auto"/>
              </w:rPr>
            </w:pPr>
            <w:r>
              <w:rPr>
                <w:rFonts w:ascii="Arial" w:cs="Arial" w:eastAsia="Arial" w:hAnsi="Arial"/>
                <w:sz w:val="18"/>
                <w:szCs w:val="18"/>
                <w:color w:val="auto"/>
                <w:w w:val="95"/>
              </w:rPr>
              <w:t>Delaware Secretary of State</w:t>
            </w: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12-23-05</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54002060</w:t>
            </w:r>
          </w:p>
        </w:tc>
        <w:tc>
          <w:tcPr>
            <w:tcW w:w="1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Blanket Lien</w:t>
            </w:r>
          </w:p>
        </w:tc>
        <w:tc>
          <w:tcPr>
            <w:tcW w:w="0" w:type="dxa"/>
            <w:vAlign w:val="bottom"/>
          </w:tcPr>
          <w:p>
            <w:pPr>
              <w:spacing w:after="0"/>
              <w:rPr>
                <w:sz w:val="1"/>
                <w:szCs w:val="1"/>
                <w:color w:val="auto"/>
              </w:rPr>
            </w:pPr>
          </w:p>
        </w:tc>
      </w:tr>
      <w:tr>
        <w:trPr>
          <w:trHeight w:val="222"/>
        </w:trPr>
        <w:tc>
          <w:tcPr>
            <w:tcW w:w="2760" w:type="dxa"/>
            <w:vAlign w:val="bottom"/>
            <w:gridSpan w:val="2"/>
          </w:tcPr>
          <w:p>
            <w:pPr>
              <w:ind w:left="220"/>
              <w:spacing w:after="0"/>
              <w:rPr>
                <w:sz w:val="20"/>
                <w:szCs w:val="20"/>
                <w:color w:val="auto"/>
              </w:rPr>
            </w:pPr>
            <w:r>
              <w:rPr>
                <w:rFonts w:ascii="Arial" w:cs="Arial" w:eastAsia="Arial" w:hAnsi="Arial"/>
                <w:sz w:val="18"/>
                <w:szCs w:val="18"/>
                <w:color w:val="auto"/>
              </w:rPr>
              <w:t>(International), Inc.</w:t>
            </w:r>
          </w:p>
        </w:tc>
        <w:tc>
          <w:tcPr>
            <w:tcW w:w="2200" w:type="dxa"/>
            <w:vAlign w:val="bottom"/>
            <w:gridSpan w:val="2"/>
          </w:tcPr>
          <w:p>
            <w:pPr>
              <w:spacing w:after="0"/>
              <w:rPr>
                <w:sz w:val="20"/>
                <w:szCs w:val="20"/>
                <w:color w:val="auto"/>
              </w:rPr>
            </w:pPr>
            <w:r>
              <w:rPr>
                <w:rFonts w:ascii="Arial" w:cs="Arial" w:eastAsia="Arial" w:hAnsi="Arial"/>
                <w:sz w:val="18"/>
                <w:szCs w:val="18"/>
                <w:color w:val="auto"/>
              </w:rPr>
              <w:t>Administrative Agent</w:t>
            </w: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4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08-25-10</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02968232</w:t>
            </w:r>
          </w:p>
        </w:tc>
        <w:tc>
          <w:tcPr>
            <w:tcW w:w="1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Continuation Statement</w:t>
            </w:r>
          </w:p>
        </w:tc>
        <w:tc>
          <w:tcPr>
            <w:tcW w:w="0" w:type="dxa"/>
            <w:vAlign w:val="bottom"/>
          </w:tcPr>
          <w:p>
            <w:pPr>
              <w:spacing w:after="0"/>
              <w:rPr>
                <w:sz w:val="1"/>
                <w:szCs w:val="1"/>
                <w:color w:val="auto"/>
              </w:rPr>
            </w:pPr>
          </w:p>
        </w:tc>
      </w:tr>
      <w:tr>
        <w:trPr>
          <w:trHeight w:val="318"/>
        </w:trPr>
        <w:tc>
          <w:tcPr>
            <w:tcW w:w="2760" w:type="dxa"/>
            <w:vAlign w:val="bottom"/>
            <w:gridSpan w:val="2"/>
          </w:tcPr>
          <w:p>
            <w:pPr>
              <w:spacing w:after="0"/>
              <w:rPr>
                <w:sz w:val="20"/>
                <w:szCs w:val="20"/>
                <w:color w:val="auto"/>
              </w:rPr>
            </w:pPr>
            <w:r>
              <w:rPr>
                <w:rFonts w:ascii="Arial" w:cs="Arial" w:eastAsia="Arial" w:hAnsi="Arial"/>
                <w:sz w:val="18"/>
                <w:szCs w:val="18"/>
                <w:color w:val="auto"/>
              </w:rPr>
              <w:t>Integra NeuroSciences</w:t>
            </w:r>
          </w:p>
        </w:tc>
        <w:tc>
          <w:tcPr>
            <w:tcW w:w="2200" w:type="dxa"/>
            <w:vAlign w:val="bottom"/>
            <w:gridSpan w:val="2"/>
          </w:tcPr>
          <w:p>
            <w:pPr>
              <w:spacing w:after="0"/>
              <w:rPr>
                <w:sz w:val="20"/>
                <w:szCs w:val="20"/>
                <w:color w:val="auto"/>
              </w:rPr>
            </w:pPr>
            <w:r>
              <w:rPr>
                <w:rFonts w:ascii="Arial" w:cs="Arial" w:eastAsia="Arial" w:hAnsi="Arial"/>
                <w:sz w:val="18"/>
                <w:szCs w:val="18"/>
                <w:color w:val="auto"/>
              </w:rPr>
              <w:t>Bank of America, N.A., as</w:t>
            </w:r>
          </w:p>
        </w:tc>
        <w:tc>
          <w:tcPr>
            <w:tcW w:w="2160" w:type="dxa"/>
            <w:vAlign w:val="bottom"/>
            <w:gridSpan w:val="2"/>
          </w:tcPr>
          <w:p>
            <w:pPr>
              <w:spacing w:after="0"/>
              <w:rPr>
                <w:sz w:val="20"/>
                <w:szCs w:val="20"/>
                <w:color w:val="auto"/>
              </w:rPr>
            </w:pPr>
            <w:r>
              <w:rPr>
                <w:rFonts w:ascii="Arial" w:cs="Arial" w:eastAsia="Arial" w:hAnsi="Arial"/>
                <w:sz w:val="18"/>
                <w:szCs w:val="18"/>
                <w:color w:val="auto"/>
                <w:w w:val="95"/>
              </w:rPr>
              <w:t>Delaware Secretary of State</w:t>
            </w: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08-10-10</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6"/>
              </w:rPr>
              <w:t>2010 2784084</w:t>
            </w:r>
          </w:p>
        </w:tc>
        <w:tc>
          <w:tcPr>
            <w:tcW w:w="1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Blanket Lien</w:t>
            </w:r>
          </w:p>
        </w:tc>
        <w:tc>
          <w:tcPr>
            <w:tcW w:w="0" w:type="dxa"/>
            <w:vAlign w:val="bottom"/>
          </w:tcPr>
          <w:p>
            <w:pPr>
              <w:spacing w:after="0"/>
              <w:rPr>
                <w:sz w:val="1"/>
                <w:szCs w:val="1"/>
                <w:color w:val="auto"/>
              </w:rPr>
            </w:pPr>
          </w:p>
        </w:tc>
      </w:tr>
      <w:tr>
        <w:trPr>
          <w:trHeight w:val="222"/>
        </w:trPr>
        <w:tc>
          <w:tcPr>
            <w:tcW w:w="2760" w:type="dxa"/>
            <w:vAlign w:val="bottom"/>
            <w:gridSpan w:val="2"/>
          </w:tcPr>
          <w:p>
            <w:pPr>
              <w:ind w:left="220"/>
              <w:spacing w:after="0"/>
              <w:rPr>
                <w:sz w:val="20"/>
                <w:szCs w:val="20"/>
                <w:color w:val="auto"/>
              </w:rPr>
            </w:pPr>
            <w:r>
              <w:rPr>
                <w:rFonts w:ascii="Arial" w:cs="Arial" w:eastAsia="Arial" w:hAnsi="Arial"/>
                <w:sz w:val="18"/>
                <w:szCs w:val="18"/>
                <w:color w:val="auto"/>
              </w:rPr>
              <w:t>(International), Inc.</w:t>
            </w:r>
          </w:p>
        </w:tc>
        <w:tc>
          <w:tcPr>
            <w:tcW w:w="2200" w:type="dxa"/>
            <w:vAlign w:val="bottom"/>
            <w:gridSpan w:val="2"/>
          </w:tcPr>
          <w:p>
            <w:pPr>
              <w:spacing w:after="0"/>
              <w:rPr>
                <w:sz w:val="20"/>
                <w:szCs w:val="20"/>
                <w:color w:val="auto"/>
              </w:rPr>
            </w:pPr>
            <w:r>
              <w:rPr>
                <w:rFonts w:ascii="Arial" w:cs="Arial" w:eastAsia="Arial" w:hAnsi="Arial"/>
                <w:sz w:val="18"/>
                <w:szCs w:val="18"/>
                <w:color w:val="auto"/>
              </w:rPr>
              <w:t>Administrative Agent</w:t>
            </w: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2760" w:type="dxa"/>
            <w:vAlign w:val="bottom"/>
            <w:gridSpan w:val="2"/>
          </w:tcPr>
          <w:p>
            <w:pPr>
              <w:spacing w:after="0"/>
              <w:rPr>
                <w:sz w:val="20"/>
                <w:szCs w:val="20"/>
                <w:color w:val="auto"/>
              </w:rPr>
            </w:pPr>
            <w:r>
              <w:rPr>
                <w:rFonts w:ascii="Arial" w:cs="Arial" w:eastAsia="Arial" w:hAnsi="Arial"/>
                <w:sz w:val="18"/>
                <w:szCs w:val="18"/>
                <w:b w:val="1"/>
                <w:bCs w:val="1"/>
                <w:color w:val="auto"/>
              </w:rPr>
              <w:t>Integra Radionics, Inc.</w:t>
            </w:r>
          </w:p>
        </w:tc>
        <w:tc>
          <w:tcPr>
            <w:tcW w:w="2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760" w:type="dxa"/>
            <w:vAlign w:val="bottom"/>
            <w:gridSpan w:val="2"/>
          </w:tcPr>
          <w:p>
            <w:pPr>
              <w:spacing w:after="0"/>
              <w:rPr>
                <w:sz w:val="20"/>
                <w:szCs w:val="20"/>
                <w:color w:val="auto"/>
              </w:rPr>
            </w:pPr>
            <w:r>
              <w:rPr>
                <w:rFonts w:ascii="Arial" w:cs="Arial" w:eastAsia="Arial" w:hAnsi="Arial"/>
                <w:sz w:val="18"/>
                <w:szCs w:val="18"/>
                <w:color w:val="auto"/>
              </w:rPr>
              <w:t>Integra Radionics, Inc.</w:t>
            </w:r>
          </w:p>
        </w:tc>
        <w:tc>
          <w:tcPr>
            <w:tcW w:w="2200" w:type="dxa"/>
            <w:vAlign w:val="bottom"/>
            <w:gridSpan w:val="2"/>
          </w:tcPr>
          <w:p>
            <w:pPr>
              <w:spacing w:after="0"/>
              <w:rPr>
                <w:sz w:val="20"/>
                <w:szCs w:val="20"/>
                <w:color w:val="auto"/>
              </w:rPr>
            </w:pPr>
            <w:r>
              <w:rPr>
                <w:rFonts w:ascii="Arial" w:cs="Arial" w:eastAsia="Arial" w:hAnsi="Arial"/>
                <w:sz w:val="18"/>
                <w:szCs w:val="18"/>
                <w:color w:val="auto"/>
              </w:rPr>
              <w:t>Bank of America, N.A., as</w:t>
            </w:r>
          </w:p>
        </w:tc>
        <w:tc>
          <w:tcPr>
            <w:tcW w:w="2160" w:type="dxa"/>
            <w:vAlign w:val="bottom"/>
            <w:gridSpan w:val="2"/>
          </w:tcPr>
          <w:p>
            <w:pPr>
              <w:spacing w:after="0"/>
              <w:rPr>
                <w:sz w:val="20"/>
                <w:szCs w:val="20"/>
                <w:color w:val="auto"/>
              </w:rPr>
            </w:pPr>
            <w:r>
              <w:rPr>
                <w:rFonts w:ascii="Arial" w:cs="Arial" w:eastAsia="Arial" w:hAnsi="Arial"/>
                <w:sz w:val="18"/>
                <w:szCs w:val="18"/>
                <w:color w:val="auto"/>
                <w:w w:val="95"/>
              </w:rPr>
              <w:t>Delaware Secretary of State</w:t>
            </w: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12-23-05</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54002409</w:t>
            </w:r>
          </w:p>
        </w:tc>
        <w:tc>
          <w:tcPr>
            <w:tcW w:w="1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Blanket Lien</w:t>
            </w: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Administrative Agent</w:t>
            </w: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02-24-06</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60664714</w:t>
            </w:r>
          </w:p>
        </w:tc>
        <w:tc>
          <w:tcPr>
            <w:tcW w:w="1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Amendment adding</w:t>
            </w: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collateral to Schedule I</w:t>
            </w:r>
          </w:p>
        </w:tc>
        <w:tc>
          <w:tcPr>
            <w:tcW w:w="0" w:type="dxa"/>
            <w:vAlign w:val="bottom"/>
          </w:tcPr>
          <w:p>
            <w:pPr>
              <w:spacing w:after="0"/>
              <w:rPr>
                <w:sz w:val="1"/>
                <w:szCs w:val="1"/>
                <w:color w:val="auto"/>
              </w:rPr>
            </w:pPr>
          </w:p>
        </w:tc>
      </w:tr>
      <w:tr>
        <w:trPr>
          <w:trHeight w:val="324"/>
        </w:trPr>
        <w:tc>
          <w:tcPr>
            <w:tcW w:w="4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08-25-10</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02968414</w:t>
            </w:r>
          </w:p>
        </w:tc>
        <w:tc>
          <w:tcPr>
            <w:tcW w:w="1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Continuation Statement</w:t>
            </w:r>
          </w:p>
        </w:tc>
        <w:tc>
          <w:tcPr>
            <w:tcW w:w="0" w:type="dxa"/>
            <w:vAlign w:val="bottom"/>
          </w:tcPr>
          <w:p>
            <w:pPr>
              <w:spacing w:after="0"/>
              <w:rPr>
                <w:sz w:val="1"/>
                <w:szCs w:val="1"/>
                <w:color w:val="auto"/>
              </w:rPr>
            </w:pPr>
          </w:p>
        </w:tc>
      </w:tr>
      <w:tr>
        <w:trPr>
          <w:trHeight w:val="318"/>
        </w:trPr>
        <w:tc>
          <w:tcPr>
            <w:tcW w:w="2760" w:type="dxa"/>
            <w:vAlign w:val="bottom"/>
            <w:gridSpan w:val="2"/>
          </w:tcPr>
          <w:p>
            <w:pPr>
              <w:spacing w:after="0"/>
              <w:rPr>
                <w:sz w:val="20"/>
                <w:szCs w:val="20"/>
                <w:color w:val="auto"/>
              </w:rPr>
            </w:pPr>
            <w:r>
              <w:rPr>
                <w:rFonts w:ascii="Arial" w:cs="Arial" w:eastAsia="Arial" w:hAnsi="Arial"/>
                <w:sz w:val="18"/>
                <w:szCs w:val="18"/>
                <w:color w:val="auto"/>
              </w:rPr>
              <w:t>Integra Radionics, Inc.</w:t>
            </w:r>
          </w:p>
        </w:tc>
        <w:tc>
          <w:tcPr>
            <w:tcW w:w="2200" w:type="dxa"/>
            <w:vAlign w:val="bottom"/>
            <w:gridSpan w:val="2"/>
          </w:tcPr>
          <w:p>
            <w:pPr>
              <w:spacing w:after="0"/>
              <w:rPr>
                <w:sz w:val="20"/>
                <w:szCs w:val="20"/>
                <w:color w:val="auto"/>
              </w:rPr>
            </w:pPr>
            <w:r>
              <w:rPr>
                <w:rFonts w:ascii="Arial" w:cs="Arial" w:eastAsia="Arial" w:hAnsi="Arial"/>
                <w:sz w:val="18"/>
                <w:szCs w:val="18"/>
                <w:color w:val="auto"/>
              </w:rPr>
              <w:t>Bank of America, N.A., as</w:t>
            </w:r>
          </w:p>
        </w:tc>
        <w:tc>
          <w:tcPr>
            <w:tcW w:w="2160" w:type="dxa"/>
            <w:vAlign w:val="bottom"/>
            <w:gridSpan w:val="2"/>
          </w:tcPr>
          <w:p>
            <w:pPr>
              <w:spacing w:after="0"/>
              <w:rPr>
                <w:sz w:val="20"/>
                <w:szCs w:val="20"/>
                <w:color w:val="auto"/>
              </w:rPr>
            </w:pPr>
            <w:r>
              <w:rPr>
                <w:rFonts w:ascii="Arial" w:cs="Arial" w:eastAsia="Arial" w:hAnsi="Arial"/>
                <w:sz w:val="18"/>
                <w:szCs w:val="18"/>
                <w:color w:val="auto"/>
                <w:w w:val="95"/>
              </w:rPr>
              <w:t>Delaware Secretary of State</w:t>
            </w: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08-10-10</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6"/>
              </w:rPr>
              <w:t>2010 2784332</w:t>
            </w:r>
          </w:p>
        </w:tc>
        <w:tc>
          <w:tcPr>
            <w:tcW w:w="1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Blanket Lien</w:t>
            </w: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Administrative Agent</w:t>
            </w: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2760" w:type="dxa"/>
            <w:vAlign w:val="bottom"/>
            <w:gridSpan w:val="2"/>
          </w:tcPr>
          <w:p>
            <w:pPr>
              <w:spacing w:after="0"/>
              <w:rPr>
                <w:sz w:val="20"/>
                <w:szCs w:val="20"/>
                <w:color w:val="auto"/>
              </w:rPr>
            </w:pPr>
            <w:r>
              <w:rPr>
                <w:rFonts w:ascii="Arial" w:cs="Arial" w:eastAsia="Arial" w:hAnsi="Arial"/>
                <w:sz w:val="18"/>
                <w:szCs w:val="18"/>
                <w:color w:val="auto"/>
              </w:rPr>
              <w:t>Integra Burlington MA, Inc.</w:t>
            </w:r>
          </w:p>
        </w:tc>
        <w:tc>
          <w:tcPr>
            <w:tcW w:w="2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5"/>
              </w:rPr>
              <w:t>03-28-11</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4"/>
              </w:rPr>
              <w:t>11129769</w:t>
            </w:r>
          </w:p>
        </w:tc>
        <w:tc>
          <w:tcPr>
            <w:tcW w:w="1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Amendment to change</w:t>
            </w: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Debtor’s name</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5" w:right="239" w:bottom="1440" w:gutter="0" w:footer="0" w:header="0"/>
        </w:sectPr>
      </w:pPr>
    </w:p>
    <w:bookmarkStart w:id="198" w:name="page199"/>
    <w:bookmarkEnd w:id="19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1"/>
        </w:trPr>
        <w:tc>
          <w:tcPr>
            <w:tcW w:w="2760" w:type="dxa"/>
            <w:vAlign w:val="bottom"/>
            <w:gridSpan w:val="2"/>
          </w:tcPr>
          <w:p>
            <w:pPr>
              <w:spacing w:after="0"/>
              <w:rPr>
                <w:sz w:val="20"/>
                <w:szCs w:val="20"/>
                <w:color w:val="auto"/>
              </w:rPr>
            </w:pPr>
            <w:r>
              <w:rPr>
                <w:rFonts w:ascii="Arial" w:cs="Arial" w:eastAsia="Arial" w:hAnsi="Arial"/>
                <w:sz w:val="14"/>
                <w:szCs w:val="14"/>
                <w:b w:val="1"/>
                <w:bCs w:val="1"/>
                <w:color w:val="auto"/>
              </w:rPr>
              <w:t>Debtor</w:t>
            </w:r>
          </w:p>
        </w:tc>
        <w:tc>
          <w:tcPr>
            <w:tcW w:w="2200" w:type="dxa"/>
            <w:vAlign w:val="bottom"/>
            <w:gridSpan w:val="2"/>
          </w:tcPr>
          <w:p>
            <w:pPr>
              <w:ind w:left="620"/>
              <w:spacing w:after="0"/>
              <w:rPr>
                <w:sz w:val="20"/>
                <w:szCs w:val="20"/>
                <w:color w:val="auto"/>
              </w:rPr>
            </w:pPr>
            <w:r>
              <w:rPr>
                <w:rFonts w:ascii="Arial" w:cs="Arial" w:eastAsia="Arial" w:hAnsi="Arial"/>
                <w:sz w:val="14"/>
                <w:szCs w:val="14"/>
                <w:b w:val="1"/>
                <w:bCs w:val="1"/>
                <w:color w:val="auto"/>
              </w:rPr>
              <w:t>Secured Party</w:t>
            </w:r>
          </w:p>
        </w:tc>
        <w:tc>
          <w:tcPr>
            <w:tcW w:w="2160" w:type="dxa"/>
            <w:vAlign w:val="bottom"/>
            <w:gridSpan w:val="2"/>
          </w:tcPr>
          <w:p>
            <w:pPr>
              <w:ind w:left="680"/>
              <w:spacing w:after="0"/>
              <w:rPr>
                <w:sz w:val="20"/>
                <w:szCs w:val="20"/>
                <w:color w:val="auto"/>
              </w:rPr>
            </w:pPr>
            <w:r>
              <w:rPr>
                <w:rFonts w:ascii="Arial" w:cs="Arial" w:eastAsia="Arial" w:hAnsi="Arial"/>
                <w:sz w:val="14"/>
                <w:szCs w:val="14"/>
                <w:b w:val="1"/>
                <w:bCs w:val="1"/>
                <w:color w:val="auto"/>
              </w:rPr>
              <w:t>Jurisdiction</w:t>
            </w: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File Date</w:t>
            </w:r>
          </w:p>
        </w:tc>
        <w:tc>
          <w:tcPr>
            <w:tcW w:w="1340" w:type="dxa"/>
            <w:vAlign w:val="bottom"/>
            <w:gridSpan w:val="2"/>
          </w:tcPr>
          <w:p>
            <w:pPr>
              <w:ind w:left="260"/>
              <w:spacing w:after="0"/>
              <w:rPr>
                <w:sz w:val="20"/>
                <w:szCs w:val="20"/>
                <w:color w:val="auto"/>
              </w:rPr>
            </w:pPr>
            <w:r>
              <w:rPr>
                <w:rFonts w:ascii="Arial" w:cs="Arial" w:eastAsia="Arial" w:hAnsi="Arial"/>
                <w:sz w:val="14"/>
                <w:szCs w:val="14"/>
                <w:b w:val="1"/>
                <w:bCs w:val="1"/>
                <w:color w:val="auto"/>
              </w:rPr>
              <w:t>File Number</w:t>
            </w:r>
          </w:p>
        </w:tc>
        <w:tc>
          <w:tcPr>
            <w:tcW w:w="2060" w:type="dxa"/>
            <w:vAlign w:val="bottom"/>
          </w:tcPr>
          <w:p>
            <w:pPr>
              <w:ind w:left="240"/>
              <w:spacing w:after="0"/>
              <w:rPr>
                <w:sz w:val="20"/>
                <w:szCs w:val="20"/>
                <w:color w:val="auto"/>
              </w:rPr>
            </w:pPr>
            <w:r>
              <w:rPr>
                <w:rFonts w:ascii="Arial" w:cs="Arial" w:eastAsia="Arial" w:hAnsi="Arial"/>
                <w:sz w:val="14"/>
                <w:szCs w:val="14"/>
                <w:b w:val="1"/>
                <w:bCs w:val="1"/>
                <w:color w:val="auto"/>
                <w:w w:val="99"/>
              </w:rPr>
              <w:t>Brief Collateral Description</w:t>
            </w:r>
          </w:p>
        </w:tc>
      </w:tr>
      <w:tr>
        <w:trPr>
          <w:trHeight w:val="202"/>
        </w:trPr>
        <w:tc>
          <w:tcPr>
            <w:tcW w:w="4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w w:val="78"/>
              </w:rPr>
              <w:t>Integra</w:t>
            </w:r>
          </w:p>
        </w:tc>
        <w:tc>
          <w:tcPr>
            <w:tcW w:w="2320" w:type="dxa"/>
            <w:vAlign w:val="bottom"/>
          </w:tcPr>
          <w:p>
            <w:pPr>
              <w:ind w:left="160"/>
              <w:spacing w:after="0" w:line="189" w:lineRule="exact"/>
              <w:rPr>
                <w:sz w:val="20"/>
                <w:szCs w:val="20"/>
                <w:color w:val="auto"/>
              </w:rPr>
            </w:pPr>
            <w:r>
              <w:rPr>
                <w:rFonts w:ascii="Arial" w:cs="Arial" w:eastAsia="Arial" w:hAnsi="Arial"/>
                <w:sz w:val="18"/>
                <w:szCs w:val="18"/>
                <w:b w:val="1"/>
                <w:bCs w:val="1"/>
                <w:color w:val="auto"/>
              </w:rPr>
              <w:t>Burlington MA, Inc.</w:t>
            </w:r>
          </w:p>
        </w:tc>
        <w:tc>
          <w:tcPr>
            <w:tcW w:w="20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Borders>
              <w:top w:val="single" w:sz="8" w:color="auto"/>
            </w:tcBorders>
          </w:tcPr>
          <w:p>
            <w:pPr>
              <w:spacing w:after="0"/>
              <w:rPr>
                <w:sz w:val="17"/>
                <w:szCs w:val="17"/>
                <w:color w:val="auto"/>
              </w:rPr>
            </w:pPr>
          </w:p>
        </w:tc>
      </w:tr>
      <w:tr>
        <w:trPr>
          <w:trHeight w:val="303"/>
        </w:trPr>
        <w:tc>
          <w:tcPr>
            <w:tcW w:w="2760" w:type="dxa"/>
            <w:vAlign w:val="bottom"/>
            <w:gridSpan w:val="2"/>
          </w:tcPr>
          <w:p>
            <w:pPr>
              <w:spacing w:after="0"/>
              <w:rPr>
                <w:sz w:val="20"/>
                <w:szCs w:val="20"/>
                <w:color w:val="auto"/>
              </w:rPr>
            </w:pPr>
            <w:r>
              <w:rPr>
                <w:rFonts w:ascii="Arial" w:cs="Arial" w:eastAsia="Arial" w:hAnsi="Arial"/>
                <w:sz w:val="18"/>
                <w:szCs w:val="18"/>
                <w:color w:val="auto"/>
              </w:rPr>
              <w:t>Integra Radionics, Inc.</w:t>
            </w:r>
          </w:p>
        </w:tc>
        <w:tc>
          <w:tcPr>
            <w:tcW w:w="2200" w:type="dxa"/>
            <w:vAlign w:val="bottom"/>
            <w:gridSpan w:val="2"/>
          </w:tcPr>
          <w:p>
            <w:pPr>
              <w:spacing w:after="0"/>
              <w:rPr>
                <w:sz w:val="20"/>
                <w:szCs w:val="20"/>
                <w:color w:val="auto"/>
              </w:rPr>
            </w:pPr>
            <w:r>
              <w:rPr>
                <w:rFonts w:ascii="Arial" w:cs="Arial" w:eastAsia="Arial" w:hAnsi="Arial"/>
                <w:sz w:val="18"/>
                <w:szCs w:val="18"/>
                <w:color w:val="auto"/>
              </w:rPr>
              <w:t>Bank of America, N.A., as</w:t>
            </w:r>
          </w:p>
        </w:tc>
        <w:tc>
          <w:tcPr>
            <w:tcW w:w="2160" w:type="dxa"/>
            <w:vAlign w:val="bottom"/>
            <w:gridSpan w:val="2"/>
          </w:tcPr>
          <w:p>
            <w:pPr>
              <w:spacing w:after="0"/>
              <w:rPr>
                <w:sz w:val="20"/>
                <w:szCs w:val="20"/>
                <w:color w:val="auto"/>
              </w:rPr>
            </w:pPr>
            <w:r>
              <w:rPr>
                <w:rFonts w:ascii="Arial" w:cs="Arial" w:eastAsia="Arial" w:hAnsi="Arial"/>
                <w:sz w:val="18"/>
                <w:szCs w:val="18"/>
                <w:color w:val="auto"/>
                <w:w w:val="95"/>
              </w:rPr>
              <w:t>Delaware Secretary of State</w:t>
            </w: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08-10-10</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6"/>
              </w:rPr>
              <w:t>2010 2784332</w:t>
            </w:r>
          </w:p>
        </w:tc>
        <w:tc>
          <w:tcPr>
            <w:tcW w:w="1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Blanket Lien</w:t>
            </w:r>
          </w:p>
        </w:tc>
      </w:tr>
      <w:tr>
        <w:trPr>
          <w:trHeight w:val="222"/>
        </w:trPr>
        <w:tc>
          <w:tcPr>
            <w:tcW w:w="4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Administrative Agent</w:t>
            </w: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18"/>
        </w:trPr>
        <w:tc>
          <w:tcPr>
            <w:tcW w:w="2760" w:type="dxa"/>
            <w:vAlign w:val="bottom"/>
            <w:gridSpan w:val="2"/>
          </w:tcPr>
          <w:p>
            <w:pPr>
              <w:spacing w:after="0"/>
              <w:rPr>
                <w:sz w:val="20"/>
                <w:szCs w:val="20"/>
                <w:color w:val="auto"/>
              </w:rPr>
            </w:pPr>
            <w:r>
              <w:rPr>
                <w:rFonts w:ascii="Arial" w:cs="Arial" w:eastAsia="Arial" w:hAnsi="Arial"/>
                <w:sz w:val="18"/>
                <w:szCs w:val="18"/>
                <w:color w:val="auto"/>
              </w:rPr>
              <w:t>Integra Burlington MA, Inc.</w:t>
            </w:r>
          </w:p>
        </w:tc>
        <w:tc>
          <w:tcPr>
            <w:tcW w:w="2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5"/>
              </w:rPr>
              <w:t>03-28-11</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4"/>
              </w:rPr>
              <w:t>11129769</w:t>
            </w:r>
          </w:p>
        </w:tc>
        <w:tc>
          <w:tcPr>
            <w:tcW w:w="1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Amendment to change</w:t>
            </w:r>
          </w:p>
        </w:tc>
      </w:tr>
      <w:tr>
        <w:trPr>
          <w:trHeight w:val="222"/>
        </w:trPr>
        <w:tc>
          <w:tcPr>
            <w:tcW w:w="4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Debtor’s name</w:t>
            </w:r>
          </w:p>
        </w:tc>
      </w:tr>
      <w:tr>
        <w:trPr>
          <w:trHeight w:val="324"/>
        </w:trPr>
        <w:tc>
          <w:tcPr>
            <w:tcW w:w="2760" w:type="dxa"/>
            <w:vAlign w:val="bottom"/>
            <w:gridSpan w:val="2"/>
          </w:tcPr>
          <w:p>
            <w:pPr>
              <w:spacing w:after="0"/>
              <w:rPr>
                <w:sz w:val="20"/>
                <w:szCs w:val="20"/>
                <w:color w:val="auto"/>
              </w:rPr>
            </w:pPr>
            <w:r>
              <w:rPr>
                <w:rFonts w:ascii="Arial" w:cs="Arial" w:eastAsia="Arial" w:hAnsi="Arial"/>
                <w:sz w:val="18"/>
                <w:szCs w:val="18"/>
                <w:b w:val="1"/>
                <w:bCs w:val="1"/>
                <w:color w:val="auto"/>
              </w:rPr>
              <w:t>IsoTis OrthoBiologics, Inc.</w:t>
            </w:r>
          </w:p>
        </w:tc>
        <w:tc>
          <w:tcPr>
            <w:tcW w:w="2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18"/>
        </w:trPr>
        <w:tc>
          <w:tcPr>
            <w:tcW w:w="2760" w:type="dxa"/>
            <w:vAlign w:val="bottom"/>
            <w:gridSpan w:val="2"/>
          </w:tcPr>
          <w:p>
            <w:pPr>
              <w:spacing w:after="0"/>
              <w:rPr>
                <w:sz w:val="20"/>
                <w:szCs w:val="20"/>
                <w:color w:val="auto"/>
              </w:rPr>
            </w:pPr>
            <w:r>
              <w:rPr>
                <w:rFonts w:ascii="Arial" w:cs="Arial" w:eastAsia="Arial" w:hAnsi="Arial"/>
                <w:sz w:val="18"/>
                <w:szCs w:val="18"/>
                <w:color w:val="auto"/>
              </w:rPr>
              <w:t>IsoTis OrthoBiologics, Inc.</w:t>
            </w:r>
          </w:p>
        </w:tc>
        <w:tc>
          <w:tcPr>
            <w:tcW w:w="2200" w:type="dxa"/>
            <w:vAlign w:val="bottom"/>
            <w:gridSpan w:val="2"/>
          </w:tcPr>
          <w:p>
            <w:pPr>
              <w:spacing w:after="0"/>
              <w:rPr>
                <w:sz w:val="20"/>
                <w:szCs w:val="20"/>
                <w:color w:val="auto"/>
              </w:rPr>
            </w:pPr>
            <w:r>
              <w:rPr>
                <w:rFonts w:ascii="Arial" w:cs="Arial" w:eastAsia="Arial" w:hAnsi="Arial"/>
                <w:sz w:val="18"/>
                <w:szCs w:val="18"/>
                <w:color w:val="auto"/>
              </w:rPr>
              <w:t>Bank of America, N.A., as</w:t>
            </w:r>
          </w:p>
        </w:tc>
        <w:tc>
          <w:tcPr>
            <w:tcW w:w="2160" w:type="dxa"/>
            <w:vAlign w:val="bottom"/>
            <w:gridSpan w:val="2"/>
          </w:tcPr>
          <w:p>
            <w:pPr>
              <w:spacing w:after="0"/>
              <w:rPr>
                <w:sz w:val="20"/>
                <w:szCs w:val="20"/>
                <w:color w:val="auto"/>
              </w:rPr>
            </w:pPr>
            <w:r>
              <w:rPr>
                <w:rFonts w:ascii="Arial" w:cs="Arial" w:eastAsia="Arial" w:hAnsi="Arial"/>
                <w:sz w:val="18"/>
                <w:szCs w:val="18"/>
                <w:color w:val="auto"/>
              </w:rPr>
              <w:t>Washington Secretary of</w:t>
            </w:r>
          </w:p>
        </w:tc>
        <w:tc>
          <w:tcPr>
            <w:tcW w:w="780" w:type="dxa"/>
            <w:vAlign w:val="bottom"/>
          </w:tcPr>
          <w:p>
            <w:pPr>
              <w:jc w:val="center"/>
              <w:spacing w:after="0"/>
              <w:rPr>
                <w:sz w:val="20"/>
                <w:szCs w:val="20"/>
                <w:color w:val="auto"/>
              </w:rPr>
            </w:pPr>
            <w:r>
              <w:rPr>
                <w:rFonts w:ascii="Arial" w:cs="Arial" w:eastAsia="Arial" w:hAnsi="Arial"/>
                <w:sz w:val="18"/>
                <w:szCs w:val="18"/>
                <w:color w:val="auto"/>
                <w:w w:val="85"/>
              </w:rPr>
              <w:t>11-30-07</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6"/>
              </w:rPr>
              <w:t>200733860753</w:t>
            </w:r>
          </w:p>
        </w:tc>
        <w:tc>
          <w:tcPr>
            <w:tcW w:w="1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Blanket Lien</w:t>
            </w:r>
          </w:p>
        </w:tc>
      </w:tr>
      <w:tr>
        <w:trPr>
          <w:trHeight w:val="222"/>
        </w:trPr>
        <w:tc>
          <w:tcPr>
            <w:tcW w:w="4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Administrative Agent</w:t>
            </w:r>
          </w:p>
        </w:tc>
        <w:tc>
          <w:tcPr>
            <w:tcW w:w="2160" w:type="dxa"/>
            <w:vAlign w:val="bottom"/>
            <w:gridSpan w:val="2"/>
          </w:tcPr>
          <w:p>
            <w:pPr>
              <w:spacing w:after="0"/>
              <w:rPr>
                <w:sz w:val="20"/>
                <w:szCs w:val="20"/>
                <w:color w:val="auto"/>
              </w:rPr>
            </w:pPr>
            <w:r>
              <w:rPr>
                <w:rFonts w:ascii="Arial" w:cs="Arial" w:eastAsia="Arial" w:hAnsi="Arial"/>
                <w:sz w:val="18"/>
                <w:szCs w:val="18"/>
                <w:color w:val="auto"/>
              </w:rPr>
              <w:t>State</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18"/>
        </w:trPr>
        <w:tc>
          <w:tcPr>
            <w:tcW w:w="2760" w:type="dxa"/>
            <w:vAlign w:val="bottom"/>
            <w:gridSpan w:val="2"/>
          </w:tcPr>
          <w:p>
            <w:pPr>
              <w:spacing w:after="0"/>
              <w:rPr>
                <w:sz w:val="20"/>
                <w:szCs w:val="20"/>
                <w:color w:val="auto"/>
              </w:rPr>
            </w:pPr>
            <w:r>
              <w:rPr>
                <w:rFonts w:ascii="Arial" w:cs="Arial" w:eastAsia="Arial" w:hAnsi="Arial"/>
                <w:sz w:val="18"/>
                <w:szCs w:val="18"/>
                <w:color w:val="auto"/>
              </w:rPr>
              <w:t>IsoTis OrthoBiologics, Inc.</w:t>
            </w:r>
          </w:p>
        </w:tc>
        <w:tc>
          <w:tcPr>
            <w:tcW w:w="2200" w:type="dxa"/>
            <w:vAlign w:val="bottom"/>
            <w:gridSpan w:val="2"/>
          </w:tcPr>
          <w:p>
            <w:pPr>
              <w:spacing w:after="0"/>
              <w:rPr>
                <w:sz w:val="20"/>
                <w:szCs w:val="20"/>
                <w:color w:val="auto"/>
              </w:rPr>
            </w:pPr>
            <w:r>
              <w:rPr>
                <w:rFonts w:ascii="Arial" w:cs="Arial" w:eastAsia="Arial" w:hAnsi="Arial"/>
                <w:sz w:val="18"/>
                <w:szCs w:val="18"/>
                <w:color w:val="auto"/>
              </w:rPr>
              <w:t>Bank of America, N.A., as</w:t>
            </w:r>
          </w:p>
        </w:tc>
        <w:tc>
          <w:tcPr>
            <w:tcW w:w="2160" w:type="dxa"/>
            <w:vAlign w:val="bottom"/>
            <w:gridSpan w:val="2"/>
          </w:tcPr>
          <w:p>
            <w:pPr>
              <w:spacing w:after="0"/>
              <w:rPr>
                <w:sz w:val="20"/>
                <w:szCs w:val="20"/>
                <w:color w:val="auto"/>
              </w:rPr>
            </w:pPr>
            <w:r>
              <w:rPr>
                <w:rFonts w:ascii="Arial" w:cs="Arial" w:eastAsia="Arial" w:hAnsi="Arial"/>
                <w:sz w:val="18"/>
                <w:szCs w:val="18"/>
                <w:color w:val="auto"/>
              </w:rPr>
              <w:t>Washington Secretary of</w:t>
            </w: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08-10-10</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20102248013-3</w:t>
            </w:r>
          </w:p>
        </w:tc>
        <w:tc>
          <w:tcPr>
            <w:tcW w:w="1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Blanket Lien</w:t>
            </w:r>
          </w:p>
        </w:tc>
      </w:tr>
      <w:tr>
        <w:trPr>
          <w:trHeight w:val="222"/>
        </w:trPr>
        <w:tc>
          <w:tcPr>
            <w:tcW w:w="4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Administrative Agent</w:t>
            </w:r>
          </w:p>
        </w:tc>
        <w:tc>
          <w:tcPr>
            <w:tcW w:w="2160" w:type="dxa"/>
            <w:vAlign w:val="bottom"/>
            <w:gridSpan w:val="2"/>
          </w:tcPr>
          <w:p>
            <w:pPr>
              <w:spacing w:after="0"/>
              <w:rPr>
                <w:sz w:val="20"/>
                <w:szCs w:val="20"/>
                <w:color w:val="auto"/>
              </w:rPr>
            </w:pPr>
            <w:r>
              <w:rPr>
                <w:rFonts w:ascii="Arial" w:cs="Arial" w:eastAsia="Arial" w:hAnsi="Arial"/>
                <w:sz w:val="18"/>
                <w:szCs w:val="18"/>
                <w:color w:val="auto"/>
              </w:rPr>
              <w:t>State</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24"/>
        </w:trPr>
        <w:tc>
          <w:tcPr>
            <w:tcW w:w="2760" w:type="dxa"/>
            <w:vAlign w:val="bottom"/>
            <w:gridSpan w:val="2"/>
          </w:tcPr>
          <w:p>
            <w:pPr>
              <w:spacing w:after="0"/>
              <w:rPr>
                <w:sz w:val="20"/>
                <w:szCs w:val="20"/>
                <w:color w:val="auto"/>
              </w:rPr>
            </w:pPr>
            <w:r>
              <w:rPr>
                <w:rFonts w:ascii="Arial" w:cs="Arial" w:eastAsia="Arial" w:hAnsi="Arial"/>
                <w:sz w:val="18"/>
                <w:szCs w:val="18"/>
                <w:b w:val="1"/>
                <w:bCs w:val="1"/>
                <w:color w:val="auto"/>
                <w:w w:val="88"/>
              </w:rPr>
              <w:t>J. Jamner Surgical Instruments, Inc.</w:t>
            </w:r>
          </w:p>
        </w:tc>
        <w:tc>
          <w:tcPr>
            <w:tcW w:w="2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18"/>
        </w:trPr>
        <w:tc>
          <w:tcPr>
            <w:tcW w:w="2760" w:type="dxa"/>
            <w:vAlign w:val="bottom"/>
            <w:gridSpan w:val="2"/>
          </w:tcPr>
          <w:p>
            <w:pPr>
              <w:spacing w:after="0"/>
              <w:rPr>
                <w:sz w:val="20"/>
                <w:szCs w:val="20"/>
                <w:color w:val="auto"/>
              </w:rPr>
            </w:pPr>
            <w:r>
              <w:rPr>
                <w:rFonts w:ascii="Arial" w:cs="Arial" w:eastAsia="Arial" w:hAnsi="Arial"/>
                <w:sz w:val="18"/>
                <w:szCs w:val="18"/>
                <w:color w:val="auto"/>
                <w:w w:val="95"/>
              </w:rPr>
              <w:t>J. Jamner Surgical Instruments, Inc.</w:t>
            </w:r>
          </w:p>
        </w:tc>
        <w:tc>
          <w:tcPr>
            <w:tcW w:w="2200" w:type="dxa"/>
            <w:vAlign w:val="bottom"/>
            <w:gridSpan w:val="2"/>
          </w:tcPr>
          <w:p>
            <w:pPr>
              <w:spacing w:after="0"/>
              <w:rPr>
                <w:sz w:val="20"/>
                <w:szCs w:val="20"/>
                <w:color w:val="auto"/>
              </w:rPr>
            </w:pPr>
            <w:r>
              <w:rPr>
                <w:rFonts w:ascii="Arial" w:cs="Arial" w:eastAsia="Arial" w:hAnsi="Arial"/>
                <w:sz w:val="18"/>
                <w:szCs w:val="18"/>
                <w:color w:val="auto"/>
              </w:rPr>
              <w:t>Bank of America, N.A., as</w:t>
            </w:r>
          </w:p>
        </w:tc>
        <w:tc>
          <w:tcPr>
            <w:tcW w:w="2160" w:type="dxa"/>
            <w:vAlign w:val="bottom"/>
            <w:gridSpan w:val="2"/>
          </w:tcPr>
          <w:p>
            <w:pPr>
              <w:spacing w:after="0"/>
              <w:rPr>
                <w:sz w:val="20"/>
                <w:szCs w:val="20"/>
                <w:color w:val="auto"/>
              </w:rPr>
            </w:pPr>
            <w:r>
              <w:rPr>
                <w:rFonts w:ascii="Arial" w:cs="Arial" w:eastAsia="Arial" w:hAnsi="Arial"/>
                <w:sz w:val="18"/>
                <w:szCs w:val="18"/>
                <w:color w:val="auto"/>
                <w:w w:val="95"/>
              </w:rPr>
              <w:t>Delaware Secretary of State</w:t>
            </w: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12-23-05</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54001385</w:t>
            </w:r>
          </w:p>
        </w:tc>
        <w:tc>
          <w:tcPr>
            <w:tcW w:w="1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Blanket Lien</w:t>
            </w:r>
          </w:p>
        </w:tc>
      </w:tr>
      <w:tr>
        <w:trPr>
          <w:trHeight w:val="222"/>
        </w:trPr>
        <w:tc>
          <w:tcPr>
            <w:tcW w:w="4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Administrative Agent</w:t>
            </w: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24"/>
        </w:trPr>
        <w:tc>
          <w:tcPr>
            <w:tcW w:w="4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08-25-10</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02968497</w:t>
            </w:r>
          </w:p>
        </w:tc>
        <w:tc>
          <w:tcPr>
            <w:tcW w:w="1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Continuation Statement</w:t>
            </w:r>
          </w:p>
        </w:tc>
      </w:tr>
      <w:tr>
        <w:trPr>
          <w:trHeight w:val="318"/>
        </w:trPr>
        <w:tc>
          <w:tcPr>
            <w:tcW w:w="2760" w:type="dxa"/>
            <w:vAlign w:val="bottom"/>
            <w:gridSpan w:val="2"/>
          </w:tcPr>
          <w:p>
            <w:pPr>
              <w:spacing w:after="0"/>
              <w:rPr>
                <w:sz w:val="20"/>
                <w:szCs w:val="20"/>
                <w:color w:val="auto"/>
              </w:rPr>
            </w:pPr>
            <w:r>
              <w:rPr>
                <w:rFonts w:ascii="Arial" w:cs="Arial" w:eastAsia="Arial" w:hAnsi="Arial"/>
                <w:sz w:val="18"/>
                <w:szCs w:val="18"/>
                <w:color w:val="auto"/>
                <w:w w:val="95"/>
              </w:rPr>
              <w:t>J. Jamner Surgical Instruments, Inc.</w:t>
            </w:r>
          </w:p>
        </w:tc>
        <w:tc>
          <w:tcPr>
            <w:tcW w:w="2200" w:type="dxa"/>
            <w:vAlign w:val="bottom"/>
            <w:gridSpan w:val="2"/>
          </w:tcPr>
          <w:p>
            <w:pPr>
              <w:spacing w:after="0"/>
              <w:rPr>
                <w:sz w:val="20"/>
                <w:szCs w:val="20"/>
                <w:color w:val="auto"/>
              </w:rPr>
            </w:pPr>
            <w:r>
              <w:rPr>
                <w:rFonts w:ascii="Arial" w:cs="Arial" w:eastAsia="Arial" w:hAnsi="Arial"/>
                <w:sz w:val="18"/>
                <w:szCs w:val="18"/>
                <w:color w:val="auto"/>
              </w:rPr>
              <w:t>Bank of America, N.A., as</w:t>
            </w:r>
          </w:p>
        </w:tc>
        <w:tc>
          <w:tcPr>
            <w:tcW w:w="2160" w:type="dxa"/>
            <w:vAlign w:val="bottom"/>
            <w:gridSpan w:val="2"/>
          </w:tcPr>
          <w:p>
            <w:pPr>
              <w:spacing w:after="0"/>
              <w:rPr>
                <w:sz w:val="20"/>
                <w:szCs w:val="20"/>
                <w:color w:val="auto"/>
              </w:rPr>
            </w:pPr>
            <w:r>
              <w:rPr>
                <w:rFonts w:ascii="Arial" w:cs="Arial" w:eastAsia="Arial" w:hAnsi="Arial"/>
                <w:sz w:val="18"/>
                <w:szCs w:val="18"/>
                <w:color w:val="auto"/>
                <w:w w:val="95"/>
              </w:rPr>
              <w:t>Delaware Secretary of State</w:t>
            </w: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08-10-10</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6"/>
              </w:rPr>
              <w:t>2010 2784530</w:t>
            </w:r>
          </w:p>
        </w:tc>
        <w:tc>
          <w:tcPr>
            <w:tcW w:w="1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Blanket Lien</w:t>
            </w:r>
          </w:p>
        </w:tc>
      </w:tr>
      <w:tr>
        <w:trPr>
          <w:trHeight w:val="222"/>
        </w:trPr>
        <w:tc>
          <w:tcPr>
            <w:tcW w:w="4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Administrative Agent</w:t>
            </w: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24"/>
        </w:trPr>
        <w:tc>
          <w:tcPr>
            <w:tcW w:w="2760" w:type="dxa"/>
            <w:vAlign w:val="bottom"/>
            <w:gridSpan w:val="2"/>
          </w:tcPr>
          <w:p>
            <w:pPr>
              <w:spacing w:after="0"/>
              <w:rPr>
                <w:sz w:val="20"/>
                <w:szCs w:val="20"/>
                <w:color w:val="auto"/>
              </w:rPr>
            </w:pPr>
            <w:r>
              <w:rPr>
                <w:rFonts w:ascii="Arial" w:cs="Arial" w:eastAsia="Arial" w:hAnsi="Arial"/>
                <w:sz w:val="18"/>
                <w:szCs w:val="18"/>
                <w:b w:val="1"/>
                <w:bCs w:val="1"/>
                <w:color w:val="auto"/>
              </w:rPr>
              <w:t>Miltex, Inc.</w:t>
            </w:r>
          </w:p>
        </w:tc>
        <w:tc>
          <w:tcPr>
            <w:tcW w:w="2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18"/>
        </w:trPr>
        <w:tc>
          <w:tcPr>
            <w:tcW w:w="2760" w:type="dxa"/>
            <w:vAlign w:val="bottom"/>
            <w:gridSpan w:val="2"/>
          </w:tcPr>
          <w:p>
            <w:pPr>
              <w:spacing w:after="0"/>
              <w:rPr>
                <w:sz w:val="20"/>
                <w:szCs w:val="20"/>
                <w:color w:val="auto"/>
              </w:rPr>
            </w:pPr>
            <w:r>
              <w:rPr>
                <w:rFonts w:ascii="Arial" w:cs="Arial" w:eastAsia="Arial" w:hAnsi="Arial"/>
                <w:sz w:val="18"/>
                <w:szCs w:val="18"/>
                <w:color w:val="auto"/>
              </w:rPr>
              <w:t>Miltex, Inc.</w:t>
            </w:r>
          </w:p>
        </w:tc>
        <w:tc>
          <w:tcPr>
            <w:tcW w:w="2200" w:type="dxa"/>
            <w:vAlign w:val="bottom"/>
            <w:gridSpan w:val="2"/>
          </w:tcPr>
          <w:p>
            <w:pPr>
              <w:spacing w:after="0"/>
              <w:rPr>
                <w:sz w:val="20"/>
                <w:szCs w:val="20"/>
                <w:color w:val="auto"/>
              </w:rPr>
            </w:pPr>
            <w:r>
              <w:rPr>
                <w:rFonts w:ascii="Arial" w:cs="Arial" w:eastAsia="Arial" w:hAnsi="Arial"/>
                <w:sz w:val="18"/>
                <w:szCs w:val="18"/>
                <w:color w:val="auto"/>
              </w:rPr>
              <w:t>Bank of America, N.A., as</w:t>
            </w:r>
          </w:p>
        </w:tc>
        <w:tc>
          <w:tcPr>
            <w:tcW w:w="2160" w:type="dxa"/>
            <w:vAlign w:val="bottom"/>
            <w:gridSpan w:val="2"/>
          </w:tcPr>
          <w:p>
            <w:pPr>
              <w:spacing w:after="0"/>
              <w:rPr>
                <w:sz w:val="20"/>
                <w:szCs w:val="20"/>
                <w:color w:val="auto"/>
              </w:rPr>
            </w:pPr>
            <w:r>
              <w:rPr>
                <w:rFonts w:ascii="Arial" w:cs="Arial" w:eastAsia="Arial" w:hAnsi="Arial"/>
                <w:sz w:val="18"/>
                <w:szCs w:val="18"/>
                <w:color w:val="auto"/>
                <w:w w:val="95"/>
              </w:rPr>
              <w:t>Delaware Secretary of State</w:t>
            </w: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06-14-06</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62031425</w:t>
            </w:r>
          </w:p>
        </w:tc>
        <w:tc>
          <w:tcPr>
            <w:tcW w:w="1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Blanket Lien</w:t>
            </w:r>
          </w:p>
        </w:tc>
      </w:tr>
      <w:tr>
        <w:trPr>
          <w:trHeight w:val="222"/>
        </w:trPr>
        <w:tc>
          <w:tcPr>
            <w:tcW w:w="4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Administrative Agent</w:t>
            </w: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24"/>
        </w:trPr>
        <w:tc>
          <w:tcPr>
            <w:tcW w:w="4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10078991</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10078991</w:t>
            </w:r>
          </w:p>
        </w:tc>
        <w:tc>
          <w:tcPr>
            <w:tcW w:w="1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Continuation Statement</w:t>
            </w:r>
          </w:p>
        </w:tc>
      </w:tr>
      <w:tr>
        <w:trPr>
          <w:trHeight w:val="318"/>
        </w:trPr>
        <w:tc>
          <w:tcPr>
            <w:tcW w:w="2760" w:type="dxa"/>
            <w:vAlign w:val="bottom"/>
            <w:gridSpan w:val="2"/>
          </w:tcPr>
          <w:p>
            <w:pPr>
              <w:spacing w:after="0"/>
              <w:rPr>
                <w:sz w:val="20"/>
                <w:szCs w:val="20"/>
                <w:color w:val="auto"/>
              </w:rPr>
            </w:pPr>
            <w:r>
              <w:rPr>
                <w:rFonts w:ascii="Arial" w:cs="Arial" w:eastAsia="Arial" w:hAnsi="Arial"/>
                <w:sz w:val="18"/>
                <w:szCs w:val="18"/>
                <w:color w:val="auto"/>
              </w:rPr>
              <w:t>Miltex, Inc.</w:t>
            </w:r>
          </w:p>
        </w:tc>
        <w:tc>
          <w:tcPr>
            <w:tcW w:w="2200" w:type="dxa"/>
            <w:vAlign w:val="bottom"/>
            <w:gridSpan w:val="2"/>
          </w:tcPr>
          <w:p>
            <w:pPr>
              <w:spacing w:after="0"/>
              <w:rPr>
                <w:sz w:val="20"/>
                <w:szCs w:val="20"/>
                <w:color w:val="auto"/>
              </w:rPr>
            </w:pPr>
            <w:r>
              <w:rPr>
                <w:rFonts w:ascii="Arial" w:cs="Arial" w:eastAsia="Arial" w:hAnsi="Arial"/>
                <w:sz w:val="18"/>
                <w:szCs w:val="18"/>
                <w:color w:val="auto"/>
              </w:rPr>
              <w:t>Bank of America, N.A., as</w:t>
            </w:r>
          </w:p>
        </w:tc>
        <w:tc>
          <w:tcPr>
            <w:tcW w:w="2160" w:type="dxa"/>
            <w:vAlign w:val="bottom"/>
            <w:gridSpan w:val="2"/>
          </w:tcPr>
          <w:p>
            <w:pPr>
              <w:spacing w:after="0"/>
              <w:rPr>
                <w:sz w:val="20"/>
                <w:szCs w:val="20"/>
                <w:color w:val="auto"/>
              </w:rPr>
            </w:pPr>
            <w:r>
              <w:rPr>
                <w:rFonts w:ascii="Arial" w:cs="Arial" w:eastAsia="Arial" w:hAnsi="Arial"/>
                <w:sz w:val="18"/>
                <w:szCs w:val="18"/>
                <w:color w:val="auto"/>
                <w:w w:val="95"/>
              </w:rPr>
              <w:t>Delaware Secretary of State</w:t>
            </w: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08-10-10</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6"/>
              </w:rPr>
              <w:t>2010 2784837</w:t>
            </w:r>
          </w:p>
        </w:tc>
        <w:tc>
          <w:tcPr>
            <w:tcW w:w="1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Blanket Lien</w:t>
            </w:r>
          </w:p>
        </w:tc>
      </w:tr>
      <w:tr>
        <w:trPr>
          <w:trHeight w:val="222"/>
        </w:trPr>
        <w:tc>
          <w:tcPr>
            <w:tcW w:w="4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Administrative Agent</w:t>
            </w: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18"/>
        </w:trPr>
        <w:tc>
          <w:tcPr>
            <w:tcW w:w="2760" w:type="dxa"/>
            <w:vAlign w:val="bottom"/>
            <w:gridSpan w:val="2"/>
          </w:tcPr>
          <w:p>
            <w:pPr>
              <w:spacing w:after="0"/>
              <w:rPr>
                <w:sz w:val="20"/>
                <w:szCs w:val="20"/>
                <w:color w:val="auto"/>
              </w:rPr>
            </w:pPr>
            <w:r>
              <w:rPr>
                <w:rFonts w:ascii="Arial" w:cs="Arial" w:eastAsia="Arial" w:hAnsi="Arial"/>
                <w:sz w:val="18"/>
                <w:szCs w:val="18"/>
                <w:color w:val="auto"/>
              </w:rPr>
              <w:t>Integra York PA, Inc.</w:t>
            </w:r>
          </w:p>
        </w:tc>
        <w:tc>
          <w:tcPr>
            <w:tcW w:w="2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5"/>
              </w:rPr>
              <w:t>03-28-11</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4"/>
              </w:rPr>
              <w:t>11129579</w:t>
            </w:r>
          </w:p>
        </w:tc>
        <w:tc>
          <w:tcPr>
            <w:tcW w:w="1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Amendment to change</w:t>
            </w:r>
          </w:p>
        </w:tc>
      </w:tr>
      <w:tr>
        <w:trPr>
          <w:trHeight w:val="222"/>
        </w:trPr>
        <w:tc>
          <w:tcPr>
            <w:tcW w:w="4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Debtor’s name</w:t>
            </w:r>
          </w:p>
        </w:tc>
      </w:tr>
      <w:tr>
        <w:trPr>
          <w:trHeight w:val="324"/>
        </w:trPr>
        <w:tc>
          <w:tcPr>
            <w:tcW w:w="2760" w:type="dxa"/>
            <w:vAlign w:val="bottom"/>
            <w:gridSpan w:val="2"/>
          </w:tcPr>
          <w:p>
            <w:pPr>
              <w:spacing w:after="0"/>
              <w:rPr>
                <w:sz w:val="20"/>
                <w:szCs w:val="20"/>
                <w:color w:val="auto"/>
              </w:rPr>
            </w:pPr>
            <w:r>
              <w:rPr>
                <w:rFonts w:ascii="Arial" w:cs="Arial" w:eastAsia="Arial" w:hAnsi="Arial"/>
                <w:sz w:val="18"/>
                <w:szCs w:val="18"/>
                <w:b w:val="1"/>
                <w:bCs w:val="1"/>
                <w:color w:val="auto"/>
              </w:rPr>
              <w:t>Integra York PA, Inc.</w:t>
            </w:r>
          </w:p>
        </w:tc>
        <w:tc>
          <w:tcPr>
            <w:tcW w:w="2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18"/>
        </w:trPr>
        <w:tc>
          <w:tcPr>
            <w:tcW w:w="2760" w:type="dxa"/>
            <w:vAlign w:val="bottom"/>
            <w:gridSpan w:val="2"/>
          </w:tcPr>
          <w:p>
            <w:pPr>
              <w:spacing w:after="0"/>
              <w:rPr>
                <w:sz w:val="20"/>
                <w:szCs w:val="20"/>
                <w:color w:val="auto"/>
              </w:rPr>
            </w:pPr>
            <w:r>
              <w:rPr>
                <w:rFonts w:ascii="Arial" w:cs="Arial" w:eastAsia="Arial" w:hAnsi="Arial"/>
                <w:sz w:val="18"/>
                <w:szCs w:val="18"/>
                <w:color w:val="auto"/>
              </w:rPr>
              <w:t>Miltex, Inc.</w:t>
            </w:r>
          </w:p>
        </w:tc>
        <w:tc>
          <w:tcPr>
            <w:tcW w:w="2200" w:type="dxa"/>
            <w:vAlign w:val="bottom"/>
            <w:gridSpan w:val="2"/>
          </w:tcPr>
          <w:p>
            <w:pPr>
              <w:spacing w:after="0"/>
              <w:rPr>
                <w:sz w:val="20"/>
                <w:szCs w:val="20"/>
                <w:color w:val="auto"/>
              </w:rPr>
            </w:pPr>
            <w:r>
              <w:rPr>
                <w:rFonts w:ascii="Arial" w:cs="Arial" w:eastAsia="Arial" w:hAnsi="Arial"/>
                <w:sz w:val="18"/>
                <w:szCs w:val="18"/>
                <w:color w:val="auto"/>
              </w:rPr>
              <w:t>Bank of America, N.A., as</w:t>
            </w:r>
          </w:p>
        </w:tc>
        <w:tc>
          <w:tcPr>
            <w:tcW w:w="2160" w:type="dxa"/>
            <w:vAlign w:val="bottom"/>
            <w:gridSpan w:val="2"/>
          </w:tcPr>
          <w:p>
            <w:pPr>
              <w:spacing w:after="0"/>
              <w:rPr>
                <w:sz w:val="20"/>
                <w:szCs w:val="20"/>
                <w:color w:val="auto"/>
              </w:rPr>
            </w:pPr>
            <w:r>
              <w:rPr>
                <w:rFonts w:ascii="Arial" w:cs="Arial" w:eastAsia="Arial" w:hAnsi="Arial"/>
                <w:sz w:val="18"/>
                <w:szCs w:val="18"/>
                <w:color w:val="auto"/>
                <w:w w:val="95"/>
              </w:rPr>
              <w:t>Delaware Secretary of State</w:t>
            </w: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08-10-10</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6"/>
              </w:rPr>
              <w:t>2010 2784837</w:t>
            </w:r>
          </w:p>
        </w:tc>
        <w:tc>
          <w:tcPr>
            <w:tcW w:w="1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Blanket Lien</w:t>
            </w:r>
          </w:p>
        </w:tc>
      </w:tr>
      <w:tr>
        <w:trPr>
          <w:trHeight w:val="222"/>
        </w:trPr>
        <w:tc>
          <w:tcPr>
            <w:tcW w:w="4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Administrative Agent</w:t>
            </w: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18"/>
        </w:trPr>
        <w:tc>
          <w:tcPr>
            <w:tcW w:w="2760" w:type="dxa"/>
            <w:vAlign w:val="bottom"/>
            <w:gridSpan w:val="2"/>
          </w:tcPr>
          <w:p>
            <w:pPr>
              <w:spacing w:after="0"/>
              <w:rPr>
                <w:sz w:val="20"/>
                <w:szCs w:val="20"/>
                <w:color w:val="auto"/>
              </w:rPr>
            </w:pPr>
            <w:r>
              <w:rPr>
                <w:rFonts w:ascii="Arial" w:cs="Arial" w:eastAsia="Arial" w:hAnsi="Arial"/>
                <w:sz w:val="18"/>
                <w:szCs w:val="18"/>
                <w:color w:val="auto"/>
              </w:rPr>
              <w:t>Integra York PA, Inc.</w:t>
            </w:r>
          </w:p>
        </w:tc>
        <w:tc>
          <w:tcPr>
            <w:tcW w:w="2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5"/>
              </w:rPr>
              <w:t>03-28-11</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4"/>
              </w:rPr>
              <w:t>11129579</w:t>
            </w:r>
          </w:p>
        </w:tc>
        <w:tc>
          <w:tcPr>
            <w:tcW w:w="1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Amendment to change</w:t>
            </w:r>
          </w:p>
        </w:tc>
      </w:tr>
      <w:tr>
        <w:trPr>
          <w:trHeight w:val="222"/>
        </w:trPr>
        <w:tc>
          <w:tcPr>
            <w:tcW w:w="4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Debtor’s name</w:t>
            </w:r>
          </w:p>
        </w:tc>
      </w:tr>
      <w:tr>
        <w:trPr>
          <w:trHeight w:val="324"/>
        </w:trPr>
        <w:tc>
          <w:tcPr>
            <w:tcW w:w="2760" w:type="dxa"/>
            <w:vAlign w:val="bottom"/>
            <w:gridSpan w:val="2"/>
          </w:tcPr>
          <w:p>
            <w:pPr>
              <w:spacing w:after="0"/>
              <w:rPr>
                <w:sz w:val="20"/>
                <w:szCs w:val="20"/>
                <w:color w:val="auto"/>
              </w:rPr>
            </w:pPr>
            <w:r>
              <w:rPr>
                <w:rFonts w:ascii="Arial" w:cs="Arial" w:eastAsia="Arial" w:hAnsi="Arial"/>
                <w:sz w:val="18"/>
                <w:szCs w:val="18"/>
                <w:b w:val="1"/>
                <w:bCs w:val="1"/>
                <w:color w:val="auto"/>
              </w:rPr>
              <w:t>Minnesota Scientific, Inc.</w:t>
            </w:r>
          </w:p>
        </w:tc>
        <w:tc>
          <w:tcPr>
            <w:tcW w:w="2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18"/>
        </w:trPr>
        <w:tc>
          <w:tcPr>
            <w:tcW w:w="2760" w:type="dxa"/>
            <w:vAlign w:val="bottom"/>
            <w:gridSpan w:val="2"/>
          </w:tcPr>
          <w:p>
            <w:pPr>
              <w:spacing w:after="0"/>
              <w:rPr>
                <w:sz w:val="20"/>
                <w:szCs w:val="20"/>
                <w:color w:val="auto"/>
              </w:rPr>
            </w:pPr>
            <w:r>
              <w:rPr>
                <w:rFonts w:ascii="Arial" w:cs="Arial" w:eastAsia="Arial" w:hAnsi="Arial"/>
                <w:sz w:val="18"/>
                <w:szCs w:val="18"/>
                <w:color w:val="auto"/>
              </w:rPr>
              <w:t>Minnesota Scientific, Inc.</w:t>
            </w:r>
          </w:p>
        </w:tc>
        <w:tc>
          <w:tcPr>
            <w:tcW w:w="2200" w:type="dxa"/>
            <w:vAlign w:val="bottom"/>
            <w:gridSpan w:val="2"/>
          </w:tcPr>
          <w:p>
            <w:pPr>
              <w:spacing w:after="0"/>
              <w:rPr>
                <w:sz w:val="20"/>
                <w:szCs w:val="20"/>
                <w:color w:val="auto"/>
              </w:rPr>
            </w:pPr>
            <w:r>
              <w:rPr>
                <w:rFonts w:ascii="Arial" w:cs="Arial" w:eastAsia="Arial" w:hAnsi="Arial"/>
                <w:sz w:val="18"/>
                <w:szCs w:val="18"/>
                <w:color w:val="auto"/>
              </w:rPr>
              <w:t>US Bancorp</w:t>
            </w:r>
          </w:p>
        </w:tc>
        <w:tc>
          <w:tcPr>
            <w:tcW w:w="2160" w:type="dxa"/>
            <w:vAlign w:val="bottom"/>
            <w:gridSpan w:val="2"/>
          </w:tcPr>
          <w:p>
            <w:pPr>
              <w:spacing w:after="0"/>
              <w:rPr>
                <w:sz w:val="20"/>
                <w:szCs w:val="20"/>
                <w:color w:val="auto"/>
              </w:rPr>
            </w:pPr>
            <w:r>
              <w:rPr>
                <w:rFonts w:ascii="Arial" w:cs="Arial" w:eastAsia="Arial" w:hAnsi="Arial"/>
                <w:sz w:val="18"/>
                <w:szCs w:val="18"/>
                <w:color w:val="auto"/>
                <w:w w:val="92"/>
              </w:rPr>
              <w:t>Minnesota Secretary of State</w:t>
            </w: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05-23-06</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6"/>
              </w:rPr>
              <w:t>200612045934</w:t>
            </w:r>
          </w:p>
        </w:tc>
        <w:tc>
          <w:tcPr>
            <w:tcW w:w="1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w w:val="90"/>
              </w:rPr>
              <w:t>Specified collateral pursuant</w:t>
            </w:r>
          </w:p>
        </w:tc>
      </w:tr>
      <w:tr>
        <w:trPr>
          <w:trHeight w:val="222"/>
        </w:trPr>
        <w:tc>
          <w:tcPr>
            <w:tcW w:w="4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to lease</w:t>
            </w:r>
          </w:p>
        </w:tc>
      </w:tr>
      <w:tr>
        <w:trPr>
          <w:trHeight w:val="318"/>
        </w:trPr>
        <w:tc>
          <w:tcPr>
            <w:tcW w:w="2760" w:type="dxa"/>
            <w:vAlign w:val="bottom"/>
            <w:gridSpan w:val="2"/>
          </w:tcPr>
          <w:p>
            <w:pPr>
              <w:spacing w:after="0"/>
              <w:rPr>
                <w:sz w:val="20"/>
                <w:szCs w:val="20"/>
                <w:color w:val="auto"/>
              </w:rPr>
            </w:pPr>
            <w:r>
              <w:rPr>
                <w:rFonts w:ascii="Arial" w:cs="Arial" w:eastAsia="Arial" w:hAnsi="Arial"/>
                <w:sz w:val="18"/>
                <w:szCs w:val="18"/>
                <w:color w:val="auto"/>
              </w:rPr>
              <w:t>Minnesota Scientific, Inc.</w:t>
            </w:r>
          </w:p>
        </w:tc>
        <w:tc>
          <w:tcPr>
            <w:tcW w:w="2200" w:type="dxa"/>
            <w:vAlign w:val="bottom"/>
            <w:gridSpan w:val="2"/>
          </w:tcPr>
          <w:p>
            <w:pPr>
              <w:spacing w:after="0"/>
              <w:rPr>
                <w:sz w:val="20"/>
                <w:szCs w:val="20"/>
                <w:color w:val="auto"/>
              </w:rPr>
            </w:pPr>
            <w:r>
              <w:rPr>
                <w:rFonts w:ascii="Arial" w:cs="Arial" w:eastAsia="Arial" w:hAnsi="Arial"/>
                <w:sz w:val="18"/>
                <w:szCs w:val="18"/>
                <w:color w:val="auto"/>
              </w:rPr>
              <w:t>US Bancorp</w:t>
            </w:r>
          </w:p>
        </w:tc>
        <w:tc>
          <w:tcPr>
            <w:tcW w:w="2160" w:type="dxa"/>
            <w:vAlign w:val="bottom"/>
            <w:gridSpan w:val="2"/>
          </w:tcPr>
          <w:p>
            <w:pPr>
              <w:spacing w:after="0"/>
              <w:rPr>
                <w:sz w:val="20"/>
                <w:szCs w:val="20"/>
                <w:color w:val="auto"/>
              </w:rPr>
            </w:pPr>
            <w:r>
              <w:rPr>
                <w:rFonts w:ascii="Arial" w:cs="Arial" w:eastAsia="Arial" w:hAnsi="Arial"/>
                <w:sz w:val="18"/>
                <w:szCs w:val="18"/>
                <w:color w:val="auto"/>
                <w:w w:val="92"/>
              </w:rPr>
              <w:t>Minnesota Secretary of State</w:t>
            </w: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03-21-07</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6"/>
              </w:rPr>
              <w:t>200715995488</w:t>
            </w:r>
          </w:p>
        </w:tc>
        <w:tc>
          <w:tcPr>
            <w:tcW w:w="1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w w:val="90"/>
              </w:rPr>
              <w:t>Specified collateral pursuant</w:t>
            </w:r>
          </w:p>
        </w:tc>
      </w:tr>
      <w:tr>
        <w:trPr>
          <w:trHeight w:val="222"/>
        </w:trPr>
        <w:tc>
          <w:tcPr>
            <w:tcW w:w="4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to lease</w:t>
            </w:r>
          </w:p>
        </w:tc>
      </w:tr>
    </w:tbl>
    <w:p>
      <w:pPr>
        <w:sectPr>
          <w:pgSz w:w="11900" w:h="16838" w:orient="portrait"/>
          <w:cols w:equalWidth="0" w:num="1">
            <w:col w:w="11420"/>
          </w:cols>
          <w:pgMar w:left="240" w:top="276" w:right="239" w:bottom="1440" w:gutter="0" w:footer="0" w:header="0"/>
        </w:sectPr>
      </w:pPr>
    </w:p>
    <w:bookmarkStart w:id="199" w:name="page200"/>
    <w:bookmarkEnd w:id="19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1"/>
        </w:trPr>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Debtor</w:t>
            </w:r>
          </w:p>
        </w:tc>
        <w:tc>
          <w:tcPr>
            <w:tcW w:w="2200" w:type="dxa"/>
            <w:vAlign w:val="bottom"/>
          </w:tcPr>
          <w:p>
            <w:pPr>
              <w:spacing w:after="0"/>
              <w:rPr>
                <w:sz w:val="15"/>
                <w:szCs w:val="15"/>
                <w:color w:val="auto"/>
              </w:rPr>
            </w:pPr>
          </w:p>
        </w:tc>
        <w:tc>
          <w:tcPr>
            <w:tcW w:w="2060" w:type="dxa"/>
            <w:vAlign w:val="bottom"/>
          </w:tcPr>
          <w:p>
            <w:pPr>
              <w:ind w:left="620"/>
              <w:spacing w:after="0"/>
              <w:rPr>
                <w:sz w:val="20"/>
                <w:szCs w:val="20"/>
                <w:color w:val="auto"/>
              </w:rPr>
            </w:pPr>
            <w:r>
              <w:rPr>
                <w:rFonts w:ascii="Arial" w:cs="Arial" w:eastAsia="Arial" w:hAnsi="Arial"/>
                <w:sz w:val="14"/>
                <w:szCs w:val="14"/>
                <w:b w:val="1"/>
                <w:bCs w:val="1"/>
                <w:color w:val="auto"/>
              </w:rPr>
              <w:t>Secured Party</w:t>
            </w:r>
          </w:p>
        </w:tc>
        <w:tc>
          <w:tcPr>
            <w:tcW w:w="120" w:type="dxa"/>
            <w:vAlign w:val="bottom"/>
          </w:tcPr>
          <w:p>
            <w:pPr>
              <w:spacing w:after="0"/>
              <w:rPr>
                <w:sz w:val="15"/>
                <w:szCs w:val="15"/>
                <w:color w:val="auto"/>
              </w:rPr>
            </w:pPr>
          </w:p>
        </w:tc>
        <w:tc>
          <w:tcPr>
            <w:tcW w:w="2180" w:type="dxa"/>
            <w:vAlign w:val="bottom"/>
            <w:gridSpan w:val="2"/>
          </w:tcPr>
          <w:p>
            <w:pPr>
              <w:ind w:left="700"/>
              <w:spacing w:after="0"/>
              <w:rPr>
                <w:sz w:val="20"/>
                <w:szCs w:val="20"/>
                <w:color w:val="auto"/>
              </w:rPr>
            </w:pPr>
            <w:r>
              <w:rPr>
                <w:rFonts w:ascii="Arial" w:cs="Arial" w:eastAsia="Arial" w:hAnsi="Arial"/>
                <w:sz w:val="14"/>
                <w:szCs w:val="14"/>
                <w:b w:val="1"/>
                <w:bCs w:val="1"/>
                <w:color w:val="auto"/>
              </w:rPr>
              <w:t>Jurisdiction</w:t>
            </w: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File Date</w:t>
            </w:r>
          </w:p>
        </w:tc>
        <w:tc>
          <w:tcPr>
            <w:tcW w:w="1460" w:type="dxa"/>
            <w:vAlign w:val="bottom"/>
            <w:gridSpan w:val="2"/>
          </w:tcPr>
          <w:p>
            <w:pPr>
              <w:ind w:left="320"/>
              <w:spacing w:after="0"/>
              <w:rPr>
                <w:sz w:val="20"/>
                <w:szCs w:val="20"/>
                <w:color w:val="auto"/>
              </w:rPr>
            </w:pPr>
            <w:r>
              <w:rPr>
                <w:rFonts w:ascii="Arial" w:cs="Arial" w:eastAsia="Arial" w:hAnsi="Arial"/>
                <w:sz w:val="14"/>
                <w:szCs w:val="14"/>
                <w:b w:val="1"/>
                <w:bCs w:val="1"/>
                <w:color w:val="auto"/>
              </w:rPr>
              <w:t>File Number</w:t>
            </w:r>
          </w:p>
        </w:tc>
        <w:tc>
          <w:tcPr>
            <w:tcW w:w="2060" w:type="dxa"/>
            <w:vAlign w:val="bottom"/>
          </w:tcPr>
          <w:p>
            <w:pPr>
              <w:ind w:left="240"/>
              <w:spacing w:after="0"/>
              <w:rPr>
                <w:sz w:val="20"/>
                <w:szCs w:val="20"/>
                <w:color w:val="auto"/>
              </w:rPr>
            </w:pPr>
            <w:r>
              <w:rPr>
                <w:rFonts w:ascii="Arial" w:cs="Arial" w:eastAsia="Arial" w:hAnsi="Arial"/>
                <w:sz w:val="14"/>
                <w:szCs w:val="14"/>
                <w:b w:val="1"/>
                <w:bCs w:val="1"/>
                <w:color w:val="auto"/>
                <w:w w:val="99"/>
              </w:rPr>
              <w:t>Brief Collateral Description</w:t>
            </w:r>
          </w:p>
        </w:tc>
      </w:tr>
      <w:tr>
        <w:trPr>
          <w:trHeight w:val="195"/>
        </w:trPr>
        <w:tc>
          <w:tcPr>
            <w:tcW w:w="2640" w:type="dxa"/>
            <w:vAlign w:val="bottom"/>
            <w:gridSpan w:val="2"/>
          </w:tcPr>
          <w:p>
            <w:pPr>
              <w:spacing w:after="0" w:line="195" w:lineRule="exact"/>
              <w:rPr>
                <w:sz w:val="20"/>
                <w:szCs w:val="20"/>
                <w:color w:val="auto"/>
              </w:rPr>
            </w:pPr>
            <w:r>
              <w:rPr>
                <w:rFonts w:ascii="Arial" w:cs="Arial" w:eastAsia="Arial" w:hAnsi="Arial"/>
                <w:sz w:val="18"/>
                <w:szCs w:val="18"/>
                <w:color w:val="auto"/>
              </w:rPr>
              <w:t>Minnesota Scientific, Inc.</w:t>
            </w:r>
          </w:p>
        </w:tc>
        <w:tc>
          <w:tcPr>
            <w:tcW w:w="2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8"/>
              </w:rPr>
              <w:t>Bank of America, N.A., as</w:t>
            </w:r>
          </w:p>
        </w:tc>
        <w:tc>
          <w:tcPr>
            <w:tcW w:w="120" w:type="dxa"/>
            <w:vAlign w:val="bottom"/>
          </w:tcPr>
          <w:p>
            <w:pPr>
              <w:spacing w:after="0"/>
              <w:rPr>
                <w:sz w:val="16"/>
                <w:szCs w:val="16"/>
                <w:color w:val="auto"/>
              </w:rPr>
            </w:pPr>
          </w:p>
        </w:tc>
        <w:tc>
          <w:tcPr>
            <w:tcW w:w="2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7"/>
              </w:rPr>
              <w:t>Minnesota Secretary of State</w:t>
            </w:r>
          </w:p>
        </w:tc>
        <w:tc>
          <w:tcPr>
            <w:tcW w:w="120" w:type="dxa"/>
            <w:vAlign w:val="bottom"/>
          </w:tcPr>
          <w:p>
            <w:pPr>
              <w:spacing w:after="0"/>
              <w:rPr>
                <w:sz w:val="16"/>
                <w:szCs w:val="16"/>
                <w:color w:val="auto"/>
              </w:rPr>
            </w:pPr>
          </w:p>
        </w:tc>
        <w:tc>
          <w:tcPr>
            <w:tcW w:w="7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01-22-09</w:t>
            </w:r>
          </w:p>
        </w:tc>
        <w:tc>
          <w:tcPr>
            <w:tcW w:w="120" w:type="dxa"/>
            <w:vAlign w:val="bottom"/>
          </w:tcPr>
          <w:p>
            <w:pPr>
              <w:spacing w:after="0"/>
              <w:rPr>
                <w:sz w:val="16"/>
                <w:szCs w:val="16"/>
                <w:color w:val="auto"/>
              </w:rPr>
            </w:pPr>
          </w:p>
        </w:tc>
        <w:tc>
          <w:tcPr>
            <w:tcW w:w="13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200914681125</w:t>
            </w:r>
          </w:p>
        </w:tc>
        <w:tc>
          <w:tcPr>
            <w:tcW w:w="100" w:type="dxa"/>
            <w:vAlign w:val="bottom"/>
          </w:tcPr>
          <w:p>
            <w:pPr>
              <w:spacing w:after="0"/>
              <w:rPr>
                <w:sz w:val="16"/>
                <w:szCs w:val="16"/>
                <w:color w:val="auto"/>
              </w:rPr>
            </w:pPr>
          </w:p>
        </w:tc>
        <w:tc>
          <w:tcPr>
            <w:tcW w:w="2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Blanket Lien</w:t>
            </w:r>
          </w:p>
        </w:tc>
      </w:tr>
      <w:tr>
        <w:trPr>
          <w:trHeight w:val="222"/>
        </w:trPr>
        <w:tc>
          <w:tcPr>
            <w:tcW w:w="4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Administrative Agent</w:t>
            </w: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18"/>
        </w:trPr>
        <w:tc>
          <w:tcPr>
            <w:tcW w:w="2640" w:type="dxa"/>
            <w:vAlign w:val="bottom"/>
            <w:gridSpan w:val="2"/>
          </w:tcPr>
          <w:p>
            <w:pPr>
              <w:spacing w:after="0"/>
              <w:rPr>
                <w:sz w:val="20"/>
                <w:szCs w:val="20"/>
                <w:color w:val="auto"/>
              </w:rPr>
            </w:pPr>
            <w:r>
              <w:rPr>
                <w:rFonts w:ascii="Arial" w:cs="Arial" w:eastAsia="Arial" w:hAnsi="Arial"/>
                <w:sz w:val="18"/>
                <w:szCs w:val="18"/>
                <w:color w:val="auto"/>
              </w:rPr>
              <w:t>Minnesota Scientific, Inc.</w:t>
            </w:r>
          </w:p>
        </w:tc>
        <w:tc>
          <w:tcPr>
            <w:tcW w:w="2060" w:type="dxa"/>
            <w:vAlign w:val="bottom"/>
          </w:tcPr>
          <w:p>
            <w:pPr>
              <w:spacing w:after="0"/>
              <w:rPr>
                <w:sz w:val="20"/>
                <w:szCs w:val="20"/>
                <w:color w:val="auto"/>
              </w:rPr>
            </w:pPr>
            <w:r>
              <w:rPr>
                <w:rFonts w:ascii="Arial" w:cs="Arial" w:eastAsia="Arial" w:hAnsi="Arial"/>
                <w:sz w:val="18"/>
                <w:szCs w:val="18"/>
                <w:color w:val="auto"/>
              </w:rPr>
              <w:t>US Bancorp</w:t>
            </w:r>
          </w:p>
        </w:tc>
        <w:tc>
          <w:tcPr>
            <w:tcW w:w="2300" w:type="dxa"/>
            <w:vAlign w:val="bottom"/>
            <w:gridSpan w:val="3"/>
          </w:tcPr>
          <w:p>
            <w:pPr>
              <w:ind w:left="120"/>
              <w:spacing w:after="0"/>
              <w:rPr>
                <w:sz w:val="20"/>
                <w:szCs w:val="20"/>
                <w:color w:val="auto"/>
              </w:rPr>
            </w:pPr>
            <w:r>
              <w:rPr>
                <w:rFonts w:ascii="Arial" w:cs="Arial" w:eastAsia="Arial" w:hAnsi="Arial"/>
                <w:sz w:val="18"/>
                <w:szCs w:val="18"/>
                <w:color w:val="auto"/>
                <w:w w:val="93"/>
              </w:rPr>
              <w:t>Minnesota Secretary of State</w:t>
            </w:r>
          </w:p>
        </w:tc>
        <w:tc>
          <w:tcPr>
            <w:tcW w:w="780" w:type="dxa"/>
            <w:vAlign w:val="bottom"/>
          </w:tcPr>
          <w:p>
            <w:pPr>
              <w:jc w:val="center"/>
              <w:spacing w:after="0"/>
              <w:rPr>
                <w:sz w:val="20"/>
                <w:szCs w:val="20"/>
                <w:color w:val="auto"/>
              </w:rPr>
            </w:pPr>
            <w:r>
              <w:rPr>
                <w:rFonts w:ascii="Arial" w:cs="Arial" w:eastAsia="Arial" w:hAnsi="Arial"/>
                <w:sz w:val="18"/>
                <w:szCs w:val="18"/>
                <w:color w:val="auto"/>
                <w:w w:val="85"/>
              </w:rPr>
              <w:t>11-25-09</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6"/>
              </w:rPr>
              <w:t>200918160872</w:t>
            </w:r>
          </w:p>
        </w:tc>
        <w:tc>
          <w:tcPr>
            <w:tcW w:w="1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w w:val="90"/>
              </w:rPr>
              <w:t>Specified collateral pursuant</w:t>
            </w:r>
          </w:p>
        </w:tc>
      </w:tr>
      <w:tr>
        <w:trPr>
          <w:trHeight w:val="222"/>
        </w:trPr>
        <w:tc>
          <w:tcPr>
            <w:tcW w:w="4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to lease</w:t>
            </w:r>
          </w:p>
        </w:tc>
      </w:tr>
      <w:tr>
        <w:trPr>
          <w:trHeight w:val="318"/>
        </w:trPr>
        <w:tc>
          <w:tcPr>
            <w:tcW w:w="2640" w:type="dxa"/>
            <w:vAlign w:val="bottom"/>
            <w:gridSpan w:val="2"/>
          </w:tcPr>
          <w:p>
            <w:pPr>
              <w:spacing w:after="0"/>
              <w:rPr>
                <w:sz w:val="20"/>
                <w:szCs w:val="20"/>
                <w:color w:val="auto"/>
              </w:rPr>
            </w:pPr>
            <w:r>
              <w:rPr>
                <w:rFonts w:ascii="Arial" w:cs="Arial" w:eastAsia="Arial" w:hAnsi="Arial"/>
                <w:sz w:val="18"/>
                <w:szCs w:val="18"/>
                <w:color w:val="auto"/>
              </w:rPr>
              <w:t>Minnesota Scientific, Inc.</w:t>
            </w:r>
          </w:p>
        </w:tc>
        <w:tc>
          <w:tcPr>
            <w:tcW w:w="2060" w:type="dxa"/>
            <w:vAlign w:val="bottom"/>
          </w:tcPr>
          <w:p>
            <w:pPr>
              <w:spacing w:after="0"/>
              <w:rPr>
                <w:sz w:val="20"/>
                <w:szCs w:val="20"/>
                <w:color w:val="auto"/>
              </w:rPr>
            </w:pPr>
            <w:r>
              <w:rPr>
                <w:rFonts w:ascii="Arial" w:cs="Arial" w:eastAsia="Arial" w:hAnsi="Arial"/>
                <w:sz w:val="18"/>
                <w:szCs w:val="18"/>
                <w:color w:val="auto"/>
                <w:w w:val="98"/>
              </w:rPr>
              <w:t>Bank of America, N.A., as</w:t>
            </w:r>
          </w:p>
        </w:tc>
        <w:tc>
          <w:tcPr>
            <w:tcW w:w="2300" w:type="dxa"/>
            <w:vAlign w:val="bottom"/>
            <w:gridSpan w:val="3"/>
          </w:tcPr>
          <w:p>
            <w:pPr>
              <w:ind w:left="120"/>
              <w:spacing w:after="0"/>
              <w:rPr>
                <w:sz w:val="20"/>
                <w:szCs w:val="20"/>
                <w:color w:val="auto"/>
              </w:rPr>
            </w:pPr>
            <w:r>
              <w:rPr>
                <w:rFonts w:ascii="Arial" w:cs="Arial" w:eastAsia="Arial" w:hAnsi="Arial"/>
                <w:sz w:val="18"/>
                <w:szCs w:val="18"/>
                <w:color w:val="auto"/>
                <w:w w:val="93"/>
              </w:rPr>
              <w:t>Minnesota Secretary of State</w:t>
            </w: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08-10-10</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6"/>
              </w:rPr>
              <w:t>201021151880</w:t>
            </w:r>
          </w:p>
        </w:tc>
        <w:tc>
          <w:tcPr>
            <w:tcW w:w="1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Blanket Lien</w:t>
            </w:r>
          </w:p>
        </w:tc>
      </w:tr>
      <w:tr>
        <w:trPr>
          <w:trHeight w:val="222"/>
        </w:trPr>
        <w:tc>
          <w:tcPr>
            <w:tcW w:w="4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Administrative Agent</w:t>
            </w: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24"/>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Theken Spine, LLC</w:t>
            </w: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18"/>
        </w:trPr>
        <w:tc>
          <w:tcPr>
            <w:tcW w:w="2640" w:type="dxa"/>
            <w:vAlign w:val="bottom"/>
            <w:gridSpan w:val="2"/>
          </w:tcPr>
          <w:p>
            <w:pPr>
              <w:spacing w:after="0"/>
              <w:rPr>
                <w:sz w:val="20"/>
                <w:szCs w:val="20"/>
                <w:color w:val="auto"/>
              </w:rPr>
            </w:pPr>
            <w:r>
              <w:rPr>
                <w:rFonts w:ascii="Arial" w:cs="Arial" w:eastAsia="Arial" w:hAnsi="Arial"/>
                <w:sz w:val="18"/>
                <w:szCs w:val="18"/>
                <w:color w:val="auto"/>
              </w:rPr>
              <w:t>Theken Spine, LLC</w:t>
            </w:r>
          </w:p>
        </w:tc>
        <w:tc>
          <w:tcPr>
            <w:tcW w:w="2060" w:type="dxa"/>
            <w:vAlign w:val="bottom"/>
          </w:tcPr>
          <w:p>
            <w:pPr>
              <w:spacing w:after="0"/>
              <w:rPr>
                <w:sz w:val="20"/>
                <w:szCs w:val="20"/>
                <w:color w:val="auto"/>
              </w:rPr>
            </w:pPr>
            <w:r>
              <w:rPr>
                <w:rFonts w:ascii="Arial" w:cs="Arial" w:eastAsia="Arial" w:hAnsi="Arial"/>
                <w:sz w:val="18"/>
                <w:szCs w:val="18"/>
                <w:color w:val="auto"/>
              </w:rPr>
              <w:t>Apple Financial Services</w:t>
            </w:r>
          </w:p>
        </w:tc>
        <w:tc>
          <w:tcPr>
            <w:tcW w:w="2300" w:type="dxa"/>
            <w:vAlign w:val="bottom"/>
            <w:gridSpan w:val="3"/>
          </w:tcPr>
          <w:p>
            <w:pPr>
              <w:ind w:left="120"/>
              <w:spacing w:after="0"/>
              <w:rPr>
                <w:sz w:val="20"/>
                <w:szCs w:val="20"/>
                <w:color w:val="auto"/>
              </w:rPr>
            </w:pPr>
            <w:r>
              <w:rPr>
                <w:rFonts w:ascii="Arial" w:cs="Arial" w:eastAsia="Arial" w:hAnsi="Arial"/>
                <w:sz w:val="18"/>
                <w:szCs w:val="18"/>
                <w:color w:val="auto"/>
              </w:rPr>
              <w:t>Ohio Secretary of State</w:t>
            </w: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08-14-07</w:t>
            </w:r>
          </w:p>
        </w:tc>
        <w:tc>
          <w:tcPr>
            <w:tcW w:w="120" w:type="dxa"/>
            <w:vAlign w:val="bottom"/>
          </w:tcPr>
          <w:p>
            <w:pPr>
              <w:spacing w:after="0"/>
              <w:rPr>
                <w:sz w:val="24"/>
                <w:szCs w:val="2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OH00118257377</w:t>
            </w:r>
          </w:p>
        </w:tc>
        <w:tc>
          <w:tcPr>
            <w:tcW w:w="2060" w:type="dxa"/>
            <w:vAlign w:val="bottom"/>
          </w:tcPr>
          <w:p>
            <w:pPr>
              <w:spacing w:after="0"/>
              <w:rPr>
                <w:sz w:val="20"/>
                <w:szCs w:val="20"/>
                <w:color w:val="auto"/>
              </w:rPr>
            </w:pPr>
            <w:r>
              <w:rPr>
                <w:rFonts w:ascii="Arial" w:cs="Arial" w:eastAsia="Arial" w:hAnsi="Arial"/>
                <w:sz w:val="18"/>
                <w:szCs w:val="18"/>
                <w:color w:val="auto"/>
                <w:w w:val="90"/>
              </w:rPr>
              <w:t>Specified collateral pursuant</w:t>
            </w:r>
          </w:p>
        </w:tc>
      </w:tr>
      <w:tr>
        <w:trPr>
          <w:trHeight w:val="222"/>
        </w:trPr>
        <w:tc>
          <w:tcPr>
            <w:tcW w:w="4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to lease</w:t>
            </w:r>
          </w:p>
        </w:tc>
      </w:tr>
      <w:tr>
        <w:trPr>
          <w:trHeight w:val="318"/>
        </w:trPr>
        <w:tc>
          <w:tcPr>
            <w:tcW w:w="2640" w:type="dxa"/>
            <w:vAlign w:val="bottom"/>
            <w:gridSpan w:val="2"/>
          </w:tcPr>
          <w:p>
            <w:pPr>
              <w:spacing w:after="0"/>
              <w:rPr>
                <w:sz w:val="20"/>
                <w:szCs w:val="20"/>
                <w:color w:val="auto"/>
              </w:rPr>
            </w:pPr>
            <w:r>
              <w:rPr>
                <w:rFonts w:ascii="Arial" w:cs="Arial" w:eastAsia="Arial" w:hAnsi="Arial"/>
                <w:sz w:val="18"/>
                <w:szCs w:val="18"/>
                <w:color w:val="auto"/>
              </w:rPr>
              <w:t>Theken Spine, LLC</w:t>
            </w:r>
          </w:p>
        </w:tc>
        <w:tc>
          <w:tcPr>
            <w:tcW w:w="2060" w:type="dxa"/>
            <w:vAlign w:val="bottom"/>
          </w:tcPr>
          <w:p>
            <w:pPr>
              <w:spacing w:after="0"/>
              <w:rPr>
                <w:sz w:val="20"/>
                <w:szCs w:val="20"/>
                <w:color w:val="auto"/>
              </w:rPr>
            </w:pPr>
            <w:r>
              <w:rPr>
                <w:rFonts w:ascii="Arial" w:cs="Arial" w:eastAsia="Arial" w:hAnsi="Arial"/>
                <w:sz w:val="18"/>
                <w:szCs w:val="18"/>
                <w:color w:val="auto"/>
                <w:w w:val="98"/>
              </w:rPr>
              <w:t>Bank of America, N.A., as</w:t>
            </w:r>
          </w:p>
        </w:tc>
        <w:tc>
          <w:tcPr>
            <w:tcW w:w="2300" w:type="dxa"/>
            <w:vAlign w:val="bottom"/>
            <w:gridSpan w:val="3"/>
          </w:tcPr>
          <w:p>
            <w:pPr>
              <w:ind w:left="120"/>
              <w:spacing w:after="0"/>
              <w:rPr>
                <w:sz w:val="20"/>
                <w:szCs w:val="20"/>
                <w:color w:val="auto"/>
              </w:rPr>
            </w:pPr>
            <w:r>
              <w:rPr>
                <w:rFonts w:ascii="Arial" w:cs="Arial" w:eastAsia="Arial" w:hAnsi="Arial"/>
                <w:sz w:val="18"/>
                <w:szCs w:val="18"/>
                <w:color w:val="auto"/>
              </w:rPr>
              <w:t>Ohio Secretary of State</w:t>
            </w: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08-29-08</w:t>
            </w:r>
          </w:p>
        </w:tc>
        <w:tc>
          <w:tcPr>
            <w:tcW w:w="120" w:type="dxa"/>
            <w:vAlign w:val="bottom"/>
          </w:tcPr>
          <w:p>
            <w:pPr>
              <w:spacing w:after="0"/>
              <w:rPr>
                <w:sz w:val="24"/>
                <w:szCs w:val="2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OH00129339526</w:t>
            </w:r>
          </w:p>
        </w:tc>
        <w:tc>
          <w:tcPr>
            <w:tcW w:w="2060" w:type="dxa"/>
            <w:vAlign w:val="bottom"/>
          </w:tcPr>
          <w:p>
            <w:pPr>
              <w:spacing w:after="0"/>
              <w:rPr>
                <w:sz w:val="20"/>
                <w:szCs w:val="20"/>
                <w:color w:val="auto"/>
              </w:rPr>
            </w:pPr>
            <w:r>
              <w:rPr>
                <w:rFonts w:ascii="Arial" w:cs="Arial" w:eastAsia="Arial" w:hAnsi="Arial"/>
                <w:sz w:val="18"/>
                <w:szCs w:val="18"/>
                <w:color w:val="auto"/>
              </w:rPr>
              <w:t>Blanket Lien</w:t>
            </w:r>
          </w:p>
        </w:tc>
      </w:tr>
      <w:tr>
        <w:trPr>
          <w:trHeight w:val="222"/>
        </w:trPr>
        <w:tc>
          <w:tcPr>
            <w:tcW w:w="4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Administrative Agent</w:t>
            </w: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18"/>
        </w:trPr>
        <w:tc>
          <w:tcPr>
            <w:tcW w:w="2640" w:type="dxa"/>
            <w:vAlign w:val="bottom"/>
            <w:gridSpan w:val="2"/>
          </w:tcPr>
          <w:p>
            <w:pPr>
              <w:spacing w:after="0"/>
              <w:rPr>
                <w:sz w:val="20"/>
                <w:szCs w:val="20"/>
                <w:color w:val="auto"/>
              </w:rPr>
            </w:pPr>
            <w:r>
              <w:rPr>
                <w:rFonts w:ascii="Arial" w:cs="Arial" w:eastAsia="Arial" w:hAnsi="Arial"/>
                <w:sz w:val="18"/>
                <w:szCs w:val="18"/>
                <w:color w:val="auto"/>
              </w:rPr>
              <w:t>Theken Spine, LLC</w:t>
            </w:r>
          </w:p>
        </w:tc>
        <w:tc>
          <w:tcPr>
            <w:tcW w:w="2060" w:type="dxa"/>
            <w:vAlign w:val="bottom"/>
          </w:tcPr>
          <w:p>
            <w:pPr>
              <w:spacing w:after="0"/>
              <w:rPr>
                <w:sz w:val="20"/>
                <w:szCs w:val="20"/>
                <w:color w:val="auto"/>
              </w:rPr>
            </w:pPr>
            <w:r>
              <w:rPr>
                <w:rFonts w:ascii="Arial" w:cs="Arial" w:eastAsia="Arial" w:hAnsi="Arial"/>
                <w:sz w:val="18"/>
                <w:szCs w:val="18"/>
                <w:color w:val="auto"/>
                <w:w w:val="98"/>
              </w:rPr>
              <w:t>Bank of America, N.A., as</w:t>
            </w:r>
          </w:p>
        </w:tc>
        <w:tc>
          <w:tcPr>
            <w:tcW w:w="2300" w:type="dxa"/>
            <w:vAlign w:val="bottom"/>
            <w:gridSpan w:val="3"/>
          </w:tcPr>
          <w:p>
            <w:pPr>
              <w:ind w:left="120"/>
              <w:spacing w:after="0"/>
              <w:rPr>
                <w:sz w:val="20"/>
                <w:szCs w:val="20"/>
                <w:color w:val="auto"/>
              </w:rPr>
            </w:pPr>
            <w:r>
              <w:rPr>
                <w:rFonts w:ascii="Arial" w:cs="Arial" w:eastAsia="Arial" w:hAnsi="Arial"/>
                <w:sz w:val="18"/>
                <w:szCs w:val="18"/>
                <w:color w:val="auto"/>
              </w:rPr>
              <w:t>Ohio Secretary of State</w:t>
            </w: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08-10-10</w:t>
            </w:r>
          </w:p>
        </w:tc>
        <w:tc>
          <w:tcPr>
            <w:tcW w:w="120" w:type="dxa"/>
            <w:vAlign w:val="bottom"/>
          </w:tcPr>
          <w:p>
            <w:pPr>
              <w:spacing w:after="0"/>
              <w:rPr>
                <w:sz w:val="24"/>
                <w:szCs w:val="2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OH00144269950</w:t>
            </w:r>
          </w:p>
        </w:tc>
        <w:tc>
          <w:tcPr>
            <w:tcW w:w="2060" w:type="dxa"/>
            <w:vAlign w:val="bottom"/>
          </w:tcPr>
          <w:p>
            <w:pPr>
              <w:spacing w:after="0"/>
              <w:rPr>
                <w:sz w:val="20"/>
                <w:szCs w:val="20"/>
                <w:color w:val="auto"/>
              </w:rPr>
            </w:pPr>
            <w:r>
              <w:rPr>
                <w:rFonts w:ascii="Arial" w:cs="Arial" w:eastAsia="Arial" w:hAnsi="Arial"/>
                <w:sz w:val="18"/>
                <w:szCs w:val="18"/>
                <w:color w:val="auto"/>
              </w:rPr>
              <w:t>Blanket Lien</w:t>
            </w:r>
          </w:p>
        </w:tc>
      </w:tr>
      <w:tr>
        <w:trPr>
          <w:trHeight w:val="222"/>
        </w:trPr>
        <w:tc>
          <w:tcPr>
            <w:tcW w:w="4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Administrative Agent</w:t>
            </w: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r>
    </w:tbl>
    <w:p>
      <w:pPr>
        <w:sectPr>
          <w:pgSz w:w="11900" w:h="16838" w:orient="portrait"/>
          <w:cols w:equalWidth="0" w:num="1">
            <w:col w:w="11420"/>
          </w:cols>
          <w:pgMar w:left="240" w:top="275" w:right="2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7.02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EXISTING INVESTMENTS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than Minority Equity Interests)</w:t>
      </w:r>
    </w:p>
    <w:p>
      <w:pPr>
        <w:spacing w:after="0" w:line="205" w:lineRule="exact"/>
        <w:rPr>
          <w:sz w:val="20"/>
          <w:szCs w:val="20"/>
          <w:color w:val="auto"/>
        </w:rPr>
      </w:pPr>
    </w:p>
    <w:p>
      <w:pPr>
        <w:ind w:left="460" w:hanging="452"/>
        <w:spacing w:after="0"/>
        <w:tabs>
          <w:tab w:leader="none" w:pos="4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equity investments made prior to the Closing Date in subsidiaries of the Borrower as set forth in Schedule 5.08(a).</w:t>
      </w:r>
    </w:p>
    <w:p>
      <w:pPr>
        <w:sectPr>
          <w:pgSz w:w="11900" w:h="16838" w:orient="portrait"/>
          <w:cols w:equalWidth="0" w:num="1">
            <w:col w:w="11420"/>
          </w:cols>
          <w:pgMar w:left="240" w:top="274" w:right="2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7.03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EXISTING INDEBTEDNESS</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7.03(b)</w:t>
      </w:r>
      <w:r>
        <w:rPr>
          <w:sz w:val="20"/>
          <w:szCs w:val="20"/>
          <w:color w:val="auto"/>
        </w:rPr>
        <w:tab/>
      </w:r>
      <w:r>
        <w:rPr>
          <w:rFonts w:ascii="Arial" w:cs="Arial" w:eastAsia="Arial" w:hAnsi="Arial"/>
          <w:sz w:val="15"/>
          <w:szCs w:val="15"/>
          <w:b w:val="1"/>
          <w:bCs w:val="1"/>
          <w:u w:val="single" w:color="auto"/>
          <w:color w:val="auto"/>
        </w:rPr>
        <w:t>Indebtedness</w:t>
      </w:r>
    </w:p>
    <w:p>
      <w:pPr>
        <w:spacing w:after="0" w:line="96" w:lineRule="exact"/>
        <w:rPr>
          <w:sz w:val="20"/>
          <w:szCs w:val="20"/>
          <w:color w:val="auto"/>
        </w:rPr>
      </w:pPr>
    </w:p>
    <w:p>
      <w:pPr>
        <w:ind w:left="900" w:hanging="446"/>
        <w:spacing w:after="0"/>
        <w:tabs>
          <w:tab w:leader="none" w:pos="9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$165 million of Integra LifeSciences Holdings Corporation 2.375% Senior Convertible Notes due 2012.</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7.03(e)</w:t>
      </w:r>
      <w:r>
        <w:rPr>
          <w:sz w:val="20"/>
          <w:szCs w:val="20"/>
          <w:color w:val="auto"/>
        </w:rPr>
        <w:tab/>
      </w:r>
      <w:r>
        <w:rPr>
          <w:rFonts w:ascii="Arial" w:cs="Arial" w:eastAsia="Arial" w:hAnsi="Arial"/>
          <w:sz w:val="15"/>
          <w:szCs w:val="15"/>
          <w:b w:val="1"/>
          <w:bCs w:val="1"/>
          <w:u w:val="single" w:color="auto"/>
          <w:color w:val="auto"/>
        </w:rPr>
        <w:t>Intercompany Loans</w:t>
      </w:r>
    </w:p>
    <w:p>
      <w:pPr>
        <w:spacing w:after="0" w:line="96" w:lineRule="exact"/>
        <w:rPr>
          <w:sz w:val="20"/>
          <w:szCs w:val="20"/>
          <w:color w:val="auto"/>
        </w:rPr>
      </w:pPr>
    </w:p>
    <w:p>
      <w:pPr>
        <w:ind w:left="900" w:right="20" w:hanging="446"/>
        <w:spacing w:after="0" w:line="268" w:lineRule="auto"/>
        <w:tabs>
          <w:tab w:leader="none" w:pos="9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Intercompany loans made from time to time under an Intercompany Investment and Pooling Agreement dated as of March 1, 2010 among Integra LifeSciences Shared Services (Ireland) Limited and the Pooling Participants.</w:t>
      </w:r>
    </w:p>
    <w:p>
      <w:pPr>
        <w:spacing w:after="0" w:line="5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Intercompany loans made from time to time under an Intercompany Investment and Pooling Agreement dated as of April 15, 2010 among Integra LifeSciences Corporation and the Pooling Participants.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See the attached list of other intercompany loans outstanding as of June 6, 2011.</w:t>
      </w:r>
    </w:p>
    <w:p>
      <w:pPr>
        <w:sectPr>
          <w:pgSz w:w="11900" w:h="16838" w:orient="portrait"/>
          <w:cols w:equalWidth="0" w:num="1">
            <w:col w:w="11420"/>
          </w:cols>
          <w:pgMar w:left="240" w:top="274" w:right="23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183640" cy="44577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clrChange>
                        <a:clrFrom>
                          <a:srgbClr val="FFFFFF"/>
                        </a:clrFrom>
                        <a:clrTo>
                          <a:srgbClr val="FFFFFF">
                            <a:alpha val="0"/>
                          </a:srgbClr>
                        </a:clrTo>
                      </a:clrChange>
                      <a:extLst>
                        <a:ext uri="{28A0092B-C50C-407E-A947-70E740481C1C}"/>
                      </a:extLst>
                    </a:blip>
                    <a:srcRect/>
                    <a:stretch>
                      <a:fillRect/>
                    </a:stretch>
                  </pic:blipFill>
                  <pic:spPr bwMode="auto">
                    <a:xfrm>
                      <a:off x="0" y="0"/>
                      <a:ext cx="1183640" cy="445770"/>
                    </a:xfrm>
                    <a:prstGeom prst="rect">
                      <a:avLst/>
                    </a:prstGeom>
                    <a:noFill/>
                  </pic:spPr>
                </pic:pic>
              </a:graphicData>
            </a:graphic>
          </wp:anchor>
        </w:drawing>
        <w:t>Outstanding IC Loans—Sort By Borrower Co #</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May 31, 2011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80" w:type="dxa"/>
            <w:vAlign w:val="bottom"/>
            <w:tcBorders>
              <w:top w:val="single" w:sz="8" w:color="auto"/>
              <w:left w:val="single" w:sz="8" w:color="auto"/>
            </w:tcBorders>
          </w:tcPr>
          <w:p>
            <w:pPr>
              <w:spacing w:after="0"/>
              <w:rPr>
                <w:sz w:val="12"/>
                <w:szCs w:val="12"/>
                <w:color w:val="auto"/>
              </w:rPr>
            </w:pPr>
          </w:p>
        </w:tc>
        <w:tc>
          <w:tcPr>
            <w:tcW w:w="600" w:type="dxa"/>
            <w:vAlign w:val="bottom"/>
            <w:tcBorders>
              <w:top w:val="single" w:sz="8" w:color="auto"/>
            </w:tcBorders>
          </w:tcPr>
          <w:p>
            <w:pPr>
              <w:jc w:val="right"/>
              <w:ind w:right="112"/>
              <w:spacing w:after="0" w:line="149" w:lineRule="exact"/>
              <w:rPr>
                <w:sz w:val="20"/>
                <w:szCs w:val="20"/>
                <w:color w:val="auto"/>
              </w:rPr>
            </w:pPr>
            <w:r>
              <w:rPr>
                <w:rFonts w:ascii="Arial" w:cs="Arial" w:eastAsia="Arial" w:hAnsi="Arial"/>
                <w:sz w:val="14"/>
                <w:szCs w:val="14"/>
                <w:b w:val="1"/>
                <w:bCs w:val="1"/>
                <w:color w:val="auto"/>
              </w:rPr>
              <w:t>Loan</w:t>
            </w:r>
          </w:p>
        </w:tc>
        <w:tc>
          <w:tcPr>
            <w:tcW w:w="680" w:type="dxa"/>
            <w:vAlign w:val="bottom"/>
            <w:tcBorders>
              <w:top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rPr>
              <w:t>Maturity</w:t>
            </w:r>
          </w:p>
        </w:tc>
        <w:tc>
          <w:tcPr>
            <w:tcW w:w="52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5"/>
              </w:rPr>
              <w:t>Repaid</w:t>
            </w:r>
          </w:p>
        </w:tc>
        <w:tc>
          <w:tcPr>
            <w:tcW w:w="2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ind w:left="300"/>
              <w:spacing w:after="0" w:line="149" w:lineRule="exact"/>
              <w:rPr>
                <w:sz w:val="20"/>
                <w:szCs w:val="20"/>
                <w:color w:val="auto"/>
              </w:rPr>
            </w:pPr>
            <w:r>
              <w:rPr>
                <w:rFonts w:ascii="Arial" w:cs="Arial" w:eastAsia="Arial" w:hAnsi="Arial"/>
                <w:sz w:val="14"/>
                <w:szCs w:val="14"/>
                <w:b w:val="1"/>
                <w:bCs w:val="1"/>
                <w:color w:val="auto"/>
              </w:rPr>
              <w:t>Interest</w:t>
            </w:r>
          </w:p>
        </w:tc>
        <w:tc>
          <w:tcPr>
            <w:tcW w:w="13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Ref</w:t>
            </w: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Date</w:t>
            </w: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Date</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212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Borrower</w:t>
            </w: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Co #</w:t>
            </w:r>
          </w:p>
        </w:tc>
        <w:tc>
          <w:tcPr>
            <w:tcW w:w="206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Lendor</w:t>
            </w:r>
          </w:p>
        </w:tc>
        <w:tc>
          <w:tcPr>
            <w:tcW w:w="6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Co #</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Amount</w:t>
            </w:r>
          </w:p>
        </w:tc>
        <w:tc>
          <w:tcPr>
            <w:tcW w:w="102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Rate</w:t>
            </w:r>
          </w:p>
        </w:tc>
        <w:tc>
          <w:tcPr>
            <w:tcW w:w="13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Disposition</w:t>
            </w:r>
          </w:p>
        </w:tc>
        <w:tc>
          <w:tcPr>
            <w:tcW w:w="20" w:type="dxa"/>
            <w:vAlign w:val="bottom"/>
            <w:tcBorders>
              <w:bottom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80" w:type="dxa"/>
            <w:vAlign w:val="bottom"/>
            <w:tcBorders>
              <w:left w:val="single" w:sz="8" w:color="CCEEFF"/>
            </w:tcBorders>
            <w:shd w:val="clear" w:color="auto" w:fill="CCEEFF"/>
          </w:tcPr>
          <w:p>
            <w:pPr>
              <w:spacing w:after="0" w:line="131" w:lineRule="exact"/>
              <w:rPr>
                <w:sz w:val="20"/>
                <w:szCs w:val="20"/>
                <w:color w:val="auto"/>
              </w:rPr>
            </w:pPr>
            <w:r>
              <w:rPr>
                <w:rFonts w:ascii="Arial" w:cs="Arial" w:eastAsia="Arial" w:hAnsi="Arial"/>
                <w:sz w:val="14"/>
                <w:szCs w:val="14"/>
                <w:color w:val="auto"/>
              </w:rPr>
              <w:t>H</w:t>
            </w:r>
          </w:p>
        </w:tc>
        <w:tc>
          <w:tcPr>
            <w:tcW w:w="600" w:type="dxa"/>
            <w:vAlign w:val="bottom"/>
            <w:shd w:val="clear" w:color="auto" w:fill="CCEEFF"/>
          </w:tcPr>
          <w:p>
            <w:pPr>
              <w:jc w:val="right"/>
              <w:ind w:right="12"/>
              <w:spacing w:after="0" w:line="131" w:lineRule="exact"/>
              <w:rPr>
                <w:sz w:val="20"/>
                <w:szCs w:val="20"/>
                <w:color w:val="auto"/>
              </w:rPr>
            </w:pPr>
            <w:r>
              <w:rPr>
                <w:rFonts w:ascii="Arial" w:cs="Arial" w:eastAsia="Arial" w:hAnsi="Arial"/>
                <w:sz w:val="14"/>
                <w:szCs w:val="14"/>
                <w:color w:val="auto"/>
              </w:rPr>
              <w:t>5.12.06</w:t>
            </w:r>
          </w:p>
        </w:tc>
        <w:tc>
          <w:tcPr>
            <w:tcW w:w="680" w:type="dxa"/>
            <w:vAlign w:val="bottom"/>
            <w:shd w:val="clear" w:color="auto" w:fill="CCEEFF"/>
          </w:tcPr>
          <w:p>
            <w:pPr>
              <w:jc w:val="right"/>
              <w:ind w:right="12"/>
              <w:spacing w:after="0" w:line="131" w:lineRule="exact"/>
              <w:rPr>
                <w:sz w:val="20"/>
                <w:szCs w:val="20"/>
                <w:color w:val="auto"/>
              </w:rPr>
            </w:pPr>
            <w:r>
              <w:rPr>
                <w:rFonts w:ascii="Arial" w:cs="Arial" w:eastAsia="Arial" w:hAnsi="Arial"/>
                <w:sz w:val="14"/>
                <w:szCs w:val="14"/>
                <w:color w:val="auto"/>
              </w:rPr>
              <w:t>5.12.16</w:t>
            </w:r>
          </w:p>
        </w:tc>
        <w:tc>
          <w:tcPr>
            <w:tcW w:w="520" w:type="dxa"/>
            <w:vAlign w:val="bottom"/>
            <w:shd w:val="clear" w:color="auto" w:fill="CCEEFF"/>
          </w:tcPr>
          <w:p>
            <w:pPr>
              <w:spacing w:after="0"/>
              <w:rPr>
                <w:sz w:val="11"/>
                <w:szCs w:val="11"/>
                <w:color w:val="auto"/>
              </w:rPr>
            </w:pPr>
          </w:p>
        </w:tc>
        <w:tc>
          <w:tcPr>
            <w:tcW w:w="2120" w:type="dxa"/>
            <w:vAlign w:val="bottom"/>
            <w:shd w:val="clear" w:color="auto" w:fill="CCEEFF"/>
          </w:tcPr>
          <w:p>
            <w:pPr>
              <w:ind w:left="60"/>
              <w:spacing w:after="0" w:line="131" w:lineRule="exact"/>
              <w:rPr>
                <w:sz w:val="20"/>
                <w:szCs w:val="20"/>
                <w:color w:val="auto"/>
              </w:rPr>
            </w:pPr>
            <w:r>
              <w:rPr>
                <w:rFonts w:ascii="Arial" w:cs="Arial" w:eastAsia="Arial" w:hAnsi="Arial"/>
                <w:sz w:val="14"/>
                <w:szCs w:val="14"/>
                <w:color w:val="auto"/>
              </w:rPr>
              <w:t>Integra LifeSciences Corporation</w:t>
            </w:r>
          </w:p>
        </w:tc>
        <w:tc>
          <w:tcPr>
            <w:tcW w:w="460" w:type="dxa"/>
            <w:vAlign w:val="bottom"/>
            <w:shd w:val="clear" w:color="auto" w:fill="CCEEFF"/>
          </w:tcPr>
          <w:p>
            <w:pPr>
              <w:jc w:val="right"/>
              <w:ind w:right="12"/>
              <w:spacing w:after="0" w:line="131" w:lineRule="exact"/>
              <w:rPr>
                <w:sz w:val="20"/>
                <w:szCs w:val="20"/>
                <w:color w:val="auto"/>
              </w:rPr>
            </w:pPr>
            <w:r>
              <w:rPr>
                <w:rFonts w:ascii="Arial" w:cs="Arial" w:eastAsia="Arial" w:hAnsi="Arial"/>
                <w:sz w:val="14"/>
                <w:szCs w:val="14"/>
                <w:color w:val="auto"/>
              </w:rPr>
              <w:t>1115</w:t>
            </w:r>
          </w:p>
        </w:tc>
        <w:tc>
          <w:tcPr>
            <w:tcW w:w="2060" w:type="dxa"/>
            <w:vAlign w:val="bottom"/>
            <w:shd w:val="clear" w:color="auto" w:fill="CCEEFF"/>
          </w:tcPr>
          <w:p>
            <w:pPr>
              <w:ind w:left="80"/>
              <w:spacing w:after="0" w:line="131" w:lineRule="exact"/>
              <w:rPr>
                <w:sz w:val="20"/>
                <w:szCs w:val="20"/>
                <w:color w:val="auto"/>
              </w:rPr>
            </w:pPr>
            <w:r>
              <w:rPr>
                <w:rFonts w:ascii="Arial" w:cs="Arial" w:eastAsia="Arial" w:hAnsi="Arial"/>
                <w:sz w:val="14"/>
                <w:szCs w:val="14"/>
                <w:color w:val="auto"/>
              </w:rPr>
              <w:t>Integra LifeSciences Holdings</w:t>
            </w:r>
          </w:p>
        </w:tc>
        <w:tc>
          <w:tcPr>
            <w:tcW w:w="600" w:type="dxa"/>
            <w:vAlign w:val="bottom"/>
            <w:shd w:val="clear" w:color="auto" w:fill="CCEEFF"/>
          </w:tcPr>
          <w:p>
            <w:pPr>
              <w:jc w:val="right"/>
              <w:ind w:right="112"/>
              <w:spacing w:after="0" w:line="131" w:lineRule="exact"/>
              <w:rPr>
                <w:sz w:val="20"/>
                <w:szCs w:val="20"/>
                <w:color w:val="auto"/>
              </w:rPr>
            </w:pPr>
            <w:r>
              <w:rPr>
                <w:rFonts w:ascii="Arial" w:cs="Arial" w:eastAsia="Arial" w:hAnsi="Arial"/>
                <w:sz w:val="14"/>
                <w:szCs w:val="14"/>
                <w:color w:val="auto"/>
              </w:rPr>
              <w:t>1105</w:t>
            </w:r>
          </w:p>
        </w:tc>
        <w:tc>
          <w:tcPr>
            <w:tcW w:w="540" w:type="dxa"/>
            <w:vAlign w:val="bottom"/>
            <w:shd w:val="clear" w:color="auto" w:fill="CCEEFF"/>
          </w:tcPr>
          <w:p>
            <w:pPr>
              <w:jc w:val="right"/>
              <w:ind w:right="12"/>
              <w:spacing w:after="0" w:line="131" w:lineRule="exact"/>
              <w:rPr>
                <w:sz w:val="20"/>
                <w:szCs w:val="20"/>
                <w:color w:val="auto"/>
              </w:rPr>
            </w:pPr>
            <w:r>
              <w:rPr>
                <w:rFonts w:ascii="Arial" w:cs="Arial" w:eastAsia="Arial" w:hAnsi="Arial"/>
                <w:sz w:val="14"/>
                <w:szCs w:val="14"/>
                <w:color w:val="auto"/>
              </w:rPr>
              <w:t>USD</w:t>
            </w:r>
          </w:p>
        </w:tc>
        <w:tc>
          <w:tcPr>
            <w:tcW w:w="16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w w:val="84"/>
              </w:rPr>
              <w:t>101,000,000.00</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ind w:left="60"/>
              <w:spacing w:after="0" w:line="131" w:lineRule="exact"/>
              <w:rPr>
                <w:sz w:val="20"/>
                <w:szCs w:val="20"/>
                <w:color w:val="auto"/>
              </w:rPr>
            </w:pPr>
            <w:r>
              <w:rPr>
                <w:rFonts w:ascii="Arial" w:cs="Arial" w:eastAsia="Arial" w:hAnsi="Arial"/>
                <w:sz w:val="14"/>
                <w:szCs w:val="14"/>
                <w:color w:val="auto"/>
                <w:w w:val="98"/>
              </w:rPr>
              <w:t>8.75% annually</w:t>
            </w:r>
          </w:p>
        </w:tc>
        <w:tc>
          <w:tcPr>
            <w:tcW w:w="1320" w:type="dxa"/>
            <w:vAlign w:val="bottom"/>
            <w:shd w:val="clear" w:color="auto" w:fill="CCEEFF"/>
          </w:tcPr>
          <w:p>
            <w:pPr>
              <w:ind w:left="60"/>
              <w:spacing w:after="0" w:line="131" w:lineRule="exact"/>
              <w:rPr>
                <w:sz w:val="20"/>
                <w:szCs w:val="20"/>
                <w:color w:val="auto"/>
              </w:rPr>
            </w:pPr>
            <w:r>
              <w:rPr>
                <w:rFonts w:ascii="Arial" w:cs="Arial" w:eastAsia="Arial" w:hAnsi="Arial"/>
                <w:sz w:val="14"/>
                <w:szCs w:val="14"/>
                <w:color w:val="auto"/>
              </w:rPr>
              <w:t>Purchase of Miltex</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Borders>
              <w:left w:val="single" w:sz="8" w:color="CCEEFF"/>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6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Corporation</w:t>
            </w:r>
          </w:p>
        </w:tc>
        <w:tc>
          <w:tcPr>
            <w:tcW w:w="6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32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Holdings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 w:type="dxa"/>
            <w:vAlign w:val="bottom"/>
          </w:tcPr>
          <w:p>
            <w:pPr>
              <w:spacing w:after="0" w:line="138" w:lineRule="exact"/>
              <w:rPr>
                <w:sz w:val="20"/>
                <w:szCs w:val="20"/>
                <w:color w:val="auto"/>
              </w:rPr>
            </w:pPr>
            <w:r>
              <w:rPr>
                <w:rFonts w:ascii="Arial" w:cs="Arial" w:eastAsia="Arial" w:hAnsi="Arial"/>
                <w:sz w:val="14"/>
                <w:szCs w:val="14"/>
                <w:color w:val="auto"/>
              </w:rPr>
              <w:t>I</w:t>
            </w:r>
          </w:p>
        </w:tc>
        <w:tc>
          <w:tcPr>
            <w:tcW w:w="600" w:type="dxa"/>
            <w:vAlign w:val="bottom"/>
          </w:tcPr>
          <w:p>
            <w:pPr>
              <w:jc w:val="right"/>
              <w:ind w:right="12"/>
              <w:spacing w:after="0" w:line="138" w:lineRule="exact"/>
              <w:rPr>
                <w:sz w:val="20"/>
                <w:szCs w:val="20"/>
                <w:color w:val="auto"/>
              </w:rPr>
            </w:pPr>
            <w:r>
              <w:rPr>
                <w:rFonts w:ascii="Arial" w:cs="Arial" w:eastAsia="Arial" w:hAnsi="Arial"/>
                <w:sz w:val="14"/>
                <w:szCs w:val="14"/>
                <w:color w:val="auto"/>
              </w:rPr>
              <w:t>7.05.06</w:t>
            </w:r>
          </w:p>
        </w:tc>
        <w:tc>
          <w:tcPr>
            <w:tcW w:w="680" w:type="dxa"/>
            <w:vAlign w:val="bottom"/>
          </w:tcPr>
          <w:p>
            <w:pPr>
              <w:jc w:val="right"/>
              <w:ind w:right="12"/>
              <w:spacing w:after="0" w:line="138" w:lineRule="exact"/>
              <w:rPr>
                <w:sz w:val="20"/>
                <w:szCs w:val="20"/>
                <w:color w:val="auto"/>
              </w:rPr>
            </w:pPr>
            <w:r>
              <w:rPr>
                <w:rFonts w:ascii="Arial" w:cs="Arial" w:eastAsia="Arial" w:hAnsi="Arial"/>
                <w:sz w:val="14"/>
                <w:szCs w:val="14"/>
                <w:color w:val="auto"/>
              </w:rPr>
              <w:t>7.05.11</w:t>
            </w:r>
          </w:p>
        </w:tc>
        <w:tc>
          <w:tcPr>
            <w:tcW w:w="520" w:type="dxa"/>
            <w:vAlign w:val="bottom"/>
          </w:tcPr>
          <w:p>
            <w:pPr>
              <w:spacing w:after="0"/>
              <w:rPr>
                <w:sz w:val="11"/>
                <w:szCs w:val="11"/>
                <w:color w:val="auto"/>
              </w:rPr>
            </w:pPr>
          </w:p>
        </w:tc>
        <w:tc>
          <w:tcPr>
            <w:tcW w:w="2120" w:type="dxa"/>
            <w:vAlign w:val="bottom"/>
          </w:tcPr>
          <w:p>
            <w:pPr>
              <w:ind w:left="60"/>
              <w:spacing w:after="0" w:line="138" w:lineRule="exact"/>
              <w:rPr>
                <w:sz w:val="20"/>
                <w:szCs w:val="20"/>
                <w:color w:val="auto"/>
              </w:rPr>
            </w:pPr>
            <w:r>
              <w:rPr>
                <w:rFonts w:ascii="Arial" w:cs="Arial" w:eastAsia="Arial" w:hAnsi="Arial"/>
                <w:sz w:val="14"/>
                <w:szCs w:val="14"/>
                <w:color w:val="auto"/>
              </w:rPr>
              <w:t>Integra LifeSciences Corporation</w:t>
            </w:r>
          </w:p>
        </w:tc>
        <w:tc>
          <w:tcPr>
            <w:tcW w:w="460" w:type="dxa"/>
            <w:vAlign w:val="bottom"/>
          </w:tcPr>
          <w:p>
            <w:pPr>
              <w:jc w:val="right"/>
              <w:ind w:right="12"/>
              <w:spacing w:after="0" w:line="138" w:lineRule="exact"/>
              <w:rPr>
                <w:sz w:val="20"/>
                <w:szCs w:val="20"/>
                <w:color w:val="auto"/>
              </w:rPr>
            </w:pPr>
            <w:r>
              <w:rPr>
                <w:rFonts w:ascii="Arial" w:cs="Arial" w:eastAsia="Arial" w:hAnsi="Arial"/>
                <w:sz w:val="14"/>
                <w:szCs w:val="14"/>
                <w:color w:val="auto"/>
              </w:rPr>
              <w:t>1115</w:t>
            </w:r>
          </w:p>
        </w:tc>
        <w:tc>
          <w:tcPr>
            <w:tcW w:w="2060" w:type="dxa"/>
            <w:vAlign w:val="bottom"/>
          </w:tcPr>
          <w:p>
            <w:pPr>
              <w:ind w:left="80"/>
              <w:spacing w:after="0" w:line="138" w:lineRule="exact"/>
              <w:rPr>
                <w:sz w:val="20"/>
                <w:szCs w:val="20"/>
                <w:color w:val="auto"/>
              </w:rPr>
            </w:pPr>
            <w:r>
              <w:rPr>
                <w:rFonts w:ascii="Arial" w:cs="Arial" w:eastAsia="Arial" w:hAnsi="Arial"/>
                <w:sz w:val="14"/>
                <w:szCs w:val="14"/>
                <w:color w:val="auto"/>
              </w:rPr>
              <w:t>Integra LifeSciences Holdings</w:t>
            </w:r>
          </w:p>
        </w:tc>
        <w:tc>
          <w:tcPr>
            <w:tcW w:w="600" w:type="dxa"/>
            <w:vAlign w:val="bottom"/>
          </w:tcPr>
          <w:p>
            <w:pPr>
              <w:jc w:val="right"/>
              <w:ind w:right="112"/>
              <w:spacing w:after="0" w:line="138" w:lineRule="exact"/>
              <w:rPr>
                <w:sz w:val="20"/>
                <w:szCs w:val="20"/>
                <w:color w:val="auto"/>
              </w:rPr>
            </w:pPr>
            <w:r>
              <w:rPr>
                <w:rFonts w:ascii="Arial" w:cs="Arial" w:eastAsia="Arial" w:hAnsi="Arial"/>
                <w:sz w:val="14"/>
                <w:szCs w:val="14"/>
                <w:color w:val="auto"/>
              </w:rPr>
              <w:t>1105</w:t>
            </w:r>
          </w:p>
        </w:tc>
        <w:tc>
          <w:tcPr>
            <w:tcW w:w="540" w:type="dxa"/>
            <w:vAlign w:val="bottom"/>
          </w:tcPr>
          <w:p>
            <w:pPr>
              <w:jc w:val="right"/>
              <w:ind w:right="12"/>
              <w:spacing w:after="0" w:line="138" w:lineRule="exact"/>
              <w:rPr>
                <w:sz w:val="20"/>
                <w:szCs w:val="20"/>
                <w:color w:val="auto"/>
              </w:rPr>
            </w:pPr>
            <w:r>
              <w:rPr>
                <w:rFonts w:ascii="Arial" w:cs="Arial" w:eastAsia="Arial" w:hAnsi="Arial"/>
                <w:sz w:val="14"/>
                <w:szCs w:val="14"/>
                <w:color w:val="auto"/>
              </w:rPr>
              <w:t>USD</w:t>
            </w:r>
          </w:p>
        </w:tc>
        <w:tc>
          <w:tcPr>
            <w:tcW w:w="1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38" w:lineRule="exact"/>
              <w:rPr>
                <w:sz w:val="20"/>
                <w:szCs w:val="20"/>
                <w:color w:val="auto"/>
              </w:rPr>
            </w:pPr>
            <w:r>
              <w:rPr>
                <w:rFonts w:ascii="Arial" w:cs="Arial" w:eastAsia="Arial" w:hAnsi="Arial"/>
                <w:sz w:val="14"/>
                <w:szCs w:val="14"/>
                <w:color w:val="auto"/>
              </w:rPr>
              <w:t>6,000,000.00</w:t>
            </w:r>
          </w:p>
        </w:tc>
        <w:tc>
          <w:tcPr>
            <w:tcW w:w="100" w:type="dxa"/>
            <w:vAlign w:val="bottom"/>
          </w:tcPr>
          <w:p>
            <w:pPr>
              <w:spacing w:after="0"/>
              <w:rPr>
                <w:sz w:val="11"/>
                <w:szCs w:val="11"/>
                <w:color w:val="auto"/>
              </w:rPr>
            </w:pPr>
          </w:p>
        </w:tc>
        <w:tc>
          <w:tcPr>
            <w:tcW w:w="1020" w:type="dxa"/>
            <w:vAlign w:val="bottom"/>
          </w:tcPr>
          <w:p>
            <w:pPr>
              <w:ind w:left="60"/>
              <w:spacing w:after="0" w:line="138" w:lineRule="exact"/>
              <w:rPr>
                <w:sz w:val="20"/>
                <w:szCs w:val="20"/>
                <w:color w:val="auto"/>
              </w:rPr>
            </w:pPr>
            <w:r>
              <w:rPr>
                <w:rFonts w:ascii="Arial" w:cs="Arial" w:eastAsia="Arial" w:hAnsi="Arial"/>
                <w:sz w:val="14"/>
                <w:szCs w:val="14"/>
                <w:color w:val="auto"/>
              </w:rPr>
              <w:t>7.5% annually</w:t>
            </w:r>
          </w:p>
        </w:tc>
        <w:tc>
          <w:tcPr>
            <w:tcW w:w="1320" w:type="dxa"/>
            <w:vAlign w:val="bottom"/>
          </w:tcPr>
          <w:p>
            <w:pPr>
              <w:ind w:left="60"/>
              <w:spacing w:after="0" w:line="138" w:lineRule="exact"/>
              <w:rPr>
                <w:sz w:val="20"/>
                <w:szCs w:val="20"/>
                <w:color w:val="auto"/>
              </w:rPr>
            </w:pPr>
            <w:r>
              <w:rPr>
                <w:rFonts w:ascii="Arial" w:cs="Arial" w:eastAsia="Arial" w:hAnsi="Arial"/>
                <w:sz w:val="14"/>
                <w:szCs w:val="14"/>
                <w:color w:val="auto"/>
              </w:rPr>
              <w:t>Interest due at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60" w:type="dxa"/>
            <w:vAlign w:val="bottom"/>
          </w:tcPr>
          <w:p>
            <w:pPr>
              <w:ind w:left="80"/>
              <w:spacing w:after="0" w:line="159" w:lineRule="exact"/>
              <w:rPr>
                <w:sz w:val="20"/>
                <w:szCs w:val="20"/>
                <w:color w:val="auto"/>
              </w:rPr>
            </w:pPr>
            <w:r>
              <w:rPr>
                <w:rFonts w:ascii="Arial" w:cs="Arial" w:eastAsia="Arial" w:hAnsi="Arial"/>
                <w:sz w:val="14"/>
                <w:szCs w:val="14"/>
                <w:color w:val="auto"/>
              </w:rPr>
              <w:t>Corporation</w:t>
            </w: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20" w:type="dxa"/>
            <w:vAlign w:val="bottom"/>
          </w:tcPr>
          <w:p>
            <w:pPr>
              <w:ind w:left="60"/>
              <w:spacing w:after="0" w:line="159" w:lineRule="exact"/>
              <w:rPr>
                <w:sz w:val="20"/>
                <w:szCs w:val="20"/>
                <w:color w:val="auto"/>
              </w:rPr>
            </w:pPr>
            <w:r>
              <w:rPr>
                <w:rFonts w:ascii="Arial" w:cs="Arial" w:eastAsia="Arial" w:hAnsi="Arial"/>
                <w:sz w:val="14"/>
                <w:szCs w:val="14"/>
                <w:color w:val="auto"/>
              </w:rPr>
              <w:t>Maturity.</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 w:type="dxa"/>
            <w:vAlign w:val="bottom"/>
            <w:tcBorders>
              <w:lef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L</w:t>
            </w:r>
          </w:p>
        </w:tc>
        <w:tc>
          <w:tcPr>
            <w:tcW w:w="60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7.31.06</w:t>
            </w:r>
          </w:p>
        </w:tc>
        <w:tc>
          <w:tcPr>
            <w:tcW w:w="6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7.31.11</w:t>
            </w:r>
          </w:p>
        </w:tc>
        <w:tc>
          <w:tcPr>
            <w:tcW w:w="520" w:type="dxa"/>
            <w:vAlign w:val="bottom"/>
            <w:shd w:val="clear" w:color="auto" w:fill="CCEEFF"/>
          </w:tcPr>
          <w:p>
            <w:pPr>
              <w:spacing w:after="0"/>
              <w:rPr>
                <w:sz w:val="11"/>
                <w:szCs w:val="11"/>
                <w:color w:val="auto"/>
              </w:rPr>
            </w:pPr>
          </w:p>
        </w:tc>
        <w:tc>
          <w:tcPr>
            <w:tcW w:w="21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Integra LifeSciences Corporation</w:t>
            </w:r>
          </w:p>
        </w:tc>
        <w:tc>
          <w:tcPr>
            <w:tcW w:w="46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1115</w:t>
            </w:r>
          </w:p>
        </w:tc>
        <w:tc>
          <w:tcPr>
            <w:tcW w:w="206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Integra LifeSciences Holdings</w:t>
            </w:r>
          </w:p>
        </w:tc>
        <w:tc>
          <w:tcPr>
            <w:tcW w:w="600" w:type="dxa"/>
            <w:vAlign w:val="bottom"/>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rPr>
              <w:t>1105</w:t>
            </w:r>
          </w:p>
        </w:tc>
        <w:tc>
          <w:tcPr>
            <w:tcW w:w="54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USD</w:t>
            </w:r>
          </w:p>
        </w:tc>
        <w:tc>
          <w:tcPr>
            <w:tcW w:w="1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1"/>
              </w:rPr>
              <w:t>39,515,000.00</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7.5% annually</w:t>
            </w:r>
          </w:p>
        </w:tc>
        <w:tc>
          <w:tcPr>
            <w:tcW w:w="13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w w:val="93"/>
              </w:rPr>
              <w:t>Purchase of Kintekos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Borders>
              <w:left w:val="single" w:sz="8" w:color="CCEEFF"/>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6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Corporation</w:t>
            </w:r>
          </w:p>
        </w:tc>
        <w:tc>
          <w:tcPr>
            <w:tcW w:w="6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32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Medical, Inc.</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 w:type="dxa"/>
            <w:vAlign w:val="bottom"/>
          </w:tcPr>
          <w:p>
            <w:pPr>
              <w:spacing w:after="0" w:line="138" w:lineRule="exact"/>
              <w:rPr>
                <w:sz w:val="20"/>
                <w:szCs w:val="20"/>
                <w:color w:val="auto"/>
              </w:rPr>
            </w:pPr>
            <w:r>
              <w:rPr>
                <w:rFonts w:ascii="Arial" w:cs="Arial" w:eastAsia="Arial" w:hAnsi="Arial"/>
                <w:sz w:val="14"/>
                <w:szCs w:val="14"/>
                <w:color w:val="auto"/>
              </w:rPr>
              <w:t>P</w:t>
            </w:r>
          </w:p>
        </w:tc>
        <w:tc>
          <w:tcPr>
            <w:tcW w:w="60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1"/>
              </w:rPr>
              <w:t>12.31.06</w:t>
            </w:r>
          </w:p>
        </w:tc>
        <w:tc>
          <w:tcPr>
            <w:tcW w:w="680" w:type="dxa"/>
            <w:vAlign w:val="bottom"/>
          </w:tcPr>
          <w:p>
            <w:pPr>
              <w:jc w:val="right"/>
              <w:ind w:right="12"/>
              <w:spacing w:after="0" w:line="138" w:lineRule="exact"/>
              <w:rPr>
                <w:sz w:val="20"/>
                <w:szCs w:val="20"/>
                <w:color w:val="auto"/>
              </w:rPr>
            </w:pPr>
            <w:r>
              <w:rPr>
                <w:rFonts w:ascii="Arial" w:cs="Arial" w:eastAsia="Arial" w:hAnsi="Arial"/>
                <w:sz w:val="14"/>
                <w:szCs w:val="14"/>
                <w:color w:val="auto"/>
              </w:rPr>
              <w:t>12.31.11</w:t>
            </w:r>
          </w:p>
        </w:tc>
        <w:tc>
          <w:tcPr>
            <w:tcW w:w="520" w:type="dxa"/>
            <w:vAlign w:val="bottom"/>
          </w:tcPr>
          <w:p>
            <w:pPr>
              <w:spacing w:after="0"/>
              <w:rPr>
                <w:sz w:val="11"/>
                <w:szCs w:val="11"/>
                <w:color w:val="auto"/>
              </w:rPr>
            </w:pPr>
          </w:p>
        </w:tc>
        <w:tc>
          <w:tcPr>
            <w:tcW w:w="2120" w:type="dxa"/>
            <w:vAlign w:val="bottom"/>
          </w:tcPr>
          <w:p>
            <w:pPr>
              <w:ind w:left="60"/>
              <w:spacing w:after="0" w:line="138" w:lineRule="exact"/>
              <w:rPr>
                <w:sz w:val="20"/>
                <w:szCs w:val="20"/>
                <w:color w:val="auto"/>
              </w:rPr>
            </w:pPr>
            <w:r>
              <w:rPr>
                <w:rFonts w:ascii="Arial" w:cs="Arial" w:eastAsia="Arial" w:hAnsi="Arial"/>
                <w:sz w:val="14"/>
                <w:szCs w:val="14"/>
                <w:color w:val="auto"/>
              </w:rPr>
              <w:t>Integra LifeSciences Corporation</w:t>
            </w:r>
          </w:p>
        </w:tc>
        <w:tc>
          <w:tcPr>
            <w:tcW w:w="460" w:type="dxa"/>
            <w:vAlign w:val="bottom"/>
          </w:tcPr>
          <w:p>
            <w:pPr>
              <w:jc w:val="right"/>
              <w:ind w:right="12"/>
              <w:spacing w:after="0" w:line="138" w:lineRule="exact"/>
              <w:rPr>
                <w:sz w:val="20"/>
                <w:szCs w:val="20"/>
                <w:color w:val="auto"/>
              </w:rPr>
            </w:pPr>
            <w:r>
              <w:rPr>
                <w:rFonts w:ascii="Arial" w:cs="Arial" w:eastAsia="Arial" w:hAnsi="Arial"/>
                <w:sz w:val="14"/>
                <w:szCs w:val="14"/>
                <w:color w:val="auto"/>
              </w:rPr>
              <w:t>1115</w:t>
            </w:r>
          </w:p>
        </w:tc>
        <w:tc>
          <w:tcPr>
            <w:tcW w:w="2060" w:type="dxa"/>
            <w:vAlign w:val="bottom"/>
          </w:tcPr>
          <w:p>
            <w:pPr>
              <w:ind w:left="80"/>
              <w:spacing w:after="0" w:line="138" w:lineRule="exact"/>
              <w:rPr>
                <w:sz w:val="20"/>
                <w:szCs w:val="20"/>
                <w:color w:val="auto"/>
              </w:rPr>
            </w:pPr>
            <w:r>
              <w:rPr>
                <w:rFonts w:ascii="Arial" w:cs="Arial" w:eastAsia="Arial" w:hAnsi="Arial"/>
                <w:sz w:val="14"/>
                <w:szCs w:val="14"/>
                <w:color w:val="auto"/>
              </w:rPr>
              <w:t>Integra LifeSciences Holdings</w:t>
            </w:r>
          </w:p>
        </w:tc>
        <w:tc>
          <w:tcPr>
            <w:tcW w:w="600" w:type="dxa"/>
            <w:vAlign w:val="bottom"/>
          </w:tcPr>
          <w:p>
            <w:pPr>
              <w:jc w:val="right"/>
              <w:ind w:right="112"/>
              <w:spacing w:after="0" w:line="138" w:lineRule="exact"/>
              <w:rPr>
                <w:sz w:val="20"/>
                <w:szCs w:val="20"/>
                <w:color w:val="auto"/>
              </w:rPr>
            </w:pPr>
            <w:r>
              <w:rPr>
                <w:rFonts w:ascii="Arial" w:cs="Arial" w:eastAsia="Arial" w:hAnsi="Arial"/>
                <w:sz w:val="14"/>
                <w:szCs w:val="14"/>
                <w:color w:val="auto"/>
              </w:rPr>
              <w:t>1105</w:t>
            </w:r>
          </w:p>
        </w:tc>
        <w:tc>
          <w:tcPr>
            <w:tcW w:w="540" w:type="dxa"/>
            <w:vAlign w:val="bottom"/>
          </w:tcPr>
          <w:p>
            <w:pPr>
              <w:jc w:val="right"/>
              <w:ind w:right="12"/>
              <w:spacing w:after="0" w:line="138" w:lineRule="exact"/>
              <w:rPr>
                <w:sz w:val="20"/>
                <w:szCs w:val="20"/>
                <w:color w:val="auto"/>
              </w:rPr>
            </w:pPr>
            <w:r>
              <w:rPr>
                <w:rFonts w:ascii="Arial" w:cs="Arial" w:eastAsia="Arial" w:hAnsi="Arial"/>
                <w:sz w:val="14"/>
                <w:szCs w:val="14"/>
                <w:color w:val="auto"/>
              </w:rPr>
              <w:t>USD</w:t>
            </w:r>
          </w:p>
        </w:tc>
        <w:tc>
          <w:tcPr>
            <w:tcW w:w="1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38" w:lineRule="exact"/>
              <w:rPr>
                <w:sz w:val="20"/>
                <w:szCs w:val="20"/>
                <w:color w:val="auto"/>
              </w:rPr>
            </w:pPr>
            <w:r>
              <w:rPr>
                <w:rFonts w:ascii="Arial" w:cs="Arial" w:eastAsia="Arial" w:hAnsi="Arial"/>
                <w:sz w:val="14"/>
                <w:szCs w:val="14"/>
                <w:color w:val="auto"/>
                <w:w w:val="91"/>
              </w:rPr>
              <w:t>48,943,866.58</w:t>
            </w:r>
          </w:p>
        </w:tc>
        <w:tc>
          <w:tcPr>
            <w:tcW w:w="100" w:type="dxa"/>
            <w:vAlign w:val="bottom"/>
          </w:tcPr>
          <w:p>
            <w:pPr>
              <w:spacing w:after="0"/>
              <w:rPr>
                <w:sz w:val="11"/>
                <w:szCs w:val="11"/>
                <w:color w:val="auto"/>
              </w:rPr>
            </w:pPr>
          </w:p>
        </w:tc>
        <w:tc>
          <w:tcPr>
            <w:tcW w:w="1020" w:type="dxa"/>
            <w:vAlign w:val="bottom"/>
          </w:tcPr>
          <w:p>
            <w:pPr>
              <w:ind w:left="60"/>
              <w:spacing w:after="0" w:line="138" w:lineRule="exact"/>
              <w:rPr>
                <w:sz w:val="20"/>
                <w:szCs w:val="20"/>
                <w:color w:val="auto"/>
              </w:rPr>
            </w:pPr>
            <w:r>
              <w:rPr>
                <w:rFonts w:ascii="Arial" w:cs="Arial" w:eastAsia="Arial" w:hAnsi="Arial"/>
                <w:sz w:val="14"/>
                <w:szCs w:val="14"/>
                <w:color w:val="auto"/>
              </w:rPr>
              <w:t>7% annually</w:t>
            </w:r>
          </w:p>
        </w:tc>
        <w:tc>
          <w:tcPr>
            <w:tcW w:w="1320" w:type="dxa"/>
            <w:vAlign w:val="bottom"/>
          </w:tcPr>
          <w:p>
            <w:pPr>
              <w:ind w:left="60"/>
              <w:spacing w:after="0" w:line="138" w:lineRule="exact"/>
              <w:rPr>
                <w:sz w:val="20"/>
                <w:szCs w:val="20"/>
                <w:color w:val="auto"/>
              </w:rPr>
            </w:pPr>
            <w:r>
              <w:rPr>
                <w:rFonts w:ascii="Arial" w:cs="Arial" w:eastAsia="Arial" w:hAnsi="Arial"/>
                <w:sz w:val="14"/>
                <w:szCs w:val="14"/>
                <w:color w:val="auto"/>
              </w:rPr>
              <w:t>Interest due at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60" w:type="dxa"/>
            <w:vAlign w:val="bottom"/>
          </w:tcPr>
          <w:p>
            <w:pPr>
              <w:ind w:left="80"/>
              <w:spacing w:after="0" w:line="159" w:lineRule="exact"/>
              <w:rPr>
                <w:sz w:val="20"/>
                <w:szCs w:val="20"/>
                <w:color w:val="auto"/>
              </w:rPr>
            </w:pPr>
            <w:r>
              <w:rPr>
                <w:rFonts w:ascii="Arial" w:cs="Arial" w:eastAsia="Arial" w:hAnsi="Arial"/>
                <w:sz w:val="14"/>
                <w:szCs w:val="14"/>
                <w:color w:val="auto"/>
              </w:rPr>
              <w:t>Corporation</w:t>
            </w: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20" w:type="dxa"/>
            <w:vAlign w:val="bottom"/>
          </w:tcPr>
          <w:p>
            <w:pPr>
              <w:ind w:left="60"/>
              <w:spacing w:after="0" w:line="159" w:lineRule="exact"/>
              <w:rPr>
                <w:sz w:val="20"/>
                <w:szCs w:val="20"/>
                <w:color w:val="auto"/>
              </w:rPr>
            </w:pPr>
            <w:r>
              <w:rPr>
                <w:rFonts w:ascii="Arial" w:cs="Arial" w:eastAsia="Arial" w:hAnsi="Arial"/>
                <w:sz w:val="14"/>
                <w:szCs w:val="14"/>
                <w:color w:val="auto"/>
              </w:rPr>
              <w:t>Maturity.</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 w:type="dxa"/>
            <w:vAlign w:val="bottom"/>
            <w:tcBorders>
              <w:lef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W</w:t>
            </w:r>
          </w:p>
        </w:tc>
        <w:tc>
          <w:tcPr>
            <w:tcW w:w="60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1"/>
              </w:rPr>
              <w:t>05.07.07</w:t>
            </w:r>
          </w:p>
        </w:tc>
        <w:tc>
          <w:tcPr>
            <w:tcW w:w="6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05.07.12</w:t>
            </w:r>
          </w:p>
        </w:tc>
        <w:tc>
          <w:tcPr>
            <w:tcW w:w="520" w:type="dxa"/>
            <w:vAlign w:val="bottom"/>
            <w:shd w:val="clear" w:color="auto" w:fill="CCEEFF"/>
          </w:tcPr>
          <w:p>
            <w:pPr>
              <w:spacing w:after="0"/>
              <w:rPr>
                <w:sz w:val="11"/>
                <w:szCs w:val="11"/>
                <w:color w:val="auto"/>
              </w:rPr>
            </w:pPr>
          </w:p>
        </w:tc>
        <w:tc>
          <w:tcPr>
            <w:tcW w:w="21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Integra LifeSciences Corporation</w:t>
            </w:r>
          </w:p>
        </w:tc>
        <w:tc>
          <w:tcPr>
            <w:tcW w:w="46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1115</w:t>
            </w:r>
          </w:p>
        </w:tc>
        <w:tc>
          <w:tcPr>
            <w:tcW w:w="206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Integra LifeSciences Holdings</w:t>
            </w:r>
          </w:p>
        </w:tc>
        <w:tc>
          <w:tcPr>
            <w:tcW w:w="600" w:type="dxa"/>
            <w:vAlign w:val="bottom"/>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rPr>
              <w:t>1105</w:t>
            </w:r>
          </w:p>
        </w:tc>
        <w:tc>
          <w:tcPr>
            <w:tcW w:w="54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USD</w:t>
            </w:r>
          </w:p>
        </w:tc>
        <w:tc>
          <w:tcPr>
            <w:tcW w:w="1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1"/>
              </w:rPr>
              <w:t>30,000,000.00</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7% annually</w:t>
            </w:r>
          </w:p>
        </w:tc>
        <w:tc>
          <w:tcPr>
            <w:tcW w:w="13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Interest due at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Borders>
              <w:left w:val="single" w:sz="8" w:color="CCEEFF"/>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6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Corporation</w:t>
            </w:r>
          </w:p>
        </w:tc>
        <w:tc>
          <w:tcPr>
            <w:tcW w:w="6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32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Maturity.</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 w:type="dxa"/>
            <w:vAlign w:val="bottom"/>
          </w:tcPr>
          <w:p>
            <w:pPr>
              <w:spacing w:after="0" w:line="138" w:lineRule="exact"/>
              <w:rPr>
                <w:sz w:val="20"/>
                <w:szCs w:val="20"/>
                <w:color w:val="auto"/>
              </w:rPr>
            </w:pPr>
            <w:r>
              <w:rPr>
                <w:rFonts w:ascii="Arial" w:cs="Arial" w:eastAsia="Arial" w:hAnsi="Arial"/>
                <w:sz w:val="14"/>
                <w:szCs w:val="14"/>
                <w:color w:val="auto"/>
              </w:rPr>
              <w:t>X</w:t>
            </w:r>
          </w:p>
        </w:tc>
        <w:tc>
          <w:tcPr>
            <w:tcW w:w="60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1"/>
              </w:rPr>
              <w:t>05.11.07</w:t>
            </w:r>
          </w:p>
        </w:tc>
        <w:tc>
          <w:tcPr>
            <w:tcW w:w="680" w:type="dxa"/>
            <w:vAlign w:val="bottom"/>
          </w:tcPr>
          <w:p>
            <w:pPr>
              <w:jc w:val="right"/>
              <w:ind w:right="12"/>
              <w:spacing w:after="0" w:line="138" w:lineRule="exact"/>
              <w:rPr>
                <w:sz w:val="20"/>
                <w:szCs w:val="20"/>
                <w:color w:val="auto"/>
              </w:rPr>
            </w:pPr>
            <w:r>
              <w:rPr>
                <w:rFonts w:ascii="Arial" w:cs="Arial" w:eastAsia="Arial" w:hAnsi="Arial"/>
                <w:sz w:val="14"/>
                <w:szCs w:val="14"/>
                <w:color w:val="auto"/>
              </w:rPr>
              <w:t>05.11.12</w:t>
            </w:r>
          </w:p>
        </w:tc>
        <w:tc>
          <w:tcPr>
            <w:tcW w:w="520" w:type="dxa"/>
            <w:vAlign w:val="bottom"/>
          </w:tcPr>
          <w:p>
            <w:pPr>
              <w:spacing w:after="0"/>
              <w:rPr>
                <w:sz w:val="11"/>
                <w:szCs w:val="11"/>
                <w:color w:val="auto"/>
              </w:rPr>
            </w:pPr>
          </w:p>
        </w:tc>
        <w:tc>
          <w:tcPr>
            <w:tcW w:w="2120" w:type="dxa"/>
            <w:vAlign w:val="bottom"/>
          </w:tcPr>
          <w:p>
            <w:pPr>
              <w:ind w:left="60"/>
              <w:spacing w:after="0" w:line="138" w:lineRule="exact"/>
              <w:rPr>
                <w:sz w:val="20"/>
                <w:szCs w:val="20"/>
                <w:color w:val="auto"/>
              </w:rPr>
            </w:pPr>
            <w:r>
              <w:rPr>
                <w:rFonts w:ascii="Arial" w:cs="Arial" w:eastAsia="Arial" w:hAnsi="Arial"/>
                <w:sz w:val="14"/>
                <w:szCs w:val="14"/>
                <w:color w:val="auto"/>
              </w:rPr>
              <w:t>Integra LifeSciences Corporation</w:t>
            </w:r>
          </w:p>
        </w:tc>
        <w:tc>
          <w:tcPr>
            <w:tcW w:w="460" w:type="dxa"/>
            <w:vAlign w:val="bottom"/>
          </w:tcPr>
          <w:p>
            <w:pPr>
              <w:jc w:val="right"/>
              <w:ind w:right="12"/>
              <w:spacing w:after="0" w:line="138" w:lineRule="exact"/>
              <w:rPr>
                <w:sz w:val="20"/>
                <w:szCs w:val="20"/>
                <w:color w:val="auto"/>
              </w:rPr>
            </w:pPr>
            <w:r>
              <w:rPr>
                <w:rFonts w:ascii="Arial" w:cs="Arial" w:eastAsia="Arial" w:hAnsi="Arial"/>
                <w:sz w:val="14"/>
                <w:szCs w:val="14"/>
                <w:color w:val="auto"/>
              </w:rPr>
              <w:t>1115</w:t>
            </w:r>
          </w:p>
        </w:tc>
        <w:tc>
          <w:tcPr>
            <w:tcW w:w="2060" w:type="dxa"/>
            <w:vAlign w:val="bottom"/>
          </w:tcPr>
          <w:p>
            <w:pPr>
              <w:ind w:left="80"/>
              <w:spacing w:after="0" w:line="138" w:lineRule="exact"/>
              <w:rPr>
                <w:sz w:val="20"/>
                <w:szCs w:val="20"/>
                <w:color w:val="auto"/>
              </w:rPr>
            </w:pPr>
            <w:r>
              <w:rPr>
                <w:rFonts w:ascii="Arial" w:cs="Arial" w:eastAsia="Arial" w:hAnsi="Arial"/>
                <w:sz w:val="14"/>
                <w:szCs w:val="14"/>
                <w:color w:val="auto"/>
              </w:rPr>
              <w:t>Integra LifeSciences Holdings</w:t>
            </w:r>
          </w:p>
        </w:tc>
        <w:tc>
          <w:tcPr>
            <w:tcW w:w="600" w:type="dxa"/>
            <w:vAlign w:val="bottom"/>
          </w:tcPr>
          <w:p>
            <w:pPr>
              <w:jc w:val="right"/>
              <w:ind w:right="112"/>
              <w:spacing w:after="0" w:line="138" w:lineRule="exact"/>
              <w:rPr>
                <w:sz w:val="20"/>
                <w:szCs w:val="20"/>
                <w:color w:val="auto"/>
              </w:rPr>
            </w:pPr>
            <w:r>
              <w:rPr>
                <w:rFonts w:ascii="Arial" w:cs="Arial" w:eastAsia="Arial" w:hAnsi="Arial"/>
                <w:sz w:val="14"/>
                <w:szCs w:val="14"/>
                <w:color w:val="auto"/>
              </w:rPr>
              <w:t>1105</w:t>
            </w:r>
          </w:p>
        </w:tc>
        <w:tc>
          <w:tcPr>
            <w:tcW w:w="540" w:type="dxa"/>
            <w:vAlign w:val="bottom"/>
          </w:tcPr>
          <w:p>
            <w:pPr>
              <w:jc w:val="right"/>
              <w:ind w:right="12"/>
              <w:spacing w:after="0" w:line="138" w:lineRule="exact"/>
              <w:rPr>
                <w:sz w:val="20"/>
                <w:szCs w:val="20"/>
                <w:color w:val="auto"/>
              </w:rPr>
            </w:pPr>
            <w:r>
              <w:rPr>
                <w:rFonts w:ascii="Arial" w:cs="Arial" w:eastAsia="Arial" w:hAnsi="Arial"/>
                <w:sz w:val="14"/>
                <w:szCs w:val="14"/>
                <w:color w:val="auto"/>
              </w:rPr>
              <w:t>USD</w:t>
            </w:r>
          </w:p>
        </w:tc>
        <w:tc>
          <w:tcPr>
            <w:tcW w:w="1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38" w:lineRule="exact"/>
              <w:rPr>
                <w:sz w:val="20"/>
                <w:szCs w:val="20"/>
                <w:color w:val="auto"/>
              </w:rPr>
            </w:pPr>
            <w:r>
              <w:rPr>
                <w:rFonts w:ascii="Arial" w:cs="Arial" w:eastAsia="Arial" w:hAnsi="Arial"/>
                <w:sz w:val="14"/>
                <w:szCs w:val="14"/>
                <w:color w:val="auto"/>
              </w:rPr>
              <w:t>4,000,000.00</w:t>
            </w:r>
          </w:p>
        </w:tc>
        <w:tc>
          <w:tcPr>
            <w:tcW w:w="100" w:type="dxa"/>
            <w:vAlign w:val="bottom"/>
          </w:tcPr>
          <w:p>
            <w:pPr>
              <w:spacing w:after="0"/>
              <w:rPr>
                <w:sz w:val="11"/>
                <w:szCs w:val="11"/>
                <w:color w:val="auto"/>
              </w:rPr>
            </w:pPr>
          </w:p>
        </w:tc>
        <w:tc>
          <w:tcPr>
            <w:tcW w:w="1020" w:type="dxa"/>
            <w:vAlign w:val="bottom"/>
          </w:tcPr>
          <w:p>
            <w:pPr>
              <w:ind w:left="60"/>
              <w:spacing w:after="0" w:line="138" w:lineRule="exact"/>
              <w:rPr>
                <w:sz w:val="20"/>
                <w:szCs w:val="20"/>
                <w:color w:val="auto"/>
              </w:rPr>
            </w:pPr>
            <w:r>
              <w:rPr>
                <w:rFonts w:ascii="Arial" w:cs="Arial" w:eastAsia="Arial" w:hAnsi="Arial"/>
                <w:sz w:val="14"/>
                <w:szCs w:val="14"/>
                <w:color w:val="auto"/>
              </w:rPr>
              <w:t>7% annually</w:t>
            </w:r>
          </w:p>
        </w:tc>
        <w:tc>
          <w:tcPr>
            <w:tcW w:w="1320" w:type="dxa"/>
            <w:vAlign w:val="bottom"/>
          </w:tcPr>
          <w:p>
            <w:pPr>
              <w:ind w:left="60"/>
              <w:spacing w:after="0" w:line="138" w:lineRule="exact"/>
              <w:rPr>
                <w:sz w:val="20"/>
                <w:szCs w:val="20"/>
                <w:color w:val="auto"/>
              </w:rPr>
            </w:pPr>
            <w:r>
              <w:rPr>
                <w:rFonts w:ascii="Arial" w:cs="Arial" w:eastAsia="Arial" w:hAnsi="Arial"/>
                <w:sz w:val="14"/>
                <w:szCs w:val="14"/>
                <w:color w:val="auto"/>
              </w:rPr>
              <w:t>Interest due at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60" w:type="dxa"/>
            <w:vAlign w:val="bottom"/>
          </w:tcPr>
          <w:p>
            <w:pPr>
              <w:ind w:left="80"/>
              <w:spacing w:after="0" w:line="159" w:lineRule="exact"/>
              <w:rPr>
                <w:sz w:val="20"/>
                <w:szCs w:val="20"/>
                <w:color w:val="auto"/>
              </w:rPr>
            </w:pPr>
            <w:r>
              <w:rPr>
                <w:rFonts w:ascii="Arial" w:cs="Arial" w:eastAsia="Arial" w:hAnsi="Arial"/>
                <w:sz w:val="14"/>
                <w:szCs w:val="14"/>
                <w:color w:val="auto"/>
              </w:rPr>
              <w:t>Corporation</w:t>
            </w: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20" w:type="dxa"/>
            <w:vAlign w:val="bottom"/>
          </w:tcPr>
          <w:p>
            <w:pPr>
              <w:ind w:left="60"/>
              <w:spacing w:after="0" w:line="159" w:lineRule="exact"/>
              <w:rPr>
                <w:sz w:val="20"/>
                <w:szCs w:val="20"/>
                <w:color w:val="auto"/>
              </w:rPr>
            </w:pPr>
            <w:r>
              <w:rPr>
                <w:rFonts w:ascii="Arial" w:cs="Arial" w:eastAsia="Arial" w:hAnsi="Arial"/>
                <w:sz w:val="14"/>
                <w:szCs w:val="14"/>
                <w:color w:val="auto"/>
              </w:rPr>
              <w:t>Maturity.</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 w:type="dxa"/>
            <w:vAlign w:val="bottom"/>
            <w:tcBorders>
              <w:lef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AG</w:t>
            </w:r>
          </w:p>
        </w:tc>
        <w:tc>
          <w:tcPr>
            <w:tcW w:w="60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1"/>
              </w:rPr>
              <w:t>12.28.07</w:t>
            </w:r>
          </w:p>
        </w:tc>
        <w:tc>
          <w:tcPr>
            <w:tcW w:w="6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12.28.12</w:t>
            </w:r>
          </w:p>
        </w:tc>
        <w:tc>
          <w:tcPr>
            <w:tcW w:w="520" w:type="dxa"/>
            <w:vAlign w:val="bottom"/>
            <w:shd w:val="clear" w:color="auto" w:fill="CCEEFF"/>
          </w:tcPr>
          <w:p>
            <w:pPr>
              <w:spacing w:after="0"/>
              <w:rPr>
                <w:sz w:val="11"/>
                <w:szCs w:val="11"/>
                <w:color w:val="auto"/>
              </w:rPr>
            </w:pPr>
          </w:p>
        </w:tc>
        <w:tc>
          <w:tcPr>
            <w:tcW w:w="21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Integra LifeSciences Corporation</w:t>
            </w:r>
          </w:p>
        </w:tc>
        <w:tc>
          <w:tcPr>
            <w:tcW w:w="46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1115</w:t>
            </w:r>
          </w:p>
        </w:tc>
        <w:tc>
          <w:tcPr>
            <w:tcW w:w="206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Integra LifeSciences Holdings</w:t>
            </w:r>
          </w:p>
        </w:tc>
        <w:tc>
          <w:tcPr>
            <w:tcW w:w="600" w:type="dxa"/>
            <w:vAlign w:val="bottom"/>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rPr>
              <w:t>1105</w:t>
            </w:r>
          </w:p>
        </w:tc>
        <w:tc>
          <w:tcPr>
            <w:tcW w:w="54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USD</w:t>
            </w:r>
          </w:p>
        </w:tc>
        <w:tc>
          <w:tcPr>
            <w:tcW w:w="1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3,500,000.00</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7% annually</w:t>
            </w:r>
          </w:p>
        </w:tc>
        <w:tc>
          <w:tcPr>
            <w:tcW w:w="13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Interest due at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Borders>
              <w:left w:val="single" w:sz="8" w:color="CCEEFF"/>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6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Corporation</w:t>
            </w:r>
          </w:p>
        </w:tc>
        <w:tc>
          <w:tcPr>
            <w:tcW w:w="6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32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Maturity.</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 w:type="dxa"/>
            <w:vAlign w:val="bottom"/>
          </w:tcPr>
          <w:p>
            <w:pPr>
              <w:spacing w:after="0" w:line="138" w:lineRule="exact"/>
              <w:rPr>
                <w:sz w:val="20"/>
                <w:szCs w:val="20"/>
                <w:color w:val="auto"/>
              </w:rPr>
            </w:pPr>
            <w:r>
              <w:rPr>
                <w:rFonts w:ascii="Arial" w:cs="Arial" w:eastAsia="Arial" w:hAnsi="Arial"/>
                <w:sz w:val="14"/>
                <w:szCs w:val="14"/>
                <w:color w:val="auto"/>
              </w:rPr>
              <w:t>AO</w:t>
            </w:r>
          </w:p>
        </w:tc>
        <w:tc>
          <w:tcPr>
            <w:tcW w:w="60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1"/>
              </w:rPr>
              <w:t>07.28.08</w:t>
            </w:r>
          </w:p>
        </w:tc>
        <w:tc>
          <w:tcPr>
            <w:tcW w:w="680" w:type="dxa"/>
            <w:vAlign w:val="bottom"/>
          </w:tcPr>
          <w:p>
            <w:pPr>
              <w:jc w:val="right"/>
              <w:ind w:right="12"/>
              <w:spacing w:after="0" w:line="138" w:lineRule="exact"/>
              <w:rPr>
                <w:sz w:val="20"/>
                <w:szCs w:val="20"/>
                <w:color w:val="auto"/>
              </w:rPr>
            </w:pPr>
            <w:r>
              <w:rPr>
                <w:rFonts w:ascii="Arial" w:cs="Arial" w:eastAsia="Arial" w:hAnsi="Arial"/>
                <w:sz w:val="14"/>
                <w:szCs w:val="14"/>
                <w:color w:val="auto"/>
              </w:rPr>
              <w:t>07.28.13</w:t>
            </w:r>
          </w:p>
        </w:tc>
        <w:tc>
          <w:tcPr>
            <w:tcW w:w="520" w:type="dxa"/>
            <w:vAlign w:val="bottom"/>
          </w:tcPr>
          <w:p>
            <w:pPr>
              <w:spacing w:after="0"/>
              <w:rPr>
                <w:sz w:val="11"/>
                <w:szCs w:val="11"/>
                <w:color w:val="auto"/>
              </w:rPr>
            </w:pPr>
          </w:p>
        </w:tc>
        <w:tc>
          <w:tcPr>
            <w:tcW w:w="2120" w:type="dxa"/>
            <w:vAlign w:val="bottom"/>
          </w:tcPr>
          <w:p>
            <w:pPr>
              <w:ind w:left="60"/>
              <w:spacing w:after="0" w:line="138" w:lineRule="exact"/>
              <w:rPr>
                <w:sz w:val="20"/>
                <w:szCs w:val="20"/>
                <w:color w:val="auto"/>
              </w:rPr>
            </w:pPr>
            <w:r>
              <w:rPr>
                <w:rFonts w:ascii="Arial" w:cs="Arial" w:eastAsia="Arial" w:hAnsi="Arial"/>
                <w:sz w:val="14"/>
                <w:szCs w:val="14"/>
                <w:color w:val="auto"/>
              </w:rPr>
              <w:t>Integra LifeSciences Corporation</w:t>
            </w:r>
          </w:p>
        </w:tc>
        <w:tc>
          <w:tcPr>
            <w:tcW w:w="460" w:type="dxa"/>
            <w:vAlign w:val="bottom"/>
          </w:tcPr>
          <w:p>
            <w:pPr>
              <w:jc w:val="right"/>
              <w:ind w:right="12"/>
              <w:spacing w:after="0" w:line="138" w:lineRule="exact"/>
              <w:rPr>
                <w:sz w:val="20"/>
                <w:szCs w:val="20"/>
                <w:color w:val="auto"/>
              </w:rPr>
            </w:pPr>
            <w:r>
              <w:rPr>
                <w:rFonts w:ascii="Arial" w:cs="Arial" w:eastAsia="Arial" w:hAnsi="Arial"/>
                <w:sz w:val="14"/>
                <w:szCs w:val="14"/>
                <w:color w:val="auto"/>
              </w:rPr>
              <w:t>1115</w:t>
            </w:r>
          </w:p>
        </w:tc>
        <w:tc>
          <w:tcPr>
            <w:tcW w:w="2060" w:type="dxa"/>
            <w:vAlign w:val="bottom"/>
          </w:tcPr>
          <w:p>
            <w:pPr>
              <w:ind w:left="80"/>
              <w:spacing w:after="0" w:line="138" w:lineRule="exact"/>
              <w:rPr>
                <w:sz w:val="20"/>
                <w:szCs w:val="20"/>
                <w:color w:val="auto"/>
              </w:rPr>
            </w:pPr>
            <w:r>
              <w:rPr>
                <w:rFonts w:ascii="Arial" w:cs="Arial" w:eastAsia="Arial" w:hAnsi="Arial"/>
                <w:sz w:val="14"/>
                <w:szCs w:val="14"/>
                <w:color w:val="auto"/>
              </w:rPr>
              <w:t>Integra LifeSciences Holdings</w:t>
            </w:r>
          </w:p>
        </w:tc>
        <w:tc>
          <w:tcPr>
            <w:tcW w:w="600" w:type="dxa"/>
            <w:vAlign w:val="bottom"/>
          </w:tcPr>
          <w:p>
            <w:pPr>
              <w:jc w:val="right"/>
              <w:ind w:right="112"/>
              <w:spacing w:after="0" w:line="138" w:lineRule="exact"/>
              <w:rPr>
                <w:sz w:val="20"/>
                <w:szCs w:val="20"/>
                <w:color w:val="auto"/>
              </w:rPr>
            </w:pPr>
            <w:r>
              <w:rPr>
                <w:rFonts w:ascii="Arial" w:cs="Arial" w:eastAsia="Arial" w:hAnsi="Arial"/>
                <w:sz w:val="14"/>
                <w:szCs w:val="14"/>
                <w:color w:val="auto"/>
              </w:rPr>
              <w:t>1105</w:t>
            </w:r>
          </w:p>
        </w:tc>
        <w:tc>
          <w:tcPr>
            <w:tcW w:w="540" w:type="dxa"/>
            <w:vAlign w:val="bottom"/>
          </w:tcPr>
          <w:p>
            <w:pPr>
              <w:jc w:val="right"/>
              <w:ind w:right="12"/>
              <w:spacing w:after="0" w:line="138" w:lineRule="exact"/>
              <w:rPr>
                <w:sz w:val="20"/>
                <w:szCs w:val="20"/>
                <w:color w:val="auto"/>
              </w:rPr>
            </w:pPr>
            <w:r>
              <w:rPr>
                <w:rFonts w:ascii="Arial" w:cs="Arial" w:eastAsia="Arial" w:hAnsi="Arial"/>
                <w:sz w:val="14"/>
                <w:szCs w:val="14"/>
                <w:color w:val="auto"/>
              </w:rPr>
              <w:t>USD</w:t>
            </w:r>
          </w:p>
        </w:tc>
        <w:tc>
          <w:tcPr>
            <w:tcW w:w="1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38" w:lineRule="exact"/>
              <w:rPr>
                <w:sz w:val="20"/>
                <w:szCs w:val="20"/>
                <w:color w:val="auto"/>
              </w:rPr>
            </w:pPr>
            <w:r>
              <w:rPr>
                <w:rFonts w:ascii="Arial" w:cs="Arial" w:eastAsia="Arial" w:hAnsi="Arial"/>
                <w:sz w:val="14"/>
                <w:szCs w:val="14"/>
                <w:color w:val="auto"/>
                <w:w w:val="91"/>
              </w:rPr>
              <w:t>75,000,000.00</w:t>
            </w:r>
          </w:p>
        </w:tc>
        <w:tc>
          <w:tcPr>
            <w:tcW w:w="100" w:type="dxa"/>
            <w:vAlign w:val="bottom"/>
          </w:tcPr>
          <w:p>
            <w:pPr>
              <w:spacing w:after="0"/>
              <w:rPr>
                <w:sz w:val="11"/>
                <w:szCs w:val="11"/>
                <w:color w:val="auto"/>
              </w:rPr>
            </w:pPr>
          </w:p>
        </w:tc>
        <w:tc>
          <w:tcPr>
            <w:tcW w:w="1020" w:type="dxa"/>
            <w:vAlign w:val="bottom"/>
          </w:tcPr>
          <w:p>
            <w:pPr>
              <w:ind w:left="60"/>
              <w:spacing w:after="0" w:line="138" w:lineRule="exact"/>
              <w:rPr>
                <w:sz w:val="20"/>
                <w:szCs w:val="20"/>
                <w:color w:val="auto"/>
              </w:rPr>
            </w:pPr>
            <w:r>
              <w:rPr>
                <w:rFonts w:ascii="Arial" w:cs="Arial" w:eastAsia="Arial" w:hAnsi="Arial"/>
                <w:sz w:val="14"/>
                <w:szCs w:val="14"/>
                <w:color w:val="auto"/>
              </w:rPr>
              <w:t>8.0% Interest</w:t>
            </w:r>
          </w:p>
        </w:tc>
        <w:tc>
          <w:tcPr>
            <w:tcW w:w="1320" w:type="dxa"/>
            <w:vAlign w:val="bottom"/>
          </w:tcPr>
          <w:p>
            <w:pPr>
              <w:ind w:left="60"/>
              <w:spacing w:after="0" w:line="138" w:lineRule="exact"/>
              <w:rPr>
                <w:sz w:val="20"/>
                <w:szCs w:val="20"/>
                <w:color w:val="auto"/>
              </w:rPr>
            </w:pPr>
            <w:r>
              <w:rPr>
                <w:rFonts w:ascii="Arial" w:cs="Arial" w:eastAsia="Arial" w:hAnsi="Arial"/>
                <w:sz w:val="14"/>
                <w:szCs w:val="14"/>
                <w:color w:val="auto"/>
                <w:w w:val="98"/>
              </w:rPr>
              <w:t>Purchase of Theken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60" w:type="dxa"/>
            <w:vAlign w:val="bottom"/>
          </w:tcPr>
          <w:p>
            <w:pPr>
              <w:ind w:left="80"/>
              <w:spacing w:after="0" w:line="159" w:lineRule="exact"/>
              <w:rPr>
                <w:sz w:val="20"/>
                <w:szCs w:val="20"/>
                <w:color w:val="auto"/>
              </w:rPr>
            </w:pPr>
            <w:r>
              <w:rPr>
                <w:rFonts w:ascii="Arial" w:cs="Arial" w:eastAsia="Arial" w:hAnsi="Arial"/>
                <w:sz w:val="14"/>
                <w:szCs w:val="14"/>
                <w:color w:val="auto"/>
              </w:rPr>
              <w:t>Corporation</w:t>
            </w: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 w:type="dxa"/>
            <w:vAlign w:val="bottom"/>
            <w:tcBorders>
              <w:lef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BJ</w:t>
            </w:r>
          </w:p>
        </w:tc>
        <w:tc>
          <w:tcPr>
            <w:tcW w:w="60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1"/>
              </w:rPr>
              <w:t>07.28.08</w:t>
            </w:r>
          </w:p>
        </w:tc>
        <w:tc>
          <w:tcPr>
            <w:tcW w:w="6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07.28.13</w:t>
            </w:r>
          </w:p>
        </w:tc>
        <w:tc>
          <w:tcPr>
            <w:tcW w:w="520" w:type="dxa"/>
            <w:vAlign w:val="bottom"/>
            <w:shd w:val="clear" w:color="auto" w:fill="CCEEFF"/>
          </w:tcPr>
          <w:p>
            <w:pPr>
              <w:spacing w:after="0"/>
              <w:rPr>
                <w:sz w:val="11"/>
                <w:szCs w:val="11"/>
                <w:color w:val="auto"/>
              </w:rPr>
            </w:pPr>
          </w:p>
        </w:tc>
        <w:tc>
          <w:tcPr>
            <w:tcW w:w="21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Integra LifeSciences Corporation</w:t>
            </w:r>
          </w:p>
        </w:tc>
        <w:tc>
          <w:tcPr>
            <w:tcW w:w="46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1115</w:t>
            </w:r>
          </w:p>
        </w:tc>
        <w:tc>
          <w:tcPr>
            <w:tcW w:w="206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Integra LifeSciences Holdings</w:t>
            </w:r>
          </w:p>
        </w:tc>
        <w:tc>
          <w:tcPr>
            <w:tcW w:w="600" w:type="dxa"/>
            <w:vAlign w:val="bottom"/>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rPr>
              <w:t>1105</w:t>
            </w:r>
          </w:p>
        </w:tc>
        <w:tc>
          <w:tcPr>
            <w:tcW w:w="54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USD</w:t>
            </w:r>
          </w:p>
        </w:tc>
        <w:tc>
          <w:tcPr>
            <w:tcW w:w="1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5,000,000.00</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8.0% Interest</w:t>
            </w:r>
          </w:p>
        </w:tc>
        <w:tc>
          <w:tcPr>
            <w:tcW w:w="13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w w:val="86"/>
              </w:rPr>
              <w:t>Interest due at maturity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Borders>
              <w:left w:val="single" w:sz="8" w:color="CCEEFF"/>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6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Corporation</w:t>
            </w:r>
          </w:p>
        </w:tc>
        <w:tc>
          <w:tcPr>
            <w:tcW w:w="6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32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date.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 w:type="dxa"/>
            <w:vAlign w:val="bottom"/>
          </w:tcPr>
          <w:p>
            <w:pPr>
              <w:spacing w:after="0" w:line="138" w:lineRule="exact"/>
              <w:rPr>
                <w:sz w:val="20"/>
                <w:szCs w:val="20"/>
                <w:color w:val="auto"/>
              </w:rPr>
            </w:pPr>
            <w:r>
              <w:rPr>
                <w:rFonts w:ascii="Arial" w:cs="Arial" w:eastAsia="Arial" w:hAnsi="Arial"/>
                <w:sz w:val="14"/>
                <w:szCs w:val="14"/>
                <w:color w:val="auto"/>
              </w:rPr>
              <w:t>BV</w:t>
            </w:r>
          </w:p>
        </w:tc>
        <w:tc>
          <w:tcPr>
            <w:tcW w:w="60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1"/>
              </w:rPr>
              <w:t>11.30.09</w:t>
            </w:r>
          </w:p>
        </w:tc>
        <w:tc>
          <w:tcPr>
            <w:tcW w:w="680" w:type="dxa"/>
            <w:vAlign w:val="bottom"/>
          </w:tcPr>
          <w:p>
            <w:pPr>
              <w:jc w:val="right"/>
              <w:ind w:right="12"/>
              <w:spacing w:after="0" w:line="138" w:lineRule="exact"/>
              <w:rPr>
                <w:sz w:val="20"/>
                <w:szCs w:val="20"/>
                <w:color w:val="auto"/>
              </w:rPr>
            </w:pPr>
            <w:r>
              <w:rPr>
                <w:rFonts w:ascii="Arial" w:cs="Arial" w:eastAsia="Arial" w:hAnsi="Arial"/>
                <w:sz w:val="14"/>
                <w:szCs w:val="14"/>
                <w:color w:val="auto"/>
              </w:rPr>
              <w:t>11.30.14</w:t>
            </w:r>
          </w:p>
        </w:tc>
        <w:tc>
          <w:tcPr>
            <w:tcW w:w="520" w:type="dxa"/>
            <w:vAlign w:val="bottom"/>
          </w:tcPr>
          <w:p>
            <w:pPr>
              <w:spacing w:after="0"/>
              <w:rPr>
                <w:sz w:val="11"/>
                <w:szCs w:val="11"/>
                <w:color w:val="auto"/>
              </w:rPr>
            </w:pPr>
          </w:p>
        </w:tc>
        <w:tc>
          <w:tcPr>
            <w:tcW w:w="2120" w:type="dxa"/>
            <w:vAlign w:val="bottom"/>
          </w:tcPr>
          <w:p>
            <w:pPr>
              <w:ind w:left="60"/>
              <w:spacing w:after="0" w:line="138" w:lineRule="exact"/>
              <w:rPr>
                <w:sz w:val="20"/>
                <w:szCs w:val="20"/>
                <w:color w:val="auto"/>
              </w:rPr>
            </w:pPr>
            <w:r>
              <w:rPr>
                <w:rFonts w:ascii="Arial" w:cs="Arial" w:eastAsia="Arial" w:hAnsi="Arial"/>
                <w:sz w:val="14"/>
                <w:szCs w:val="14"/>
                <w:color w:val="auto"/>
              </w:rPr>
              <w:t>Integra LifeSciences Corporation</w:t>
            </w:r>
          </w:p>
        </w:tc>
        <w:tc>
          <w:tcPr>
            <w:tcW w:w="460" w:type="dxa"/>
            <w:vAlign w:val="bottom"/>
          </w:tcPr>
          <w:p>
            <w:pPr>
              <w:jc w:val="right"/>
              <w:ind w:right="12"/>
              <w:spacing w:after="0" w:line="138" w:lineRule="exact"/>
              <w:rPr>
                <w:sz w:val="20"/>
                <w:szCs w:val="20"/>
                <w:color w:val="auto"/>
              </w:rPr>
            </w:pPr>
            <w:r>
              <w:rPr>
                <w:rFonts w:ascii="Arial" w:cs="Arial" w:eastAsia="Arial" w:hAnsi="Arial"/>
                <w:sz w:val="14"/>
                <w:szCs w:val="14"/>
                <w:color w:val="auto"/>
              </w:rPr>
              <w:t>1115</w:t>
            </w:r>
          </w:p>
        </w:tc>
        <w:tc>
          <w:tcPr>
            <w:tcW w:w="2060" w:type="dxa"/>
            <w:vAlign w:val="bottom"/>
          </w:tcPr>
          <w:p>
            <w:pPr>
              <w:ind w:left="80"/>
              <w:spacing w:after="0" w:line="138" w:lineRule="exact"/>
              <w:rPr>
                <w:sz w:val="20"/>
                <w:szCs w:val="20"/>
                <w:color w:val="auto"/>
              </w:rPr>
            </w:pPr>
            <w:r>
              <w:rPr>
                <w:rFonts w:ascii="Arial" w:cs="Arial" w:eastAsia="Arial" w:hAnsi="Arial"/>
                <w:sz w:val="14"/>
                <w:szCs w:val="14"/>
                <w:color w:val="auto"/>
              </w:rPr>
              <w:t>Integra LifeSciences Holdings</w:t>
            </w:r>
          </w:p>
        </w:tc>
        <w:tc>
          <w:tcPr>
            <w:tcW w:w="600" w:type="dxa"/>
            <w:vAlign w:val="bottom"/>
          </w:tcPr>
          <w:p>
            <w:pPr>
              <w:jc w:val="right"/>
              <w:ind w:right="112"/>
              <w:spacing w:after="0" w:line="138" w:lineRule="exact"/>
              <w:rPr>
                <w:sz w:val="20"/>
                <w:szCs w:val="20"/>
                <w:color w:val="auto"/>
              </w:rPr>
            </w:pPr>
            <w:r>
              <w:rPr>
                <w:rFonts w:ascii="Arial" w:cs="Arial" w:eastAsia="Arial" w:hAnsi="Arial"/>
                <w:sz w:val="14"/>
                <w:szCs w:val="14"/>
                <w:color w:val="auto"/>
              </w:rPr>
              <w:t>1105</w:t>
            </w:r>
          </w:p>
        </w:tc>
        <w:tc>
          <w:tcPr>
            <w:tcW w:w="540" w:type="dxa"/>
            <w:vAlign w:val="bottom"/>
          </w:tcPr>
          <w:p>
            <w:pPr>
              <w:jc w:val="right"/>
              <w:ind w:right="12"/>
              <w:spacing w:after="0" w:line="138" w:lineRule="exact"/>
              <w:rPr>
                <w:sz w:val="20"/>
                <w:szCs w:val="20"/>
                <w:color w:val="auto"/>
              </w:rPr>
            </w:pPr>
            <w:r>
              <w:rPr>
                <w:rFonts w:ascii="Arial" w:cs="Arial" w:eastAsia="Arial" w:hAnsi="Arial"/>
                <w:sz w:val="14"/>
                <w:szCs w:val="14"/>
                <w:color w:val="auto"/>
              </w:rPr>
              <w:t>USD</w:t>
            </w:r>
          </w:p>
        </w:tc>
        <w:tc>
          <w:tcPr>
            <w:tcW w:w="1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38" w:lineRule="exact"/>
              <w:rPr>
                <w:sz w:val="20"/>
                <w:szCs w:val="20"/>
                <w:color w:val="auto"/>
              </w:rPr>
            </w:pPr>
            <w:r>
              <w:rPr>
                <w:rFonts w:ascii="Arial" w:cs="Arial" w:eastAsia="Arial" w:hAnsi="Arial"/>
                <w:sz w:val="14"/>
                <w:szCs w:val="14"/>
                <w:color w:val="auto"/>
                <w:w w:val="91"/>
              </w:rPr>
              <w:t>12,500,000.00</w:t>
            </w:r>
          </w:p>
        </w:tc>
        <w:tc>
          <w:tcPr>
            <w:tcW w:w="100" w:type="dxa"/>
            <w:vAlign w:val="bottom"/>
          </w:tcPr>
          <w:p>
            <w:pPr>
              <w:spacing w:after="0"/>
              <w:rPr>
                <w:sz w:val="11"/>
                <w:szCs w:val="11"/>
                <w:color w:val="auto"/>
              </w:rPr>
            </w:pPr>
          </w:p>
        </w:tc>
        <w:tc>
          <w:tcPr>
            <w:tcW w:w="1020" w:type="dxa"/>
            <w:vAlign w:val="bottom"/>
          </w:tcPr>
          <w:p>
            <w:pPr>
              <w:ind w:left="60"/>
              <w:spacing w:after="0" w:line="138" w:lineRule="exact"/>
              <w:rPr>
                <w:sz w:val="20"/>
                <w:szCs w:val="20"/>
                <w:color w:val="auto"/>
              </w:rPr>
            </w:pPr>
            <w:r>
              <w:rPr>
                <w:rFonts w:ascii="Arial" w:cs="Arial" w:eastAsia="Arial" w:hAnsi="Arial"/>
                <w:sz w:val="14"/>
                <w:szCs w:val="14"/>
                <w:color w:val="auto"/>
              </w:rPr>
              <w:t>6.5% annually</w:t>
            </w:r>
          </w:p>
        </w:tc>
        <w:tc>
          <w:tcPr>
            <w:tcW w:w="1320" w:type="dxa"/>
            <w:vAlign w:val="bottom"/>
          </w:tcPr>
          <w:p>
            <w:pPr>
              <w:ind w:left="60"/>
              <w:spacing w:after="0" w:line="138" w:lineRule="exact"/>
              <w:rPr>
                <w:sz w:val="20"/>
                <w:szCs w:val="20"/>
                <w:color w:val="auto"/>
              </w:rPr>
            </w:pPr>
            <w:r>
              <w:rPr>
                <w:rFonts w:ascii="Arial" w:cs="Arial" w:eastAsia="Arial" w:hAnsi="Arial"/>
                <w:sz w:val="14"/>
                <w:szCs w:val="14"/>
                <w:color w:val="auto"/>
              </w:rPr>
              <w:t>Loan to pay Randy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60" w:type="dxa"/>
            <w:vAlign w:val="bottom"/>
          </w:tcPr>
          <w:p>
            <w:pPr>
              <w:ind w:left="80"/>
              <w:spacing w:after="0" w:line="159" w:lineRule="exact"/>
              <w:rPr>
                <w:sz w:val="20"/>
                <w:szCs w:val="20"/>
                <w:color w:val="auto"/>
              </w:rPr>
            </w:pPr>
            <w:r>
              <w:rPr>
                <w:rFonts w:ascii="Arial" w:cs="Arial" w:eastAsia="Arial" w:hAnsi="Arial"/>
                <w:sz w:val="14"/>
                <w:szCs w:val="14"/>
                <w:color w:val="auto"/>
              </w:rPr>
              <w:t>Corporation</w:t>
            </w: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20" w:type="dxa"/>
            <w:vAlign w:val="bottom"/>
          </w:tcPr>
          <w:p>
            <w:pPr>
              <w:ind w:left="60"/>
              <w:spacing w:after="0" w:line="159" w:lineRule="exact"/>
              <w:rPr>
                <w:sz w:val="20"/>
                <w:szCs w:val="20"/>
                <w:color w:val="auto"/>
              </w:rPr>
            </w:pPr>
            <w:r>
              <w:rPr>
                <w:rFonts w:ascii="Arial" w:cs="Arial" w:eastAsia="Arial" w:hAnsi="Arial"/>
                <w:sz w:val="14"/>
                <w:szCs w:val="14"/>
                <w:color w:val="auto"/>
              </w:rPr>
              <w:t>Theken earnout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 w:type="dxa"/>
            <w:vAlign w:val="bottom"/>
            <w:tcBorders>
              <w:lef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CJ</w:t>
            </w:r>
          </w:p>
        </w:tc>
        <w:tc>
          <w:tcPr>
            <w:tcW w:w="60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1"/>
              </w:rPr>
              <w:t>10.19.10</w:t>
            </w:r>
          </w:p>
        </w:tc>
        <w:tc>
          <w:tcPr>
            <w:tcW w:w="6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10.19.15</w:t>
            </w:r>
          </w:p>
        </w:tc>
        <w:tc>
          <w:tcPr>
            <w:tcW w:w="520" w:type="dxa"/>
            <w:vAlign w:val="bottom"/>
            <w:shd w:val="clear" w:color="auto" w:fill="CCEEFF"/>
          </w:tcPr>
          <w:p>
            <w:pPr>
              <w:spacing w:after="0"/>
              <w:rPr>
                <w:sz w:val="11"/>
                <w:szCs w:val="11"/>
                <w:color w:val="auto"/>
              </w:rPr>
            </w:pPr>
          </w:p>
        </w:tc>
        <w:tc>
          <w:tcPr>
            <w:tcW w:w="21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Integra LifeSciences Corporation</w:t>
            </w:r>
          </w:p>
        </w:tc>
        <w:tc>
          <w:tcPr>
            <w:tcW w:w="46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1115</w:t>
            </w:r>
          </w:p>
        </w:tc>
        <w:tc>
          <w:tcPr>
            <w:tcW w:w="206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Integra LifeSciences Holdings</w:t>
            </w:r>
          </w:p>
        </w:tc>
        <w:tc>
          <w:tcPr>
            <w:tcW w:w="600" w:type="dxa"/>
            <w:vAlign w:val="bottom"/>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rPr>
              <w:t>1105</w:t>
            </w:r>
          </w:p>
        </w:tc>
        <w:tc>
          <w:tcPr>
            <w:tcW w:w="54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USD</w:t>
            </w:r>
          </w:p>
        </w:tc>
        <w:tc>
          <w:tcPr>
            <w:tcW w:w="1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1"/>
              </w:rPr>
              <w:t>30,000,000.00</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4.85%</w:t>
            </w:r>
          </w:p>
        </w:tc>
        <w:tc>
          <w:tcPr>
            <w:tcW w:w="13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 to repay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Borders>
              <w:left w:val="single" w:sz="8" w:color="CCEEFF"/>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6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Corporation</w:t>
            </w:r>
          </w:p>
        </w:tc>
        <w:tc>
          <w:tcPr>
            <w:tcW w:w="6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32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intercompany loan</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 w:type="dxa"/>
            <w:vAlign w:val="bottom"/>
          </w:tcPr>
          <w:p>
            <w:pPr>
              <w:spacing w:after="0" w:line="138" w:lineRule="exact"/>
              <w:rPr>
                <w:sz w:val="20"/>
                <w:szCs w:val="20"/>
                <w:color w:val="auto"/>
              </w:rPr>
            </w:pPr>
            <w:r>
              <w:rPr>
                <w:rFonts w:ascii="Arial" w:cs="Arial" w:eastAsia="Arial" w:hAnsi="Arial"/>
                <w:sz w:val="14"/>
                <w:szCs w:val="14"/>
                <w:color w:val="auto"/>
              </w:rPr>
              <w:t>CO</w:t>
            </w:r>
          </w:p>
        </w:tc>
        <w:tc>
          <w:tcPr>
            <w:tcW w:w="60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1"/>
              </w:rPr>
              <w:t>05.23.11</w:t>
            </w:r>
          </w:p>
        </w:tc>
        <w:tc>
          <w:tcPr>
            <w:tcW w:w="680" w:type="dxa"/>
            <w:vAlign w:val="bottom"/>
          </w:tcPr>
          <w:p>
            <w:pPr>
              <w:jc w:val="right"/>
              <w:ind w:right="12"/>
              <w:spacing w:after="0" w:line="138" w:lineRule="exact"/>
              <w:rPr>
                <w:sz w:val="20"/>
                <w:szCs w:val="20"/>
                <w:color w:val="auto"/>
              </w:rPr>
            </w:pPr>
            <w:r>
              <w:rPr>
                <w:rFonts w:ascii="Arial" w:cs="Arial" w:eastAsia="Arial" w:hAnsi="Arial"/>
                <w:sz w:val="14"/>
                <w:szCs w:val="14"/>
                <w:color w:val="auto"/>
              </w:rPr>
              <w:t>05.23.16</w:t>
            </w:r>
          </w:p>
        </w:tc>
        <w:tc>
          <w:tcPr>
            <w:tcW w:w="520" w:type="dxa"/>
            <w:vAlign w:val="bottom"/>
          </w:tcPr>
          <w:p>
            <w:pPr>
              <w:spacing w:after="0"/>
              <w:rPr>
                <w:sz w:val="11"/>
                <w:szCs w:val="11"/>
                <w:color w:val="auto"/>
              </w:rPr>
            </w:pPr>
          </w:p>
        </w:tc>
        <w:tc>
          <w:tcPr>
            <w:tcW w:w="2120" w:type="dxa"/>
            <w:vAlign w:val="bottom"/>
          </w:tcPr>
          <w:p>
            <w:pPr>
              <w:ind w:left="60"/>
              <w:spacing w:after="0" w:line="138" w:lineRule="exact"/>
              <w:rPr>
                <w:sz w:val="20"/>
                <w:szCs w:val="20"/>
                <w:color w:val="auto"/>
              </w:rPr>
            </w:pPr>
            <w:r>
              <w:rPr>
                <w:rFonts w:ascii="Arial" w:cs="Arial" w:eastAsia="Arial" w:hAnsi="Arial"/>
                <w:sz w:val="14"/>
                <w:szCs w:val="14"/>
                <w:color w:val="auto"/>
              </w:rPr>
              <w:t>Integra LifeSciences Corporation</w:t>
            </w:r>
          </w:p>
        </w:tc>
        <w:tc>
          <w:tcPr>
            <w:tcW w:w="460" w:type="dxa"/>
            <w:vAlign w:val="bottom"/>
          </w:tcPr>
          <w:p>
            <w:pPr>
              <w:jc w:val="right"/>
              <w:ind w:right="12"/>
              <w:spacing w:after="0" w:line="138" w:lineRule="exact"/>
              <w:rPr>
                <w:sz w:val="20"/>
                <w:szCs w:val="20"/>
                <w:color w:val="auto"/>
              </w:rPr>
            </w:pPr>
            <w:r>
              <w:rPr>
                <w:rFonts w:ascii="Arial" w:cs="Arial" w:eastAsia="Arial" w:hAnsi="Arial"/>
                <w:sz w:val="14"/>
                <w:szCs w:val="14"/>
                <w:color w:val="auto"/>
              </w:rPr>
              <w:t>1115</w:t>
            </w:r>
          </w:p>
        </w:tc>
        <w:tc>
          <w:tcPr>
            <w:tcW w:w="2060" w:type="dxa"/>
            <w:vAlign w:val="bottom"/>
          </w:tcPr>
          <w:p>
            <w:pPr>
              <w:ind w:left="80"/>
              <w:spacing w:after="0" w:line="138" w:lineRule="exact"/>
              <w:rPr>
                <w:sz w:val="20"/>
                <w:szCs w:val="20"/>
                <w:color w:val="auto"/>
              </w:rPr>
            </w:pPr>
            <w:r>
              <w:rPr>
                <w:rFonts w:ascii="Arial" w:cs="Arial" w:eastAsia="Arial" w:hAnsi="Arial"/>
                <w:sz w:val="14"/>
                <w:szCs w:val="14"/>
                <w:color w:val="auto"/>
              </w:rPr>
              <w:t>Integra LifeSciences Holdings</w:t>
            </w:r>
          </w:p>
        </w:tc>
        <w:tc>
          <w:tcPr>
            <w:tcW w:w="600" w:type="dxa"/>
            <w:vAlign w:val="bottom"/>
          </w:tcPr>
          <w:p>
            <w:pPr>
              <w:jc w:val="right"/>
              <w:ind w:right="112"/>
              <w:spacing w:after="0" w:line="138" w:lineRule="exact"/>
              <w:rPr>
                <w:sz w:val="20"/>
                <w:szCs w:val="20"/>
                <w:color w:val="auto"/>
              </w:rPr>
            </w:pPr>
            <w:r>
              <w:rPr>
                <w:rFonts w:ascii="Arial" w:cs="Arial" w:eastAsia="Arial" w:hAnsi="Arial"/>
                <w:sz w:val="14"/>
                <w:szCs w:val="14"/>
                <w:color w:val="auto"/>
              </w:rPr>
              <w:t>1105</w:t>
            </w:r>
          </w:p>
        </w:tc>
        <w:tc>
          <w:tcPr>
            <w:tcW w:w="540" w:type="dxa"/>
            <w:vAlign w:val="bottom"/>
          </w:tcPr>
          <w:p>
            <w:pPr>
              <w:jc w:val="right"/>
              <w:ind w:right="12"/>
              <w:spacing w:after="0" w:line="138" w:lineRule="exact"/>
              <w:rPr>
                <w:sz w:val="20"/>
                <w:szCs w:val="20"/>
                <w:color w:val="auto"/>
              </w:rPr>
            </w:pPr>
            <w:r>
              <w:rPr>
                <w:rFonts w:ascii="Arial" w:cs="Arial" w:eastAsia="Arial" w:hAnsi="Arial"/>
                <w:sz w:val="14"/>
                <w:szCs w:val="14"/>
                <w:color w:val="auto"/>
              </w:rPr>
              <w:t>USD</w:t>
            </w:r>
          </w:p>
        </w:tc>
        <w:tc>
          <w:tcPr>
            <w:tcW w:w="1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38" w:lineRule="exact"/>
              <w:rPr>
                <w:sz w:val="20"/>
                <w:szCs w:val="20"/>
                <w:color w:val="auto"/>
              </w:rPr>
            </w:pPr>
            <w:r>
              <w:rPr>
                <w:rFonts w:ascii="Arial" w:cs="Arial" w:eastAsia="Arial" w:hAnsi="Arial"/>
                <w:sz w:val="14"/>
                <w:szCs w:val="14"/>
                <w:color w:val="auto"/>
                <w:w w:val="91"/>
              </w:rPr>
              <w:t>85,000,000.00</w:t>
            </w:r>
          </w:p>
        </w:tc>
        <w:tc>
          <w:tcPr>
            <w:tcW w:w="100" w:type="dxa"/>
            <w:vAlign w:val="bottom"/>
          </w:tcPr>
          <w:p>
            <w:pPr>
              <w:spacing w:after="0"/>
              <w:rPr>
                <w:sz w:val="11"/>
                <w:szCs w:val="11"/>
                <w:color w:val="auto"/>
              </w:rPr>
            </w:pPr>
          </w:p>
        </w:tc>
        <w:tc>
          <w:tcPr>
            <w:tcW w:w="1020" w:type="dxa"/>
            <w:vAlign w:val="bottom"/>
          </w:tcPr>
          <w:p>
            <w:pPr>
              <w:ind w:left="60"/>
              <w:spacing w:after="0" w:line="138" w:lineRule="exact"/>
              <w:rPr>
                <w:sz w:val="20"/>
                <w:szCs w:val="20"/>
                <w:color w:val="auto"/>
              </w:rPr>
            </w:pPr>
            <w:r>
              <w:rPr>
                <w:rFonts w:ascii="Arial" w:cs="Arial" w:eastAsia="Arial" w:hAnsi="Arial"/>
                <w:sz w:val="14"/>
                <w:szCs w:val="14"/>
                <w:color w:val="auto"/>
              </w:rPr>
              <w:t>5.1% annually</w:t>
            </w:r>
          </w:p>
        </w:tc>
        <w:tc>
          <w:tcPr>
            <w:tcW w:w="1320" w:type="dxa"/>
            <w:vAlign w:val="bottom"/>
          </w:tcPr>
          <w:p>
            <w:pPr>
              <w:ind w:left="60"/>
              <w:spacing w:after="0" w:line="138" w:lineRule="exact"/>
              <w:rPr>
                <w:sz w:val="20"/>
                <w:szCs w:val="20"/>
                <w:color w:val="auto"/>
              </w:rPr>
            </w:pPr>
            <w:r>
              <w:rPr>
                <w:rFonts w:ascii="Arial" w:cs="Arial" w:eastAsia="Arial" w:hAnsi="Arial"/>
                <w:sz w:val="14"/>
                <w:szCs w:val="14"/>
                <w:color w:val="auto"/>
              </w:rPr>
              <w:t>SeaSpine Inc</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60" w:type="dxa"/>
            <w:vAlign w:val="bottom"/>
          </w:tcPr>
          <w:p>
            <w:pPr>
              <w:ind w:left="80"/>
              <w:spacing w:after="0" w:line="159" w:lineRule="exact"/>
              <w:rPr>
                <w:sz w:val="20"/>
                <w:szCs w:val="20"/>
                <w:color w:val="auto"/>
              </w:rPr>
            </w:pPr>
            <w:r>
              <w:rPr>
                <w:rFonts w:ascii="Arial" w:cs="Arial" w:eastAsia="Arial" w:hAnsi="Arial"/>
                <w:sz w:val="14"/>
                <w:szCs w:val="14"/>
                <w:color w:val="auto"/>
              </w:rPr>
              <w:t>Corporation</w:t>
            </w: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20" w:type="dxa"/>
            <w:vAlign w:val="bottom"/>
          </w:tcPr>
          <w:p>
            <w:pPr>
              <w:ind w:left="60"/>
              <w:spacing w:after="0" w:line="159" w:lineRule="exact"/>
              <w:rPr>
                <w:sz w:val="20"/>
                <w:szCs w:val="20"/>
                <w:color w:val="auto"/>
              </w:rPr>
            </w:pPr>
            <w:r>
              <w:rPr>
                <w:rFonts w:ascii="Arial" w:cs="Arial" w:eastAsia="Arial" w:hAnsi="Arial"/>
                <w:sz w:val="14"/>
                <w:szCs w:val="14"/>
                <w:color w:val="auto"/>
              </w:rPr>
              <w:t>acquisition</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Borders>
              <w:lef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w w:val="84"/>
              </w:rPr>
              <w:t>440,458,866.58</w:t>
            </w:r>
          </w:p>
        </w:tc>
        <w:tc>
          <w:tcPr>
            <w:tcW w:w="100" w:type="dxa"/>
            <w:vAlign w:val="bottom"/>
          </w:tcPr>
          <w:p>
            <w:pPr>
              <w:spacing w:after="0"/>
              <w:rPr>
                <w:sz w:val="13"/>
                <w:szCs w:val="13"/>
                <w:color w:val="auto"/>
              </w:rPr>
            </w:pPr>
          </w:p>
        </w:tc>
        <w:tc>
          <w:tcPr>
            <w:tcW w:w="1020" w:type="dxa"/>
            <w:vAlign w:val="bottom"/>
          </w:tcPr>
          <w:p>
            <w:pPr>
              <w:ind w:left="60"/>
              <w:spacing w:after="0" w:line="155" w:lineRule="exact"/>
              <w:rPr>
                <w:sz w:val="20"/>
                <w:szCs w:val="20"/>
                <w:color w:val="auto"/>
              </w:rPr>
            </w:pPr>
            <w:r>
              <w:rPr>
                <w:rFonts w:ascii="Arial" w:cs="Arial" w:eastAsia="Arial" w:hAnsi="Arial"/>
                <w:sz w:val="14"/>
                <w:szCs w:val="14"/>
                <w:color w:val="auto"/>
              </w:rPr>
              <w:t>subtotal</w:t>
            </w: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380" w:type="dxa"/>
            <w:vAlign w:val="bottom"/>
            <w:tcBorders>
              <w:lef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80" w:type="dxa"/>
            <w:vAlign w:val="bottom"/>
          </w:tcPr>
          <w:p>
            <w:pPr>
              <w:spacing w:after="0" w:line="138" w:lineRule="exact"/>
              <w:rPr>
                <w:sz w:val="20"/>
                <w:szCs w:val="20"/>
                <w:color w:val="auto"/>
              </w:rPr>
            </w:pPr>
            <w:r>
              <w:rPr>
                <w:rFonts w:ascii="Arial" w:cs="Arial" w:eastAsia="Arial" w:hAnsi="Arial"/>
                <w:sz w:val="14"/>
                <w:szCs w:val="14"/>
                <w:color w:val="auto"/>
              </w:rPr>
              <w:t>AJ</w:t>
            </w:r>
          </w:p>
        </w:tc>
        <w:tc>
          <w:tcPr>
            <w:tcW w:w="60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1"/>
              </w:rPr>
              <w:t>12.13.07</w:t>
            </w:r>
          </w:p>
        </w:tc>
        <w:tc>
          <w:tcPr>
            <w:tcW w:w="680" w:type="dxa"/>
            <w:vAlign w:val="bottom"/>
          </w:tcPr>
          <w:p>
            <w:pPr>
              <w:jc w:val="right"/>
              <w:ind w:right="12"/>
              <w:spacing w:after="0" w:line="138" w:lineRule="exact"/>
              <w:rPr>
                <w:sz w:val="20"/>
                <w:szCs w:val="20"/>
                <w:color w:val="auto"/>
              </w:rPr>
            </w:pPr>
            <w:r>
              <w:rPr>
                <w:rFonts w:ascii="Arial" w:cs="Arial" w:eastAsia="Arial" w:hAnsi="Arial"/>
                <w:sz w:val="14"/>
                <w:szCs w:val="14"/>
                <w:color w:val="auto"/>
              </w:rPr>
              <w:t>12.13.12</w:t>
            </w:r>
          </w:p>
        </w:tc>
        <w:tc>
          <w:tcPr>
            <w:tcW w:w="520" w:type="dxa"/>
            <w:vAlign w:val="bottom"/>
          </w:tcPr>
          <w:p>
            <w:pPr>
              <w:spacing w:after="0"/>
              <w:rPr>
                <w:sz w:val="11"/>
                <w:szCs w:val="11"/>
                <w:color w:val="auto"/>
              </w:rPr>
            </w:pPr>
          </w:p>
        </w:tc>
        <w:tc>
          <w:tcPr>
            <w:tcW w:w="2120" w:type="dxa"/>
            <w:vAlign w:val="bottom"/>
          </w:tcPr>
          <w:p>
            <w:pPr>
              <w:ind w:left="60"/>
              <w:spacing w:after="0" w:line="138" w:lineRule="exact"/>
              <w:rPr>
                <w:sz w:val="20"/>
                <w:szCs w:val="20"/>
                <w:color w:val="auto"/>
              </w:rPr>
            </w:pPr>
            <w:r>
              <w:rPr>
                <w:rFonts w:ascii="Arial" w:cs="Arial" w:eastAsia="Arial" w:hAnsi="Arial"/>
                <w:sz w:val="14"/>
                <w:szCs w:val="14"/>
                <w:color w:val="auto"/>
              </w:rPr>
              <w:t>Integra LifeSciences Corporation</w:t>
            </w:r>
          </w:p>
        </w:tc>
        <w:tc>
          <w:tcPr>
            <w:tcW w:w="460" w:type="dxa"/>
            <w:vAlign w:val="bottom"/>
          </w:tcPr>
          <w:p>
            <w:pPr>
              <w:jc w:val="right"/>
              <w:ind w:right="12"/>
              <w:spacing w:after="0" w:line="138" w:lineRule="exact"/>
              <w:rPr>
                <w:sz w:val="20"/>
                <w:szCs w:val="20"/>
                <w:color w:val="auto"/>
              </w:rPr>
            </w:pPr>
            <w:r>
              <w:rPr>
                <w:rFonts w:ascii="Arial" w:cs="Arial" w:eastAsia="Arial" w:hAnsi="Arial"/>
                <w:sz w:val="14"/>
                <w:szCs w:val="14"/>
                <w:color w:val="auto"/>
              </w:rPr>
              <w:t>1115</w:t>
            </w:r>
          </w:p>
        </w:tc>
        <w:tc>
          <w:tcPr>
            <w:tcW w:w="2060" w:type="dxa"/>
            <w:vAlign w:val="bottom"/>
          </w:tcPr>
          <w:p>
            <w:pPr>
              <w:ind w:left="80"/>
              <w:spacing w:after="0" w:line="138" w:lineRule="exact"/>
              <w:rPr>
                <w:sz w:val="20"/>
                <w:szCs w:val="20"/>
                <w:color w:val="auto"/>
              </w:rPr>
            </w:pPr>
            <w:r>
              <w:rPr>
                <w:rFonts w:ascii="Arial" w:cs="Arial" w:eastAsia="Arial" w:hAnsi="Arial"/>
                <w:sz w:val="14"/>
                <w:szCs w:val="14"/>
                <w:color w:val="auto"/>
              </w:rPr>
              <w:t>LXU Healthcare, Inc</w:t>
            </w:r>
          </w:p>
        </w:tc>
        <w:tc>
          <w:tcPr>
            <w:tcW w:w="600" w:type="dxa"/>
            <w:vAlign w:val="bottom"/>
          </w:tcPr>
          <w:p>
            <w:pPr>
              <w:jc w:val="right"/>
              <w:ind w:right="112"/>
              <w:spacing w:after="0" w:line="138" w:lineRule="exact"/>
              <w:rPr>
                <w:sz w:val="20"/>
                <w:szCs w:val="20"/>
                <w:color w:val="auto"/>
              </w:rPr>
            </w:pPr>
            <w:r>
              <w:rPr>
                <w:rFonts w:ascii="Arial" w:cs="Arial" w:eastAsia="Arial" w:hAnsi="Arial"/>
                <w:sz w:val="14"/>
                <w:szCs w:val="14"/>
                <w:color w:val="auto"/>
              </w:rPr>
              <w:t>1250</w:t>
            </w:r>
          </w:p>
        </w:tc>
        <w:tc>
          <w:tcPr>
            <w:tcW w:w="540" w:type="dxa"/>
            <w:vAlign w:val="bottom"/>
          </w:tcPr>
          <w:p>
            <w:pPr>
              <w:jc w:val="right"/>
              <w:ind w:right="12"/>
              <w:spacing w:after="0" w:line="138" w:lineRule="exact"/>
              <w:rPr>
                <w:sz w:val="20"/>
                <w:szCs w:val="20"/>
                <w:color w:val="auto"/>
              </w:rPr>
            </w:pPr>
            <w:r>
              <w:rPr>
                <w:rFonts w:ascii="Arial" w:cs="Arial" w:eastAsia="Arial" w:hAnsi="Arial"/>
                <w:sz w:val="14"/>
                <w:szCs w:val="14"/>
                <w:color w:val="auto"/>
              </w:rPr>
              <w:t>USD</w:t>
            </w:r>
          </w:p>
        </w:tc>
        <w:tc>
          <w:tcPr>
            <w:tcW w:w="1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38" w:lineRule="exact"/>
              <w:rPr>
                <w:sz w:val="20"/>
                <w:szCs w:val="20"/>
                <w:color w:val="auto"/>
              </w:rPr>
            </w:pPr>
            <w:r>
              <w:rPr>
                <w:rFonts w:ascii="Arial" w:cs="Arial" w:eastAsia="Arial" w:hAnsi="Arial"/>
                <w:sz w:val="14"/>
                <w:szCs w:val="14"/>
                <w:color w:val="auto"/>
              </w:rPr>
              <w:t>1,000,000.00</w:t>
            </w:r>
          </w:p>
        </w:tc>
        <w:tc>
          <w:tcPr>
            <w:tcW w:w="100" w:type="dxa"/>
            <w:vAlign w:val="bottom"/>
          </w:tcPr>
          <w:p>
            <w:pPr>
              <w:spacing w:after="0"/>
              <w:rPr>
                <w:sz w:val="11"/>
                <w:szCs w:val="11"/>
                <w:color w:val="auto"/>
              </w:rPr>
            </w:pPr>
          </w:p>
        </w:tc>
        <w:tc>
          <w:tcPr>
            <w:tcW w:w="1020" w:type="dxa"/>
            <w:vAlign w:val="bottom"/>
          </w:tcPr>
          <w:p>
            <w:pPr>
              <w:ind w:left="60"/>
              <w:spacing w:after="0" w:line="138" w:lineRule="exact"/>
              <w:rPr>
                <w:sz w:val="20"/>
                <w:szCs w:val="20"/>
                <w:color w:val="auto"/>
              </w:rPr>
            </w:pPr>
            <w:r>
              <w:rPr>
                <w:rFonts w:ascii="Arial" w:cs="Arial" w:eastAsia="Arial" w:hAnsi="Arial"/>
                <w:sz w:val="14"/>
                <w:szCs w:val="14"/>
                <w:color w:val="auto"/>
              </w:rPr>
              <w:t>7.0% Interest</w:t>
            </w:r>
          </w:p>
        </w:tc>
        <w:tc>
          <w:tcPr>
            <w:tcW w:w="1320" w:type="dxa"/>
            <w:vAlign w:val="bottom"/>
          </w:tcPr>
          <w:p>
            <w:pPr>
              <w:ind w:left="60"/>
              <w:spacing w:after="0" w:line="138" w:lineRule="exact"/>
              <w:rPr>
                <w:sz w:val="20"/>
                <w:szCs w:val="20"/>
                <w:color w:val="auto"/>
              </w:rPr>
            </w:pPr>
            <w:r>
              <w:rPr>
                <w:rFonts w:ascii="Arial" w:cs="Arial" w:eastAsia="Arial" w:hAnsi="Arial"/>
                <w:sz w:val="14"/>
                <w:szCs w:val="14"/>
                <w:color w:val="auto"/>
              </w:rPr>
              <w:t>Interest due at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ind w:left="60"/>
              <w:spacing w:after="0" w:line="159" w:lineRule="exact"/>
              <w:rPr>
                <w:sz w:val="20"/>
                <w:szCs w:val="20"/>
                <w:color w:val="auto"/>
              </w:rPr>
            </w:pPr>
            <w:r>
              <w:rPr>
                <w:rFonts w:ascii="Arial" w:cs="Arial" w:eastAsia="Arial" w:hAnsi="Arial"/>
                <w:sz w:val="14"/>
                <w:szCs w:val="14"/>
                <w:color w:val="auto"/>
              </w:rPr>
              <w:t>Maturity.</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80" w:type="dxa"/>
            <w:vAlign w:val="bottom"/>
            <w:tcBorders>
              <w:left w:val="single" w:sz="8" w:color="CCEEFF"/>
            </w:tcBorders>
            <w:shd w:val="clear" w:color="auto" w:fill="CCEEFF"/>
          </w:tcPr>
          <w:p>
            <w:pPr>
              <w:spacing w:after="0" w:line="131" w:lineRule="exact"/>
              <w:rPr>
                <w:sz w:val="20"/>
                <w:szCs w:val="20"/>
                <w:color w:val="auto"/>
              </w:rPr>
            </w:pPr>
            <w:r>
              <w:rPr>
                <w:rFonts w:ascii="Arial" w:cs="Arial" w:eastAsia="Arial" w:hAnsi="Arial"/>
                <w:sz w:val="14"/>
                <w:szCs w:val="14"/>
                <w:color w:val="auto"/>
              </w:rPr>
              <w:t>B</w:t>
            </w:r>
          </w:p>
        </w:tc>
        <w:tc>
          <w:tcPr>
            <w:tcW w:w="600" w:type="dxa"/>
            <w:vAlign w:val="bottom"/>
            <w:shd w:val="clear" w:color="auto" w:fill="CCEEFF"/>
          </w:tcPr>
          <w:p>
            <w:pPr>
              <w:jc w:val="right"/>
              <w:ind w:right="12"/>
              <w:spacing w:after="0" w:line="131" w:lineRule="exact"/>
              <w:rPr>
                <w:sz w:val="20"/>
                <w:szCs w:val="20"/>
                <w:color w:val="auto"/>
              </w:rPr>
            </w:pPr>
            <w:r>
              <w:rPr>
                <w:rFonts w:ascii="Arial" w:cs="Arial" w:eastAsia="Arial" w:hAnsi="Arial"/>
                <w:sz w:val="14"/>
                <w:szCs w:val="14"/>
                <w:color w:val="auto"/>
                <w:w w:val="91"/>
              </w:rPr>
              <w:t>12.22.04</w:t>
            </w:r>
          </w:p>
        </w:tc>
        <w:tc>
          <w:tcPr>
            <w:tcW w:w="680" w:type="dxa"/>
            <w:vAlign w:val="bottom"/>
            <w:shd w:val="clear" w:color="auto" w:fill="CCEEFF"/>
          </w:tcPr>
          <w:p>
            <w:pPr>
              <w:jc w:val="right"/>
              <w:ind w:right="12"/>
              <w:spacing w:after="0" w:line="131" w:lineRule="exact"/>
              <w:rPr>
                <w:sz w:val="20"/>
                <w:szCs w:val="20"/>
                <w:color w:val="auto"/>
              </w:rPr>
            </w:pPr>
            <w:r>
              <w:rPr>
                <w:rFonts w:ascii="Arial" w:cs="Arial" w:eastAsia="Arial" w:hAnsi="Arial"/>
                <w:sz w:val="14"/>
                <w:szCs w:val="14"/>
                <w:color w:val="auto"/>
              </w:rPr>
              <w:t>12.22.14</w:t>
            </w:r>
          </w:p>
        </w:tc>
        <w:tc>
          <w:tcPr>
            <w:tcW w:w="520" w:type="dxa"/>
            <w:vAlign w:val="bottom"/>
            <w:shd w:val="clear" w:color="auto" w:fill="CCEEFF"/>
          </w:tcPr>
          <w:p>
            <w:pPr>
              <w:spacing w:after="0"/>
              <w:rPr>
                <w:sz w:val="11"/>
                <w:szCs w:val="11"/>
                <w:color w:val="auto"/>
              </w:rPr>
            </w:pPr>
          </w:p>
        </w:tc>
        <w:tc>
          <w:tcPr>
            <w:tcW w:w="2120" w:type="dxa"/>
            <w:vAlign w:val="bottom"/>
            <w:shd w:val="clear" w:color="auto" w:fill="CCEEFF"/>
          </w:tcPr>
          <w:p>
            <w:pPr>
              <w:ind w:left="60"/>
              <w:spacing w:after="0" w:line="131" w:lineRule="exact"/>
              <w:rPr>
                <w:sz w:val="20"/>
                <w:szCs w:val="20"/>
                <w:color w:val="auto"/>
              </w:rPr>
            </w:pPr>
            <w:r>
              <w:rPr>
                <w:rFonts w:ascii="Arial" w:cs="Arial" w:eastAsia="Arial" w:hAnsi="Arial"/>
                <w:sz w:val="14"/>
                <w:szCs w:val="14"/>
                <w:color w:val="auto"/>
                <w:w w:val="91"/>
              </w:rPr>
              <w:t>J. Jamner Surgical Instruments, Inc.</w:t>
            </w:r>
          </w:p>
        </w:tc>
        <w:tc>
          <w:tcPr>
            <w:tcW w:w="460" w:type="dxa"/>
            <w:vAlign w:val="bottom"/>
            <w:shd w:val="clear" w:color="auto" w:fill="CCEEFF"/>
          </w:tcPr>
          <w:p>
            <w:pPr>
              <w:jc w:val="right"/>
              <w:ind w:right="12"/>
              <w:spacing w:after="0" w:line="131" w:lineRule="exact"/>
              <w:rPr>
                <w:sz w:val="20"/>
                <w:szCs w:val="20"/>
                <w:color w:val="auto"/>
              </w:rPr>
            </w:pPr>
            <w:r>
              <w:rPr>
                <w:rFonts w:ascii="Arial" w:cs="Arial" w:eastAsia="Arial" w:hAnsi="Arial"/>
                <w:sz w:val="14"/>
                <w:szCs w:val="14"/>
                <w:color w:val="auto"/>
              </w:rPr>
              <w:t>1135</w:t>
            </w:r>
          </w:p>
        </w:tc>
        <w:tc>
          <w:tcPr>
            <w:tcW w:w="2060" w:type="dxa"/>
            <w:vAlign w:val="bottom"/>
            <w:shd w:val="clear" w:color="auto" w:fill="CCEEFF"/>
          </w:tcPr>
          <w:p>
            <w:pPr>
              <w:ind w:left="80"/>
              <w:spacing w:after="0" w:line="131" w:lineRule="exact"/>
              <w:rPr>
                <w:sz w:val="20"/>
                <w:szCs w:val="20"/>
                <w:color w:val="auto"/>
              </w:rPr>
            </w:pPr>
            <w:r>
              <w:rPr>
                <w:rFonts w:ascii="Arial" w:cs="Arial" w:eastAsia="Arial" w:hAnsi="Arial"/>
                <w:sz w:val="14"/>
                <w:szCs w:val="14"/>
                <w:color w:val="auto"/>
              </w:rPr>
              <w:t>Integra LifeSciences Holdings</w:t>
            </w:r>
          </w:p>
        </w:tc>
        <w:tc>
          <w:tcPr>
            <w:tcW w:w="600" w:type="dxa"/>
            <w:vAlign w:val="bottom"/>
            <w:shd w:val="clear" w:color="auto" w:fill="CCEEFF"/>
          </w:tcPr>
          <w:p>
            <w:pPr>
              <w:jc w:val="right"/>
              <w:ind w:right="112"/>
              <w:spacing w:after="0" w:line="131" w:lineRule="exact"/>
              <w:rPr>
                <w:sz w:val="20"/>
                <w:szCs w:val="20"/>
                <w:color w:val="auto"/>
              </w:rPr>
            </w:pPr>
            <w:r>
              <w:rPr>
                <w:rFonts w:ascii="Arial" w:cs="Arial" w:eastAsia="Arial" w:hAnsi="Arial"/>
                <w:sz w:val="14"/>
                <w:szCs w:val="14"/>
                <w:color w:val="auto"/>
              </w:rPr>
              <w:t>1105</w:t>
            </w:r>
          </w:p>
        </w:tc>
        <w:tc>
          <w:tcPr>
            <w:tcW w:w="540" w:type="dxa"/>
            <w:vAlign w:val="bottom"/>
            <w:shd w:val="clear" w:color="auto" w:fill="CCEEFF"/>
          </w:tcPr>
          <w:p>
            <w:pPr>
              <w:jc w:val="right"/>
              <w:ind w:right="12"/>
              <w:spacing w:after="0" w:line="131" w:lineRule="exact"/>
              <w:rPr>
                <w:sz w:val="20"/>
                <w:szCs w:val="20"/>
                <w:color w:val="auto"/>
              </w:rPr>
            </w:pPr>
            <w:r>
              <w:rPr>
                <w:rFonts w:ascii="Arial" w:cs="Arial" w:eastAsia="Arial" w:hAnsi="Arial"/>
                <w:sz w:val="14"/>
                <w:szCs w:val="14"/>
                <w:color w:val="auto"/>
              </w:rPr>
              <w:t>USD</w:t>
            </w:r>
          </w:p>
        </w:tc>
        <w:tc>
          <w:tcPr>
            <w:tcW w:w="16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w w:val="91"/>
              </w:rPr>
              <w:t>24,000,000.00</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ind w:left="60"/>
              <w:spacing w:after="0" w:line="131" w:lineRule="exact"/>
              <w:rPr>
                <w:sz w:val="20"/>
                <w:szCs w:val="20"/>
                <w:color w:val="auto"/>
              </w:rPr>
            </w:pPr>
            <w:r>
              <w:rPr>
                <w:rFonts w:ascii="Arial" w:cs="Arial" w:eastAsia="Arial" w:hAnsi="Arial"/>
                <w:sz w:val="14"/>
                <w:szCs w:val="14"/>
                <w:color w:val="auto"/>
              </w:rPr>
              <w:t>5% annually</w:t>
            </w:r>
          </w:p>
        </w:tc>
        <w:tc>
          <w:tcPr>
            <w:tcW w:w="1320" w:type="dxa"/>
            <w:vAlign w:val="bottom"/>
            <w:shd w:val="clear" w:color="auto" w:fill="CCEEFF"/>
          </w:tcPr>
          <w:p>
            <w:pPr>
              <w:ind w:left="60"/>
              <w:spacing w:after="0" w:line="131" w:lineRule="exact"/>
              <w:rPr>
                <w:sz w:val="20"/>
                <w:szCs w:val="20"/>
                <w:color w:val="auto"/>
              </w:rPr>
            </w:pPr>
            <w:r>
              <w:rPr>
                <w:rFonts w:ascii="Arial" w:cs="Arial" w:eastAsia="Arial" w:hAnsi="Arial"/>
                <w:sz w:val="14"/>
                <w:szCs w:val="14"/>
                <w:color w:val="auto"/>
              </w:rPr>
              <w:t>To make limited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Borders>
              <w:lef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Corporation</w:t>
            </w:r>
          </w:p>
        </w:tc>
        <w:tc>
          <w:tcPr>
            <w:tcW w:w="6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3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partner capital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Borders>
              <w:lef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3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contribution to Jarit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Borders>
              <w:lef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3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2"/>
              </w:rPr>
              <w:t>Instruments Inc &amp; Co.</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0" w:type="dxa"/>
            <w:vAlign w:val="bottom"/>
            <w:tcBorders>
              <w:left w:val="single" w:sz="8" w:color="CCEEFF"/>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212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20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KG</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0" w:type="dxa"/>
            <w:vAlign w:val="bottom"/>
          </w:tcPr>
          <w:p>
            <w:pPr>
              <w:spacing w:after="0" w:line="132" w:lineRule="exact"/>
              <w:rPr>
                <w:sz w:val="20"/>
                <w:szCs w:val="20"/>
                <w:color w:val="auto"/>
              </w:rPr>
            </w:pPr>
            <w:r>
              <w:rPr>
                <w:rFonts w:ascii="Arial" w:cs="Arial" w:eastAsia="Arial" w:hAnsi="Arial"/>
                <w:sz w:val="14"/>
                <w:szCs w:val="14"/>
                <w:color w:val="auto"/>
              </w:rPr>
              <w:t>Q</w:t>
            </w:r>
          </w:p>
        </w:tc>
        <w:tc>
          <w:tcPr>
            <w:tcW w:w="600" w:type="dxa"/>
            <w:vAlign w:val="bottom"/>
          </w:tcPr>
          <w:p>
            <w:pPr>
              <w:jc w:val="right"/>
              <w:ind w:right="12"/>
              <w:spacing w:after="0" w:line="132" w:lineRule="exact"/>
              <w:rPr>
                <w:sz w:val="20"/>
                <w:szCs w:val="20"/>
                <w:color w:val="auto"/>
              </w:rPr>
            </w:pPr>
            <w:r>
              <w:rPr>
                <w:rFonts w:ascii="Arial" w:cs="Arial" w:eastAsia="Arial" w:hAnsi="Arial"/>
                <w:sz w:val="14"/>
                <w:szCs w:val="14"/>
                <w:color w:val="auto"/>
                <w:w w:val="91"/>
              </w:rPr>
              <w:t>12.31.06</w:t>
            </w:r>
          </w:p>
        </w:tc>
        <w:tc>
          <w:tcPr>
            <w:tcW w:w="680" w:type="dxa"/>
            <w:vAlign w:val="bottom"/>
          </w:tcPr>
          <w:p>
            <w:pPr>
              <w:jc w:val="right"/>
              <w:ind w:right="12"/>
              <w:spacing w:after="0" w:line="132" w:lineRule="exact"/>
              <w:rPr>
                <w:sz w:val="20"/>
                <w:szCs w:val="20"/>
                <w:color w:val="auto"/>
              </w:rPr>
            </w:pPr>
            <w:r>
              <w:rPr>
                <w:rFonts w:ascii="Arial" w:cs="Arial" w:eastAsia="Arial" w:hAnsi="Arial"/>
                <w:sz w:val="14"/>
                <w:szCs w:val="14"/>
                <w:color w:val="auto"/>
              </w:rPr>
              <w:t>12.31.11</w:t>
            </w:r>
          </w:p>
        </w:tc>
        <w:tc>
          <w:tcPr>
            <w:tcW w:w="520" w:type="dxa"/>
            <w:vAlign w:val="bottom"/>
          </w:tcPr>
          <w:p>
            <w:pPr>
              <w:spacing w:after="0"/>
              <w:rPr>
                <w:sz w:val="11"/>
                <w:szCs w:val="11"/>
                <w:color w:val="auto"/>
              </w:rPr>
            </w:pPr>
          </w:p>
        </w:tc>
        <w:tc>
          <w:tcPr>
            <w:tcW w:w="2120" w:type="dxa"/>
            <w:vAlign w:val="bottom"/>
          </w:tcPr>
          <w:p>
            <w:pPr>
              <w:ind w:left="60"/>
              <w:spacing w:after="0" w:line="132" w:lineRule="exact"/>
              <w:rPr>
                <w:sz w:val="20"/>
                <w:szCs w:val="20"/>
                <w:color w:val="auto"/>
              </w:rPr>
            </w:pPr>
            <w:r>
              <w:rPr>
                <w:rFonts w:ascii="Arial" w:cs="Arial" w:eastAsia="Arial" w:hAnsi="Arial"/>
                <w:sz w:val="14"/>
                <w:szCs w:val="14"/>
                <w:color w:val="auto"/>
              </w:rPr>
              <w:t>Integra Radionics</w:t>
            </w:r>
          </w:p>
        </w:tc>
        <w:tc>
          <w:tcPr>
            <w:tcW w:w="460" w:type="dxa"/>
            <w:vAlign w:val="bottom"/>
          </w:tcPr>
          <w:p>
            <w:pPr>
              <w:jc w:val="right"/>
              <w:ind w:right="12"/>
              <w:spacing w:after="0" w:line="132" w:lineRule="exact"/>
              <w:rPr>
                <w:sz w:val="20"/>
                <w:szCs w:val="20"/>
                <w:color w:val="auto"/>
              </w:rPr>
            </w:pPr>
            <w:r>
              <w:rPr>
                <w:rFonts w:ascii="Arial" w:cs="Arial" w:eastAsia="Arial" w:hAnsi="Arial"/>
                <w:sz w:val="14"/>
                <w:szCs w:val="14"/>
                <w:color w:val="auto"/>
              </w:rPr>
              <w:t>1215</w:t>
            </w:r>
          </w:p>
        </w:tc>
        <w:tc>
          <w:tcPr>
            <w:tcW w:w="2060" w:type="dxa"/>
            <w:vAlign w:val="bottom"/>
          </w:tcPr>
          <w:p>
            <w:pPr>
              <w:ind w:left="80"/>
              <w:spacing w:after="0" w:line="132" w:lineRule="exact"/>
              <w:rPr>
                <w:sz w:val="20"/>
                <w:szCs w:val="20"/>
                <w:color w:val="auto"/>
              </w:rPr>
            </w:pPr>
            <w:r>
              <w:rPr>
                <w:rFonts w:ascii="Arial" w:cs="Arial" w:eastAsia="Arial" w:hAnsi="Arial"/>
                <w:sz w:val="14"/>
                <w:szCs w:val="14"/>
                <w:color w:val="auto"/>
                <w:w w:val="96"/>
              </w:rPr>
              <w:t>Integra LifeSciences Corporation</w:t>
            </w:r>
          </w:p>
        </w:tc>
        <w:tc>
          <w:tcPr>
            <w:tcW w:w="600" w:type="dxa"/>
            <w:vAlign w:val="bottom"/>
          </w:tcPr>
          <w:p>
            <w:pPr>
              <w:jc w:val="right"/>
              <w:ind w:right="112"/>
              <w:spacing w:after="0" w:line="132" w:lineRule="exact"/>
              <w:rPr>
                <w:sz w:val="20"/>
                <w:szCs w:val="20"/>
                <w:color w:val="auto"/>
              </w:rPr>
            </w:pPr>
            <w:r>
              <w:rPr>
                <w:rFonts w:ascii="Arial" w:cs="Arial" w:eastAsia="Arial" w:hAnsi="Arial"/>
                <w:sz w:val="14"/>
                <w:szCs w:val="14"/>
                <w:color w:val="auto"/>
              </w:rPr>
              <w:t>1115</w:t>
            </w:r>
          </w:p>
        </w:tc>
        <w:tc>
          <w:tcPr>
            <w:tcW w:w="540" w:type="dxa"/>
            <w:vAlign w:val="bottom"/>
          </w:tcPr>
          <w:p>
            <w:pPr>
              <w:jc w:val="right"/>
              <w:ind w:right="12"/>
              <w:spacing w:after="0" w:line="132" w:lineRule="exact"/>
              <w:rPr>
                <w:sz w:val="20"/>
                <w:szCs w:val="20"/>
                <w:color w:val="auto"/>
              </w:rPr>
            </w:pPr>
            <w:r>
              <w:rPr>
                <w:rFonts w:ascii="Arial" w:cs="Arial" w:eastAsia="Arial" w:hAnsi="Arial"/>
                <w:sz w:val="14"/>
                <w:szCs w:val="14"/>
                <w:color w:val="auto"/>
              </w:rPr>
              <w:t>USD</w:t>
            </w:r>
          </w:p>
        </w:tc>
        <w:tc>
          <w:tcPr>
            <w:tcW w:w="160" w:type="dxa"/>
            <w:vAlign w:val="bottom"/>
            <w:gridSpan w:val="2"/>
          </w:tcPr>
          <w:p>
            <w:pPr>
              <w:jc w:val="right"/>
              <w:spacing w:after="0" w:line="132"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32" w:lineRule="exact"/>
              <w:rPr>
                <w:sz w:val="20"/>
                <w:szCs w:val="20"/>
                <w:color w:val="auto"/>
              </w:rPr>
            </w:pPr>
            <w:r>
              <w:rPr>
                <w:rFonts w:ascii="Arial" w:cs="Arial" w:eastAsia="Arial" w:hAnsi="Arial"/>
                <w:sz w:val="14"/>
                <w:szCs w:val="14"/>
                <w:color w:val="auto"/>
              </w:rPr>
              <w:t>4,966,897.00</w:t>
            </w:r>
          </w:p>
        </w:tc>
        <w:tc>
          <w:tcPr>
            <w:tcW w:w="100" w:type="dxa"/>
            <w:vAlign w:val="bottom"/>
          </w:tcPr>
          <w:p>
            <w:pPr>
              <w:spacing w:after="0"/>
              <w:rPr>
                <w:sz w:val="11"/>
                <w:szCs w:val="11"/>
                <w:color w:val="auto"/>
              </w:rPr>
            </w:pPr>
          </w:p>
        </w:tc>
        <w:tc>
          <w:tcPr>
            <w:tcW w:w="1020" w:type="dxa"/>
            <w:vAlign w:val="bottom"/>
          </w:tcPr>
          <w:p>
            <w:pPr>
              <w:ind w:left="60"/>
              <w:spacing w:after="0" w:line="132" w:lineRule="exact"/>
              <w:rPr>
                <w:sz w:val="20"/>
                <w:szCs w:val="20"/>
                <w:color w:val="auto"/>
              </w:rPr>
            </w:pPr>
            <w:r>
              <w:rPr>
                <w:rFonts w:ascii="Arial" w:cs="Arial" w:eastAsia="Arial" w:hAnsi="Arial"/>
                <w:sz w:val="14"/>
                <w:szCs w:val="14"/>
                <w:color w:val="auto"/>
              </w:rPr>
              <w:t>7% annually</w:t>
            </w:r>
          </w:p>
        </w:tc>
        <w:tc>
          <w:tcPr>
            <w:tcW w:w="1320" w:type="dxa"/>
            <w:vAlign w:val="bottom"/>
          </w:tcPr>
          <w:p>
            <w:pPr>
              <w:ind w:left="60"/>
              <w:spacing w:after="0" w:line="132" w:lineRule="exact"/>
              <w:rPr>
                <w:sz w:val="20"/>
                <w:szCs w:val="20"/>
                <w:color w:val="auto"/>
              </w:rPr>
            </w:pPr>
            <w:r>
              <w:rPr>
                <w:rFonts w:ascii="Arial" w:cs="Arial" w:eastAsia="Arial" w:hAnsi="Arial"/>
                <w:sz w:val="14"/>
                <w:szCs w:val="14"/>
                <w:color w:val="auto"/>
              </w:rPr>
              <w:t>Interest due at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20" w:type="dxa"/>
            <w:vAlign w:val="bottom"/>
          </w:tcPr>
          <w:p>
            <w:pPr>
              <w:ind w:left="60"/>
              <w:spacing w:after="0" w:line="159" w:lineRule="exact"/>
              <w:rPr>
                <w:sz w:val="20"/>
                <w:szCs w:val="20"/>
                <w:color w:val="auto"/>
              </w:rPr>
            </w:pPr>
            <w:r>
              <w:rPr>
                <w:rFonts w:ascii="Arial" w:cs="Arial" w:eastAsia="Arial" w:hAnsi="Arial"/>
                <w:sz w:val="14"/>
                <w:szCs w:val="14"/>
                <w:color w:val="auto"/>
              </w:rPr>
              <w:t>Maturity.</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Borders>
              <w:lef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CB</w:t>
            </w: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1"/>
              </w:rPr>
              <w:t>05.07.07</w:t>
            </w:r>
          </w:p>
        </w:tc>
        <w:tc>
          <w:tcPr>
            <w:tcW w:w="6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05.07.12</w:t>
            </w:r>
          </w:p>
        </w:tc>
        <w:tc>
          <w:tcPr>
            <w:tcW w:w="520" w:type="dxa"/>
            <w:vAlign w:val="bottom"/>
            <w:shd w:val="clear" w:color="auto" w:fill="CCEEFF"/>
          </w:tcPr>
          <w:p>
            <w:pPr>
              <w:spacing w:after="0"/>
              <w:rPr>
                <w:sz w:val="12"/>
                <w:szCs w:val="12"/>
                <w:color w:val="auto"/>
              </w:rPr>
            </w:pPr>
          </w:p>
        </w:tc>
        <w:tc>
          <w:tcPr>
            <w:tcW w:w="21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Integra Radionics</w:t>
            </w: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1215</w:t>
            </w:r>
          </w:p>
        </w:tc>
        <w:tc>
          <w:tcPr>
            <w:tcW w:w="20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6"/>
              </w:rPr>
              <w:t>Integra LifeSciences Corporation</w:t>
            </w:r>
          </w:p>
        </w:tc>
        <w:tc>
          <w:tcPr>
            <w:tcW w:w="6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1115</w:t>
            </w: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USD</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30,000,000.00</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8"/>
              </w:rPr>
              <w:t>7.25% annually</w:t>
            </w:r>
          </w:p>
        </w:tc>
        <w:tc>
          <w:tcPr>
            <w:tcW w:w="13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Luxtec acquisition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Borders>
              <w:left w:val="single" w:sz="8" w:color="CCEEFF"/>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21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20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34,966,897.00</w:t>
            </w:r>
          </w:p>
        </w:tc>
        <w:tc>
          <w:tcPr>
            <w:tcW w:w="1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ind w:left="60"/>
              <w:spacing w:after="0" w:line="149" w:lineRule="exact"/>
              <w:rPr>
                <w:sz w:val="20"/>
                <w:szCs w:val="20"/>
                <w:color w:val="auto"/>
              </w:rPr>
            </w:pPr>
            <w:r>
              <w:rPr>
                <w:rFonts w:ascii="Arial" w:cs="Arial" w:eastAsia="Arial" w:hAnsi="Arial"/>
                <w:sz w:val="14"/>
                <w:szCs w:val="14"/>
                <w:color w:val="auto"/>
              </w:rPr>
              <w:t>subtotal</w:t>
            </w:r>
          </w:p>
        </w:tc>
        <w:tc>
          <w:tcPr>
            <w:tcW w:w="1320" w:type="dxa"/>
            <w:vAlign w:val="bottom"/>
            <w:tcBorders>
              <w:bottom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80" w:type="dxa"/>
            <w:vAlign w:val="bottom"/>
            <w:tcBorders>
              <w:lef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BN</w:t>
            </w:r>
          </w:p>
        </w:tc>
        <w:tc>
          <w:tcPr>
            <w:tcW w:w="60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1"/>
              </w:rPr>
              <w:t>03.30.09</w:t>
            </w:r>
          </w:p>
        </w:tc>
        <w:tc>
          <w:tcPr>
            <w:tcW w:w="6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03.30.14</w:t>
            </w:r>
          </w:p>
        </w:tc>
        <w:tc>
          <w:tcPr>
            <w:tcW w:w="520" w:type="dxa"/>
            <w:vAlign w:val="bottom"/>
            <w:shd w:val="clear" w:color="auto" w:fill="CCEEFF"/>
          </w:tcPr>
          <w:p>
            <w:pPr>
              <w:spacing w:after="0"/>
              <w:rPr>
                <w:sz w:val="11"/>
                <w:szCs w:val="11"/>
                <w:color w:val="auto"/>
              </w:rPr>
            </w:pPr>
          </w:p>
        </w:tc>
        <w:tc>
          <w:tcPr>
            <w:tcW w:w="21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Integra Luxtec</w:t>
            </w:r>
          </w:p>
        </w:tc>
        <w:tc>
          <w:tcPr>
            <w:tcW w:w="46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1245</w:t>
            </w:r>
          </w:p>
        </w:tc>
        <w:tc>
          <w:tcPr>
            <w:tcW w:w="206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Bimeco, Inc</w:t>
            </w:r>
          </w:p>
        </w:tc>
        <w:tc>
          <w:tcPr>
            <w:tcW w:w="600" w:type="dxa"/>
            <w:vAlign w:val="bottom"/>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rPr>
              <w:t>1255</w:t>
            </w:r>
          </w:p>
        </w:tc>
        <w:tc>
          <w:tcPr>
            <w:tcW w:w="54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USD</w:t>
            </w:r>
          </w:p>
        </w:tc>
        <w:tc>
          <w:tcPr>
            <w:tcW w:w="1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8,902.14</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11.5% Interest</w:t>
            </w:r>
          </w:p>
        </w:tc>
        <w:tc>
          <w:tcPr>
            <w:tcW w:w="13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w w:val="86"/>
              </w:rPr>
              <w:t>Interest due at maturity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Borders>
              <w:left w:val="single" w:sz="8" w:color="CCEEFF"/>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32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date.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 w:type="dxa"/>
            <w:vAlign w:val="bottom"/>
          </w:tcPr>
          <w:p>
            <w:pPr>
              <w:spacing w:after="0" w:line="138" w:lineRule="exact"/>
              <w:rPr>
                <w:sz w:val="20"/>
                <w:szCs w:val="20"/>
                <w:color w:val="auto"/>
              </w:rPr>
            </w:pPr>
            <w:r>
              <w:rPr>
                <w:rFonts w:ascii="Arial" w:cs="Arial" w:eastAsia="Arial" w:hAnsi="Arial"/>
                <w:sz w:val="14"/>
                <w:szCs w:val="14"/>
                <w:color w:val="auto"/>
              </w:rPr>
              <w:t>BO</w:t>
            </w:r>
          </w:p>
        </w:tc>
        <w:tc>
          <w:tcPr>
            <w:tcW w:w="60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1"/>
              </w:rPr>
              <w:t>03.30.09</w:t>
            </w:r>
          </w:p>
        </w:tc>
        <w:tc>
          <w:tcPr>
            <w:tcW w:w="680" w:type="dxa"/>
            <w:vAlign w:val="bottom"/>
          </w:tcPr>
          <w:p>
            <w:pPr>
              <w:jc w:val="right"/>
              <w:ind w:right="12"/>
              <w:spacing w:after="0" w:line="138" w:lineRule="exact"/>
              <w:rPr>
                <w:sz w:val="20"/>
                <w:szCs w:val="20"/>
                <w:color w:val="auto"/>
              </w:rPr>
            </w:pPr>
            <w:r>
              <w:rPr>
                <w:rFonts w:ascii="Arial" w:cs="Arial" w:eastAsia="Arial" w:hAnsi="Arial"/>
                <w:sz w:val="14"/>
                <w:szCs w:val="14"/>
                <w:color w:val="auto"/>
              </w:rPr>
              <w:t>03.30.14</w:t>
            </w:r>
          </w:p>
        </w:tc>
        <w:tc>
          <w:tcPr>
            <w:tcW w:w="520" w:type="dxa"/>
            <w:vAlign w:val="bottom"/>
          </w:tcPr>
          <w:p>
            <w:pPr>
              <w:spacing w:after="0"/>
              <w:rPr>
                <w:sz w:val="11"/>
                <w:szCs w:val="11"/>
                <w:color w:val="auto"/>
              </w:rPr>
            </w:pPr>
          </w:p>
        </w:tc>
        <w:tc>
          <w:tcPr>
            <w:tcW w:w="2120" w:type="dxa"/>
            <w:vAlign w:val="bottom"/>
          </w:tcPr>
          <w:p>
            <w:pPr>
              <w:ind w:left="60"/>
              <w:spacing w:after="0" w:line="138" w:lineRule="exact"/>
              <w:rPr>
                <w:sz w:val="20"/>
                <w:szCs w:val="20"/>
                <w:color w:val="auto"/>
              </w:rPr>
            </w:pPr>
            <w:r>
              <w:rPr>
                <w:rFonts w:ascii="Arial" w:cs="Arial" w:eastAsia="Arial" w:hAnsi="Arial"/>
                <w:sz w:val="14"/>
                <w:szCs w:val="14"/>
                <w:color w:val="auto"/>
              </w:rPr>
              <w:t>Integra Luxtec</w:t>
            </w:r>
          </w:p>
        </w:tc>
        <w:tc>
          <w:tcPr>
            <w:tcW w:w="460" w:type="dxa"/>
            <w:vAlign w:val="bottom"/>
          </w:tcPr>
          <w:p>
            <w:pPr>
              <w:jc w:val="right"/>
              <w:ind w:right="12"/>
              <w:spacing w:after="0" w:line="138" w:lineRule="exact"/>
              <w:rPr>
                <w:sz w:val="20"/>
                <w:szCs w:val="20"/>
                <w:color w:val="auto"/>
              </w:rPr>
            </w:pPr>
            <w:r>
              <w:rPr>
                <w:rFonts w:ascii="Arial" w:cs="Arial" w:eastAsia="Arial" w:hAnsi="Arial"/>
                <w:sz w:val="14"/>
                <w:szCs w:val="14"/>
                <w:color w:val="auto"/>
              </w:rPr>
              <w:t>1245</w:t>
            </w:r>
          </w:p>
        </w:tc>
        <w:tc>
          <w:tcPr>
            <w:tcW w:w="2060" w:type="dxa"/>
            <w:vAlign w:val="bottom"/>
          </w:tcPr>
          <w:p>
            <w:pPr>
              <w:ind w:left="80"/>
              <w:spacing w:after="0" w:line="138" w:lineRule="exact"/>
              <w:rPr>
                <w:sz w:val="20"/>
                <w:szCs w:val="20"/>
                <w:color w:val="auto"/>
              </w:rPr>
            </w:pPr>
            <w:r>
              <w:rPr>
                <w:rFonts w:ascii="Arial" w:cs="Arial" w:eastAsia="Arial" w:hAnsi="Arial"/>
                <w:sz w:val="14"/>
                <w:szCs w:val="14"/>
                <w:color w:val="auto"/>
              </w:rPr>
              <w:t>LXU Healthcare, Inc</w:t>
            </w:r>
          </w:p>
        </w:tc>
        <w:tc>
          <w:tcPr>
            <w:tcW w:w="600" w:type="dxa"/>
            <w:vAlign w:val="bottom"/>
          </w:tcPr>
          <w:p>
            <w:pPr>
              <w:jc w:val="right"/>
              <w:ind w:right="112"/>
              <w:spacing w:after="0" w:line="138" w:lineRule="exact"/>
              <w:rPr>
                <w:sz w:val="20"/>
                <w:szCs w:val="20"/>
                <w:color w:val="auto"/>
              </w:rPr>
            </w:pPr>
            <w:r>
              <w:rPr>
                <w:rFonts w:ascii="Arial" w:cs="Arial" w:eastAsia="Arial" w:hAnsi="Arial"/>
                <w:sz w:val="14"/>
                <w:szCs w:val="14"/>
                <w:color w:val="auto"/>
              </w:rPr>
              <w:t>1250</w:t>
            </w:r>
          </w:p>
        </w:tc>
        <w:tc>
          <w:tcPr>
            <w:tcW w:w="540" w:type="dxa"/>
            <w:vAlign w:val="bottom"/>
          </w:tcPr>
          <w:p>
            <w:pPr>
              <w:jc w:val="right"/>
              <w:ind w:right="12"/>
              <w:spacing w:after="0" w:line="138" w:lineRule="exact"/>
              <w:rPr>
                <w:sz w:val="20"/>
                <w:szCs w:val="20"/>
                <w:color w:val="auto"/>
              </w:rPr>
            </w:pPr>
            <w:r>
              <w:rPr>
                <w:rFonts w:ascii="Arial" w:cs="Arial" w:eastAsia="Arial" w:hAnsi="Arial"/>
                <w:sz w:val="14"/>
                <w:szCs w:val="14"/>
                <w:color w:val="auto"/>
              </w:rPr>
              <w:t>USD</w:t>
            </w:r>
          </w:p>
        </w:tc>
        <w:tc>
          <w:tcPr>
            <w:tcW w:w="1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38" w:lineRule="exact"/>
              <w:rPr>
                <w:sz w:val="20"/>
                <w:szCs w:val="20"/>
                <w:color w:val="auto"/>
              </w:rPr>
            </w:pPr>
            <w:r>
              <w:rPr>
                <w:rFonts w:ascii="Arial" w:cs="Arial" w:eastAsia="Arial" w:hAnsi="Arial"/>
                <w:sz w:val="14"/>
                <w:szCs w:val="14"/>
                <w:color w:val="auto"/>
              </w:rPr>
              <w:t>569,763.98</w:t>
            </w:r>
          </w:p>
        </w:tc>
        <w:tc>
          <w:tcPr>
            <w:tcW w:w="100" w:type="dxa"/>
            <w:vAlign w:val="bottom"/>
          </w:tcPr>
          <w:p>
            <w:pPr>
              <w:spacing w:after="0"/>
              <w:rPr>
                <w:sz w:val="11"/>
                <w:szCs w:val="11"/>
                <w:color w:val="auto"/>
              </w:rPr>
            </w:pPr>
          </w:p>
        </w:tc>
        <w:tc>
          <w:tcPr>
            <w:tcW w:w="1020" w:type="dxa"/>
            <w:vAlign w:val="bottom"/>
          </w:tcPr>
          <w:p>
            <w:pPr>
              <w:ind w:left="60"/>
              <w:spacing w:after="0" w:line="138" w:lineRule="exact"/>
              <w:rPr>
                <w:sz w:val="20"/>
                <w:szCs w:val="20"/>
                <w:color w:val="auto"/>
              </w:rPr>
            </w:pPr>
            <w:r>
              <w:rPr>
                <w:rFonts w:ascii="Arial" w:cs="Arial" w:eastAsia="Arial" w:hAnsi="Arial"/>
                <w:sz w:val="14"/>
                <w:szCs w:val="14"/>
                <w:color w:val="auto"/>
              </w:rPr>
              <w:t>11.5% Interest</w:t>
            </w:r>
          </w:p>
        </w:tc>
        <w:tc>
          <w:tcPr>
            <w:tcW w:w="1320" w:type="dxa"/>
            <w:vAlign w:val="bottom"/>
          </w:tcPr>
          <w:p>
            <w:pPr>
              <w:ind w:left="60"/>
              <w:spacing w:after="0" w:line="138" w:lineRule="exact"/>
              <w:rPr>
                <w:sz w:val="20"/>
                <w:szCs w:val="20"/>
                <w:color w:val="auto"/>
              </w:rPr>
            </w:pPr>
            <w:r>
              <w:rPr>
                <w:rFonts w:ascii="Arial" w:cs="Arial" w:eastAsia="Arial" w:hAnsi="Arial"/>
                <w:sz w:val="14"/>
                <w:szCs w:val="14"/>
                <w:color w:val="auto"/>
                <w:w w:val="86"/>
              </w:rPr>
              <w:t>Interest due at maturity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20" w:type="dxa"/>
            <w:vAlign w:val="bottom"/>
          </w:tcPr>
          <w:p>
            <w:pPr>
              <w:ind w:left="60"/>
              <w:spacing w:after="0" w:line="159" w:lineRule="exact"/>
              <w:rPr>
                <w:sz w:val="20"/>
                <w:szCs w:val="20"/>
                <w:color w:val="auto"/>
              </w:rPr>
            </w:pPr>
            <w:r>
              <w:rPr>
                <w:rFonts w:ascii="Arial" w:cs="Arial" w:eastAsia="Arial" w:hAnsi="Arial"/>
                <w:sz w:val="14"/>
                <w:szCs w:val="14"/>
                <w:color w:val="auto"/>
              </w:rPr>
              <w:t>date.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Borders>
              <w:lef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578,666.12</w:t>
            </w: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ind w:left="60"/>
              <w:spacing w:after="0" w:line="149" w:lineRule="exact"/>
              <w:rPr>
                <w:sz w:val="20"/>
                <w:szCs w:val="20"/>
                <w:color w:val="auto"/>
              </w:rPr>
            </w:pPr>
            <w:r>
              <w:rPr>
                <w:rFonts w:ascii="Arial" w:cs="Arial" w:eastAsia="Arial" w:hAnsi="Arial"/>
                <w:sz w:val="14"/>
                <w:szCs w:val="14"/>
                <w:color w:val="auto"/>
              </w:rPr>
              <w:t>subtotal</w:t>
            </w:r>
          </w:p>
        </w:tc>
        <w:tc>
          <w:tcPr>
            <w:tcW w:w="13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80" w:type="dxa"/>
            <w:vAlign w:val="bottom"/>
            <w:tcBorders>
              <w:lef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CH</w:t>
            </w:r>
          </w:p>
        </w:tc>
        <w:tc>
          <w:tcPr>
            <w:tcW w:w="6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w w:val="91"/>
              </w:rPr>
              <w:t>08.24.10</w:t>
            </w:r>
          </w:p>
        </w:tc>
        <w:tc>
          <w:tcPr>
            <w:tcW w:w="68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08.24.15</w:t>
            </w:r>
          </w:p>
        </w:tc>
        <w:tc>
          <w:tcPr>
            <w:tcW w:w="52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tcPr>
          <w:p>
            <w:pPr>
              <w:ind w:left="60"/>
              <w:spacing w:after="0" w:line="149" w:lineRule="exact"/>
              <w:rPr>
                <w:sz w:val="20"/>
                <w:szCs w:val="20"/>
                <w:color w:val="auto"/>
              </w:rPr>
            </w:pPr>
            <w:r>
              <w:rPr>
                <w:rFonts w:ascii="Arial" w:cs="Arial" w:eastAsia="Arial" w:hAnsi="Arial"/>
                <w:sz w:val="14"/>
                <w:szCs w:val="14"/>
                <w:color w:val="auto"/>
              </w:rPr>
              <w:t>Isotis Orthobiologics, Inc</w:t>
            </w:r>
          </w:p>
        </w:tc>
        <w:tc>
          <w:tcPr>
            <w:tcW w:w="46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1260</w:t>
            </w:r>
          </w:p>
        </w:tc>
        <w:tc>
          <w:tcPr>
            <w:tcW w:w="2060" w:type="dxa"/>
            <w:vAlign w:val="bottom"/>
            <w:tcBorders>
              <w:bottom w:val="single" w:sz="8" w:color="auto"/>
            </w:tcBorders>
          </w:tcPr>
          <w:p>
            <w:pPr>
              <w:ind w:left="80"/>
              <w:spacing w:after="0" w:line="149" w:lineRule="exact"/>
              <w:rPr>
                <w:sz w:val="20"/>
                <w:szCs w:val="20"/>
                <w:color w:val="auto"/>
              </w:rPr>
            </w:pPr>
            <w:r>
              <w:rPr>
                <w:rFonts w:ascii="Arial" w:cs="Arial" w:eastAsia="Arial" w:hAnsi="Arial"/>
                <w:sz w:val="14"/>
                <w:szCs w:val="14"/>
                <w:color w:val="auto"/>
              </w:rPr>
              <w:t>Isotis International SA</w:t>
            </w:r>
          </w:p>
        </w:tc>
        <w:tc>
          <w:tcPr>
            <w:tcW w:w="60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4710</w:t>
            </w:r>
          </w:p>
        </w:tc>
        <w:tc>
          <w:tcPr>
            <w:tcW w:w="54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USD</w:t>
            </w:r>
          </w:p>
        </w:tc>
        <w:tc>
          <w:tcPr>
            <w:tcW w:w="16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3,100,000.00</w:t>
            </w: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ind w:left="60"/>
              <w:spacing w:after="0" w:line="149" w:lineRule="exact"/>
              <w:rPr>
                <w:sz w:val="20"/>
                <w:szCs w:val="20"/>
                <w:color w:val="auto"/>
              </w:rPr>
            </w:pPr>
            <w:r>
              <w:rPr>
                <w:rFonts w:ascii="Arial" w:cs="Arial" w:eastAsia="Arial" w:hAnsi="Arial"/>
                <w:sz w:val="14"/>
                <w:szCs w:val="14"/>
                <w:color w:val="auto"/>
              </w:rPr>
              <w:t>5.4% annually</w:t>
            </w:r>
          </w:p>
        </w:tc>
        <w:tc>
          <w:tcPr>
            <w:tcW w:w="13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80" w:type="dxa"/>
            <w:vAlign w:val="bottom"/>
            <w:tcBorders>
              <w:left w:val="single" w:sz="8" w:color="CCEEFF"/>
            </w:tcBorders>
            <w:shd w:val="clear" w:color="auto" w:fill="CCEEFF"/>
          </w:tcPr>
          <w:p>
            <w:pPr>
              <w:spacing w:after="0" w:line="131" w:lineRule="exact"/>
              <w:rPr>
                <w:sz w:val="20"/>
                <w:szCs w:val="20"/>
                <w:color w:val="auto"/>
              </w:rPr>
            </w:pPr>
            <w:r>
              <w:rPr>
                <w:rFonts w:ascii="Arial" w:cs="Arial" w:eastAsia="Arial" w:hAnsi="Arial"/>
                <w:sz w:val="14"/>
                <w:szCs w:val="14"/>
                <w:color w:val="auto"/>
              </w:rPr>
              <w:t>AP</w:t>
            </w:r>
          </w:p>
        </w:tc>
        <w:tc>
          <w:tcPr>
            <w:tcW w:w="600" w:type="dxa"/>
            <w:vAlign w:val="bottom"/>
            <w:shd w:val="clear" w:color="auto" w:fill="CCEEFF"/>
          </w:tcPr>
          <w:p>
            <w:pPr>
              <w:jc w:val="right"/>
              <w:ind w:right="12"/>
              <w:spacing w:after="0" w:line="131" w:lineRule="exact"/>
              <w:rPr>
                <w:sz w:val="20"/>
                <w:szCs w:val="20"/>
                <w:color w:val="auto"/>
              </w:rPr>
            </w:pPr>
            <w:r>
              <w:rPr>
                <w:rFonts w:ascii="Arial" w:cs="Arial" w:eastAsia="Arial" w:hAnsi="Arial"/>
                <w:sz w:val="14"/>
                <w:szCs w:val="14"/>
                <w:color w:val="auto"/>
                <w:w w:val="91"/>
              </w:rPr>
              <w:t>08.01.08</w:t>
            </w:r>
          </w:p>
        </w:tc>
        <w:tc>
          <w:tcPr>
            <w:tcW w:w="680" w:type="dxa"/>
            <w:vAlign w:val="bottom"/>
            <w:shd w:val="clear" w:color="auto" w:fill="CCEEFF"/>
          </w:tcPr>
          <w:p>
            <w:pPr>
              <w:jc w:val="right"/>
              <w:ind w:right="12"/>
              <w:spacing w:after="0" w:line="131" w:lineRule="exact"/>
              <w:rPr>
                <w:sz w:val="20"/>
                <w:szCs w:val="20"/>
                <w:color w:val="auto"/>
              </w:rPr>
            </w:pPr>
            <w:r>
              <w:rPr>
                <w:rFonts w:ascii="Arial" w:cs="Arial" w:eastAsia="Arial" w:hAnsi="Arial"/>
                <w:sz w:val="14"/>
                <w:szCs w:val="14"/>
                <w:color w:val="auto"/>
              </w:rPr>
              <w:t>08.01.13</w:t>
            </w:r>
          </w:p>
        </w:tc>
        <w:tc>
          <w:tcPr>
            <w:tcW w:w="520" w:type="dxa"/>
            <w:vAlign w:val="bottom"/>
            <w:shd w:val="clear" w:color="auto" w:fill="CCEEFF"/>
          </w:tcPr>
          <w:p>
            <w:pPr>
              <w:spacing w:after="0"/>
              <w:rPr>
                <w:sz w:val="11"/>
                <w:szCs w:val="11"/>
                <w:color w:val="auto"/>
              </w:rPr>
            </w:pPr>
          </w:p>
        </w:tc>
        <w:tc>
          <w:tcPr>
            <w:tcW w:w="2120" w:type="dxa"/>
            <w:vAlign w:val="bottom"/>
            <w:shd w:val="clear" w:color="auto" w:fill="CCEEFF"/>
          </w:tcPr>
          <w:p>
            <w:pPr>
              <w:ind w:left="60"/>
              <w:spacing w:after="0" w:line="131" w:lineRule="exact"/>
              <w:rPr>
                <w:sz w:val="20"/>
                <w:szCs w:val="20"/>
                <w:color w:val="auto"/>
              </w:rPr>
            </w:pPr>
            <w:r>
              <w:rPr>
                <w:rFonts w:ascii="Arial" w:cs="Arial" w:eastAsia="Arial" w:hAnsi="Arial"/>
                <w:sz w:val="14"/>
                <w:szCs w:val="14"/>
                <w:color w:val="auto"/>
              </w:rPr>
              <w:t>Theken Spine, LLC</w:t>
            </w:r>
          </w:p>
        </w:tc>
        <w:tc>
          <w:tcPr>
            <w:tcW w:w="460" w:type="dxa"/>
            <w:vAlign w:val="bottom"/>
            <w:shd w:val="clear" w:color="auto" w:fill="CCEEFF"/>
          </w:tcPr>
          <w:p>
            <w:pPr>
              <w:jc w:val="right"/>
              <w:ind w:right="12"/>
              <w:spacing w:after="0" w:line="131" w:lineRule="exact"/>
              <w:rPr>
                <w:sz w:val="20"/>
                <w:szCs w:val="20"/>
                <w:color w:val="auto"/>
              </w:rPr>
            </w:pPr>
            <w:r>
              <w:rPr>
                <w:rFonts w:ascii="Arial" w:cs="Arial" w:eastAsia="Arial" w:hAnsi="Arial"/>
                <w:sz w:val="14"/>
                <w:szCs w:val="14"/>
                <w:color w:val="auto"/>
              </w:rPr>
              <w:t>1285</w:t>
            </w:r>
          </w:p>
        </w:tc>
        <w:tc>
          <w:tcPr>
            <w:tcW w:w="2060" w:type="dxa"/>
            <w:vAlign w:val="bottom"/>
            <w:shd w:val="clear" w:color="auto" w:fill="CCEEFF"/>
          </w:tcPr>
          <w:p>
            <w:pPr>
              <w:ind w:left="80"/>
              <w:spacing w:after="0" w:line="131" w:lineRule="exact"/>
              <w:rPr>
                <w:sz w:val="20"/>
                <w:szCs w:val="20"/>
                <w:color w:val="auto"/>
              </w:rPr>
            </w:pPr>
            <w:r>
              <w:rPr>
                <w:rFonts w:ascii="Arial" w:cs="Arial" w:eastAsia="Arial" w:hAnsi="Arial"/>
                <w:sz w:val="14"/>
                <w:szCs w:val="14"/>
                <w:color w:val="auto"/>
                <w:w w:val="96"/>
              </w:rPr>
              <w:t>Integra LifeSciences Corporation</w:t>
            </w:r>
          </w:p>
        </w:tc>
        <w:tc>
          <w:tcPr>
            <w:tcW w:w="600" w:type="dxa"/>
            <w:vAlign w:val="bottom"/>
            <w:shd w:val="clear" w:color="auto" w:fill="CCEEFF"/>
          </w:tcPr>
          <w:p>
            <w:pPr>
              <w:jc w:val="right"/>
              <w:ind w:right="112"/>
              <w:spacing w:after="0" w:line="131" w:lineRule="exact"/>
              <w:rPr>
                <w:sz w:val="20"/>
                <w:szCs w:val="20"/>
                <w:color w:val="auto"/>
              </w:rPr>
            </w:pPr>
            <w:r>
              <w:rPr>
                <w:rFonts w:ascii="Arial" w:cs="Arial" w:eastAsia="Arial" w:hAnsi="Arial"/>
                <w:sz w:val="14"/>
                <w:szCs w:val="14"/>
                <w:color w:val="auto"/>
              </w:rPr>
              <w:t>1115</w:t>
            </w:r>
          </w:p>
        </w:tc>
        <w:tc>
          <w:tcPr>
            <w:tcW w:w="540" w:type="dxa"/>
            <w:vAlign w:val="bottom"/>
            <w:shd w:val="clear" w:color="auto" w:fill="CCEEFF"/>
          </w:tcPr>
          <w:p>
            <w:pPr>
              <w:jc w:val="right"/>
              <w:ind w:right="12"/>
              <w:spacing w:after="0" w:line="131" w:lineRule="exact"/>
              <w:rPr>
                <w:sz w:val="20"/>
                <w:szCs w:val="20"/>
                <w:color w:val="auto"/>
              </w:rPr>
            </w:pPr>
            <w:r>
              <w:rPr>
                <w:rFonts w:ascii="Arial" w:cs="Arial" w:eastAsia="Arial" w:hAnsi="Arial"/>
                <w:sz w:val="14"/>
                <w:szCs w:val="14"/>
                <w:color w:val="auto"/>
              </w:rPr>
              <w:t>USD</w:t>
            </w:r>
          </w:p>
        </w:tc>
        <w:tc>
          <w:tcPr>
            <w:tcW w:w="16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w w:val="91"/>
              </w:rPr>
              <w:t>75,000,000.00</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ind w:left="60"/>
              <w:spacing w:after="0" w:line="131" w:lineRule="exact"/>
              <w:rPr>
                <w:sz w:val="20"/>
                <w:szCs w:val="20"/>
                <w:color w:val="auto"/>
              </w:rPr>
            </w:pPr>
            <w:r>
              <w:rPr>
                <w:rFonts w:ascii="Arial" w:cs="Arial" w:eastAsia="Arial" w:hAnsi="Arial"/>
                <w:sz w:val="14"/>
                <w:szCs w:val="14"/>
                <w:color w:val="auto"/>
              </w:rPr>
              <w:t>8.5% Interest</w:t>
            </w:r>
          </w:p>
        </w:tc>
        <w:tc>
          <w:tcPr>
            <w:tcW w:w="1320" w:type="dxa"/>
            <w:vAlign w:val="bottom"/>
            <w:shd w:val="clear" w:color="auto" w:fill="CCEEFF"/>
          </w:tcPr>
          <w:p>
            <w:pPr>
              <w:ind w:left="60"/>
              <w:spacing w:after="0" w:line="131" w:lineRule="exact"/>
              <w:rPr>
                <w:sz w:val="20"/>
                <w:szCs w:val="20"/>
                <w:color w:val="auto"/>
              </w:rPr>
            </w:pPr>
            <w:r>
              <w:rPr>
                <w:rFonts w:ascii="Arial" w:cs="Arial" w:eastAsia="Arial" w:hAnsi="Arial"/>
                <w:sz w:val="14"/>
                <w:szCs w:val="14"/>
                <w:color w:val="auto"/>
                <w:w w:val="86"/>
              </w:rPr>
              <w:t>Interest due at maturity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Borders>
              <w:left w:val="single" w:sz="8" w:color="CCEEFF"/>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32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date.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 w:type="dxa"/>
            <w:vAlign w:val="bottom"/>
          </w:tcPr>
          <w:p>
            <w:pPr>
              <w:spacing w:after="0" w:line="138" w:lineRule="exact"/>
              <w:rPr>
                <w:sz w:val="20"/>
                <w:szCs w:val="20"/>
                <w:color w:val="auto"/>
              </w:rPr>
            </w:pPr>
            <w:r>
              <w:rPr>
                <w:rFonts w:ascii="Arial" w:cs="Arial" w:eastAsia="Arial" w:hAnsi="Arial"/>
                <w:sz w:val="14"/>
                <w:szCs w:val="14"/>
                <w:color w:val="auto"/>
              </w:rPr>
              <w:t>BL</w:t>
            </w:r>
          </w:p>
        </w:tc>
        <w:tc>
          <w:tcPr>
            <w:tcW w:w="60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1"/>
              </w:rPr>
              <w:t>02.10.09</w:t>
            </w:r>
          </w:p>
        </w:tc>
        <w:tc>
          <w:tcPr>
            <w:tcW w:w="680" w:type="dxa"/>
            <w:vAlign w:val="bottom"/>
          </w:tcPr>
          <w:p>
            <w:pPr>
              <w:jc w:val="right"/>
              <w:ind w:right="12"/>
              <w:spacing w:after="0" w:line="138" w:lineRule="exact"/>
              <w:rPr>
                <w:sz w:val="20"/>
                <w:szCs w:val="20"/>
                <w:color w:val="auto"/>
              </w:rPr>
            </w:pPr>
            <w:r>
              <w:rPr>
                <w:rFonts w:ascii="Arial" w:cs="Arial" w:eastAsia="Arial" w:hAnsi="Arial"/>
                <w:sz w:val="14"/>
                <w:szCs w:val="14"/>
                <w:color w:val="auto"/>
              </w:rPr>
              <w:t>02.10.14</w:t>
            </w:r>
          </w:p>
        </w:tc>
        <w:tc>
          <w:tcPr>
            <w:tcW w:w="520" w:type="dxa"/>
            <w:vAlign w:val="bottom"/>
          </w:tcPr>
          <w:p>
            <w:pPr>
              <w:spacing w:after="0"/>
              <w:rPr>
                <w:sz w:val="11"/>
                <w:szCs w:val="11"/>
                <w:color w:val="auto"/>
              </w:rPr>
            </w:pPr>
          </w:p>
        </w:tc>
        <w:tc>
          <w:tcPr>
            <w:tcW w:w="2120" w:type="dxa"/>
            <w:vAlign w:val="bottom"/>
          </w:tcPr>
          <w:p>
            <w:pPr>
              <w:ind w:left="60"/>
              <w:spacing w:after="0" w:line="138" w:lineRule="exact"/>
              <w:rPr>
                <w:sz w:val="20"/>
                <w:szCs w:val="20"/>
                <w:color w:val="auto"/>
              </w:rPr>
            </w:pPr>
            <w:r>
              <w:rPr>
                <w:rFonts w:ascii="Arial" w:cs="Arial" w:eastAsia="Arial" w:hAnsi="Arial"/>
                <w:sz w:val="14"/>
                <w:szCs w:val="14"/>
                <w:color w:val="auto"/>
              </w:rPr>
              <w:t>Theken Spine LLC</w:t>
            </w:r>
          </w:p>
        </w:tc>
        <w:tc>
          <w:tcPr>
            <w:tcW w:w="460" w:type="dxa"/>
            <w:vAlign w:val="bottom"/>
          </w:tcPr>
          <w:p>
            <w:pPr>
              <w:jc w:val="right"/>
              <w:ind w:right="12"/>
              <w:spacing w:after="0" w:line="138" w:lineRule="exact"/>
              <w:rPr>
                <w:sz w:val="20"/>
                <w:szCs w:val="20"/>
                <w:color w:val="auto"/>
              </w:rPr>
            </w:pPr>
            <w:r>
              <w:rPr>
                <w:rFonts w:ascii="Arial" w:cs="Arial" w:eastAsia="Arial" w:hAnsi="Arial"/>
                <w:sz w:val="14"/>
                <w:szCs w:val="14"/>
                <w:color w:val="auto"/>
              </w:rPr>
              <w:t>1285</w:t>
            </w:r>
          </w:p>
        </w:tc>
        <w:tc>
          <w:tcPr>
            <w:tcW w:w="2060" w:type="dxa"/>
            <w:vAlign w:val="bottom"/>
          </w:tcPr>
          <w:p>
            <w:pPr>
              <w:ind w:left="80"/>
              <w:spacing w:after="0" w:line="138" w:lineRule="exact"/>
              <w:rPr>
                <w:sz w:val="20"/>
                <w:szCs w:val="20"/>
                <w:color w:val="auto"/>
              </w:rPr>
            </w:pPr>
            <w:r>
              <w:rPr>
                <w:rFonts w:ascii="Arial" w:cs="Arial" w:eastAsia="Arial" w:hAnsi="Arial"/>
                <w:sz w:val="14"/>
                <w:szCs w:val="14"/>
                <w:color w:val="auto"/>
                <w:w w:val="96"/>
              </w:rPr>
              <w:t>Integra LifeSciences Corporation</w:t>
            </w:r>
          </w:p>
        </w:tc>
        <w:tc>
          <w:tcPr>
            <w:tcW w:w="600" w:type="dxa"/>
            <w:vAlign w:val="bottom"/>
          </w:tcPr>
          <w:p>
            <w:pPr>
              <w:jc w:val="right"/>
              <w:ind w:right="112"/>
              <w:spacing w:after="0" w:line="138" w:lineRule="exact"/>
              <w:rPr>
                <w:sz w:val="20"/>
                <w:szCs w:val="20"/>
                <w:color w:val="auto"/>
              </w:rPr>
            </w:pPr>
            <w:r>
              <w:rPr>
                <w:rFonts w:ascii="Arial" w:cs="Arial" w:eastAsia="Arial" w:hAnsi="Arial"/>
                <w:sz w:val="14"/>
                <w:szCs w:val="14"/>
                <w:color w:val="auto"/>
              </w:rPr>
              <w:t>1115</w:t>
            </w:r>
          </w:p>
        </w:tc>
        <w:tc>
          <w:tcPr>
            <w:tcW w:w="540" w:type="dxa"/>
            <w:vAlign w:val="bottom"/>
          </w:tcPr>
          <w:p>
            <w:pPr>
              <w:jc w:val="right"/>
              <w:ind w:right="12"/>
              <w:spacing w:after="0" w:line="138" w:lineRule="exact"/>
              <w:rPr>
                <w:sz w:val="20"/>
                <w:szCs w:val="20"/>
                <w:color w:val="auto"/>
              </w:rPr>
            </w:pPr>
            <w:r>
              <w:rPr>
                <w:rFonts w:ascii="Arial" w:cs="Arial" w:eastAsia="Arial" w:hAnsi="Arial"/>
                <w:sz w:val="14"/>
                <w:szCs w:val="14"/>
                <w:color w:val="auto"/>
              </w:rPr>
              <w:t>USD</w:t>
            </w:r>
          </w:p>
        </w:tc>
        <w:tc>
          <w:tcPr>
            <w:tcW w:w="1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38" w:lineRule="exact"/>
              <w:rPr>
                <w:sz w:val="20"/>
                <w:szCs w:val="20"/>
                <w:color w:val="auto"/>
              </w:rPr>
            </w:pPr>
            <w:r>
              <w:rPr>
                <w:rFonts w:ascii="Arial" w:cs="Arial" w:eastAsia="Arial" w:hAnsi="Arial"/>
                <w:sz w:val="14"/>
                <w:szCs w:val="14"/>
                <w:color w:val="auto"/>
              </w:rPr>
              <w:t>3,924,467.94</w:t>
            </w:r>
          </w:p>
        </w:tc>
        <w:tc>
          <w:tcPr>
            <w:tcW w:w="100" w:type="dxa"/>
            <w:vAlign w:val="bottom"/>
          </w:tcPr>
          <w:p>
            <w:pPr>
              <w:spacing w:after="0"/>
              <w:rPr>
                <w:sz w:val="11"/>
                <w:szCs w:val="11"/>
                <w:color w:val="auto"/>
              </w:rPr>
            </w:pPr>
          </w:p>
        </w:tc>
        <w:tc>
          <w:tcPr>
            <w:tcW w:w="1020" w:type="dxa"/>
            <w:vAlign w:val="bottom"/>
          </w:tcPr>
          <w:p>
            <w:pPr>
              <w:ind w:left="60"/>
              <w:spacing w:after="0" w:line="138" w:lineRule="exact"/>
              <w:rPr>
                <w:sz w:val="20"/>
                <w:szCs w:val="20"/>
                <w:color w:val="auto"/>
              </w:rPr>
            </w:pPr>
            <w:r>
              <w:rPr>
                <w:rFonts w:ascii="Arial" w:cs="Arial" w:eastAsia="Arial" w:hAnsi="Arial"/>
                <w:sz w:val="14"/>
                <w:szCs w:val="14"/>
                <w:color w:val="auto"/>
              </w:rPr>
              <w:t>11.5% Interest</w:t>
            </w:r>
          </w:p>
        </w:tc>
        <w:tc>
          <w:tcPr>
            <w:tcW w:w="1320" w:type="dxa"/>
            <w:vAlign w:val="bottom"/>
          </w:tcPr>
          <w:p>
            <w:pPr>
              <w:ind w:left="60"/>
              <w:spacing w:after="0" w:line="138" w:lineRule="exact"/>
              <w:rPr>
                <w:sz w:val="20"/>
                <w:szCs w:val="20"/>
                <w:color w:val="auto"/>
              </w:rPr>
            </w:pPr>
            <w:r>
              <w:rPr>
                <w:rFonts w:ascii="Arial" w:cs="Arial" w:eastAsia="Arial" w:hAnsi="Arial"/>
                <w:sz w:val="14"/>
                <w:szCs w:val="14"/>
                <w:color w:val="auto"/>
              </w:rPr>
              <w:t>Theken working</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20" w:type="dxa"/>
            <w:vAlign w:val="bottom"/>
          </w:tcPr>
          <w:p>
            <w:pPr>
              <w:ind w:left="60"/>
              <w:spacing w:after="0" w:line="159" w:lineRule="exact"/>
              <w:rPr>
                <w:sz w:val="20"/>
                <w:szCs w:val="20"/>
                <w:color w:val="auto"/>
              </w:rPr>
            </w:pPr>
            <w:r>
              <w:rPr>
                <w:rFonts w:ascii="Arial" w:cs="Arial" w:eastAsia="Arial" w:hAnsi="Arial"/>
                <w:sz w:val="14"/>
                <w:szCs w:val="14"/>
                <w:color w:val="auto"/>
              </w:rPr>
              <w:t>capital adjustment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Borders>
              <w:lef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BR</w:t>
            </w: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1"/>
              </w:rPr>
              <w:t>09.11.09</w:t>
            </w:r>
          </w:p>
        </w:tc>
        <w:tc>
          <w:tcPr>
            <w:tcW w:w="6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09.11.14</w:t>
            </w:r>
          </w:p>
        </w:tc>
        <w:tc>
          <w:tcPr>
            <w:tcW w:w="520" w:type="dxa"/>
            <w:vAlign w:val="bottom"/>
            <w:shd w:val="clear" w:color="auto" w:fill="CCEEFF"/>
          </w:tcPr>
          <w:p>
            <w:pPr>
              <w:spacing w:after="0"/>
              <w:rPr>
                <w:sz w:val="12"/>
                <w:szCs w:val="12"/>
                <w:color w:val="auto"/>
              </w:rPr>
            </w:pPr>
          </w:p>
        </w:tc>
        <w:tc>
          <w:tcPr>
            <w:tcW w:w="21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Theken Spine LLC</w:t>
            </w: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1285</w:t>
            </w:r>
          </w:p>
        </w:tc>
        <w:tc>
          <w:tcPr>
            <w:tcW w:w="20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6"/>
              </w:rPr>
              <w:t>Integra LifeSciences Corporation</w:t>
            </w:r>
          </w:p>
        </w:tc>
        <w:tc>
          <w:tcPr>
            <w:tcW w:w="6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1115</w:t>
            </w: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USD</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9,270,001.53</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8"/>
              </w:rPr>
              <w:t>7.25% annually</w:t>
            </w:r>
          </w:p>
        </w:tc>
        <w:tc>
          <w:tcPr>
            <w:tcW w:w="13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Purchase of IST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 w:type="dxa"/>
            <w:vAlign w:val="bottom"/>
          </w:tcPr>
          <w:p>
            <w:pPr>
              <w:spacing w:after="0" w:line="138" w:lineRule="exact"/>
              <w:rPr>
                <w:sz w:val="20"/>
                <w:szCs w:val="20"/>
                <w:color w:val="auto"/>
              </w:rPr>
            </w:pPr>
            <w:r>
              <w:rPr>
                <w:rFonts w:ascii="Arial" w:cs="Arial" w:eastAsia="Arial" w:hAnsi="Arial"/>
                <w:sz w:val="14"/>
                <w:szCs w:val="14"/>
                <w:color w:val="auto"/>
              </w:rPr>
              <w:t>BT</w:t>
            </w:r>
          </w:p>
        </w:tc>
        <w:tc>
          <w:tcPr>
            <w:tcW w:w="60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1"/>
              </w:rPr>
              <w:t>09.11.09</w:t>
            </w:r>
          </w:p>
        </w:tc>
        <w:tc>
          <w:tcPr>
            <w:tcW w:w="680" w:type="dxa"/>
            <w:vAlign w:val="bottom"/>
          </w:tcPr>
          <w:p>
            <w:pPr>
              <w:jc w:val="right"/>
              <w:ind w:right="12"/>
              <w:spacing w:after="0" w:line="138" w:lineRule="exact"/>
              <w:rPr>
                <w:sz w:val="20"/>
                <w:szCs w:val="20"/>
                <w:color w:val="auto"/>
              </w:rPr>
            </w:pPr>
            <w:r>
              <w:rPr>
                <w:rFonts w:ascii="Arial" w:cs="Arial" w:eastAsia="Arial" w:hAnsi="Arial"/>
                <w:sz w:val="14"/>
                <w:szCs w:val="14"/>
                <w:color w:val="auto"/>
              </w:rPr>
              <w:t>09.11.14</w:t>
            </w:r>
          </w:p>
        </w:tc>
        <w:tc>
          <w:tcPr>
            <w:tcW w:w="520" w:type="dxa"/>
            <w:vAlign w:val="bottom"/>
          </w:tcPr>
          <w:p>
            <w:pPr>
              <w:spacing w:after="0"/>
              <w:rPr>
                <w:sz w:val="11"/>
                <w:szCs w:val="11"/>
                <w:color w:val="auto"/>
              </w:rPr>
            </w:pPr>
          </w:p>
        </w:tc>
        <w:tc>
          <w:tcPr>
            <w:tcW w:w="2120" w:type="dxa"/>
            <w:vAlign w:val="bottom"/>
          </w:tcPr>
          <w:p>
            <w:pPr>
              <w:ind w:left="60"/>
              <w:spacing w:after="0" w:line="138" w:lineRule="exact"/>
              <w:rPr>
                <w:sz w:val="20"/>
                <w:szCs w:val="20"/>
                <w:color w:val="auto"/>
              </w:rPr>
            </w:pPr>
            <w:r>
              <w:rPr>
                <w:rFonts w:ascii="Arial" w:cs="Arial" w:eastAsia="Arial" w:hAnsi="Arial"/>
                <w:sz w:val="14"/>
                <w:szCs w:val="14"/>
                <w:color w:val="auto"/>
              </w:rPr>
              <w:t>Theken Spine LLC</w:t>
            </w:r>
          </w:p>
        </w:tc>
        <w:tc>
          <w:tcPr>
            <w:tcW w:w="460" w:type="dxa"/>
            <w:vAlign w:val="bottom"/>
          </w:tcPr>
          <w:p>
            <w:pPr>
              <w:jc w:val="right"/>
              <w:ind w:right="12"/>
              <w:spacing w:after="0" w:line="138" w:lineRule="exact"/>
              <w:rPr>
                <w:sz w:val="20"/>
                <w:szCs w:val="20"/>
                <w:color w:val="auto"/>
              </w:rPr>
            </w:pPr>
            <w:r>
              <w:rPr>
                <w:rFonts w:ascii="Arial" w:cs="Arial" w:eastAsia="Arial" w:hAnsi="Arial"/>
                <w:sz w:val="14"/>
                <w:szCs w:val="14"/>
                <w:color w:val="auto"/>
              </w:rPr>
              <w:t>1285</w:t>
            </w:r>
          </w:p>
        </w:tc>
        <w:tc>
          <w:tcPr>
            <w:tcW w:w="2060" w:type="dxa"/>
            <w:vAlign w:val="bottom"/>
          </w:tcPr>
          <w:p>
            <w:pPr>
              <w:ind w:left="80"/>
              <w:spacing w:after="0" w:line="138" w:lineRule="exact"/>
              <w:rPr>
                <w:sz w:val="20"/>
                <w:szCs w:val="20"/>
                <w:color w:val="auto"/>
              </w:rPr>
            </w:pPr>
            <w:r>
              <w:rPr>
                <w:rFonts w:ascii="Arial" w:cs="Arial" w:eastAsia="Arial" w:hAnsi="Arial"/>
                <w:sz w:val="14"/>
                <w:szCs w:val="14"/>
                <w:color w:val="auto"/>
                <w:w w:val="96"/>
              </w:rPr>
              <w:t>Integra LifeSciences Corporation</w:t>
            </w:r>
          </w:p>
        </w:tc>
        <w:tc>
          <w:tcPr>
            <w:tcW w:w="600" w:type="dxa"/>
            <w:vAlign w:val="bottom"/>
          </w:tcPr>
          <w:p>
            <w:pPr>
              <w:jc w:val="right"/>
              <w:ind w:right="112"/>
              <w:spacing w:after="0" w:line="138" w:lineRule="exact"/>
              <w:rPr>
                <w:sz w:val="20"/>
                <w:szCs w:val="20"/>
                <w:color w:val="auto"/>
              </w:rPr>
            </w:pPr>
            <w:r>
              <w:rPr>
                <w:rFonts w:ascii="Arial" w:cs="Arial" w:eastAsia="Arial" w:hAnsi="Arial"/>
                <w:sz w:val="14"/>
                <w:szCs w:val="14"/>
                <w:color w:val="auto"/>
              </w:rPr>
              <w:t>1115</w:t>
            </w:r>
          </w:p>
        </w:tc>
        <w:tc>
          <w:tcPr>
            <w:tcW w:w="540" w:type="dxa"/>
            <w:vAlign w:val="bottom"/>
          </w:tcPr>
          <w:p>
            <w:pPr>
              <w:jc w:val="right"/>
              <w:ind w:right="12"/>
              <w:spacing w:after="0" w:line="138" w:lineRule="exact"/>
              <w:rPr>
                <w:sz w:val="20"/>
                <w:szCs w:val="20"/>
                <w:color w:val="auto"/>
              </w:rPr>
            </w:pPr>
            <w:r>
              <w:rPr>
                <w:rFonts w:ascii="Arial" w:cs="Arial" w:eastAsia="Arial" w:hAnsi="Arial"/>
                <w:sz w:val="14"/>
                <w:szCs w:val="14"/>
                <w:color w:val="auto"/>
              </w:rPr>
              <w:t>USD</w:t>
            </w:r>
          </w:p>
        </w:tc>
        <w:tc>
          <w:tcPr>
            <w:tcW w:w="1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38" w:lineRule="exact"/>
              <w:rPr>
                <w:sz w:val="20"/>
                <w:szCs w:val="20"/>
                <w:color w:val="auto"/>
              </w:rPr>
            </w:pPr>
            <w:r>
              <w:rPr>
                <w:rFonts w:ascii="Arial" w:cs="Arial" w:eastAsia="Arial" w:hAnsi="Arial"/>
                <w:sz w:val="14"/>
                <w:szCs w:val="14"/>
                <w:color w:val="auto"/>
              </w:rPr>
              <w:t>254,100.00</w:t>
            </w:r>
          </w:p>
        </w:tc>
        <w:tc>
          <w:tcPr>
            <w:tcW w:w="100" w:type="dxa"/>
            <w:vAlign w:val="bottom"/>
          </w:tcPr>
          <w:p>
            <w:pPr>
              <w:spacing w:after="0"/>
              <w:rPr>
                <w:sz w:val="11"/>
                <w:szCs w:val="11"/>
                <w:color w:val="auto"/>
              </w:rPr>
            </w:pPr>
          </w:p>
        </w:tc>
        <w:tc>
          <w:tcPr>
            <w:tcW w:w="1020" w:type="dxa"/>
            <w:vAlign w:val="bottom"/>
          </w:tcPr>
          <w:p>
            <w:pPr>
              <w:ind w:left="60"/>
              <w:spacing w:after="0" w:line="138" w:lineRule="exact"/>
              <w:rPr>
                <w:sz w:val="20"/>
                <w:szCs w:val="20"/>
                <w:color w:val="auto"/>
              </w:rPr>
            </w:pPr>
            <w:r>
              <w:rPr>
                <w:rFonts w:ascii="Arial" w:cs="Arial" w:eastAsia="Arial" w:hAnsi="Arial"/>
                <w:sz w:val="14"/>
                <w:szCs w:val="14"/>
                <w:color w:val="auto"/>
                <w:w w:val="98"/>
              </w:rPr>
              <w:t>7.25% annually</w:t>
            </w:r>
          </w:p>
        </w:tc>
        <w:tc>
          <w:tcPr>
            <w:tcW w:w="1320" w:type="dxa"/>
            <w:vAlign w:val="bottom"/>
          </w:tcPr>
          <w:p>
            <w:pPr>
              <w:ind w:left="60"/>
              <w:spacing w:after="0" w:line="138" w:lineRule="exact"/>
              <w:rPr>
                <w:sz w:val="20"/>
                <w:szCs w:val="20"/>
                <w:color w:val="auto"/>
              </w:rPr>
            </w:pPr>
            <w:r>
              <w:rPr>
                <w:rFonts w:ascii="Arial" w:cs="Arial" w:eastAsia="Arial" w:hAnsi="Arial"/>
                <w:sz w:val="14"/>
                <w:szCs w:val="14"/>
                <w:color w:val="auto"/>
              </w:rPr>
              <w:t>Loan for capitalized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20" w:type="dxa"/>
            <w:vAlign w:val="bottom"/>
          </w:tcPr>
          <w:p>
            <w:pPr>
              <w:ind w:left="60"/>
              <w:spacing w:after="0" w:line="159" w:lineRule="exact"/>
              <w:rPr>
                <w:sz w:val="20"/>
                <w:szCs w:val="20"/>
                <w:color w:val="auto"/>
              </w:rPr>
            </w:pPr>
            <w:r>
              <w:rPr>
                <w:rFonts w:ascii="Arial" w:cs="Arial" w:eastAsia="Arial" w:hAnsi="Arial"/>
                <w:sz w:val="14"/>
                <w:szCs w:val="14"/>
                <w:color w:val="auto"/>
              </w:rPr>
              <w:t>legal fees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 w:type="dxa"/>
            <w:vAlign w:val="bottom"/>
            <w:tcBorders>
              <w:lef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AQ</w:t>
            </w:r>
          </w:p>
        </w:tc>
        <w:tc>
          <w:tcPr>
            <w:tcW w:w="60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1"/>
              </w:rPr>
              <w:t>08.12.08</w:t>
            </w:r>
          </w:p>
        </w:tc>
        <w:tc>
          <w:tcPr>
            <w:tcW w:w="6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08.12.13</w:t>
            </w:r>
          </w:p>
        </w:tc>
        <w:tc>
          <w:tcPr>
            <w:tcW w:w="520" w:type="dxa"/>
            <w:vAlign w:val="bottom"/>
            <w:shd w:val="clear" w:color="auto" w:fill="CCEEFF"/>
          </w:tcPr>
          <w:p>
            <w:pPr>
              <w:spacing w:after="0"/>
              <w:rPr>
                <w:sz w:val="11"/>
                <w:szCs w:val="11"/>
                <w:color w:val="auto"/>
              </w:rPr>
            </w:pPr>
          </w:p>
        </w:tc>
        <w:tc>
          <w:tcPr>
            <w:tcW w:w="21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Theken Spine, LLC</w:t>
            </w:r>
          </w:p>
        </w:tc>
        <w:tc>
          <w:tcPr>
            <w:tcW w:w="46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1285</w:t>
            </w:r>
          </w:p>
        </w:tc>
        <w:tc>
          <w:tcPr>
            <w:tcW w:w="206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w w:val="96"/>
              </w:rPr>
              <w:t>Integra LifeSciences Corporation</w:t>
            </w:r>
          </w:p>
        </w:tc>
        <w:tc>
          <w:tcPr>
            <w:tcW w:w="600" w:type="dxa"/>
            <w:vAlign w:val="bottom"/>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rPr>
              <w:t>1115</w:t>
            </w:r>
          </w:p>
        </w:tc>
        <w:tc>
          <w:tcPr>
            <w:tcW w:w="54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USD</w:t>
            </w:r>
          </w:p>
        </w:tc>
        <w:tc>
          <w:tcPr>
            <w:tcW w:w="1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3,915,950.00</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8.5% Interest</w:t>
            </w:r>
          </w:p>
        </w:tc>
        <w:tc>
          <w:tcPr>
            <w:tcW w:w="13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w w:val="86"/>
              </w:rPr>
              <w:t>Interest due at maturity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Borders>
              <w:left w:val="single" w:sz="8" w:color="CCEEFF"/>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32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date.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 w:type="dxa"/>
            <w:vAlign w:val="bottom"/>
          </w:tcPr>
          <w:p>
            <w:pPr>
              <w:spacing w:after="0" w:line="138" w:lineRule="exact"/>
              <w:rPr>
                <w:sz w:val="20"/>
                <w:szCs w:val="20"/>
                <w:color w:val="auto"/>
              </w:rPr>
            </w:pPr>
            <w:r>
              <w:rPr>
                <w:rFonts w:ascii="Arial" w:cs="Arial" w:eastAsia="Arial" w:hAnsi="Arial"/>
                <w:sz w:val="14"/>
                <w:szCs w:val="14"/>
                <w:color w:val="auto"/>
              </w:rPr>
              <w:t>AS</w:t>
            </w:r>
          </w:p>
        </w:tc>
        <w:tc>
          <w:tcPr>
            <w:tcW w:w="60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1"/>
              </w:rPr>
              <w:t>08.12.08</w:t>
            </w:r>
          </w:p>
        </w:tc>
        <w:tc>
          <w:tcPr>
            <w:tcW w:w="680" w:type="dxa"/>
            <w:vAlign w:val="bottom"/>
          </w:tcPr>
          <w:p>
            <w:pPr>
              <w:jc w:val="right"/>
              <w:ind w:right="12"/>
              <w:spacing w:after="0" w:line="138" w:lineRule="exact"/>
              <w:rPr>
                <w:sz w:val="20"/>
                <w:szCs w:val="20"/>
                <w:color w:val="auto"/>
              </w:rPr>
            </w:pPr>
            <w:r>
              <w:rPr>
                <w:rFonts w:ascii="Arial" w:cs="Arial" w:eastAsia="Arial" w:hAnsi="Arial"/>
                <w:sz w:val="14"/>
                <w:szCs w:val="14"/>
                <w:color w:val="auto"/>
              </w:rPr>
              <w:t>08.12.13</w:t>
            </w:r>
          </w:p>
        </w:tc>
        <w:tc>
          <w:tcPr>
            <w:tcW w:w="520" w:type="dxa"/>
            <w:vAlign w:val="bottom"/>
          </w:tcPr>
          <w:p>
            <w:pPr>
              <w:spacing w:after="0"/>
              <w:rPr>
                <w:sz w:val="11"/>
                <w:szCs w:val="11"/>
                <w:color w:val="auto"/>
              </w:rPr>
            </w:pPr>
          </w:p>
        </w:tc>
        <w:tc>
          <w:tcPr>
            <w:tcW w:w="2120" w:type="dxa"/>
            <w:vAlign w:val="bottom"/>
          </w:tcPr>
          <w:p>
            <w:pPr>
              <w:ind w:left="60"/>
              <w:spacing w:after="0" w:line="138" w:lineRule="exact"/>
              <w:rPr>
                <w:sz w:val="20"/>
                <w:szCs w:val="20"/>
                <w:color w:val="auto"/>
              </w:rPr>
            </w:pPr>
            <w:r>
              <w:rPr>
                <w:rFonts w:ascii="Arial" w:cs="Arial" w:eastAsia="Arial" w:hAnsi="Arial"/>
                <w:sz w:val="14"/>
                <w:szCs w:val="14"/>
                <w:color w:val="auto"/>
              </w:rPr>
              <w:t>Theken Spine, LLC</w:t>
            </w:r>
          </w:p>
        </w:tc>
        <w:tc>
          <w:tcPr>
            <w:tcW w:w="460" w:type="dxa"/>
            <w:vAlign w:val="bottom"/>
          </w:tcPr>
          <w:p>
            <w:pPr>
              <w:jc w:val="right"/>
              <w:ind w:right="12"/>
              <w:spacing w:after="0" w:line="138" w:lineRule="exact"/>
              <w:rPr>
                <w:sz w:val="20"/>
                <w:szCs w:val="20"/>
                <w:color w:val="auto"/>
              </w:rPr>
            </w:pPr>
            <w:r>
              <w:rPr>
                <w:rFonts w:ascii="Arial" w:cs="Arial" w:eastAsia="Arial" w:hAnsi="Arial"/>
                <w:sz w:val="14"/>
                <w:szCs w:val="14"/>
                <w:color w:val="auto"/>
              </w:rPr>
              <w:t>1285</w:t>
            </w:r>
          </w:p>
        </w:tc>
        <w:tc>
          <w:tcPr>
            <w:tcW w:w="2060" w:type="dxa"/>
            <w:vAlign w:val="bottom"/>
          </w:tcPr>
          <w:p>
            <w:pPr>
              <w:ind w:left="80"/>
              <w:spacing w:after="0" w:line="138" w:lineRule="exact"/>
              <w:rPr>
                <w:sz w:val="20"/>
                <w:szCs w:val="20"/>
                <w:color w:val="auto"/>
              </w:rPr>
            </w:pPr>
            <w:r>
              <w:rPr>
                <w:rFonts w:ascii="Arial" w:cs="Arial" w:eastAsia="Arial" w:hAnsi="Arial"/>
                <w:sz w:val="14"/>
                <w:szCs w:val="14"/>
                <w:color w:val="auto"/>
                <w:w w:val="96"/>
              </w:rPr>
              <w:t>Integra LifeSciences Corporation</w:t>
            </w:r>
          </w:p>
        </w:tc>
        <w:tc>
          <w:tcPr>
            <w:tcW w:w="600" w:type="dxa"/>
            <w:vAlign w:val="bottom"/>
          </w:tcPr>
          <w:p>
            <w:pPr>
              <w:jc w:val="right"/>
              <w:ind w:right="112"/>
              <w:spacing w:after="0" w:line="138" w:lineRule="exact"/>
              <w:rPr>
                <w:sz w:val="20"/>
                <w:szCs w:val="20"/>
                <w:color w:val="auto"/>
              </w:rPr>
            </w:pPr>
            <w:r>
              <w:rPr>
                <w:rFonts w:ascii="Arial" w:cs="Arial" w:eastAsia="Arial" w:hAnsi="Arial"/>
                <w:sz w:val="14"/>
                <w:szCs w:val="14"/>
                <w:color w:val="auto"/>
              </w:rPr>
              <w:t>1115</w:t>
            </w:r>
          </w:p>
        </w:tc>
        <w:tc>
          <w:tcPr>
            <w:tcW w:w="540" w:type="dxa"/>
            <w:vAlign w:val="bottom"/>
          </w:tcPr>
          <w:p>
            <w:pPr>
              <w:jc w:val="right"/>
              <w:ind w:right="12"/>
              <w:spacing w:after="0" w:line="138" w:lineRule="exact"/>
              <w:rPr>
                <w:sz w:val="20"/>
                <w:szCs w:val="20"/>
                <w:color w:val="auto"/>
              </w:rPr>
            </w:pPr>
            <w:r>
              <w:rPr>
                <w:rFonts w:ascii="Arial" w:cs="Arial" w:eastAsia="Arial" w:hAnsi="Arial"/>
                <w:sz w:val="14"/>
                <w:szCs w:val="14"/>
                <w:color w:val="auto"/>
              </w:rPr>
              <w:t>USD</w:t>
            </w:r>
          </w:p>
        </w:tc>
        <w:tc>
          <w:tcPr>
            <w:tcW w:w="1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38" w:lineRule="exact"/>
              <w:rPr>
                <w:sz w:val="20"/>
                <w:szCs w:val="20"/>
                <w:color w:val="auto"/>
              </w:rPr>
            </w:pPr>
            <w:r>
              <w:rPr>
                <w:rFonts w:ascii="Arial" w:cs="Arial" w:eastAsia="Arial" w:hAnsi="Arial"/>
                <w:sz w:val="14"/>
                <w:szCs w:val="14"/>
                <w:color w:val="auto"/>
              </w:rPr>
              <w:t>338,838.00</w:t>
            </w:r>
          </w:p>
        </w:tc>
        <w:tc>
          <w:tcPr>
            <w:tcW w:w="100" w:type="dxa"/>
            <w:vAlign w:val="bottom"/>
          </w:tcPr>
          <w:p>
            <w:pPr>
              <w:spacing w:after="0"/>
              <w:rPr>
                <w:sz w:val="11"/>
                <w:szCs w:val="11"/>
                <w:color w:val="auto"/>
              </w:rPr>
            </w:pPr>
          </w:p>
        </w:tc>
        <w:tc>
          <w:tcPr>
            <w:tcW w:w="1020" w:type="dxa"/>
            <w:vAlign w:val="bottom"/>
          </w:tcPr>
          <w:p>
            <w:pPr>
              <w:ind w:left="60"/>
              <w:spacing w:after="0" w:line="138" w:lineRule="exact"/>
              <w:rPr>
                <w:sz w:val="20"/>
                <w:szCs w:val="20"/>
                <w:color w:val="auto"/>
              </w:rPr>
            </w:pPr>
            <w:r>
              <w:rPr>
                <w:rFonts w:ascii="Arial" w:cs="Arial" w:eastAsia="Arial" w:hAnsi="Arial"/>
                <w:sz w:val="14"/>
                <w:szCs w:val="14"/>
                <w:color w:val="auto"/>
              </w:rPr>
              <w:t>8.5% Interest</w:t>
            </w:r>
          </w:p>
        </w:tc>
        <w:tc>
          <w:tcPr>
            <w:tcW w:w="1320" w:type="dxa"/>
            <w:vAlign w:val="bottom"/>
          </w:tcPr>
          <w:p>
            <w:pPr>
              <w:ind w:left="60"/>
              <w:spacing w:after="0" w:line="138" w:lineRule="exact"/>
              <w:rPr>
                <w:sz w:val="20"/>
                <w:szCs w:val="20"/>
                <w:color w:val="auto"/>
              </w:rPr>
            </w:pPr>
            <w:r>
              <w:rPr>
                <w:rFonts w:ascii="Arial" w:cs="Arial" w:eastAsia="Arial" w:hAnsi="Arial"/>
                <w:sz w:val="14"/>
                <w:szCs w:val="14"/>
                <w:color w:val="auto"/>
                <w:w w:val="86"/>
              </w:rPr>
              <w:t>Interest due at maturity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20" w:type="dxa"/>
            <w:vAlign w:val="bottom"/>
          </w:tcPr>
          <w:p>
            <w:pPr>
              <w:ind w:left="60"/>
              <w:spacing w:after="0" w:line="159" w:lineRule="exact"/>
              <w:rPr>
                <w:sz w:val="20"/>
                <w:szCs w:val="20"/>
                <w:color w:val="auto"/>
              </w:rPr>
            </w:pPr>
            <w:r>
              <w:rPr>
                <w:rFonts w:ascii="Arial" w:cs="Arial" w:eastAsia="Arial" w:hAnsi="Arial"/>
                <w:sz w:val="14"/>
                <w:szCs w:val="14"/>
                <w:color w:val="auto"/>
              </w:rPr>
              <w:t>date.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 w:type="dxa"/>
            <w:vAlign w:val="bottom"/>
            <w:tcBorders>
              <w:lef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AR</w:t>
            </w:r>
          </w:p>
        </w:tc>
        <w:tc>
          <w:tcPr>
            <w:tcW w:w="60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1"/>
              </w:rPr>
              <w:t>08.12.08</w:t>
            </w:r>
          </w:p>
        </w:tc>
        <w:tc>
          <w:tcPr>
            <w:tcW w:w="6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08.12.13</w:t>
            </w:r>
          </w:p>
        </w:tc>
        <w:tc>
          <w:tcPr>
            <w:tcW w:w="520" w:type="dxa"/>
            <w:vAlign w:val="bottom"/>
            <w:shd w:val="clear" w:color="auto" w:fill="CCEEFF"/>
          </w:tcPr>
          <w:p>
            <w:pPr>
              <w:spacing w:after="0"/>
              <w:rPr>
                <w:sz w:val="11"/>
                <w:szCs w:val="11"/>
                <w:color w:val="auto"/>
              </w:rPr>
            </w:pPr>
          </w:p>
        </w:tc>
        <w:tc>
          <w:tcPr>
            <w:tcW w:w="21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Theken Spine, LLC</w:t>
            </w:r>
          </w:p>
        </w:tc>
        <w:tc>
          <w:tcPr>
            <w:tcW w:w="46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1285</w:t>
            </w:r>
          </w:p>
        </w:tc>
        <w:tc>
          <w:tcPr>
            <w:tcW w:w="206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w w:val="96"/>
              </w:rPr>
              <w:t>Integra LifeSciences Corporation</w:t>
            </w:r>
          </w:p>
        </w:tc>
        <w:tc>
          <w:tcPr>
            <w:tcW w:w="600" w:type="dxa"/>
            <w:vAlign w:val="bottom"/>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rPr>
              <w:t>1115</w:t>
            </w:r>
          </w:p>
        </w:tc>
        <w:tc>
          <w:tcPr>
            <w:tcW w:w="54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USD</w:t>
            </w:r>
          </w:p>
        </w:tc>
        <w:tc>
          <w:tcPr>
            <w:tcW w:w="1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423,557.00</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8.5% Interest</w:t>
            </w:r>
          </w:p>
        </w:tc>
        <w:tc>
          <w:tcPr>
            <w:tcW w:w="13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w w:val="86"/>
              </w:rPr>
              <w:t>Interest due at maturity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Borders>
              <w:left w:val="single" w:sz="8" w:color="CCEEFF"/>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32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date.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Borders>
              <w:left w:val="single" w:sz="8" w:color="CCEEFF"/>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21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20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93,126,914.47</w:t>
            </w:r>
          </w:p>
        </w:tc>
        <w:tc>
          <w:tcPr>
            <w:tcW w:w="1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ind w:left="60"/>
              <w:spacing w:after="0" w:line="149" w:lineRule="exact"/>
              <w:rPr>
                <w:sz w:val="20"/>
                <w:szCs w:val="20"/>
                <w:color w:val="auto"/>
              </w:rPr>
            </w:pPr>
            <w:r>
              <w:rPr>
                <w:rFonts w:ascii="Arial" w:cs="Arial" w:eastAsia="Arial" w:hAnsi="Arial"/>
                <w:sz w:val="14"/>
                <w:szCs w:val="14"/>
                <w:color w:val="auto"/>
              </w:rPr>
              <w:t>subtotal</w:t>
            </w:r>
          </w:p>
        </w:tc>
        <w:tc>
          <w:tcPr>
            <w:tcW w:w="1320" w:type="dxa"/>
            <w:vAlign w:val="bottom"/>
            <w:tcBorders>
              <w:bottom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80" w:type="dxa"/>
            <w:vAlign w:val="bottom"/>
            <w:tcBorders>
              <w:lef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K</w:t>
            </w:r>
          </w:p>
        </w:tc>
        <w:tc>
          <w:tcPr>
            <w:tcW w:w="60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7.05.06</w:t>
            </w:r>
          </w:p>
        </w:tc>
        <w:tc>
          <w:tcPr>
            <w:tcW w:w="6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7.05.11</w:t>
            </w:r>
          </w:p>
        </w:tc>
        <w:tc>
          <w:tcPr>
            <w:tcW w:w="520" w:type="dxa"/>
            <w:vAlign w:val="bottom"/>
            <w:shd w:val="clear" w:color="auto" w:fill="CCEEFF"/>
          </w:tcPr>
          <w:p>
            <w:pPr>
              <w:spacing w:after="0"/>
              <w:rPr>
                <w:sz w:val="11"/>
                <w:szCs w:val="11"/>
                <w:color w:val="auto"/>
              </w:rPr>
            </w:pPr>
          </w:p>
        </w:tc>
        <w:tc>
          <w:tcPr>
            <w:tcW w:w="21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Integra LifeScience (Canada)</w:t>
            </w:r>
          </w:p>
        </w:tc>
        <w:tc>
          <w:tcPr>
            <w:tcW w:w="46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1510</w:t>
            </w:r>
          </w:p>
        </w:tc>
        <w:tc>
          <w:tcPr>
            <w:tcW w:w="206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w w:val="96"/>
              </w:rPr>
              <w:t>Integra LifeSciences Corporation</w:t>
            </w:r>
          </w:p>
        </w:tc>
        <w:tc>
          <w:tcPr>
            <w:tcW w:w="600" w:type="dxa"/>
            <w:vAlign w:val="bottom"/>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rPr>
              <w:t>1115</w:t>
            </w:r>
          </w:p>
        </w:tc>
        <w:tc>
          <w:tcPr>
            <w:tcW w:w="54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USD</w:t>
            </w:r>
          </w:p>
        </w:tc>
        <w:tc>
          <w:tcPr>
            <w:tcW w:w="1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1,400,678.33</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7.5% annually</w:t>
            </w:r>
          </w:p>
        </w:tc>
        <w:tc>
          <w:tcPr>
            <w:tcW w:w="13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w w:val="97"/>
              </w:rPr>
              <w:t>Purchase of Canada</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Borders>
              <w:left w:val="single" w:sz="8" w:color="CCEEFF"/>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2120" w:type="dxa"/>
            <w:vAlign w:val="bottom"/>
            <w:tcBorders>
              <w:bottom w:val="single" w:sz="8" w:color="auto"/>
            </w:tcBorders>
            <w:shd w:val="clear" w:color="auto" w:fill="CCEEFF"/>
          </w:tcPr>
          <w:p>
            <w:pPr>
              <w:ind w:left="60"/>
              <w:spacing w:after="0" w:line="159" w:lineRule="exact"/>
              <w:rPr>
                <w:sz w:val="20"/>
                <w:szCs w:val="20"/>
                <w:color w:val="auto"/>
              </w:rPr>
            </w:pPr>
            <w:r>
              <w:rPr>
                <w:rFonts w:ascii="Arial" w:cs="Arial" w:eastAsia="Arial" w:hAnsi="Arial"/>
                <w:sz w:val="14"/>
                <w:szCs w:val="14"/>
                <w:color w:val="auto"/>
              </w:rPr>
              <w:t>Holdings Inc.</w:t>
            </w:r>
          </w:p>
        </w:tc>
        <w:tc>
          <w:tcPr>
            <w:tcW w:w="460" w:type="dxa"/>
            <w:vAlign w:val="bottom"/>
            <w:tcBorders>
              <w:bottom w:val="single" w:sz="8" w:color="auto"/>
            </w:tcBorders>
            <w:shd w:val="clear" w:color="auto" w:fill="CCEEFF"/>
          </w:tcPr>
          <w:p>
            <w:pPr>
              <w:spacing w:after="0"/>
              <w:rPr>
                <w:sz w:val="13"/>
                <w:szCs w:val="13"/>
                <w:color w:val="auto"/>
              </w:rPr>
            </w:pPr>
          </w:p>
        </w:tc>
        <w:tc>
          <w:tcPr>
            <w:tcW w:w="206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ind w:left="60"/>
              <w:spacing w:after="0" w:line="159" w:lineRule="exact"/>
              <w:rPr>
                <w:sz w:val="20"/>
                <w:szCs w:val="20"/>
                <w:color w:val="auto"/>
              </w:rPr>
            </w:pPr>
            <w:r>
              <w:rPr>
                <w:rFonts w:ascii="Arial" w:cs="Arial" w:eastAsia="Arial" w:hAnsi="Arial"/>
                <w:sz w:val="14"/>
                <w:szCs w:val="14"/>
                <w:color w:val="auto"/>
              </w:rPr>
              <w:t>Microsurgical Ltd.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80" w:type="dxa"/>
            <w:vAlign w:val="bottom"/>
          </w:tcPr>
          <w:p>
            <w:pPr>
              <w:spacing w:after="0" w:line="131" w:lineRule="exact"/>
              <w:rPr>
                <w:sz w:val="20"/>
                <w:szCs w:val="20"/>
                <w:color w:val="auto"/>
              </w:rPr>
            </w:pPr>
            <w:r>
              <w:rPr>
                <w:rFonts w:ascii="Arial" w:cs="Arial" w:eastAsia="Arial" w:hAnsi="Arial"/>
                <w:sz w:val="14"/>
                <w:szCs w:val="14"/>
                <w:color w:val="auto"/>
              </w:rPr>
              <w:t>CE</w:t>
            </w:r>
          </w:p>
        </w:tc>
        <w:tc>
          <w:tcPr>
            <w:tcW w:w="600" w:type="dxa"/>
            <w:vAlign w:val="bottom"/>
          </w:tcPr>
          <w:p>
            <w:pPr>
              <w:jc w:val="right"/>
              <w:ind w:right="12"/>
              <w:spacing w:after="0" w:line="131" w:lineRule="exact"/>
              <w:rPr>
                <w:sz w:val="20"/>
                <w:szCs w:val="20"/>
                <w:color w:val="auto"/>
              </w:rPr>
            </w:pPr>
            <w:r>
              <w:rPr>
                <w:rFonts w:ascii="Arial" w:cs="Arial" w:eastAsia="Arial" w:hAnsi="Arial"/>
                <w:sz w:val="14"/>
                <w:szCs w:val="14"/>
                <w:color w:val="auto"/>
                <w:w w:val="91"/>
              </w:rPr>
              <w:t>05.10.10</w:t>
            </w:r>
          </w:p>
        </w:tc>
        <w:tc>
          <w:tcPr>
            <w:tcW w:w="680" w:type="dxa"/>
            <w:vAlign w:val="bottom"/>
          </w:tcPr>
          <w:p>
            <w:pPr>
              <w:jc w:val="right"/>
              <w:ind w:right="12"/>
              <w:spacing w:after="0" w:line="131" w:lineRule="exact"/>
              <w:rPr>
                <w:sz w:val="20"/>
                <w:szCs w:val="20"/>
                <w:color w:val="auto"/>
              </w:rPr>
            </w:pPr>
            <w:r>
              <w:rPr>
                <w:rFonts w:ascii="Arial" w:cs="Arial" w:eastAsia="Arial" w:hAnsi="Arial"/>
                <w:sz w:val="14"/>
                <w:szCs w:val="14"/>
                <w:color w:val="auto"/>
              </w:rPr>
              <w:t>05.10.15</w:t>
            </w:r>
          </w:p>
        </w:tc>
        <w:tc>
          <w:tcPr>
            <w:tcW w:w="520" w:type="dxa"/>
            <w:vAlign w:val="bottom"/>
          </w:tcPr>
          <w:p>
            <w:pPr>
              <w:spacing w:after="0"/>
              <w:rPr>
                <w:sz w:val="11"/>
                <w:szCs w:val="11"/>
                <w:color w:val="auto"/>
              </w:rPr>
            </w:pPr>
          </w:p>
        </w:tc>
        <w:tc>
          <w:tcPr>
            <w:tcW w:w="2120" w:type="dxa"/>
            <w:vAlign w:val="bottom"/>
          </w:tcPr>
          <w:p>
            <w:pPr>
              <w:ind w:left="60"/>
              <w:spacing w:after="0" w:line="131" w:lineRule="exact"/>
              <w:rPr>
                <w:sz w:val="20"/>
                <w:szCs w:val="20"/>
                <w:color w:val="auto"/>
              </w:rPr>
            </w:pPr>
            <w:r>
              <w:rPr>
                <w:rFonts w:ascii="Arial" w:cs="Arial" w:eastAsia="Arial" w:hAnsi="Arial"/>
                <w:sz w:val="14"/>
                <w:szCs w:val="14"/>
                <w:color w:val="auto"/>
              </w:rPr>
              <w:t>GMS mbh</w:t>
            </w:r>
          </w:p>
        </w:tc>
        <w:tc>
          <w:tcPr>
            <w:tcW w:w="460" w:type="dxa"/>
            <w:vAlign w:val="bottom"/>
          </w:tcPr>
          <w:p>
            <w:pPr>
              <w:jc w:val="right"/>
              <w:ind w:right="12"/>
              <w:spacing w:after="0" w:line="131" w:lineRule="exact"/>
              <w:rPr>
                <w:sz w:val="20"/>
                <w:szCs w:val="20"/>
                <w:color w:val="auto"/>
              </w:rPr>
            </w:pPr>
            <w:r>
              <w:rPr>
                <w:rFonts w:ascii="Arial" w:cs="Arial" w:eastAsia="Arial" w:hAnsi="Arial"/>
                <w:sz w:val="14"/>
                <w:szCs w:val="14"/>
                <w:color w:val="auto"/>
              </w:rPr>
              <w:t>4205</w:t>
            </w:r>
          </w:p>
        </w:tc>
        <w:tc>
          <w:tcPr>
            <w:tcW w:w="2060" w:type="dxa"/>
            <w:vAlign w:val="bottom"/>
          </w:tcPr>
          <w:p>
            <w:pPr>
              <w:ind w:left="80"/>
              <w:spacing w:after="0" w:line="131" w:lineRule="exact"/>
              <w:rPr>
                <w:sz w:val="20"/>
                <w:szCs w:val="20"/>
                <w:color w:val="auto"/>
              </w:rPr>
            </w:pPr>
            <w:r>
              <w:rPr>
                <w:rFonts w:ascii="Arial" w:cs="Arial" w:eastAsia="Arial" w:hAnsi="Arial"/>
                <w:sz w:val="14"/>
                <w:szCs w:val="14"/>
                <w:color w:val="auto"/>
              </w:rPr>
              <w:t>Integra LifeSciences Shared</w:t>
            </w:r>
          </w:p>
        </w:tc>
        <w:tc>
          <w:tcPr>
            <w:tcW w:w="600" w:type="dxa"/>
            <w:vAlign w:val="bottom"/>
          </w:tcPr>
          <w:p>
            <w:pPr>
              <w:jc w:val="right"/>
              <w:ind w:right="112"/>
              <w:spacing w:after="0" w:line="131" w:lineRule="exact"/>
              <w:rPr>
                <w:sz w:val="20"/>
                <w:szCs w:val="20"/>
                <w:color w:val="auto"/>
              </w:rPr>
            </w:pPr>
            <w:r>
              <w:rPr>
                <w:rFonts w:ascii="Arial" w:cs="Arial" w:eastAsia="Arial" w:hAnsi="Arial"/>
                <w:sz w:val="14"/>
                <w:szCs w:val="14"/>
                <w:color w:val="auto"/>
              </w:rPr>
              <w:t>4435</w:t>
            </w:r>
          </w:p>
        </w:tc>
        <w:tc>
          <w:tcPr>
            <w:tcW w:w="540" w:type="dxa"/>
            <w:vAlign w:val="bottom"/>
          </w:tcPr>
          <w:p>
            <w:pPr>
              <w:jc w:val="right"/>
              <w:ind w:right="12"/>
              <w:spacing w:after="0" w:line="131" w:lineRule="exact"/>
              <w:rPr>
                <w:sz w:val="20"/>
                <w:szCs w:val="20"/>
                <w:color w:val="auto"/>
              </w:rPr>
            </w:pPr>
            <w:r>
              <w:rPr>
                <w:rFonts w:ascii="Arial" w:cs="Arial" w:eastAsia="Arial" w:hAnsi="Arial"/>
                <w:sz w:val="14"/>
                <w:szCs w:val="14"/>
                <w:color w:val="auto"/>
              </w:rPr>
              <w:t>EUR</w:t>
            </w:r>
          </w:p>
        </w:tc>
        <w:tc>
          <w:tcPr>
            <w:tcW w:w="16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31" w:lineRule="exact"/>
              <w:rPr>
                <w:sz w:val="20"/>
                <w:szCs w:val="20"/>
                <w:color w:val="auto"/>
              </w:rPr>
            </w:pPr>
            <w:r>
              <w:rPr>
                <w:rFonts w:ascii="Arial" w:cs="Arial" w:eastAsia="Arial" w:hAnsi="Arial"/>
                <w:sz w:val="14"/>
                <w:szCs w:val="14"/>
                <w:color w:val="auto"/>
              </w:rPr>
              <w:t>1,300,000.00</w:t>
            </w:r>
          </w:p>
        </w:tc>
        <w:tc>
          <w:tcPr>
            <w:tcW w:w="100" w:type="dxa"/>
            <w:vAlign w:val="bottom"/>
          </w:tcPr>
          <w:p>
            <w:pPr>
              <w:spacing w:after="0"/>
              <w:rPr>
                <w:sz w:val="11"/>
                <w:szCs w:val="11"/>
                <w:color w:val="auto"/>
              </w:rPr>
            </w:pPr>
          </w:p>
        </w:tc>
        <w:tc>
          <w:tcPr>
            <w:tcW w:w="1020" w:type="dxa"/>
            <w:vAlign w:val="bottom"/>
          </w:tcPr>
          <w:p>
            <w:pPr>
              <w:ind w:left="60"/>
              <w:spacing w:after="0" w:line="131" w:lineRule="exact"/>
              <w:rPr>
                <w:sz w:val="20"/>
                <w:szCs w:val="20"/>
                <w:color w:val="auto"/>
              </w:rPr>
            </w:pPr>
            <w:r>
              <w:rPr>
                <w:rFonts w:ascii="Arial" w:cs="Arial" w:eastAsia="Arial" w:hAnsi="Arial"/>
                <w:sz w:val="14"/>
                <w:szCs w:val="14"/>
                <w:color w:val="auto"/>
              </w:rPr>
              <w:t>6.6% annually</w:t>
            </w:r>
          </w:p>
        </w:tc>
        <w:tc>
          <w:tcPr>
            <w:tcW w:w="1320" w:type="dxa"/>
            <w:vAlign w:val="bottom"/>
          </w:tcPr>
          <w:p>
            <w:pPr>
              <w:ind w:left="60"/>
              <w:spacing w:after="0" w:line="131" w:lineRule="exact"/>
              <w:rPr>
                <w:sz w:val="20"/>
                <w:szCs w:val="20"/>
                <w:color w:val="auto"/>
              </w:rPr>
            </w:pPr>
            <w:r>
              <w:rPr>
                <w:rFonts w:ascii="Arial" w:cs="Arial" w:eastAsia="Arial" w:hAnsi="Arial"/>
                <w:sz w:val="14"/>
                <w:szCs w:val="14"/>
                <w:color w:val="auto"/>
                <w:w w:val="96"/>
              </w:rPr>
              <w:t>EMEA Intercompany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ind w:left="80"/>
              <w:spacing w:after="0" w:line="159" w:lineRule="exact"/>
              <w:rPr>
                <w:sz w:val="20"/>
                <w:szCs w:val="20"/>
                <w:color w:val="auto"/>
              </w:rPr>
            </w:pPr>
            <w:r>
              <w:rPr>
                <w:rFonts w:ascii="Arial" w:cs="Arial" w:eastAsia="Arial" w:hAnsi="Arial"/>
                <w:sz w:val="14"/>
                <w:szCs w:val="14"/>
                <w:color w:val="auto"/>
              </w:rPr>
              <w:t>Services (Ireland) Ltd</w:t>
            </w:r>
          </w:p>
        </w:tc>
        <w:tc>
          <w:tcPr>
            <w:tcW w:w="6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ind w:left="60"/>
              <w:spacing w:after="0" w:line="159" w:lineRule="exact"/>
              <w:rPr>
                <w:sz w:val="20"/>
                <w:szCs w:val="20"/>
                <w:color w:val="auto"/>
              </w:rPr>
            </w:pPr>
            <w:r>
              <w:rPr>
                <w:rFonts w:ascii="Arial" w:cs="Arial" w:eastAsia="Arial" w:hAnsi="Arial"/>
                <w:sz w:val="14"/>
                <w:szCs w:val="14"/>
                <w:color w:val="auto"/>
                <w:w w:val="86"/>
              </w:rPr>
              <w:t>investment pooling and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80" w:type="dxa"/>
            <w:vAlign w:val="bottom"/>
            <w:tcBorders>
              <w:left w:val="single" w:sz="8" w:color="CCEEFF"/>
            </w:tcBorders>
            <w:shd w:val="clear" w:color="auto" w:fill="CCEEFF"/>
          </w:tcPr>
          <w:p>
            <w:pPr>
              <w:spacing w:after="0" w:line="131" w:lineRule="exact"/>
              <w:rPr>
                <w:sz w:val="20"/>
                <w:szCs w:val="20"/>
                <w:color w:val="auto"/>
              </w:rPr>
            </w:pPr>
            <w:r>
              <w:rPr>
                <w:rFonts w:ascii="Arial" w:cs="Arial" w:eastAsia="Arial" w:hAnsi="Arial"/>
                <w:sz w:val="14"/>
                <w:szCs w:val="14"/>
                <w:color w:val="auto"/>
              </w:rPr>
              <w:t>CF</w:t>
            </w:r>
          </w:p>
        </w:tc>
        <w:tc>
          <w:tcPr>
            <w:tcW w:w="600" w:type="dxa"/>
            <w:vAlign w:val="bottom"/>
            <w:shd w:val="clear" w:color="auto" w:fill="CCEEFF"/>
          </w:tcPr>
          <w:p>
            <w:pPr>
              <w:jc w:val="right"/>
              <w:ind w:right="12"/>
              <w:spacing w:after="0" w:line="131" w:lineRule="exact"/>
              <w:rPr>
                <w:sz w:val="20"/>
                <w:szCs w:val="20"/>
                <w:color w:val="auto"/>
              </w:rPr>
            </w:pPr>
            <w:r>
              <w:rPr>
                <w:rFonts w:ascii="Arial" w:cs="Arial" w:eastAsia="Arial" w:hAnsi="Arial"/>
                <w:sz w:val="14"/>
                <w:szCs w:val="14"/>
                <w:color w:val="auto"/>
                <w:w w:val="91"/>
              </w:rPr>
              <w:t>05.10.10</w:t>
            </w:r>
          </w:p>
        </w:tc>
        <w:tc>
          <w:tcPr>
            <w:tcW w:w="680" w:type="dxa"/>
            <w:vAlign w:val="bottom"/>
            <w:shd w:val="clear" w:color="auto" w:fill="CCEEFF"/>
          </w:tcPr>
          <w:p>
            <w:pPr>
              <w:jc w:val="right"/>
              <w:ind w:right="12"/>
              <w:spacing w:after="0" w:line="131" w:lineRule="exact"/>
              <w:rPr>
                <w:sz w:val="20"/>
                <w:szCs w:val="20"/>
                <w:color w:val="auto"/>
              </w:rPr>
            </w:pPr>
            <w:r>
              <w:rPr>
                <w:rFonts w:ascii="Arial" w:cs="Arial" w:eastAsia="Arial" w:hAnsi="Arial"/>
                <w:sz w:val="14"/>
                <w:szCs w:val="14"/>
                <w:color w:val="auto"/>
              </w:rPr>
              <w:t>05.10.15</w:t>
            </w:r>
          </w:p>
        </w:tc>
        <w:tc>
          <w:tcPr>
            <w:tcW w:w="520" w:type="dxa"/>
            <w:vAlign w:val="bottom"/>
            <w:shd w:val="clear" w:color="auto" w:fill="CCEEFF"/>
          </w:tcPr>
          <w:p>
            <w:pPr>
              <w:spacing w:after="0"/>
              <w:rPr>
                <w:sz w:val="11"/>
                <w:szCs w:val="11"/>
                <w:color w:val="auto"/>
              </w:rPr>
            </w:pPr>
          </w:p>
        </w:tc>
        <w:tc>
          <w:tcPr>
            <w:tcW w:w="2120" w:type="dxa"/>
            <w:vAlign w:val="bottom"/>
            <w:shd w:val="clear" w:color="auto" w:fill="CCEEFF"/>
          </w:tcPr>
          <w:p>
            <w:pPr>
              <w:ind w:left="60"/>
              <w:spacing w:after="0" w:line="131" w:lineRule="exact"/>
              <w:rPr>
                <w:sz w:val="20"/>
                <w:szCs w:val="20"/>
                <w:color w:val="auto"/>
              </w:rPr>
            </w:pPr>
            <w:r>
              <w:rPr>
                <w:rFonts w:ascii="Arial" w:cs="Arial" w:eastAsia="Arial" w:hAnsi="Arial"/>
                <w:sz w:val="14"/>
                <w:szCs w:val="14"/>
                <w:color w:val="auto"/>
              </w:rPr>
              <w:t>Integra NeuroSciences GmbH</w:t>
            </w:r>
          </w:p>
        </w:tc>
        <w:tc>
          <w:tcPr>
            <w:tcW w:w="460" w:type="dxa"/>
            <w:vAlign w:val="bottom"/>
            <w:shd w:val="clear" w:color="auto" w:fill="CCEEFF"/>
          </w:tcPr>
          <w:p>
            <w:pPr>
              <w:jc w:val="right"/>
              <w:ind w:right="12"/>
              <w:spacing w:after="0" w:line="131" w:lineRule="exact"/>
              <w:rPr>
                <w:sz w:val="20"/>
                <w:szCs w:val="20"/>
                <w:color w:val="auto"/>
              </w:rPr>
            </w:pPr>
            <w:r>
              <w:rPr>
                <w:rFonts w:ascii="Arial" w:cs="Arial" w:eastAsia="Arial" w:hAnsi="Arial"/>
                <w:sz w:val="14"/>
                <w:szCs w:val="14"/>
                <w:color w:val="auto"/>
              </w:rPr>
              <w:t>4225</w:t>
            </w:r>
          </w:p>
        </w:tc>
        <w:tc>
          <w:tcPr>
            <w:tcW w:w="2060" w:type="dxa"/>
            <w:vAlign w:val="bottom"/>
            <w:shd w:val="clear" w:color="auto" w:fill="CCEEFF"/>
          </w:tcPr>
          <w:p>
            <w:pPr>
              <w:ind w:left="80"/>
              <w:spacing w:after="0" w:line="131" w:lineRule="exact"/>
              <w:rPr>
                <w:sz w:val="20"/>
                <w:szCs w:val="20"/>
                <w:color w:val="auto"/>
              </w:rPr>
            </w:pPr>
            <w:r>
              <w:rPr>
                <w:rFonts w:ascii="Arial" w:cs="Arial" w:eastAsia="Arial" w:hAnsi="Arial"/>
                <w:sz w:val="14"/>
                <w:szCs w:val="14"/>
                <w:color w:val="auto"/>
              </w:rPr>
              <w:t>Integra LifeSciences Shared</w:t>
            </w:r>
          </w:p>
        </w:tc>
        <w:tc>
          <w:tcPr>
            <w:tcW w:w="600" w:type="dxa"/>
            <w:vAlign w:val="bottom"/>
            <w:shd w:val="clear" w:color="auto" w:fill="CCEEFF"/>
          </w:tcPr>
          <w:p>
            <w:pPr>
              <w:jc w:val="right"/>
              <w:ind w:right="112"/>
              <w:spacing w:after="0" w:line="131" w:lineRule="exact"/>
              <w:rPr>
                <w:sz w:val="20"/>
                <w:szCs w:val="20"/>
                <w:color w:val="auto"/>
              </w:rPr>
            </w:pPr>
            <w:r>
              <w:rPr>
                <w:rFonts w:ascii="Arial" w:cs="Arial" w:eastAsia="Arial" w:hAnsi="Arial"/>
                <w:sz w:val="14"/>
                <w:szCs w:val="14"/>
                <w:color w:val="auto"/>
              </w:rPr>
              <w:t>4435</w:t>
            </w:r>
          </w:p>
        </w:tc>
        <w:tc>
          <w:tcPr>
            <w:tcW w:w="540" w:type="dxa"/>
            <w:vAlign w:val="bottom"/>
            <w:shd w:val="clear" w:color="auto" w:fill="CCEEFF"/>
          </w:tcPr>
          <w:p>
            <w:pPr>
              <w:jc w:val="right"/>
              <w:ind w:right="12"/>
              <w:spacing w:after="0" w:line="131" w:lineRule="exact"/>
              <w:rPr>
                <w:sz w:val="20"/>
                <w:szCs w:val="20"/>
                <w:color w:val="auto"/>
              </w:rPr>
            </w:pPr>
            <w:r>
              <w:rPr>
                <w:rFonts w:ascii="Arial" w:cs="Arial" w:eastAsia="Arial" w:hAnsi="Arial"/>
                <w:sz w:val="14"/>
                <w:szCs w:val="14"/>
                <w:color w:val="auto"/>
              </w:rPr>
              <w:t>EUR</w:t>
            </w:r>
          </w:p>
        </w:tc>
        <w:tc>
          <w:tcPr>
            <w:tcW w:w="16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1,300,000.00</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ind w:left="60"/>
              <w:spacing w:after="0" w:line="131" w:lineRule="exact"/>
              <w:rPr>
                <w:sz w:val="20"/>
                <w:szCs w:val="20"/>
                <w:color w:val="auto"/>
              </w:rPr>
            </w:pPr>
            <w:r>
              <w:rPr>
                <w:rFonts w:ascii="Arial" w:cs="Arial" w:eastAsia="Arial" w:hAnsi="Arial"/>
                <w:sz w:val="14"/>
                <w:szCs w:val="14"/>
                <w:color w:val="auto"/>
              </w:rPr>
              <w:t>6.6% annually</w:t>
            </w:r>
          </w:p>
        </w:tc>
        <w:tc>
          <w:tcPr>
            <w:tcW w:w="1320" w:type="dxa"/>
            <w:vAlign w:val="bottom"/>
            <w:shd w:val="clear" w:color="auto" w:fill="CCEEFF"/>
          </w:tcPr>
          <w:p>
            <w:pPr>
              <w:ind w:left="60"/>
              <w:spacing w:after="0" w:line="131" w:lineRule="exact"/>
              <w:rPr>
                <w:sz w:val="20"/>
                <w:szCs w:val="20"/>
                <w:color w:val="auto"/>
              </w:rPr>
            </w:pPr>
            <w:r>
              <w:rPr>
                <w:rFonts w:ascii="Arial" w:cs="Arial" w:eastAsia="Arial" w:hAnsi="Arial"/>
                <w:sz w:val="14"/>
                <w:szCs w:val="14"/>
                <w:color w:val="auto"/>
                <w:w w:val="96"/>
              </w:rPr>
              <w:t>EMEA Intercompany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Borders>
              <w:left w:val="single" w:sz="8" w:color="CCEEFF"/>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21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2060" w:type="dxa"/>
            <w:vAlign w:val="bottom"/>
            <w:tcBorders>
              <w:bottom w:val="single" w:sz="8" w:color="auto"/>
            </w:tcBorders>
            <w:shd w:val="clear" w:color="auto" w:fill="CCEEFF"/>
          </w:tcPr>
          <w:p>
            <w:pPr>
              <w:ind w:left="80"/>
              <w:spacing w:after="0" w:line="159" w:lineRule="exact"/>
              <w:rPr>
                <w:sz w:val="20"/>
                <w:szCs w:val="20"/>
                <w:color w:val="auto"/>
              </w:rPr>
            </w:pPr>
            <w:r>
              <w:rPr>
                <w:rFonts w:ascii="Arial" w:cs="Arial" w:eastAsia="Arial" w:hAnsi="Arial"/>
                <w:sz w:val="14"/>
                <w:szCs w:val="14"/>
                <w:color w:val="auto"/>
              </w:rPr>
              <w:t>Services (Ireland) Ltd</w:t>
            </w:r>
          </w:p>
        </w:tc>
        <w:tc>
          <w:tcPr>
            <w:tcW w:w="60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ind w:left="60"/>
              <w:spacing w:after="0" w:line="159" w:lineRule="exact"/>
              <w:rPr>
                <w:sz w:val="20"/>
                <w:szCs w:val="20"/>
                <w:color w:val="auto"/>
              </w:rPr>
            </w:pPr>
            <w:r>
              <w:rPr>
                <w:rFonts w:ascii="Arial" w:cs="Arial" w:eastAsia="Arial" w:hAnsi="Arial"/>
                <w:sz w:val="14"/>
                <w:szCs w:val="14"/>
                <w:color w:val="auto"/>
                <w:w w:val="86"/>
              </w:rPr>
              <w:t>investment pooling and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80" w:type="dxa"/>
            <w:vAlign w:val="bottom"/>
          </w:tcPr>
          <w:p>
            <w:pPr>
              <w:spacing w:after="0" w:line="131" w:lineRule="exact"/>
              <w:rPr>
                <w:sz w:val="20"/>
                <w:szCs w:val="20"/>
                <w:color w:val="auto"/>
              </w:rPr>
            </w:pPr>
            <w:r>
              <w:rPr>
                <w:rFonts w:ascii="Arial" w:cs="Arial" w:eastAsia="Arial" w:hAnsi="Arial"/>
                <w:sz w:val="14"/>
                <w:szCs w:val="14"/>
                <w:color w:val="auto"/>
              </w:rPr>
              <w:t>BD</w:t>
            </w:r>
          </w:p>
        </w:tc>
        <w:tc>
          <w:tcPr>
            <w:tcW w:w="600" w:type="dxa"/>
            <w:vAlign w:val="bottom"/>
          </w:tcPr>
          <w:p>
            <w:pPr>
              <w:jc w:val="right"/>
              <w:ind w:right="12"/>
              <w:spacing w:after="0" w:line="131" w:lineRule="exact"/>
              <w:rPr>
                <w:sz w:val="20"/>
                <w:szCs w:val="20"/>
                <w:color w:val="auto"/>
              </w:rPr>
            </w:pPr>
            <w:r>
              <w:rPr>
                <w:rFonts w:ascii="Arial" w:cs="Arial" w:eastAsia="Arial" w:hAnsi="Arial"/>
                <w:sz w:val="14"/>
                <w:szCs w:val="14"/>
                <w:color w:val="auto"/>
                <w:w w:val="91"/>
              </w:rPr>
              <w:t>12.16.08</w:t>
            </w:r>
          </w:p>
        </w:tc>
        <w:tc>
          <w:tcPr>
            <w:tcW w:w="680" w:type="dxa"/>
            <w:vAlign w:val="bottom"/>
          </w:tcPr>
          <w:p>
            <w:pPr>
              <w:jc w:val="right"/>
              <w:ind w:right="12"/>
              <w:spacing w:after="0" w:line="131" w:lineRule="exact"/>
              <w:rPr>
                <w:sz w:val="20"/>
                <w:szCs w:val="20"/>
                <w:color w:val="auto"/>
              </w:rPr>
            </w:pPr>
            <w:r>
              <w:rPr>
                <w:rFonts w:ascii="Arial" w:cs="Arial" w:eastAsia="Arial" w:hAnsi="Arial"/>
                <w:sz w:val="14"/>
                <w:szCs w:val="14"/>
                <w:color w:val="auto"/>
              </w:rPr>
              <w:t>02.26.12</w:t>
            </w:r>
          </w:p>
        </w:tc>
        <w:tc>
          <w:tcPr>
            <w:tcW w:w="520" w:type="dxa"/>
            <w:vAlign w:val="bottom"/>
          </w:tcPr>
          <w:p>
            <w:pPr>
              <w:spacing w:after="0"/>
              <w:rPr>
                <w:sz w:val="11"/>
                <w:szCs w:val="11"/>
                <w:color w:val="auto"/>
              </w:rPr>
            </w:pPr>
          </w:p>
        </w:tc>
        <w:tc>
          <w:tcPr>
            <w:tcW w:w="2120" w:type="dxa"/>
            <w:vAlign w:val="bottom"/>
          </w:tcPr>
          <w:p>
            <w:pPr>
              <w:ind w:left="60"/>
              <w:spacing w:after="0" w:line="131" w:lineRule="exact"/>
              <w:rPr>
                <w:sz w:val="20"/>
                <w:szCs w:val="20"/>
                <w:color w:val="auto"/>
              </w:rPr>
            </w:pPr>
            <w:r>
              <w:rPr>
                <w:rFonts w:ascii="Arial" w:cs="Arial" w:eastAsia="Arial" w:hAnsi="Arial"/>
                <w:sz w:val="14"/>
                <w:szCs w:val="14"/>
                <w:color w:val="auto"/>
              </w:rPr>
              <w:t>ILS Services Switzerland Ltd.</w:t>
            </w:r>
          </w:p>
        </w:tc>
        <w:tc>
          <w:tcPr>
            <w:tcW w:w="460" w:type="dxa"/>
            <w:vAlign w:val="bottom"/>
          </w:tcPr>
          <w:p>
            <w:pPr>
              <w:jc w:val="right"/>
              <w:ind w:right="12"/>
              <w:spacing w:after="0" w:line="131" w:lineRule="exact"/>
              <w:rPr>
                <w:sz w:val="20"/>
                <w:szCs w:val="20"/>
                <w:color w:val="auto"/>
              </w:rPr>
            </w:pPr>
            <w:r>
              <w:rPr>
                <w:rFonts w:ascii="Arial" w:cs="Arial" w:eastAsia="Arial" w:hAnsi="Arial"/>
                <w:sz w:val="14"/>
                <w:szCs w:val="14"/>
                <w:color w:val="auto"/>
              </w:rPr>
              <w:t>4230</w:t>
            </w:r>
          </w:p>
        </w:tc>
        <w:tc>
          <w:tcPr>
            <w:tcW w:w="2060" w:type="dxa"/>
            <w:vAlign w:val="bottom"/>
          </w:tcPr>
          <w:p>
            <w:pPr>
              <w:ind w:left="80"/>
              <w:spacing w:after="0" w:line="131" w:lineRule="exact"/>
              <w:rPr>
                <w:sz w:val="20"/>
                <w:szCs w:val="20"/>
                <w:color w:val="auto"/>
              </w:rPr>
            </w:pPr>
            <w:r>
              <w:rPr>
                <w:rFonts w:ascii="Arial" w:cs="Arial" w:eastAsia="Arial" w:hAnsi="Arial"/>
                <w:sz w:val="14"/>
                <w:szCs w:val="14"/>
                <w:color w:val="auto"/>
              </w:rPr>
              <w:t>Integra LifeSciences Shared</w:t>
            </w:r>
          </w:p>
        </w:tc>
        <w:tc>
          <w:tcPr>
            <w:tcW w:w="600" w:type="dxa"/>
            <w:vAlign w:val="bottom"/>
          </w:tcPr>
          <w:p>
            <w:pPr>
              <w:jc w:val="right"/>
              <w:ind w:right="112"/>
              <w:spacing w:after="0" w:line="131" w:lineRule="exact"/>
              <w:rPr>
                <w:sz w:val="20"/>
                <w:szCs w:val="20"/>
                <w:color w:val="auto"/>
              </w:rPr>
            </w:pPr>
            <w:r>
              <w:rPr>
                <w:rFonts w:ascii="Arial" w:cs="Arial" w:eastAsia="Arial" w:hAnsi="Arial"/>
                <w:sz w:val="14"/>
                <w:szCs w:val="14"/>
                <w:color w:val="auto"/>
              </w:rPr>
              <w:t>4430</w:t>
            </w:r>
          </w:p>
        </w:tc>
        <w:tc>
          <w:tcPr>
            <w:tcW w:w="540" w:type="dxa"/>
            <w:vAlign w:val="bottom"/>
          </w:tcPr>
          <w:p>
            <w:pPr>
              <w:jc w:val="right"/>
              <w:ind w:right="12"/>
              <w:spacing w:after="0" w:line="131" w:lineRule="exact"/>
              <w:rPr>
                <w:sz w:val="20"/>
                <w:szCs w:val="20"/>
                <w:color w:val="auto"/>
              </w:rPr>
            </w:pPr>
            <w:r>
              <w:rPr>
                <w:rFonts w:ascii="Arial" w:cs="Arial" w:eastAsia="Arial" w:hAnsi="Arial"/>
                <w:sz w:val="14"/>
                <w:szCs w:val="14"/>
                <w:color w:val="auto"/>
              </w:rPr>
              <w:t>EUR</w:t>
            </w:r>
          </w:p>
        </w:tc>
        <w:tc>
          <w:tcPr>
            <w:tcW w:w="16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31" w:lineRule="exact"/>
              <w:rPr>
                <w:sz w:val="20"/>
                <w:szCs w:val="20"/>
                <w:color w:val="auto"/>
              </w:rPr>
            </w:pPr>
            <w:r>
              <w:rPr>
                <w:rFonts w:ascii="Arial" w:cs="Arial" w:eastAsia="Arial" w:hAnsi="Arial"/>
                <w:sz w:val="14"/>
                <w:szCs w:val="14"/>
                <w:color w:val="auto"/>
              </w:rPr>
              <w:t>500,000.00</w:t>
            </w:r>
          </w:p>
        </w:tc>
        <w:tc>
          <w:tcPr>
            <w:tcW w:w="100" w:type="dxa"/>
            <w:vAlign w:val="bottom"/>
          </w:tcPr>
          <w:p>
            <w:pPr>
              <w:spacing w:after="0"/>
              <w:rPr>
                <w:sz w:val="11"/>
                <w:szCs w:val="11"/>
                <w:color w:val="auto"/>
              </w:rPr>
            </w:pPr>
          </w:p>
        </w:tc>
        <w:tc>
          <w:tcPr>
            <w:tcW w:w="1020" w:type="dxa"/>
            <w:vAlign w:val="bottom"/>
          </w:tcPr>
          <w:p>
            <w:pPr>
              <w:ind w:left="60"/>
              <w:spacing w:after="0" w:line="131" w:lineRule="exact"/>
              <w:rPr>
                <w:sz w:val="20"/>
                <w:szCs w:val="20"/>
                <w:color w:val="auto"/>
              </w:rPr>
            </w:pPr>
            <w:r>
              <w:rPr>
                <w:rFonts w:ascii="Arial" w:cs="Arial" w:eastAsia="Arial" w:hAnsi="Arial"/>
                <w:sz w:val="14"/>
                <w:szCs w:val="14"/>
                <w:color w:val="auto"/>
              </w:rPr>
              <w:t>3.5% Max rate</w:t>
            </w:r>
          </w:p>
        </w:tc>
        <w:tc>
          <w:tcPr>
            <w:tcW w:w="1320" w:type="dxa"/>
            <w:vAlign w:val="bottom"/>
          </w:tcPr>
          <w:p>
            <w:pPr>
              <w:ind w:left="60"/>
              <w:spacing w:after="0" w:line="131" w:lineRule="exact"/>
              <w:rPr>
                <w:sz w:val="20"/>
                <w:szCs w:val="20"/>
                <w:color w:val="auto"/>
              </w:rPr>
            </w:pPr>
            <w:r>
              <w:rPr>
                <w:rFonts w:ascii="Arial" w:cs="Arial" w:eastAsia="Arial" w:hAnsi="Arial"/>
                <w:sz w:val="14"/>
                <w:szCs w:val="14"/>
                <w:color w:val="auto"/>
                <w:w w:val="89"/>
              </w:rPr>
              <w:t>Amended interest rate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ind w:left="80"/>
              <w:spacing w:after="0" w:line="159" w:lineRule="exact"/>
              <w:rPr>
                <w:sz w:val="20"/>
                <w:szCs w:val="20"/>
                <w:color w:val="auto"/>
              </w:rPr>
            </w:pPr>
            <w:r>
              <w:rPr>
                <w:rFonts w:ascii="Arial" w:cs="Arial" w:eastAsia="Arial" w:hAnsi="Arial"/>
                <w:sz w:val="14"/>
                <w:szCs w:val="14"/>
                <w:color w:val="auto"/>
              </w:rPr>
              <w:t>Services (Ireland) Ltd</w:t>
            </w:r>
          </w:p>
        </w:tc>
        <w:tc>
          <w:tcPr>
            <w:tcW w:w="6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ind w:left="60"/>
              <w:spacing w:after="0" w:line="159" w:lineRule="exact"/>
              <w:rPr>
                <w:sz w:val="20"/>
                <w:szCs w:val="20"/>
                <w:color w:val="auto"/>
              </w:rPr>
            </w:pPr>
            <w:r>
              <w:rPr>
                <w:rFonts w:ascii="Arial" w:cs="Arial" w:eastAsia="Arial" w:hAnsi="Arial"/>
                <w:sz w:val="14"/>
                <w:szCs w:val="14"/>
                <w:color w:val="auto"/>
                <w:w w:val="95"/>
              </w:rPr>
              <w:t>effective Jan 1, 2010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80" w:type="dxa"/>
            <w:vAlign w:val="bottom"/>
            <w:tcBorders>
              <w:left w:val="single" w:sz="8" w:color="CCEEFF"/>
            </w:tcBorders>
            <w:shd w:val="clear" w:color="auto" w:fill="CCEEFF"/>
          </w:tcPr>
          <w:p>
            <w:pPr>
              <w:spacing w:after="0" w:line="131" w:lineRule="exact"/>
              <w:rPr>
                <w:sz w:val="20"/>
                <w:szCs w:val="20"/>
                <w:color w:val="auto"/>
              </w:rPr>
            </w:pPr>
            <w:r>
              <w:rPr>
                <w:rFonts w:ascii="Arial" w:cs="Arial" w:eastAsia="Arial" w:hAnsi="Arial"/>
                <w:sz w:val="14"/>
                <w:szCs w:val="14"/>
                <w:color w:val="auto"/>
              </w:rPr>
              <w:t>CG</w:t>
            </w:r>
          </w:p>
        </w:tc>
        <w:tc>
          <w:tcPr>
            <w:tcW w:w="600" w:type="dxa"/>
            <w:vAlign w:val="bottom"/>
            <w:shd w:val="clear" w:color="auto" w:fill="CCEEFF"/>
          </w:tcPr>
          <w:p>
            <w:pPr>
              <w:jc w:val="right"/>
              <w:ind w:right="12"/>
              <w:spacing w:after="0" w:line="131" w:lineRule="exact"/>
              <w:rPr>
                <w:sz w:val="20"/>
                <w:szCs w:val="20"/>
                <w:color w:val="auto"/>
              </w:rPr>
            </w:pPr>
            <w:r>
              <w:rPr>
                <w:rFonts w:ascii="Arial" w:cs="Arial" w:eastAsia="Arial" w:hAnsi="Arial"/>
                <w:sz w:val="14"/>
                <w:szCs w:val="14"/>
                <w:color w:val="auto"/>
                <w:w w:val="91"/>
              </w:rPr>
              <w:t>05.10.10</w:t>
            </w:r>
          </w:p>
        </w:tc>
        <w:tc>
          <w:tcPr>
            <w:tcW w:w="680" w:type="dxa"/>
            <w:vAlign w:val="bottom"/>
            <w:shd w:val="clear" w:color="auto" w:fill="CCEEFF"/>
          </w:tcPr>
          <w:p>
            <w:pPr>
              <w:jc w:val="right"/>
              <w:ind w:right="12"/>
              <w:spacing w:after="0" w:line="131" w:lineRule="exact"/>
              <w:rPr>
                <w:sz w:val="20"/>
                <w:szCs w:val="20"/>
                <w:color w:val="auto"/>
              </w:rPr>
            </w:pPr>
            <w:r>
              <w:rPr>
                <w:rFonts w:ascii="Arial" w:cs="Arial" w:eastAsia="Arial" w:hAnsi="Arial"/>
                <w:sz w:val="14"/>
                <w:szCs w:val="14"/>
                <w:color w:val="auto"/>
              </w:rPr>
              <w:t>05.10.13</w:t>
            </w:r>
          </w:p>
        </w:tc>
        <w:tc>
          <w:tcPr>
            <w:tcW w:w="520" w:type="dxa"/>
            <w:vAlign w:val="bottom"/>
            <w:shd w:val="clear" w:color="auto" w:fill="CCEEFF"/>
          </w:tcPr>
          <w:p>
            <w:pPr>
              <w:spacing w:after="0"/>
              <w:rPr>
                <w:sz w:val="11"/>
                <w:szCs w:val="11"/>
                <w:color w:val="auto"/>
              </w:rPr>
            </w:pPr>
          </w:p>
        </w:tc>
        <w:tc>
          <w:tcPr>
            <w:tcW w:w="2120" w:type="dxa"/>
            <w:vAlign w:val="bottom"/>
            <w:shd w:val="clear" w:color="auto" w:fill="CCEEFF"/>
          </w:tcPr>
          <w:p>
            <w:pPr>
              <w:ind w:left="60"/>
              <w:spacing w:after="0" w:line="131" w:lineRule="exact"/>
              <w:rPr>
                <w:sz w:val="20"/>
                <w:szCs w:val="20"/>
                <w:color w:val="auto"/>
              </w:rPr>
            </w:pPr>
            <w:r>
              <w:rPr>
                <w:rFonts w:ascii="Arial" w:cs="Arial" w:eastAsia="Arial" w:hAnsi="Arial"/>
                <w:sz w:val="14"/>
                <w:szCs w:val="14"/>
                <w:color w:val="auto"/>
                <w:w w:val="98"/>
              </w:rPr>
              <w:t>Integra LifeSciences (Ireland) Ltd</w:t>
            </w:r>
          </w:p>
        </w:tc>
        <w:tc>
          <w:tcPr>
            <w:tcW w:w="460" w:type="dxa"/>
            <w:vAlign w:val="bottom"/>
            <w:shd w:val="clear" w:color="auto" w:fill="CCEEFF"/>
          </w:tcPr>
          <w:p>
            <w:pPr>
              <w:jc w:val="right"/>
              <w:ind w:right="12"/>
              <w:spacing w:after="0" w:line="131" w:lineRule="exact"/>
              <w:rPr>
                <w:sz w:val="20"/>
                <w:szCs w:val="20"/>
                <w:color w:val="auto"/>
              </w:rPr>
            </w:pPr>
            <w:r>
              <w:rPr>
                <w:rFonts w:ascii="Arial" w:cs="Arial" w:eastAsia="Arial" w:hAnsi="Arial"/>
                <w:sz w:val="14"/>
                <w:szCs w:val="14"/>
                <w:color w:val="auto"/>
              </w:rPr>
              <w:t>4410</w:t>
            </w:r>
          </w:p>
        </w:tc>
        <w:tc>
          <w:tcPr>
            <w:tcW w:w="2060" w:type="dxa"/>
            <w:vAlign w:val="bottom"/>
            <w:shd w:val="clear" w:color="auto" w:fill="CCEEFF"/>
          </w:tcPr>
          <w:p>
            <w:pPr>
              <w:ind w:left="80"/>
              <w:spacing w:after="0" w:line="131" w:lineRule="exact"/>
              <w:rPr>
                <w:sz w:val="20"/>
                <w:szCs w:val="20"/>
                <w:color w:val="auto"/>
              </w:rPr>
            </w:pPr>
            <w:r>
              <w:rPr>
                <w:rFonts w:ascii="Arial" w:cs="Arial" w:eastAsia="Arial" w:hAnsi="Arial"/>
                <w:sz w:val="14"/>
                <w:szCs w:val="14"/>
                <w:color w:val="auto"/>
              </w:rPr>
              <w:t>Integra LifeSciences Shared</w:t>
            </w:r>
          </w:p>
        </w:tc>
        <w:tc>
          <w:tcPr>
            <w:tcW w:w="600" w:type="dxa"/>
            <w:vAlign w:val="bottom"/>
            <w:shd w:val="clear" w:color="auto" w:fill="CCEEFF"/>
          </w:tcPr>
          <w:p>
            <w:pPr>
              <w:jc w:val="right"/>
              <w:ind w:right="112"/>
              <w:spacing w:after="0" w:line="131" w:lineRule="exact"/>
              <w:rPr>
                <w:sz w:val="20"/>
                <w:szCs w:val="20"/>
                <w:color w:val="auto"/>
              </w:rPr>
            </w:pPr>
            <w:r>
              <w:rPr>
                <w:rFonts w:ascii="Arial" w:cs="Arial" w:eastAsia="Arial" w:hAnsi="Arial"/>
                <w:sz w:val="14"/>
                <w:szCs w:val="14"/>
                <w:color w:val="auto"/>
              </w:rPr>
              <w:t>4435</w:t>
            </w:r>
          </w:p>
        </w:tc>
        <w:tc>
          <w:tcPr>
            <w:tcW w:w="540" w:type="dxa"/>
            <w:vAlign w:val="bottom"/>
            <w:shd w:val="clear" w:color="auto" w:fill="CCEEFF"/>
          </w:tcPr>
          <w:p>
            <w:pPr>
              <w:jc w:val="right"/>
              <w:ind w:right="12"/>
              <w:spacing w:after="0" w:line="131" w:lineRule="exact"/>
              <w:rPr>
                <w:sz w:val="20"/>
                <w:szCs w:val="20"/>
                <w:color w:val="auto"/>
              </w:rPr>
            </w:pPr>
            <w:r>
              <w:rPr>
                <w:rFonts w:ascii="Arial" w:cs="Arial" w:eastAsia="Arial" w:hAnsi="Arial"/>
                <w:sz w:val="14"/>
                <w:szCs w:val="14"/>
                <w:color w:val="auto"/>
              </w:rPr>
              <w:t>EUR</w:t>
            </w:r>
          </w:p>
        </w:tc>
        <w:tc>
          <w:tcPr>
            <w:tcW w:w="16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w w:val="91"/>
              </w:rPr>
              <w:t>10,000,000.00</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ind w:left="60"/>
              <w:spacing w:after="0" w:line="131" w:lineRule="exact"/>
              <w:rPr>
                <w:sz w:val="20"/>
                <w:szCs w:val="20"/>
                <w:color w:val="auto"/>
              </w:rPr>
            </w:pPr>
            <w:r>
              <w:rPr>
                <w:rFonts w:ascii="Arial" w:cs="Arial" w:eastAsia="Arial" w:hAnsi="Arial"/>
                <w:sz w:val="14"/>
                <w:szCs w:val="14"/>
                <w:color w:val="auto"/>
              </w:rPr>
              <w:t>5.0% annually</w:t>
            </w:r>
          </w:p>
        </w:tc>
        <w:tc>
          <w:tcPr>
            <w:tcW w:w="1320" w:type="dxa"/>
            <w:vAlign w:val="bottom"/>
            <w:shd w:val="clear" w:color="auto" w:fill="CCEEFF"/>
          </w:tcPr>
          <w:p>
            <w:pPr>
              <w:ind w:left="60"/>
              <w:spacing w:after="0" w:line="131" w:lineRule="exact"/>
              <w:rPr>
                <w:sz w:val="20"/>
                <w:szCs w:val="20"/>
                <w:color w:val="auto"/>
              </w:rPr>
            </w:pPr>
            <w:r>
              <w:rPr>
                <w:rFonts w:ascii="Arial" w:cs="Arial" w:eastAsia="Arial" w:hAnsi="Arial"/>
                <w:sz w:val="14"/>
                <w:szCs w:val="14"/>
                <w:color w:val="auto"/>
                <w:w w:val="96"/>
              </w:rPr>
              <w:t>EMEA Intercompany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0" w:type="dxa"/>
            <w:vAlign w:val="bottom"/>
            <w:tcBorders>
              <w:left w:val="single" w:sz="8" w:color="CCEEFF"/>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2120" w:type="dxa"/>
            <w:vAlign w:val="bottom"/>
            <w:tcBorders>
              <w:bottom w:val="single" w:sz="8" w:color="auto"/>
            </w:tcBorders>
            <w:shd w:val="clear" w:color="auto" w:fill="CCEEFF"/>
          </w:tcPr>
          <w:p>
            <w:pPr>
              <w:ind w:left="60"/>
              <w:spacing w:after="0" w:line="159" w:lineRule="exact"/>
              <w:rPr>
                <w:sz w:val="20"/>
                <w:szCs w:val="20"/>
                <w:color w:val="auto"/>
              </w:rPr>
            </w:pPr>
            <w:r>
              <w:rPr>
                <w:rFonts w:ascii="Arial" w:cs="Arial" w:eastAsia="Arial" w:hAnsi="Arial"/>
                <w:sz w:val="14"/>
                <w:szCs w:val="14"/>
                <w:color w:val="auto"/>
              </w:rPr>
              <w:t>Mfg</w:t>
            </w:r>
          </w:p>
        </w:tc>
        <w:tc>
          <w:tcPr>
            <w:tcW w:w="460" w:type="dxa"/>
            <w:vAlign w:val="bottom"/>
            <w:tcBorders>
              <w:bottom w:val="single" w:sz="8" w:color="auto"/>
            </w:tcBorders>
            <w:shd w:val="clear" w:color="auto" w:fill="CCEEFF"/>
          </w:tcPr>
          <w:p>
            <w:pPr>
              <w:spacing w:after="0"/>
              <w:rPr>
                <w:sz w:val="14"/>
                <w:szCs w:val="14"/>
                <w:color w:val="auto"/>
              </w:rPr>
            </w:pPr>
          </w:p>
        </w:tc>
        <w:tc>
          <w:tcPr>
            <w:tcW w:w="2060" w:type="dxa"/>
            <w:vAlign w:val="bottom"/>
            <w:tcBorders>
              <w:bottom w:val="single" w:sz="8" w:color="auto"/>
            </w:tcBorders>
            <w:shd w:val="clear" w:color="auto" w:fill="CCEEFF"/>
          </w:tcPr>
          <w:p>
            <w:pPr>
              <w:ind w:left="80"/>
              <w:spacing w:after="0" w:line="159" w:lineRule="exact"/>
              <w:rPr>
                <w:sz w:val="20"/>
                <w:szCs w:val="20"/>
                <w:color w:val="auto"/>
              </w:rPr>
            </w:pPr>
            <w:r>
              <w:rPr>
                <w:rFonts w:ascii="Arial" w:cs="Arial" w:eastAsia="Arial" w:hAnsi="Arial"/>
                <w:sz w:val="14"/>
                <w:szCs w:val="14"/>
                <w:color w:val="auto"/>
              </w:rPr>
              <w:t>Services (Ireland) Ltd</w:t>
            </w:r>
          </w:p>
        </w:tc>
        <w:tc>
          <w:tcPr>
            <w:tcW w:w="6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ind w:left="60"/>
              <w:spacing w:after="0" w:line="159" w:lineRule="exact"/>
              <w:rPr>
                <w:sz w:val="20"/>
                <w:szCs w:val="20"/>
                <w:color w:val="auto"/>
              </w:rPr>
            </w:pPr>
            <w:r>
              <w:rPr>
                <w:rFonts w:ascii="Arial" w:cs="Arial" w:eastAsia="Arial" w:hAnsi="Arial"/>
                <w:sz w:val="14"/>
                <w:szCs w:val="14"/>
                <w:color w:val="auto"/>
                <w:w w:val="86"/>
              </w:rPr>
              <w:t>investment pooling and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 w:type="dxa"/>
            <w:vAlign w:val="bottom"/>
          </w:tcPr>
          <w:p>
            <w:pPr>
              <w:spacing w:after="0" w:line="138" w:lineRule="exact"/>
              <w:rPr>
                <w:sz w:val="20"/>
                <w:szCs w:val="20"/>
                <w:color w:val="auto"/>
              </w:rPr>
            </w:pPr>
            <w:r>
              <w:rPr>
                <w:rFonts w:ascii="Arial" w:cs="Arial" w:eastAsia="Arial" w:hAnsi="Arial"/>
                <w:sz w:val="14"/>
                <w:szCs w:val="14"/>
                <w:color w:val="auto"/>
              </w:rPr>
              <w:t>A</w:t>
            </w:r>
          </w:p>
        </w:tc>
        <w:tc>
          <w:tcPr>
            <w:tcW w:w="60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1"/>
              </w:rPr>
              <w:t>12.21.04</w:t>
            </w:r>
          </w:p>
        </w:tc>
        <w:tc>
          <w:tcPr>
            <w:tcW w:w="680" w:type="dxa"/>
            <w:vAlign w:val="bottom"/>
          </w:tcPr>
          <w:p>
            <w:pPr>
              <w:jc w:val="right"/>
              <w:ind w:right="12"/>
              <w:spacing w:after="0" w:line="138" w:lineRule="exact"/>
              <w:rPr>
                <w:sz w:val="20"/>
                <w:szCs w:val="20"/>
                <w:color w:val="auto"/>
              </w:rPr>
            </w:pPr>
            <w:r>
              <w:rPr>
                <w:rFonts w:ascii="Arial" w:cs="Arial" w:eastAsia="Arial" w:hAnsi="Arial"/>
                <w:sz w:val="14"/>
                <w:szCs w:val="14"/>
                <w:color w:val="auto"/>
              </w:rPr>
              <w:t>01.03.15</w:t>
            </w:r>
          </w:p>
        </w:tc>
        <w:tc>
          <w:tcPr>
            <w:tcW w:w="520" w:type="dxa"/>
            <w:vAlign w:val="bottom"/>
          </w:tcPr>
          <w:p>
            <w:pPr>
              <w:spacing w:after="0"/>
              <w:rPr>
                <w:sz w:val="11"/>
                <w:szCs w:val="11"/>
                <w:color w:val="auto"/>
              </w:rPr>
            </w:pPr>
          </w:p>
        </w:tc>
        <w:tc>
          <w:tcPr>
            <w:tcW w:w="2120" w:type="dxa"/>
            <w:vAlign w:val="bottom"/>
          </w:tcPr>
          <w:p>
            <w:pPr>
              <w:ind w:left="60"/>
              <w:spacing w:after="0" w:line="138" w:lineRule="exact"/>
              <w:rPr>
                <w:sz w:val="20"/>
                <w:szCs w:val="20"/>
                <w:color w:val="auto"/>
              </w:rPr>
            </w:pPr>
            <w:r>
              <w:rPr>
                <w:rFonts w:ascii="Arial" w:cs="Arial" w:eastAsia="Arial" w:hAnsi="Arial"/>
                <w:sz w:val="14"/>
                <w:szCs w:val="14"/>
                <w:color w:val="auto"/>
              </w:rPr>
              <w:t>Integra LifeSciences Holdings</w:t>
            </w:r>
          </w:p>
        </w:tc>
        <w:tc>
          <w:tcPr>
            <w:tcW w:w="460" w:type="dxa"/>
            <w:vAlign w:val="bottom"/>
          </w:tcPr>
          <w:p>
            <w:pPr>
              <w:jc w:val="right"/>
              <w:ind w:right="12"/>
              <w:spacing w:after="0" w:line="138" w:lineRule="exact"/>
              <w:rPr>
                <w:sz w:val="20"/>
                <w:szCs w:val="20"/>
                <w:color w:val="auto"/>
              </w:rPr>
            </w:pPr>
            <w:r>
              <w:rPr>
                <w:rFonts w:ascii="Arial" w:cs="Arial" w:eastAsia="Arial" w:hAnsi="Arial"/>
                <w:sz w:val="14"/>
                <w:szCs w:val="14"/>
                <w:color w:val="auto"/>
              </w:rPr>
              <w:t>4520</w:t>
            </w:r>
          </w:p>
        </w:tc>
        <w:tc>
          <w:tcPr>
            <w:tcW w:w="2060" w:type="dxa"/>
            <w:vAlign w:val="bottom"/>
          </w:tcPr>
          <w:p>
            <w:pPr>
              <w:ind w:left="80"/>
              <w:spacing w:after="0" w:line="138" w:lineRule="exact"/>
              <w:rPr>
                <w:sz w:val="20"/>
                <w:szCs w:val="20"/>
                <w:color w:val="auto"/>
              </w:rPr>
            </w:pPr>
            <w:r>
              <w:rPr>
                <w:rFonts w:ascii="Arial" w:cs="Arial" w:eastAsia="Arial" w:hAnsi="Arial"/>
                <w:sz w:val="14"/>
                <w:szCs w:val="14"/>
                <w:color w:val="auto"/>
                <w:w w:val="91"/>
              </w:rPr>
              <w:t>Integra LifeSciences (France) LLC</w:t>
            </w:r>
          </w:p>
        </w:tc>
        <w:tc>
          <w:tcPr>
            <w:tcW w:w="600" w:type="dxa"/>
            <w:vAlign w:val="bottom"/>
          </w:tcPr>
          <w:p>
            <w:pPr>
              <w:jc w:val="right"/>
              <w:ind w:right="112"/>
              <w:spacing w:after="0" w:line="138" w:lineRule="exact"/>
              <w:rPr>
                <w:sz w:val="20"/>
                <w:szCs w:val="20"/>
                <w:color w:val="auto"/>
              </w:rPr>
            </w:pPr>
            <w:r>
              <w:rPr>
                <w:rFonts w:ascii="Arial" w:cs="Arial" w:eastAsia="Arial" w:hAnsi="Arial"/>
                <w:sz w:val="14"/>
                <w:szCs w:val="14"/>
                <w:color w:val="auto"/>
              </w:rPr>
              <w:t>1405</w:t>
            </w:r>
          </w:p>
        </w:tc>
        <w:tc>
          <w:tcPr>
            <w:tcW w:w="540" w:type="dxa"/>
            <w:vAlign w:val="bottom"/>
          </w:tcPr>
          <w:p>
            <w:pPr>
              <w:jc w:val="right"/>
              <w:ind w:right="12"/>
              <w:spacing w:after="0" w:line="138" w:lineRule="exact"/>
              <w:rPr>
                <w:sz w:val="20"/>
                <w:szCs w:val="20"/>
                <w:color w:val="auto"/>
              </w:rPr>
            </w:pPr>
            <w:r>
              <w:rPr>
                <w:rFonts w:ascii="Arial" w:cs="Arial" w:eastAsia="Arial" w:hAnsi="Arial"/>
                <w:sz w:val="14"/>
                <w:szCs w:val="14"/>
                <w:color w:val="auto"/>
              </w:rPr>
              <w:t>EUR</w:t>
            </w:r>
          </w:p>
        </w:tc>
        <w:tc>
          <w:tcPr>
            <w:tcW w:w="1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38" w:lineRule="exact"/>
              <w:rPr>
                <w:sz w:val="20"/>
                <w:szCs w:val="20"/>
                <w:color w:val="auto"/>
              </w:rPr>
            </w:pPr>
            <w:r>
              <w:rPr>
                <w:rFonts w:ascii="Arial" w:cs="Arial" w:eastAsia="Arial" w:hAnsi="Arial"/>
                <w:sz w:val="14"/>
                <w:szCs w:val="14"/>
                <w:color w:val="auto"/>
                <w:w w:val="91"/>
              </w:rPr>
              <w:t>20,000,000.00</w:t>
            </w:r>
          </w:p>
        </w:tc>
        <w:tc>
          <w:tcPr>
            <w:tcW w:w="100" w:type="dxa"/>
            <w:vAlign w:val="bottom"/>
          </w:tcPr>
          <w:p>
            <w:pPr>
              <w:spacing w:after="0"/>
              <w:rPr>
                <w:sz w:val="11"/>
                <w:szCs w:val="11"/>
                <w:color w:val="auto"/>
              </w:rPr>
            </w:pPr>
          </w:p>
        </w:tc>
        <w:tc>
          <w:tcPr>
            <w:tcW w:w="1020" w:type="dxa"/>
            <w:vAlign w:val="bottom"/>
          </w:tcPr>
          <w:p>
            <w:pPr>
              <w:ind w:left="60"/>
              <w:spacing w:after="0" w:line="138" w:lineRule="exact"/>
              <w:rPr>
                <w:sz w:val="20"/>
                <w:szCs w:val="20"/>
                <w:color w:val="auto"/>
              </w:rPr>
            </w:pPr>
            <w:r>
              <w:rPr>
                <w:rFonts w:ascii="Arial" w:cs="Arial" w:eastAsia="Arial" w:hAnsi="Arial"/>
                <w:sz w:val="14"/>
                <w:szCs w:val="14"/>
                <w:color w:val="auto"/>
              </w:rPr>
              <w:t>5% annually</w:t>
            </w:r>
          </w:p>
        </w:tc>
        <w:tc>
          <w:tcPr>
            <w:tcW w:w="1320" w:type="dxa"/>
            <w:vAlign w:val="bottom"/>
          </w:tcPr>
          <w:p>
            <w:pPr>
              <w:ind w:left="60"/>
              <w:spacing w:after="0" w:line="138" w:lineRule="exact"/>
              <w:rPr>
                <w:sz w:val="20"/>
                <w:szCs w:val="20"/>
                <w:color w:val="auto"/>
              </w:rPr>
            </w:pPr>
            <w:r>
              <w:rPr>
                <w:rFonts w:ascii="Arial" w:cs="Arial" w:eastAsia="Arial" w:hAnsi="Arial"/>
                <w:sz w:val="14"/>
                <w:szCs w:val="14"/>
                <w:color w:val="auto"/>
                <w:w w:val="86"/>
              </w:rPr>
              <w:t>Purchase of New Deal.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tcPr>
          <w:p>
            <w:pPr>
              <w:ind w:left="60"/>
              <w:spacing w:after="0" w:line="159" w:lineRule="exact"/>
              <w:rPr>
                <w:sz w:val="20"/>
                <w:szCs w:val="20"/>
                <w:color w:val="auto"/>
              </w:rPr>
            </w:pPr>
            <w:r>
              <w:rPr>
                <w:rFonts w:ascii="Arial" w:cs="Arial" w:eastAsia="Arial" w:hAnsi="Arial"/>
                <w:sz w:val="14"/>
                <w:szCs w:val="14"/>
                <w:color w:val="auto"/>
              </w:rPr>
              <w:t>Corporation</w:t>
            </w:r>
          </w:p>
        </w:tc>
        <w:tc>
          <w:tcPr>
            <w:tcW w:w="46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80" w:type="dxa"/>
            <w:vAlign w:val="bottom"/>
            <w:tcBorders>
              <w:left w:val="single" w:sz="8" w:color="CCEEFF"/>
            </w:tcBorders>
            <w:shd w:val="clear" w:color="auto" w:fill="CCEEFF"/>
          </w:tcPr>
          <w:p>
            <w:pPr>
              <w:spacing w:after="0" w:line="131" w:lineRule="exact"/>
              <w:rPr>
                <w:sz w:val="20"/>
                <w:szCs w:val="20"/>
                <w:color w:val="auto"/>
              </w:rPr>
            </w:pPr>
            <w:r>
              <w:rPr>
                <w:rFonts w:ascii="Arial" w:cs="Arial" w:eastAsia="Arial" w:hAnsi="Arial"/>
                <w:sz w:val="14"/>
                <w:szCs w:val="14"/>
                <w:color w:val="auto"/>
              </w:rPr>
              <w:t>O</w:t>
            </w:r>
          </w:p>
        </w:tc>
        <w:tc>
          <w:tcPr>
            <w:tcW w:w="600" w:type="dxa"/>
            <w:vAlign w:val="bottom"/>
            <w:shd w:val="clear" w:color="auto" w:fill="CCEEFF"/>
          </w:tcPr>
          <w:p>
            <w:pPr>
              <w:jc w:val="right"/>
              <w:ind w:right="12"/>
              <w:spacing w:after="0" w:line="131" w:lineRule="exact"/>
              <w:rPr>
                <w:sz w:val="20"/>
                <w:szCs w:val="20"/>
                <w:color w:val="auto"/>
              </w:rPr>
            </w:pPr>
            <w:r>
              <w:rPr>
                <w:rFonts w:ascii="Arial" w:cs="Arial" w:eastAsia="Arial" w:hAnsi="Arial"/>
                <w:sz w:val="14"/>
                <w:szCs w:val="14"/>
                <w:color w:val="auto"/>
                <w:w w:val="91"/>
              </w:rPr>
              <w:t>10.03.06</w:t>
            </w:r>
          </w:p>
        </w:tc>
        <w:tc>
          <w:tcPr>
            <w:tcW w:w="680" w:type="dxa"/>
            <w:vAlign w:val="bottom"/>
            <w:shd w:val="clear" w:color="auto" w:fill="CCEEFF"/>
          </w:tcPr>
          <w:p>
            <w:pPr>
              <w:jc w:val="right"/>
              <w:ind w:right="12"/>
              <w:spacing w:after="0" w:line="131" w:lineRule="exact"/>
              <w:rPr>
                <w:sz w:val="20"/>
                <w:szCs w:val="20"/>
                <w:color w:val="auto"/>
              </w:rPr>
            </w:pPr>
            <w:r>
              <w:rPr>
                <w:rFonts w:ascii="Arial" w:cs="Arial" w:eastAsia="Arial" w:hAnsi="Arial"/>
                <w:sz w:val="14"/>
                <w:szCs w:val="14"/>
                <w:color w:val="auto"/>
              </w:rPr>
              <w:t>10.03.11</w:t>
            </w:r>
          </w:p>
        </w:tc>
        <w:tc>
          <w:tcPr>
            <w:tcW w:w="520" w:type="dxa"/>
            <w:vAlign w:val="bottom"/>
            <w:shd w:val="clear" w:color="auto" w:fill="CCEEFF"/>
          </w:tcPr>
          <w:p>
            <w:pPr>
              <w:spacing w:after="0"/>
              <w:rPr>
                <w:sz w:val="11"/>
                <w:szCs w:val="11"/>
                <w:color w:val="auto"/>
              </w:rPr>
            </w:pPr>
          </w:p>
        </w:tc>
        <w:tc>
          <w:tcPr>
            <w:tcW w:w="2120" w:type="dxa"/>
            <w:vAlign w:val="bottom"/>
            <w:shd w:val="clear" w:color="auto" w:fill="CCEEFF"/>
          </w:tcPr>
          <w:p>
            <w:pPr>
              <w:ind w:left="60"/>
              <w:spacing w:after="0" w:line="131" w:lineRule="exact"/>
              <w:rPr>
                <w:sz w:val="20"/>
                <w:szCs w:val="20"/>
                <w:color w:val="auto"/>
              </w:rPr>
            </w:pPr>
            <w:r>
              <w:rPr>
                <w:rFonts w:ascii="Arial" w:cs="Arial" w:eastAsia="Arial" w:hAnsi="Arial"/>
                <w:sz w:val="14"/>
                <w:szCs w:val="14"/>
                <w:color w:val="auto"/>
                <w:w w:val="91"/>
              </w:rPr>
              <w:t>Integra NeuroSciences Holdings BV</w:t>
            </w:r>
          </w:p>
        </w:tc>
        <w:tc>
          <w:tcPr>
            <w:tcW w:w="460" w:type="dxa"/>
            <w:vAlign w:val="bottom"/>
            <w:shd w:val="clear" w:color="auto" w:fill="CCEEFF"/>
          </w:tcPr>
          <w:p>
            <w:pPr>
              <w:jc w:val="right"/>
              <w:ind w:right="12"/>
              <w:spacing w:after="0" w:line="131" w:lineRule="exact"/>
              <w:rPr>
                <w:sz w:val="20"/>
                <w:szCs w:val="20"/>
                <w:color w:val="auto"/>
              </w:rPr>
            </w:pPr>
            <w:r>
              <w:rPr>
                <w:rFonts w:ascii="Arial" w:cs="Arial" w:eastAsia="Arial" w:hAnsi="Arial"/>
                <w:sz w:val="14"/>
                <w:szCs w:val="14"/>
                <w:color w:val="auto"/>
              </w:rPr>
              <w:t>4605</w:t>
            </w:r>
          </w:p>
        </w:tc>
        <w:tc>
          <w:tcPr>
            <w:tcW w:w="2060" w:type="dxa"/>
            <w:vAlign w:val="bottom"/>
            <w:shd w:val="clear" w:color="auto" w:fill="CCEEFF"/>
          </w:tcPr>
          <w:p>
            <w:pPr>
              <w:ind w:left="80"/>
              <w:spacing w:after="0" w:line="131" w:lineRule="exact"/>
              <w:rPr>
                <w:sz w:val="20"/>
                <w:szCs w:val="20"/>
                <w:color w:val="auto"/>
              </w:rPr>
            </w:pPr>
            <w:r>
              <w:rPr>
                <w:rFonts w:ascii="Arial" w:cs="Arial" w:eastAsia="Arial" w:hAnsi="Arial"/>
                <w:sz w:val="14"/>
                <w:szCs w:val="14"/>
                <w:color w:val="auto"/>
                <w:w w:val="96"/>
              </w:rPr>
              <w:t>Integra LifeSciences Corporation</w:t>
            </w:r>
          </w:p>
        </w:tc>
        <w:tc>
          <w:tcPr>
            <w:tcW w:w="600" w:type="dxa"/>
            <w:vAlign w:val="bottom"/>
            <w:shd w:val="clear" w:color="auto" w:fill="CCEEFF"/>
          </w:tcPr>
          <w:p>
            <w:pPr>
              <w:jc w:val="right"/>
              <w:ind w:right="112"/>
              <w:spacing w:after="0" w:line="131" w:lineRule="exact"/>
              <w:rPr>
                <w:sz w:val="20"/>
                <w:szCs w:val="20"/>
                <w:color w:val="auto"/>
              </w:rPr>
            </w:pPr>
            <w:r>
              <w:rPr>
                <w:rFonts w:ascii="Arial" w:cs="Arial" w:eastAsia="Arial" w:hAnsi="Arial"/>
                <w:sz w:val="14"/>
                <w:szCs w:val="14"/>
                <w:color w:val="auto"/>
              </w:rPr>
              <w:t>1115</w:t>
            </w:r>
          </w:p>
        </w:tc>
        <w:tc>
          <w:tcPr>
            <w:tcW w:w="540" w:type="dxa"/>
            <w:vAlign w:val="bottom"/>
            <w:shd w:val="clear" w:color="auto" w:fill="CCEEFF"/>
          </w:tcPr>
          <w:p>
            <w:pPr>
              <w:jc w:val="right"/>
              <w:ind w:right="12"/>
              <w:spacing w:after="0" w:line="131" w:lineRule="exact"/>
              <w:rPr>
                <w:sz w:val="20"/>
                <w:szCs w:val="20"/>
                <w:color w:val="auto"/>
              </w:rPr>
            </w:pPr>
            <w:r>
              <w:rPr>
                <w:rFonts w:ascii="Arial" w:cs="Arial" w:eastAsia="Arial" w:hAnsi="Arial"/>
                <w:sz w:val="14"/>
                <w:szCs w:val="14"/>
                <w:color w:val="auto"/>
              </w:rPr>
              <w:t>EUR</w:t>
            </w:r>
          </w:p>
        </w:tc>
        <w:tc>
          <w:tcPr>
            <w:tcW w:w="16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105,000.00</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ind w:left="60"/>
              <w:spacing w:after="0" w:line="131" w:lineRule="exact"/>
              <w:rPr>
                <w:sz w:val="20"/>
                <w:szCs w:val="20"/>
                <w:color w:val="auto"/>
              </w:rPr>
            </w:pPr>
            <w:r>
              <w:rPr>
                <w:rFonts w:ascii="Arial" w:cs="Arial" w:eastAsia="Arial" w:hAnsi="Arial"/>
                <w:sz w:val="14"/>
                <w:szCs w:val="14"/>
                <w:color w:val="auto"/>
                <w:w w:val="90"/>
              </w:rPr>
              <w:t>7.625% annually</w:t>
            </w:r>
          </w:p>
        </w:tc>
        <w:tc>
          <w:tcPr>
            <w:tcW w:w="1320" w:type="dxa"/>
            <w:vAlign w:val="bottom"/>
            <w:shd w:val="clear" w:color="auto" w:fill="CCEEFF"/>
          </w:tcPr>
          <w:p>
            <w:pPr>
              <w:ind w:left="60"/>
              <w:spacing w:after="0" w:line="131" w:lineRule="exact"/>
              <w:rPr>
                <w:sz w:val="20"/>
                <w:szCs w:val="20"/>
                <w:color w:val="auto"/>
              </w:rPr>
            </w:pPr>
            <w:r>
              <w:rPr>
                <w:rFonts w:ascii="Arial" w:cs="Arial" w:eastAsia="Arial" w:hAnsi="Arial"/>
                <w:sz w:val="14"/>
                <w:szCs w:val="14"/>
                <w:color w:val="auto"/>
              </w:rPr>
              <w:t>Interest due at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Borders>
              <w:left w:val="single" w:sz="8" w:color="CCEEFF"/>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32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Maturity.</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 w:type="dxa"/>
            <w:vAlign w:val="bottom"/>
          </w:tcPr>
          <w:p>
            <w:pPr>
              <w:spacing w:after="0" w:line="138" w:lineRule="exact"/>
              <w:rPr>
                <w:sz w:val="20"/>
                <w:szCs w:val="20"/>
                <w:color w:val="auto"/>
              </w:rPr>
            </w:pPr>
            <w:r>
              <w:rPr>
                <w:rFonts w:ascii="Arial" w:cs="Arial" w:eastAsia="Arial" w:hAnsi="Arial"/>
                <w:sz w:val="14"/>
                <w:szCs w:val="14"/>
                <w:color w:val="auto"/>
              </w:rPr>
              <w:t>CD</w:t>
            </w:r>
          </w:p>
        </w:tc>
        <w:tc>
          <w:tcPr>
            <w:tcW w:w="60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1"/>
              </w:rPr>
              <w:t>05.10.10</w:t>
            </w:r>
          </w:p>
        </w:tc>
        <w:tc>
          <w:tcPr>
            <w:tcW w:w="680" w:type="dxa"/>
            <w:vAlign w:val="bottom"/>
          </w:tcPr>
          <w:p>
            <w:pPr>
              <w:jc w:val="right"/>
              <w:ind w:right="12"/>
              <w:spacing w:after="0" w:line="138" w:lineRule="exact"/>
              <w:rPr>
                <w:sz w:val="20"/>
                <w:szCs w:val="20"/>
                <w:color w:val="auto"/>
              </w:rPr>
            </w:pPr>
            <w:r>
              <w:rPr>
                <w:rFonts w:ascii="Arial" w:cs="Arial" w:eastAsia="Arial" w:hAnsi="Arial"/>
                <w:sz w:val="14"/>
                <w:szCs w:val="14"/>
                <w:color w:val="auto"/>
              </w:rPr>
              <w:t>05.10.15</w:t>
            </w:r>
          </w:p>
        </w:tc>
        <w:tc>
          <w:tcPr>
            <w:tcW w:w="520" w:type="dxa"/>
            <w:vAlign w:val="bottom"/>
          </w:tcPr>
          <w:p>
            <w:pPr>
              <w:spacing w:after="0"/>
              <w:rPr>
                <w:sz w:val="11"/>
                <w:szCs w:val="11"/>
                <w:color w:val="auto"/>
              </w:rPr>
            </w:pPr>
          </w:p>
        </w:tc>
        <w:tc>
          <w:tcPr>
            <w:tcW w:w="2120" w:type="dxa"/>
            <w:vAlign w:val="bottom"/>
          </w:tcPr>
          <w:p>
            <w:pPr>
              <w:ind w:left="60"/>
              <w:spacing w:after="0" w:line="138" w:lineRule="exact"/>
              <w:rPr>
                <w:sz w:val="20"/>
                <w:szCs w:val="20"/>
                <w:color w:val="auto"/>
              </w:rPr>
            </w:pPr>
            <w:r>
              <w:rPr>
                <w:rFonts w:ascii="Arial" w:cs="Arial" w:eastAsia="Arial" w:hAnsi="Arial"/>
                <w:sz w:val="14"/>
                <w:szCs w:val="14"/>
                <w:color w:val="auto"/>
                <w:w w:val="91"/>
              </w:rPr>
              <w:t>Integra NeuroSciences Holdings BV</w:t>
            </w:r>
          </w:p>
        </w:tc>
        <w:tc>
          <w:tcPr>
            <w:tcW w:w="460" w:type="dxa"/>
            <w:vAlign w:val="bottom"/>
          </w:tcPr>
          <w:p>
            <w:pPr>
              <w:jc w:val="right"/>
              <w:ind w:right="12"/>
              <w:spacing w:after="0" w:line="138" w:lineRule="exact"/>
              <w:rPr>
                <w:sz w:val="20"/>
                <w:szCs w:val="20"/>
                <w:color w:val="auto"/>
              </w:rPr>
            </w:pPr>
            <w:r>
              <w:rPr>
                <w:rFonts w:ascii="Arial" w:cs="Arial" w:eastAsia="Arial" w:hAnsi="Arial"/>
                <w:sz w:val="14"/>
                <w:szCs w:val="14"/>
                <w:color w:val="auto"/>
              </w:rPr>
              <w:t>4605</w:t>
            </w:r>
          </w:p>
        </w:tc>
        <w:tc>
          <w:tcPr>
            <w:tcW w:w="2060" w:type="dxa"/>
            <w:vAlign w:val="bottom"/>
          </w:tcPr>
          <w:p>
            <w:pPr>
              <w:ind w:left="80"/>
              <w:spacing w:after="0" w:line="138" w:lineRule="exact"/>
              <w:rPr>
                <w:sz w:val="20"/>
                <w:szCs w:val="20"/>
                <w:color w:val="auto"/>
              </w:rPr>
            </w:pPr>
            <w:r>
              <w:rPr>
                <w:rFonts w:ascii="Arial" w:cs="Arial" w:eastAsia="Arial" w:hAnsi="Arial"/>
                <w:sz w:val="14"/>
                <w:szCs w:val="14"/>
                <w:color w:val="auto"/>
              </w:rPr>
              <w:t>Integra LifeSciences Shared</w:t>
            </w:r>
          </w:p>
        </w:tc>
        <w:tc>
          <w:tcPr>
            <w:tcW w:w="600" w:type="dxa"/>
            <w:vAlign w:val="bottom"/>
          </w:tcPr>
          <w:p>
            <w:pPr>
              <w:jc w:val="right"/>
              <w:ind w:right="112"/>
              <w:spacing w:after="0" w:line="138" w:lineRule="exact"/>
              <w:rPr>
                <w:sz w:val="20"/>
                <w:szCs w:val="20"/>
                <w:color w:val="auto"/>
              </w:rPr>
            </w:pPr>
            <w:r>
              <w:rPr>
                <w:rFonts w:ascii="Arial" w:cs="Arial" w:eastAsia="Arial" w:hAnsi="Arial"/>
                <w:sz w:val="14"/>
                <w:szCs w:val="14"/>
                <w:color w:val="auto"/>
              </w:rPr>
              <w:t>4435</w:t>
            </w:r>
          </w:p>
        </w:tc>
        <w:tc>
          <w:tcPr>
            <w:tcW w:w="540" w:type="dxa"/>
            <w:vAlign w:val="bottom"/>
          </w:tcPr>
          <w:p>
            <w:pPr>
              <w:jc w:val="right"/>
              <w:ind w:right="12"/>
              <w:spacing w:after="0" w:line="138" w:lineRule="exact"/>
              <w:rPr>
                <w:sz w:val="20"/>
                <w:szCs w:val="20"/>
                <w:color w:val="auto"/>
              </w:rPr>
            </w:pPr>
            <w:r>
              <w:rPr>
                <w:rFonts w:ascii="Arial" w:cs="Arial" w:eastAsia="Arial" w:hAnsi="Arial"/>
                <w:sz w:val="14"/>
                <w:szCs w:val="14"/>
                <w:color w:val="auto"/>
              </w:rPr>
              <w:t>EUR</w:t>
            </w:r>
          </w:p>
        </w:tc>
        <w:tc>
          <w:tcPr>
            <w:tcW w:w="1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38" w:lineRule="exact"/>
              <w:rPr>
                <w:sz w:val="20"/>
                <w:szCs w:val="20"/>
                <w:color w:val="auto"/>
              </w:rPr>
            </w:pPr>
            <w:r>
              <w:rPr>
                <w:rFonts w:ascii="Arial" w:cs="Arial" w:eastAsia="Arial" w:hAnsi="Arial"/>
                <w:sz w:val="14"/>
                <w:szCs w:val="14"/>
                <w:color w:val="auto"/>
              </w:rPr>
              <w:t>4,346,361.71</w:t>
            </w:r>
          </w:p>
        </w:tc>
        <w:tc>
          <w:tcPr>
            <w:tcW w:w="100" w:type="dxa"/>
            <w:vAlign w:val="bottom"/>
          </w:tcPr>
          <w:p>
            <w:pPr>
              <w:spacing w:after="0"/>
              <w:rPr>
                <w:sz w:val="11"/>
                <w:szCs w:val="11"/>
                <w:color w:val="auto"/>
              </w:rPr>
            </w:pPr>
          </w:p>
        </w:tc>
        <w:tc>
          <w:tcPr>
            <w:tcW w:w="1020" w:type="dxa"/>
            <w:vAlign w:val="bottom"/>
          </w:tcPr>
          <w:p>
            <w:pPr>
              <w:ind w:left="60"/>
              <w:spacing w:after="0" w:line="138" w:lineRule="exact"/>
              <w:rPr>
                <w:sz w:val="20"/>
                <w:szCs w:val="20"/>
                <w:color w:val="auto"/>
              </w:rPr>
            </w:pPr>
            <w:r>
              <w:rPr>
                <w:rFonts w:ascii="Arial" w:cs="Arial" w:eastAsia="Arial" w:hAnsi="Arial"/>
                <w:sz w:val="14"/>
                <w:szCs w:val="14"/>
                <w:color w:val="auto"/>
              </w:rPr>
              <w:t>6.6% annually</w:t>
            </w:r>
          </w:p>
        </w:tc>
        <w:tc>
          <w:tcPr>
            <w:tcW w:w="1320" w:type="dxa"/>
            <w:vAlign w:val="bottom"/>
          </w:tcPr>
          <w:p>
            <w:pPr>
              <w:ind w:left="60"/>
              <w:spacing w:after="0" w:line="138" w:lineRule="exact"/>
              <w:rPr>
                <w:sz w:val="20"/>
                <w:szCs w:val="20"/>
                <w:color w:val="auto"/>
              </w:rPr>
            </w:pPr>
            <w:r>
              <w:rPr>
                <w:rFonts w:ascii="Arial" w:cs="Arial" w:eastAsia="Arial" w:hAnsi="Arial"/>
                <w:sz w:val="14"/>
                <w:szCs w:val="14"/>
                <w:color w:val="auto"/>
                <w:w w:val="96"/>
              </w:rPr>
              <w:t>EMEA Intercompany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60" w:type="dxa"/>
            <w:vAlign w:val="bottom"/>
          </w:tcPr>
          <w:p>
            <w:pPr>
              <w:ind w:left="80"/>
              <w:spacing w:after="0" w:line="159" w:lineRule="exact"/>
              <w:rPr>
                <w:sz w:val="20"/>
                <w:szCs w:val="20"/>
                <w:color w:val="auto"/>
              </w:rPr>
            </w:pPr>
            <w:r>
              <w:rPr>
                <w:rFonts w:ascii="Arial" w:cs="Arial" w:eastAsia="Arial" w:hAnsi="Arial"/>
                <w:sz w:val="14"/>
                <w:szCs w:val="14"/>
                <w:color w:val="auto"/>
              </w:rPr>
              <w:t>Services (Ireland) Ltd</w:t>
            </w: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20" w:type="dxa"/>
            <w:vAlign w:val="bottom"/>
          </w:tcPr>
          <w:p>
            <w:pPr>
              <w:ind w:left="60"/>
              <w:spacing w:after="0" w:line="159" w:lineRule="exact"/>
              <w:rPr>
                <w:sz w:val="20"/>
                <w:szCs w:val="20"/>
                <w:color w:val="auto"/>
              </w:rPr>
            </w:pPr>
            <w:r>
              <w:rPr>
                <w:rFonts w:ascii="Arial" w:cs="Arial" w:eastAsia="Arial" w:hAnsi="Arial"/>
                <w:sz w:val="14"/>
                <w:szCs w:val="14"/>
                <w:color w:val="auto"/>
                <w:w w:val="86"/>
              </w:rPr>
              <w:t>investment pooling and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 w:type="dxa"/>
            <w:vAlign w:val="bottom"/>
            <w:tcBorders>
              <w:lef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CK</w:t>
            </w:r>
          </w:p>
        </w:tc>
        <w:tc>
          <w:tcPr>
            <w:tcW w:w="60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1"/>
              </w:rPr>
              <w:t>12.13.10</w:t>
            </w:r>
          </w:p>
        </w:tc>
        <w:tc>
          <w:tcPr>
            <w:tcW w:w="6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12.13.15</w:t>
            </w:r>
          </w:p>
        </w:tc>
        <w:tc>
          <w:tcPr>
            <w:tcW w:w="520" w:type="dxa"/>
            <w:vAlign w:val="bottom"/>
            <w:shd w:val="clear" w:color="auto" w:fill="CCEEFF"/>
          </w:tcPr>
          <w:p>
            <w:pPr>
              <w:spacing w:after="0"/>
              <w:rPr>
                <w:sz w:val="11"/>
                <w:szCs w:val="11"/>
                <w:color w:val="auto"/>
              </w:rPr>
            </w:pPr>
          </w:p>
        </w:tc>
        <w:tc>
          <w:tcPr>
            <w:tcW w:w="21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w w:val="91"/>
              </w:rPr>
              <w:t>Integra NeuroSciences Holdings BV</w:t>
            </w:r>
          </w:p>
        </w:tc>
        <w:tc>
          <w:tcPr>
            <w:tcW w:w="46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4605</w:t>
            </w:r>
          </w:p>
        </w:tc>
        <w:tc>
          <w:tcPr>
            <w:tcW w:w="206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Integra LifeSciences Shared</w:t>
            </w:r>
          </w:p>
        </w:tc>
        <w:tc>
          <w:tcPr>
            <w:tcW w:w="600" w:type="dxa"/>
            <w:vAlign w:val="bottom"/>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rPr>
              <w:t>4435</w:t>
            </w:r>
          </w:p>
        </w:tc>
        <w:tc>
          <w:tcPr>
            <w:tcW w:w="54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EUR</w:t>
            </w:r>
          </w:p>
        </w:tc>
        <w:tc>
          <w:tcPr>
            <w:tcW w:w="1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759,259.26</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5.0% annually</w:t>
            </w:r>
          </w:p>
        </w:tc>
        <w:tc>
          <w:tcPr>
            <w:tcW w:w="13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 to pay Bruce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Borders>
              <w:lef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Services (Ireland) Ltd</w:t>
            </w:r>
          </w:p>
        </w:tc>
        <w:tc>
          <w:tcPr>
            <w:tcW w:w="6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3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McMaster’s 2nd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Borders>
              <w:left w:val="single" w:sz="8" w:color="CCEEFF"/>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32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earnout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 w:type="dxa"/>
            <w:vAlign w:val="bottom"/>
            <w:tcBorders>
              <w:left w:val="single" w:sz="8" w:color="CCEEFF"/>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21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20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gridSpan w:val="2"/>
            <w:shd w:val="clear" w:color="auto" w:fill="CCEEFF"/>
          </w:tcPr>
          <w:p>
            <w:pPr>
              <w:jc w:val="right"/>
              <w:ind w:right="12"/>
              <w:spacing w:after="0"/>
              <w:rPr>
                <w:sz w:val="20"/>
                <w:szCs w:val="20"/>
                <w:color w:val="auto"/>
              </w:rPr>
            </w:pPr>
            <w:r>
              <w:rPr>
                <w:rFonts w:ascii="Arial" w:cs="Arial" w:eastAsia="Arial" w:hAnsi="Arial"/>
                <w:sz w:val="14"/>
                <w:szCs w:val="14"/>
                <w:color w:val="auto"/>
                <w:w w:val="96"/>
              </w:rPr>
              <w:t>Net Principal Amt</w:t>
            </w: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5,210,620.97</w:t>
            </w:r>
          </w:p>
        </w:tc>
        <w:tc>
          <w:tcPr>
            <w:tcW w:w="1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80" w:type="dxa"/>
            <w:vAlign w:val="bottom"/>
            <w:tcBorders>
              <w:lef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CL</w:t>
            </w:r>
          </w:p>
        </w:tc>
        <w:tc>
          <w:tcPr>
            <w:tcW w:w="60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1"/>
              </w:rPr>
              <w:t>11.23.10</w:t>
            </w:r>
          </w:p>
        </w:tc>
        <w:tc>
          <w:tcPr>
            <w:tcW w:w="6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11.23.17</w:t>
            </w:r>
          </w:p>
        </w:tc>
        <w:tc>
          <w:tcPr>
            <w:tcW w:w="520" w:type="dxa"/>
            <w:vAlign w:val="bottom"/>
            <w:shd w:val="clear" w:color="auto" w:fill="CCEEFF"/>
          </w:tcPr>
          <w:p>
            <w:pPr>
              <w:spacing w:after="0"/>
              <w:rPr>
                <w:sz w:val="11"/>
                <w:szCs w:val="11"/>
                <w:color w:val="auto"/>
              </w:rPr>
            </w:pPr>
          </w:p>
        </w:tc>
        <w:tc>
          <w:tcPr>
            <w:tcW w:w="21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Integra German Holdings GmbH</w:t>
            </w:r>
          </w:p>
        </w:tc>
        <w:tc>
          <w:tcPr>
            <w:tcW w:w="46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4250</w:t>
            </w:r>
          </w:p>
        </w:tc>
        <w:tc>
          <w:tcPr>
            <w:tcW w:w="206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Integra Euro Holdings Inc.</w:t>
            </w:r>
          </w:p>
        </w:tc>
        <w:tc>
          <w:tcPr>
            <w:tcW w:w="600" w:type="dxa"/>
            <w:vAlign w:val="bottom"/>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rPr>
              <w:t>1420</w:t>
            </w:r>
          </w:p>
        </w:tc>
        <w:tc>
          <w:tcPr>
            <w:tcW w:w="54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EUR</w:t>
            </w:r>
          </w:p>
        </w:tc>
        <w:tc>
          <w:tcPr>
            <w:tcW w:w="1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77,729,000</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7.5% annually</w:t>
            </w:r>
          </w:p>
        </w:tc>
        <w:tc>
          <w:tcPr>
            <w:tcW w:w="13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w w:val="91"/>
              </w:rPr>
              <w:t>For purchase of Jarith</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Borders>
              <w:lef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3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GmbH and Miltex</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Borders>
              <w:left w:val="single" w:sz="8" w:color="CCEEFF"/>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32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GmbH</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60" w:type="dxa"/>
            <w:vAlign w:val="bottom"/>
          </w:tcPr>
          <w:p>
            <w:pPr>
              <w:ind w:left="80"/>
              <w:spacing w:after="0" w:line="138" w:lineRule="exact"/>
              <w:rPr>
                <w:sz w:val="20"/>
                <w:szCs w:val="20"/>
                <w:color w:val="auto"/>
              </w:rPr>
            </w:pPr>
            <w:r>
              <w:rPr>
                <w:rFonts w:ascii="Arial" w:cs="Arial" w:eastAsia="Arial" w:hAnsi="Arial"/>
                <w:sz w:val="14"/>
                <w:szCs w:val="14"/>
                <w:color w:val="auto"/>
              </w:rPr>
              <w:t>Loan CL on 12.15.10 was</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(42,000,000)</w:t>
            </w:r>
          </w:p>
        </w:tc>
        <w:tc>
          <w:tcPr>
            <w:tcW w:w="10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60" w:type="dxa"/>
            <w:vAlign w:val="bottom"/>
          </w:tcPr>
          <w:p>
            <w:pPr>
              <w:ind w:left="80"/>
              <w:spacing w:after="0" w:line="159" w:lineRule="exact"/>
              <w:rPr>
                <w:sz w:val="20"/>
                <w:szCs w:val="20"/>
                <w:color w:val="auto"/>
              </w:rPr>
            </w:pPr>
            <w:r>
              <w:rPr>
                <w:rFonts w:ascii="Arial" w:cs="Arial" w:eastAsia="Arial" w:hAnsi="Arial"/>
                <w:sz w:val="14"/>
                <w:szCs w:val="14"/>
                <w:color w:val="auto"/>
              </w:rPr>
              <w:t>capitalized for EUR 42,000,000</w:t>
            </w: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Borders>
              <w:lef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4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w w:val="96"/>
              </w:rPr>
              <w:t>Net Principal Amt</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w w:val="91"/>
              </w:rPr>
              <w:t>35,729,000.00</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80" w:type="dxa"/>
            <w:vAlign w:val="bottom"/>
            <w:tcBorders>
              <w:lef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138" w:right="219" w:bottom="0" w:gutter="0" w:footer="0" w:header="0"/>
        </w:sectPr>
      </w:pPr>
    </w:p>
    <w:bookmarkStart w:id="203" w:name="page204"/>
    <w:bookmarkEnd w:id="2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20"/>
                <w:szCs w:val="20"/>
                <w:color w:val="auto"/>
              </w:rPr>
            </w:pPr>
            <w:r>
              <w:rPr>
                <w:rFonts w:ascii="Arial" w:cs="Arial" w:eastAsia="Arial" w:hAnsi="Arial"/>
                <w:sz w:val="14"/>
                <w:szCs w:val="14"/>
                <w:color w:val="auto"/>
              </w:rPr>
              <w:t>CM</w:t>
            </w: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12.22.10</w:t>
            </w:r>
          </w:p>
        </w:tc>
        <w:tc>
          <w:tcPr>
            <w:tcW w:w="900" w:type="dxa"/>
            <w:vAlign w:val="bottom"/>
          </w:tcPr>
          <w:p>
            <w:pPr>
              <w:jc w:val="right"/>
              <w:ind w:right="252"/>
              <w:spacing w:after="0"/>
              <w:rPr>
                <w:sz w:val="20"/>
                <w:szCs w:val="20"/>
                <w:color w:val="auto"/>
              </w:rPr>
            </w:pPr>
            <w:r>
              <w:rPr>
                <w:rFonts w:ascii="Arial" w:cs="Arial" w:eastAsia="Arial" w:hAnsi="Arial"/>
                <w:sz w:val="14"/>
                <w:szCs w:val="14"/>
                <w:color w:val="auto"/>
              </w:rPr>
              <w:t>12.22.20</w:t>
            </w:r>
          </w:p>
        </w:tc>
        <w:tc>
          <w:tcPr>
            <w:tcW w:w="2300" w:type="dxa"/>
            <w:vAlign w:val="bottom"/>
          </w:tcPr>
          <w:p>
            <w:pPr>
              <w:ind w:left="340"/>
              <w:spacing w:after="0"/>
              <w:rPr>
                <w:sz w:val="20"/>
                <w:szCs w:val="20"/>
                <w:color w:val="auto"/>
              </w:rPr>
            </w:pPr>
            <w:r>
              <w:rPr>
                <w:rFonts w:ascii="Arial" w:cs="Arial" w:eastAsia="Arial" w:hAnsi="Arial"/>
                <w:sz w:val="14"/>
                <w:szCs w:val="14"/>
                <w:color w:val="auto"/>
              </w:rPr>
              <w:t>Integra France Holdings SAS</w:t>
            </w: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4525</w:t>
            </w:r>
          </w:p>
        </w:tc>
        <w:tc>
          <w:tcPr>
            <w:tcW w:w="2000" w:type="dxa"/>
            <w:vAlign w:val="bottom"/>
          </w:tcPr>
          <w:p>
            <w:pPr>
              <w:ind w:left="80"/>
              <w:spacing w:after="0"/>
              <w:rPr>
                <w:sz w:val="20"/>
                <w:szCs w:val="20"/>
                <w:color w:val="auto"/>
              </w:rPr>
            </w:pPr>
            <w:r>
              <w:rPr>
                <w:rFonts w:ascii="Arial" w:cs="Arial" w:eastAsia="Arial" w:hAnsi="Arial"/>
                <w:sz w:val="14"/>
                <w:szCs w:val="14"/>
                <w:color w:val="auto"/>
              </w:rPr>
              <w:t>Integra Euro Holdings Inc.</w:t>
            </w:r>
          </w:p>
        </w:tc>
        <w:tc>
          <w:tcPr>
            <w:tcW w:w="660" w:type="dxa"/>
            <w:vAlign w:val="bottom"/>
          </w:tcPr>
          <w:p>
            <w:pPr>
              <w:jc w:val="right"/>
              <w:ind w:right="112"/>
              <w:spacing w:after="0"/>
              <w:rPr>
                <w:sz w:val="20"/>
                <w:szCs w:val="20"/>
                <w:color w:val="auto"/>
              </w:rPr>
            </w:pPr>
            <w:r>
              <w:rPr>
                <w:rFonts w:ascii="Arial" w:cs="Arial" w:eastAsia="Arial" w:hAnsi="Arial"/>
                <w:sz w:val="14"/>
                <w:szCs w:val="14"/>
                <w:color w:val="auto"/>
              </w:rPr>
              <w:t>1420</w:t>
            </w:r>
          </w:p>
        </w:tc>
        <w:tc>
          <w:tcPr>
            <w:tcW w:w="540" w:type="dxa"/>
            <w:vAlign w:val="bottom"/>
          </w:tcPr>
          <w:p>
            <w:pPr>
              <w:ind w:left="200"/>
              <w:spacing w:after="0"/>
              <w:rPr>
                <w:sz w:val="20"/>
                <w:szCs w:val="20"/>
                <w:color w:val="auto"/>
              </w:rPr>
            </w:pPr>
            <w:r>
              <w:rPr>
                <w:rFonts w:ascii="Arial" w:cs="Arial" w:eastAsia="Arial" w:hAnsi="Arial"/>
                <w:sz w:val="14"/>
                <w:szCs w:val="14"/>
                <w:color w:val="auto"/>
              </w:rPr>
              <w:t>EUR</w:t>
            </w:r>
          </w:p>
        </w:tc>
        <w:tc>
          <w:tcPr>
            <w:tcW w:w="280" w:type="dxa"/>
            <w:vAlign w:val="bottom"/>
          </w:tcPr>
          <w:p>
            <w:pPr>
              <w:ind w:left="1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
              <w:spacing w:after="0"/>
              <w:rPr>
                <w:sz w:val="20"/>
                <w:szCs w:val="20"/>
                <w:color w:val="auto"/>
              </w:rPr>
            </w:pPr>
            <w:r>
              <w:rPr>
                <w:rFonts w:ascii="Arial" w:cs="Arial" w:eastAsia="Arial" w:hAnsi="Arial"/>
                <w:sz w:val="14"/>
                <w:szCs w:val="14"/>
                <w:color w:val="auto"/>
                <w:w w:val="99"/>
              </w:rPr>
              <w:t>42,000,000</w:t>
            </w:r>
          </w:p>
        </w:tc>
        <w:tc>
          <w:tcPr>
            <w:tcW w:w="980" w:type="dxa"/>
            <w:vAlign w:val="bottom"/>
          </w:tcPr>
          <w:p>
            <w:pPr>
              <w:ind w:left="80"/>
              <w:spacing w:after="0"/>
              <w:rPr>
                <w:sz w:val="20"/>
                <w:szCs w:val="20"/>
                <w:color w:val="auto"/>
              </w:rPr>
            </w:pPr>
            <w:r>
              <w:rPr>
                <w:rFonts w:ascii="Arial" w:cs="Arial" w:eastAsia="Arial" w:hAnsi="Arial"/>
                <w:sz w:val="14"/>
                <w:szCs w:val="14"/>
                <w:color w:val="auto"/>
              </w:rPr>
              <w:t>7.5% annually</w:t>
            </w:r>
          </w:p>
        </w:tc>
        <w:tc>
          <w:tcPr>
            <w:tcW w:w="1380" w:type="dxa"/>
            <w:vAlign w:val="bottom"/>
          </w:tcPr>
          <w:p>
            <w:pPr>
              <w:ind w:left="120"/>
              <w:spacing w:after="0"/>
              <w:rPr>
                <w:sz w:val="20"/>
                <w:szCs w:val="20"/>
                <w:color w:val="auto"/>
              </w:rPr>
            </w:pPr>
            <w:r>
              <w:rPr>
                <w:rFonts w:ascii="Arial" w:cs="Arial" w:eastAsia="Arial" w:hAnsi="Arial"/>
                <w:sz w:val="14"/>
                <w:szCs w:val="14"/>
                <w:color w:val="auto"/>
              </w:rPr>
              <w:t>For purchase of</w:t>
            </w:r>
          </w:p>
        </w:tc>
      </w:tr>
      <w:tr>
        <w:trPr>
          <w:trHeight w:val="149"/>
        </w:trPr>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80" w:type="dxa"/>
            <w:vAlign w:val="bottom"/>
          </w:tcPr>
          <w:p>
            <w:pPr>
              <w:ind w:left="120"/>
              <w:spacing w:after="0" w:line="149" w:lineRule="exact"/>
              <w:rPr>
                <w:sz w:val="20"/>
                <w:szCs w:val="20"/>
                <w:color w:val="auto"/>
              </w:rPr>
            </w:pPr>
            <w:r>
              <w:rPr>
                <w:rFonts w:ascii="Arial" w:cs="Arial" w:eastAsia="Arial" w:hAnsi="Arial"/>
                <w:sz w:val="14"/>
                <w:szCs w:val="14"/>
                <w:color w:val="auto"/>
                <w:w w:val="97"/>
              </w:rPr>
              <w:t>German Holdings by</w:t>
            </w:r>
          </w:p>
        </w:tc>
      </w:tr>
      <w:tr>
        <w:trPr>
          <w:trHeight w:val="159"/>
        </w:trPr>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ind w:left="120"/>
              <w:spacing w:after="0" w:line="159" w:lineRule="exact"/>
              <w:rPr>
                <w:sz w:val="20"/>
                <w:szCs w:val="20"/>
                <w:color w:val="auto"/>
              </w:rPr>
            </w:pPr>
            <w:r>
              <w:rPr>
                <w:rFonts w:ascii="Arial" w:cs="Arial" w:eastAsia="Arial" w:hAnsi="Arial"/>
                <w:sz w:val="14"/>
                <w:szCs w:val="14"/>
                <w:color w:val="auto"/>
              </w:rPr>
              <w:t>France Holdings</w:t>
            </w:r>
          </w:p>
        </w:tc>
      </w:tr>
      <w:tr>
        <w:trPr>
          <w:trHeight w:val="131"/>
        </w:trPr>
        <w:tc>
          <w:tcPr>
            <w:tcW w:w="34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CN</w:t>
            </w:r>
          </w:p>
        </w:tc>
        <w:tc>
          <w:tcPr>
            <w:tcW w:w="680" w:type="dxa"/>
            <w:vAlign w:val="bottom"/>
            <w:shd w:val="clear" w:color="auto" w:fill="CCEEFF"/>
          </w:tcPr>
          <w:p>
            <w:pPr>
              <w:jc w:val="right"/>
              <w:ind w:right="32"/>
              <w:spacing w:after="0" w:line="131" w:lineRule="exact"/>
              <w:rPr>
                <w:sz w:val="20"/>
                <w:szCs w:val="20"/>
                <w:color w:val="auto"/>
              </w:rPr>
            </w:pPr>
            <w:r>
              <w:rPr>
                <w:rFonts w:ascii="Arial" w:cs="Arial" w:eastAsia="Arial" w:hAnsi="Arial"/>
                <w:sz w:val="14"/>
                <w:szCs w:val="14"/>
                <w:color w:val="auto"/>
              </w:rPr>
              <w:t>02.28.11</w:t>
            </w:r>
          </w:p>
        </w:tc>
        <w:tc>
          <w:tcPr>
            <w:tcW w:w="900" w:type="dxa"/>
            <w:vAlign w:val="bottom"/>
            <w:shd w:val="clear" w:color="auto" w:fill="CCEEFF"/>
          </w:tcPr>
          <w:p>
            <w:pPr>
              <w:jc w:val="right"/>
              <w:ind w:right="252"/>
              <w:spacing w:after="0" w:line="131" w:lineRule="exact"/>
              <w:rPr>
                <w:sz w:val="20"/>
                <w:szCs w:val="20"/>
                <w:color w:val="auto"/>
              </w:rPr>
            </w:pPr>
            <w:r>
              <w:rPr>
                <w:rFonts w:ascii="Arial" w:cs="Arial" w:eastAsia="Arial" w:hAnsi="Arial"/>
                <w:sz w:val="14"/>
                <w:szCs w:val="14"/>
                <w:color w:val="auto"/>
              </w:rPr>
              <w:t>02.28.13</w:t>
            </w:r>
          </w:p>
        </w:tc>
        <w:tc>
          <w:tcPr>
            <w:tcW w:w="2300" w:type="dxa"/>
            <w:vAlign w:val="bottom"/>
            <w:shd w:val="clear" w:color="auto" w:fill="CCEEFF"/>
          </w:tcPr>
          <w:p>
            <w:pPr>
              <w:ind w:left="340"/>
              <w:spacing w:after="0" w:line="131" w:lineRule="exact"/>
              <w:rPr>
                <w:sz w:val="20"/>
                <w:szCs w:val="20"/>
                <w:color w:val="auto"/>
              </w:rPr>
            </w:pPr>
            <w:r>
              <w:rPr>
                <w:rFonts w:ascii="Arial" w:cs="Arial" w:eastAsia="Arial" w:hAnsi="Arial"/>
                <w:sz w:val="14"/>
                <w:szCs w:val="14"/>
                <w:color w:val="auto"/>
                <w:w w:val="96"/>
              </w:rPr>
              <w:t>Integra German Holdings GmbH</w:t>
            </w:r>
          </w:p>
        </w:tc>
        <w:tc>
          <w:tcPr>
            <w:tcW w:w="560" w:type="dxa"/>
            <w:vAlign w:val="bottom"/>
            <w:shd w:val="clear" w:color="auto" w:fill="CCEEFF"/>
          </w:tcPr>
          <w:p>
            <w:pPr>
              <w:jc w:val="right"/>
              <w:ind w:right="12"/>
              <w:spacing w:after="0" w:line="131" w:lineRule="exact"/>
              <w:rPr>
                <w:sz w:val="20"/>
                <w:szCs w:val="20"/>
                <w:color w:val="auto"/>
              </w:rPr>
            </w:pPr>
            <w:r>
              <w:rPr>
                <w:rFonts w:ascii="Arial" w:cs="Arial" w:eastAsia="Arial" w:hAnsi="Arial"/>
                <w:sz w:val="14"/>
                <w:szCs w:val="14"/>
                <w:color w:val="auto"/>
              </w:rPr>
              <w:t>4250</w:t>
            </w:r>
          </w:p>
        </w:tc>
        <w:tc>
          <w:tcPr>
            <w:tcW w:w="2000" w:type="dxa"/>
            <w:vAlign w:val="bottom"/>
            <w:shd w:val="clear" w:color="auto" w:fill="CCEEFF"/>
          </w:tcPr>
          <w:p>
            <w:pPr>
              <w:ind w:left="80"/>
              <w:spacing w:after="0" w:line="131" w:lineRule="exact"/>
              <w:rPr>
                <w:sz w:val="20"/>
                <w:szCs w:val="20"/>
                <w:color w:val="auto"/>
              </w:rPr>
            </w:pPr>
            <w:r>
              <w:rPr>
                <w:rFonts w:ascii="Arial" w:cs="Arial" w:eastAsia="Arial" w:hAnsi="Arial"/>
                <w:sz w:val="14"/>
                <w:szCs w:val="14"/>
                <w:color w:val="auto"/>
                <w:w w:val="96"/>
              </w:rPr>
              <w:t>J. Jamner Surgical Instruments,</w:t>
            </w:r>
          </w:p>
        </w:tc>
        <w:tc>
          <w:tcPr>
            <w:tcW w:w="660" w:type="dxa"/>
            <w:vAlign w:val="bottom"/>
            <w:shd w:val="clear" w:color="auto" w:fill="CCEEFF"/>
          </w:tcPr>
          <w:p>
            <w:pPr>
              <w:jc w:val="right"/>
              <w:ind w:right="112"/>
              <w:spacing w:after="0" w:line="131" w:lineRule="exact"/>
              <w:rPr>
                <w:sz w:val="20"/>
                <w:szCs w:val="20"/>
                <w:color w:val="auto"/>
              </w:rPr>
            </w:pPr>
            <w:r>
              <w:rPr>
                <w:rFonts w:ascii="Arial" w:cs="Arial" w:eastAsia="Arial" w:hAnsi="Arial"/>
                <w:sz w:val="14"/>
                <w:szCs w:val="14"/>
                <w:color w:val="auto"/>
              </w:rPr>
              <w:t>1135</w:t>
            </w:r>
          </w:p>
        </w:tc>
        <w:tc>
          <w:tcPr>
            <w:tcW w:w="540" w:type="dxa"/>
            <w:vAlign w:val="bottom"/>
            <w:shd w:val="clear" w:color="auto" w:fill="CCEEFF"/>
          </w:tcPr>
          <w:p>
            <w:pPr>
              <w:ind w:left="200"/>
              <w:spacing w:after="0" w:line="131" w:lineRule="exact"/>
              <w:rPr>
                <w:sz w:val="20"/>
                <w:szCs w:val="20"/>
                <w:color w:val="auto"/>
              </w:rPr>
            </w:pPr>
            <w:r>
              <w:rPr>
                <w:rFonts w:ascii="Arial" w:cs="Arial" w:eastAsia="Arial" w:hAnsi="Arial"/>
                <w:sz w:val="14"/>
                <w:szCs w:val="14"/>
                <w:color w:val="auto"/>
              </w:rPr>
              <w:t>EUR</w:t>
            </w:r>
          </w:p>
        </w:tc>
        <w:tc>
          <w:tcPr>
            <w:tcW w:w="280" w:type="dxa"/>
            <w:vAlign w:val="bottom"/>
            <w:shd w:val="clear" w:color="auto" w:fill="CCEEFF"/>
          </w:tcPr>
          <w:p>
            <w:pPr>
              <w:ind w:left="100"/>
              <w:spacing w:after="0" w:line="131"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2"/>
              <w:spacing w:after="0" w:line="131" w:lineRule="exact"/>
              <w:rPr>
                <w:sz w:val="20"/>
                <w:szCs w:val="20"/>
                <w:color w:val="auto"/>
              </w:rPr>
            </w:pPr>
            <w:r>
              <w:rPr>
                <w:rFonts w:ascii="Arial" w:cs="Arial" w:eastAsia="Arial" w:hAnsi="Arial"/>
                <w:sz w:val="14"/>
                <w:szCs w:val="14"/>
                <w:color w:val="auto"/>
              </w:rPr>
              <w:t>202,861</w:t>
            </w:r>
          </w:p>
        </w:tc>
        <w:tc>
          <w:tcPr>
            <w:tcW w:w="980" w:type="dxa"/>
            <w:vAlign w:val="bottom"/>
            <w:shd w:val="clear" w:color="auto" w:fill="CCEEFF"/>
          </w:tcPr>
          <w:p>
            <w:pPr>
              <w:ind w:left="80"/>
              <w:spacing w:after="0" w:line="131" w:lineRule="exact"/>
              <w:rPr>
                <w:sz w:val="20"/>
                <w:szCs w:val="20"/>
                <w:color w:val="auto"/>
              </w:rPr>
            </w:pPr>
            <w:r>
              <w:rPr>
                <w:rFonts w:ascii="Arial" w:cs="Arial" w:eastAsia="Arial" w:hAnsi="Arial"/>
                <w:sz w:val="14"/>
                <w:szCs w:val="14"/>
                <w:color w:val="auto"/>
                <w:w w:val="98"/>
              </w:rPr>
              <w:t>Euribor +3.5%</w:t>
            </w:r>
          </w:p>
        </w:tc>
        <w:tc>
          <w:tcPr>
            <w:tcW w:w="1380" w:type="dxa"/>
            <w:vAlign w:val="bottom"/>
            <w:shd w:val="clear" w:color="auto" w:fill="CCEEFF"/>
          </w:tcPr>
          <w:p>
            <w:pPr>
              <w:ind w:left="120"/>
              <w:spacing w:after="0" w:line="131" w:lineRule="exact"/>
              <w:rPr>
                <w:sz w:val="20"/>
                <w:szCs w:val="20"/>
                <w:color w:val="auto"/>
              </w:rPr>
            </w:pPr>
            <w:r>
              <w:rPr>
                <w:rFonts w:ascii="Arial" w:cs="Arial" w:eastAsia="Arial" w:hAnsi="Arial"/>
                <w:sz w:val="14"/>
                <w:szCs w:val="14"/>
                <w:color w:val="auto"/>
                <w:w w:val="98"/>
              </w:rPr>
              <w:t>Short-term revolving</w:t>
            </w:r>
          </w:p>
        </w:tc>
      </w:tr>
      <w:tr>
        <w:trPr>
          <w:trHeight w:val="159"/>
        </w:trPr>
        <w:tc>
          <w:tcPr>
            <w:tcW w:w="3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23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2000" w:type="dxa"/>
            <w:vAlign w:val="bottom"/>
            <w:tcBorders>
              <w:bottom w:val="single" w:sz="8" w:color="auto"/>
            </w:tcBorders>
            <w:shd w:val="clear" w:color="auto" w:fill="CCEEFF"/>
          </w:tcPr>
          <w:p>
            <w:pPr>
              <w:ind w:left="80"/>
              <w:spacing w:after="0" w:line="159" w:lineRule="exact"/>
              <w:rPr>
                <w:sz w:val="20"/>
                <w:szCs w:val="20"/>
                <w:color w:val="auto"/>
              </w:rPr>
            </w:pPr>
            <w:r>
              <w:rPr>
                <w:rFonts w:ascii="Arial" w:cs="Arial" w:eastAsia="Arial" w:hAnsi="Arial"/>
                <w:sz w:val="14"/>
                <w:szCs w:val="14"/>
                <w:color w:val="auto"/>
              </w:rPr>
              <w:t>Inc.</w:t>
            </w:r>
          </w:p>
        </w:tc>
        <w:tc>
          <w:tcPr>
            <w:tcW w:w="6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ind w:left="120"/>
              <w:spacing w:after="0" w:line="159" w:lineRule="exact"/>
              <w:rPr>
                <w:sz w:val="20"/>
                <w:szCs w:val="20"/>
                <w:color w:val="auto"/>
              </w:rPr>
            </w:pPr>
            <w:r>
              <w:rPr>
                <w:rFonts w:ascii="Arial" w:cs="Arial" w:eastAsia="Arial" w:hAnsi="Arial"/>
                <w:sz w:val="14"/>
                <w:szCs w:val="14"/>
                <w:color w:val="auto"/>
                <w:w w:val="95"/>
              </w:rPr>
              <w:t>credit of Eur 500,000</w:t>
            </w: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20"/>
          </w:cols>
          <w:pgMar w:left="240" w:top="116" w:right="2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10.02</w:t>
      </w:r>
    </w:p>
    <w:p>
      <w:pPr>
        <w:spacing w:after="0" w:line="17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ADMINISTRATIVE AGENT’S OFFICE,</w:t>
      </w:r>
    </w:p>
    <w:p>
      <w:pPr>
        <w:spacing w:after="0" w:line="21" w:lineRule="exact"/>
        <w:rPr>
          <w:sz w:val="20"/>
          <w:szCs w:val="20"/>
          <w:color w:val="auto"/>
        </w:rPr>
      </w:pPr>
    </w:p>
    <w:p>
      <w:pPr>
        <w:ind w:left="4160"/>
        <w:spacing w:after="0"/>
        <w:rPr>
          <w:sz w:val="20"/>
          <w:szCs w:val="20"/>
          <w:color w:val="auto"/>
        </w:rPr>
      </w:pPr>
      <w:r>
        <w:rPr>
          <w:rFonts w:ascii="Arial" w:cs="Arial" w:eastAsia="Arial" w:hAnsi="Arial"/>
          <w:sz w:val="18"/>
          <w:szCs w:val="18"/>
          <w:b w:val="1"/>
          <w:bCs w:val="1"/>
          <w:u w:val="single" w:color="auto"/>
          <w:color w:val="auto"/>
        </w:rPr>
        <w:t>CERTAIN ADDRESSES FOR NOTICES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BORROWER</w:t>
      </w:r>
      <w:r>
        <w:rPr>
          <w:rFonts w:ascii="Arial" w:cs="Arial" w:eastAsia="Arial" w:hAnsi="Arial"/>
          <w:sz w:val="18"/>
          <w:szCs w:val="18"/>
          <w:b w:val="1"/>
          <w:bCs w:val="1"/>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Integra LifeSciences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311 Enterprise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Plainsboro, NJ 08536</w:t>
      </w:r>
    </w:p>
    <w:p>
      <w:pPr>
        <w:spacing w:after="0" w:line="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Nora E. Brennan, Treasurer</w:t>
      </w:r>
    </w:p>
    <w:p>
      <w:pPr>
        <w:spacing w:after="0" w:line="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Telephone:</w:t>
        <w:tab/>
        <w:t>609-936-2488</w:t>
      </w:r>
    </w:p>
    <w:p>
      <w:pPr>
        <w:spacing w:after="0" w:line="9"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Telecopier:</w:t>
        <w:tab/>
        <w:t>609-750-4245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Electronic Mail: nora.brennan@integra-ls.com</w:t>
      </w:r>
    </w:p>
    <w:p>
      <w:pPr>
        <w:sectPr>
          <w:pgSz w:w="11900" w:h="16838" w:orient="portrait"/>
          <w:cols w:equalWidth="0" w:num="1">
            <w:col w:w="11420"/>
          </w:cols>
          <w:pgMar w:left="240" w:top="274" w:right="239" w:bottom="1440" w:gutter="0" w:footer="0" w:header="0"/>
        </w:sectPr>
      </w:pP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with copies to:</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Integra LifeSciences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311 Enterprise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Plainsboro, NJ 08536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6"/>
          <w:szCs w:val="16"/>
          <w:color w:val="auto"/>
        </w:rPr>
        <w:t>609-936-2238</w:t>
      </w:r>
    </w:p>
    <w:p>
      <w:pPr>
        <w:spacing w:after="0" w:line="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Telecopier:</w:t>
      </w:r>
      <w:r>
        <w:rPr>
          <w:sz w:val="20"/>
          <w:szCs w:val="20"/>
          <w:color w:val="auto"/>
        </w:rPr>
        <w:tab/>
      </w:r>
      <w:r>
        <w:rPr>
          <w:rFonts w:ascii="Arial" w:cs="Arial" w:eastAsia="Arial" w:hAnsi="Arial"/>
          <w:sz w:val="16"/>
          <w:szCs w:val="16"/>
          <w:color w:val="auto"/>
        </w:rPr>
        <w:t>609-275-1082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Electronic Mail: rgorelic@integra-ls.com</w:t>
      </w:r>
    </w:p>
    <w:p>
      <w:pPr>
        <w:spacing w:after="0" w:line="200" w:lineRule="exact"/>
        <w:rPr>
          <w:sz w:val="20"/>
          <w:szCs w:val="20"/>
          <w:color w:val="auto"/>
        </w:rPr>
      </w:pPr>
    </w:p>
    <w:p>
      <w:pPr>
        <w:sectPr>
          <w:pgSz w:w="11900" w:h="16838" w:orient="portrait"/>
          <w:cols w:equalWidth="0" w:num="2">
            <w:col w:w="1040" w:space="340"/>
            <w:col w:w="10040"/>
          </w:cols>
          <w:pgMar w:left="240" w:top="274" w:right="239" w:bottom="1440" w:gutter="0" w:footer="0" w:header="0"/>
          <w:type w:val="continuous"/>
        </w:sectPr>
      </w:pP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ADMINISTRATIVE AGENT</w:t>
      </w:r>
      <w:r>
        <w:rPr>
          <w:rFonts w:ascii="Arial" w:cs="Arial" w:eastAsia="Arial" w:hAnsi="Arial"/>
          <w:sz w:val="18"/>
          <w:szCs w:val="18"/>
          <w:b w:val="1"/>
          <w:bCs w:val="1"/>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Administrative Agent’s Office (for payments and Requests for Credit Extensions):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101 North Tryon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NC1-001-04-39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NC 28255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Monique Haley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980-388-1043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 704-719-8510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Electronic Mail: monique.haley@baml.com</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Wiring Instructions: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ABA No.:</w:t>
      </w:r>
      <w:r>
        <w:rPr>
          <w:sz w:val="20"/>
          <w:szCs w:val="20"/>
          <w:color w:val="auto"/>
        </w:rPr>
        <w:tab/>
      </w:r>
      <w:r>
        <w:rPr>
          <w:rFonts w:ascii="Arial" w:cs="Arial" w:eastAsia="Arial" w:hAnsi="Arial"/>
          <w:sz w:val="15"/>
          <w:szCs w:val="15"/>
          <w:color w:val="auto"/>
        </w:rPr>
        <w:t>026009593</w:t>
      </w:r>
    </w:p>
    <w:p>
      <w:pPr>
        <w:spacing w:after="0" w:line="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Account No.:</w:t>
      </w:r>
      <w:r>
        <w:rPr>
          <w:sz w:val="20"/>
          <w:szCs w:val="20"/>
          <w:color w:val="auto"/>
        </w:rPr>
        <w:tab/>
      </w:r>
      <w:r>
        <w:rPr>
          <w:rFonts w:ascii="Arial" w:cs="Arial" w:eastAsia="Arial" w:hAnsi="Arial"/>
          <w:sz w:val="15"/>
          <w:szCs w:val="15"/>
          <w:color w:val="auto"/>
        </w:rPr>
        <w:t>1366212250600</w:t>
      </w:r>
    </w:p>
    <w:p>
      <w:pPr>
        <w:spacing w:after="0" w:line="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Account Name:</w:t>
      </w:r>
      <w:r>
        <w:rPr>
          <w:sz w:val="20"/>
          <w:szCs w:val="20"/>
          <w:color w:val="auto"/>
        </w:rPr>
        <w:tab/>
      </w:r>
      <w:r>
        <w:rPr>
          <w:rFonts w:ascii="Arial" w:cs="Arial" w:eastAsia="Arial" w:hAnsi="Arial"/>
          <w:sz w:val="15"/>
          <w:szCs w:val="15"/>
          <w:color w:val="auto"/>
        </w:rPr>
        <w:t>Corporate Credit Services</w:t>
      </w:r>
    </w:p>
    <w:p>
      <w:pPr>
        <w:spacing w:after="0" w:line="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Reference:</w:t>
      </w:r>
      <w:r>
        <w:rPr>
          <w:sz w:val="20"/>
          <w:szCs w:val="20"/>
          <w:color w:val="auto"/>
        </w:rPr>
        <w:tab/>
      </w:r>
      <w:r>
        <w:rPr>
          <w:rFonts w:ascii="Arial" w:cs="Arial" w:eastAsia="Arial" w:hAnsi="Arial"/>
          <w:sz w:val="18"/>
          <w:szCs w:val="18"/>
          <w:color w:val="auto"/>
        </w:rPr>
        <w:t>Integra LifeSciences</w:t>
      </w:r>
    </w:p>
    <w:p>
      <w:pPr>
        <w:sectPr>
          <w:pgSz w:w="11900" w:h="16838" w:orient="portrait"/>
          <w:cols w:equalWidth="0" w:num="1">
            <w:col w:w="11420"/>
          </w:cols>
          <w:pgMar w:left="240" w:top="274" w:right="239" w:bottom="1440" w:gutter="0" w:footer="0" w:header="0"/>
          <w:type w:val="continuous"/>
        </w:sectPr>
      </w:pPr>
    </w:p>
    <w:bookmarkStart w:id="205" w:name="page206"/>
    <w:bookmarkEnd w:id="205"/>
    <w:p>
      <w:pPr>
        <w:spacing w:after="0"/>
        <w:rPr>
          <w:sz w:val="20"/>
          <w:szCs w:val="20"/>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Notices as Administrative Agent</w:t>
      </w:r>
      <w:r>
        <w:rPr>
          <w:rFonts w:ascii="Arial" w:cs="Arial" w:eastAsia="Arial" w:hAnsi="Arial"/>
          <w:sz w:val="18"/>
          <w:szCs w:val="18"/>
          <w:i w:val="1"/>
          <w:iCs w:val="1"/>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Agency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1455 Market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CA5-701-05-19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Kevin Ahart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415-436-2750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 415-503-5000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Electronic Mail: </w:t>
      </w:r>
      <w:r>
        <w:rPr>
          <w:rFonts w:ascii="Arial" w:cs="Arial" w:eastAsia="Arial" w:hAnsi="Arial"/>
          <w:sz w:val="18"/>
          <w:szCs w:val="18"/>
          <w:u w:val="single" w:color="auto"/>
          <w:color w:val="auto"/>
        </w:rPr>
        <w:t>kevin.ahart@baml.com</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L/C ISSUER: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Primary Contact</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Standby Letters of Credit Department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1000 West Temple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CA9-705-07-05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 90012-1514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Stella Rosales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213-481-7828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 213-457-8441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Electronic Mail: </w:t>
      </w:r>
      <w:r>
        <w:rPr>
          <w:rFonts w:ascii="Arial" w:cs="Arial" w:eastAsia="Arial" w:hAnsi="Arial"/>
          <w:sz w:val="18"/>
          <w:szCs w:val="18"/>
          <w:u w:val="single" w:color="auto"/>
          <w:color w:val="auto"/>
        </w:rPr>
        <w:t>stella.rosales@baml.com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Secondary Contact</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Standby Letters of Credit Department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1000 West Temple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CA9-705-07-05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 90012-1514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Hermann Schutterle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213-481-7826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 213-457-8441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Electronic Mail: </w:t>
      </w:r>
      <w:r>
        <w:rPr>
          <w:rFonts w:ascii="Arial" w:cs="Arial" w:eastAsia="Arial" w:hAnsi="Arial"/>
          <w:sz w:val="16"/>
          <w:szCs w:val="16"/>
          <w:u w:val="single" w:color="auto"/>
          <w:color w:val="auto"/>
        </w:rPr>
        <w:t>hermann.schutterle@baml.com</w:t>
      </w:r>
    </w:p>
    <w:p>
      <w:pPr>
        <w:sectPr>
          <w:pgSz w:w="11900" w:h="16838" w:orient="portrait"/>
          <w:cols w:equalWidth="0" w:num="1">
            <w:col w:w="10219"/>
          </w:cols>
          <w:pgMar w:left="240" w:top="280" w:right="1440" w:bottom="1440" w:gutter="0" w:footer="0" w:header="0"/>
        </w:sectPr>
      </w:pPr>
    </w:p>
    <w:bookmarkStart w:id="206" w:name="page207"/>
    <w:bookmarkEnd w:id="206"/>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SWING LINE LENDER: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101 North Tryon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NC1-001-04-39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NC 28255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Monique Haley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980-388-1043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 704-719-8510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Electronic Mail: monique.haley@baml.com</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Wiring Instructions: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ABA No.:</w:t>
      </w:r>
      <w:r>
        <w:rPr>
          <w:sz w:val="20"/>
          <w:szCs w:val="20"/>
          <w:color w:val="auto"/>
        </w:rPr>
        <w:tab/>
      </w:r>
      <w:r>
        <w:rPr>
          <w:rFonts w:ascii="Arial" w:cs="Arial" w:eastAsia="Arial" w:hAnsi="Arial"/>
          <w:sz w:val="15"/>
          <w:szCs w:val="15"/>
          <w:color w:val="auto"/>
        </w:rPr>
        <w:t>026009593</w:t>
      </w:r>
    </w:p>
    <w:p>
      <w:pPr>
        <w:spacing w:after="0" w:line="9"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Account No.:</w:t>
      </w:r>
      <w:r>
        <w:rPr>
          <w:sz w:val="20"/>
          <w:szCs w:val="20"/>
          <w:color w:val="auto"/>
        </w:rPr>
        <w:tab/>
      </w:r>
      <w:r>
        <w:rPr>
          <w:rFonts w:ascii="Arial" w:cs="Arial" w:eastAsia="Arial" w:hAnsi="Arial"/>
          <w:sz w:val="15"/>
          <w:szCs w:val="15"/>
          <w:color w:val="auto"/>
        </w:rPr>
        <w:t>1366212250600</w:t>
      </w:r>
    </w:p>
    <w:p>
      <w:pPr>
        <w:spacing w:after="0" w:line="9"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Account Name:</w:t>
      </w:r>
      <w:r>
        <w:rPr>
          <w:sz w:val="20"/>
          <w:szCs w:val="20"/>
          <w:color w:val="auto"/>
        </w:rPr>
        <w:tab/>
      </w:r>
      <w:r>
        <w:rPr>
          <w:rFonts w:ascii="Arial" w:cs="Arial" w:eastAsia="Arial" w:hAnsi="Arial"/>
          <w:sz w:val="15"/>
          <w:szCs w:val="15"/>
          <w:color w:val="auto"/>
        </w:rPr>
        <w:t>Corporate Credit Services</w:t>
      </w:r>
    </w:p>
    <w:p>
      <w:pPr>
        <w:spacing w:after="0" w:line="9"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Reference:</w:t>
      </w:r>
      <w:r>
        <w:rPr>
          <w:sz w:val="20"/>
          <w:szCs w:val="20"/>
          <w:color w:val="auto"/>
        </w:rPr>
        <w:tab/>
      </w:r>
      <w:r>
        <w:rPr>
          <w:rFonts w:ascii="Arial" w:cs="Arial" w:eastAsia="Arial" w:hAnsi="Arial"/>
          <w:sz w:val="18"/>
          <w:szCs w:val="18"/>
          <w:color w:val="auto"/>
        </w:rPr>
        <w:t>Integra LifeSciences</w:t>
      </w:r>
    </w:p>
    <w:p>
      <w:pPr>
        <w:sectPr>
          <w:pgSz w:w="11900" w:h="16838" w:orient="portrait"/>
          <w:cols w:equalWidth="0" w:num="1">
            <w:col w:w="10219"/>
          </w:cols>
          <w:pgMar w:left="240" w:top="274" w:right="1440"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LOAN NOTICE</w:t>
      </w:r>
    </w:p>
    <w:p>
      <w:pPr>
        <w:spacing w:after="0" w:line="177" w:lineRule="exact"/>
        <w:rPr>
          <w:sz w:val="20"/>
          <w:szCs w:val="20"/>
          <w:color w:val="auto"/>
        </w:rPr>
      </w:pPr>
    </w:p>
    <w:p>
      <w:pPr>
        <w:ind w:left="9860"/>
        <w:spacing w:after="0"/>
        <w:tabs>
          <w:tab w:leader="none" w:pos="107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w:t>
      </w: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To:</w:t>
        <w:tab/>
        <w:t>Bank of America, N.A., as Administrative Agent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Reference is made to that certain Second Amended and Restated Credit Agreement, dated as of June 8, 2011 (as amended, restated, extended, supplemented or otherwise modified in writing from time to time, the “</w:t>
      </w:r>
      <w:r>
        <w:rPr>
          <w:rFonts w:ascii="Arial" w:cs="Arial" w:eastAsia="Arial" w:hAnsi="Arial"/>
          <w:sz w:val="18"/>
          <w:szCs w:val="18"/>
          <w:u w:val="single" w:color="auto"/>
          <w:color w:val="auto"/>
        </w:rPr>
        <w:t>Agreement</w:t>
      </w:r>
      <w:r>
        <w:rPr>
          <w:rFonts w:ascii="Arial" w:cs="Arial" w:eastAsia="Arial" w:hAnsi="Arial"/>
          <w:sz w:val="18"/>
          <w:szCs w:val="18"/>
          <w:color w:val="auto"/>
        </w:rPr>
        <w:t>”; the terms defined therein being used herein as therein defined), among INTEGRA LIFESCIENCES HOLDINGS CORPORATION,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from time to time party thereto and BANK OF AMERICA, N.A., as Administrative Agent, Swing Line Lender and L/C Issuer.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hereby requests (select one):</w:t>
      </w:r>
    </w:p>
    <w:p>
      <w:pPr>
        <w:spacing w:after="0" w:line="90" w:lineRule="exact"/>
        <w:rPr>
          <w:sz w:val="20"/>
          <w:szCs w:val="20"/>
          <w:color w:val="auto"/>
        </w:rPr>
      </w:pPr>
    </w:p>
    <w:p>
      <w:pPr>
        <w:ind w:left="680" w:hanging="216"/>
        <w:spacing w:after="0"/>
        <w:tabs>
          <w:tab w:leader="none" w:pos="680" w:val="left"/>
        </w:tabs>
        <w:numPr>
          <w:ilvl w:val="0"/>
          <w:numId w:val="219"/>
        </w:numPr>
        <w:rPr>
          <w:rFonts w:ascii="MS PGothic" w:cs="MS PGothic" w:eastAsia="MS PGothic" w:hAnsi="MS PGothic"/>
          <w:sz w:val="18"/>
          <w:szCs w:val="18"/>
          <w:color w:val="auto"/>
        </w:rPr>
      </w:pPr>
      <w:r>
        <w:rPr>
          <w:rFonts w:ascii="Arial" w:cs="Arial" w:eastAsia="Arial" w:hAnsi="Arial"/>
          <w:sz w:val="18"/>
          <w:szCs w:val="18"/>
          <w:color w:val="auto"/>
        </w:rPr>
        <w:t>A Borrowing of Revolving Credit Loans</w:t>
      </w:r>
    </w:p>
    <w:p>
      <w:pPr>
        <w:spacing w:after="0" w:line="90" w:lineRule="exact"/>
        <w:rPr>
          <w:rFonts w:ascii="MS PGothic" w:cs="MS PGothic" w:eastAsia="MS PGothic" w:hAnsi="MS PGothic"/>
          <w:sz w:val="18"/>
          <w:szCs w:val="18"/>
          <w:color w:val="auto"/>
        </w:rPr>
      </w:pPr>
    </w:p>
    <w:p>
      <w:pPr>
        <w:ind w:left="680" w:hanging="216"/>
        <w:spacing w:after="0"/>
        <w:tabs>
          <w:tab w:leader="none" w:pos="680" w:val="left"/>
        </w:tabs>
        <w:numPr>
          <w:ilvl w:val="0"/>
          <w:numId w:val="219"/>
        </w:numPr>
        <w:rPr>
          <w:rFonts w:ascii="MS PGothic" w:cs="MS PGothic" w:eastAsia="MS PGothic" w:hAnsi="MS PGothic"/>
          <w:sz w:val="18"/>
          <w:szCs w:val="18"/>
          <w:color w:val="auto"/>
        </w:rPr>
      </w:pPr>
      <w:r>
        <w:rPr>
          <w:rFonts w:ascii="Arial" w:cs="Arial" w:eastAsia="Arial" w:hAnsi="Arial"/>
          <w:sz w:val="18"/>
          <w:szCs w:val="18"/>
          <w:color w:val="auto"/>
        </w:rPr>
        <w:t>A conversion or continuation of Revolving Credit Loans</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1.</w:t>
            </w:r>
          </w:p>
        </w:tc>
        <w:tc>
          <w:tcPr>
            <w:tcW w:w="2040" w:type="dxa"/>
            <w:vAlign w:val="bottom"/>
          </w:tcPr>
          <w:p>
            <w:pPr>
              <w:ind w:left="160"/>
              <w:spacing w:after="0"/>
              <w:rPr>
                <w:sz w:val="20"/>
                <w:szCs w:val="20"/>
                <w:color w:val="auto"/>
              </w:rPr>
            </w:pPr>
            <w:r>
              <w:rPr>
                <w:rFonts w:ascii="Arial" w:cs="Arial" w:eastAsia="Arial" w:hAnsi="Arial"/>
                <w:sz w:val="18"/>
                <w:szCs w:val="18"/>
                <w:color w:val="auto"/>
              </w:rPr>
              <w:t>On</w:t>
            </w:r>
          </w:p>
        </w:tc>
        <w:tc>
          <w:tcPr>
            <w:tcW w:w="5300" w:type="dxa"/>
            <w:vAlign w:val="bottom"/>
            <w:gridSpan w:val="3"/>
          </w:tcPr>
          <w:p>
            <w:pPr>
              <w:ind w:left="1580"/>
              <w:spacing w:after="0"/>
              <w:rPr>
                <w:sz w:val="20"/>
                <w:szCs w:val="20"/>
                <w:color w:val="auto"/>
              </w:rPr>
            </w:pPr>
            <w:r>
              <w:rPr>
                <w:rFonts w:ascii="Arial" w:cs="Arial" w:eastAsia="Arial" w:hAnsi="Arial"/>
                <w:sz w:val="18"/>
                <w:szCs w:val="18"/>
                <w:color w:val="auto"/>
              </w:rPr>
              <w:t>(a Business Day).</w:t>
            </w:r>
          </w:p>
        </w:tc>
      </w:tr>
      <w:tr>
        <w:trPr>
          <w:trHeight w:val="29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2.</w:t>
            </w:r>
          </w:p>
        </w:tc>
        <w:tc>
          <w:tcPr>
            <w:tcW w:w="2040" w:type="dxa"/>
            <w:vAlign w:val="bottom"/>
          </w:tcPr>
          <w:p>
            <w:pPr>
              <w:ind w:left="160"/>
              <w:spacing w:after="0"/>
              <w:rPr>
                <w:sz w:val="20"/>
                <w:szCs w:val="20"/>
                <w:color w:val="auto"/>
              </w:rPr>
            </w:pPr>
            <w:r>
              <w:rPr>
                <w:rFonts w:ascii="Arial" w:cs="Arial" w:eastAsia="Arial" w:hAnsi="Arial"/>
                <w:sz w:val="18"/>
                <w:szCs w:val="18"/>
                <w:color w:val="auto"/>
              </w:rPr>
              <w:t>In the amount of $</w:t>
            </w:r>
          </w:p>
        </w:tc>
        <w:tc>
          <w:tcPr>
            <w:tcW w:w="1920" w:type="dxa"/>
            <w:vAlign w:val="bottom"/>
          </w:tcPr>
          <w:p>
            <w:pPr>
              <w:jc w:val="right"/>
              <w:ind w:right="115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9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3.</w:t>
            </w:r>
          </w:p>
        </w:tc>
        <w:tc>
          <w:tcPr>
            <w:tcW w:w="2040" w:type="dxa"/>
            <w:vAlign w:val="bottom"/>
          </w:tcPr>
          <w:p>
            <w:pPr>
              <w:ind w:left="160"/>
              <w:spacing w:after="0"/>
              <w:rPr>
                <w:sz w:val="20"/>
                <w:szCs w:val="20"/>
                <w:color w:val="auto"/>
              </w:rPr>
            </w:pPr>
            <w:r>
              <w:rPr>
                <w:rFonts w:ascii="Arial" w:cs="Arial" w:eastAsia="Arial" w:hAnsi="Arial"/>
                <w:sz w:val="18"/>
                <w:szCs w:val="18"/>
                <w:color w:val="auto"/>
              </w:rPr>
              <w:t>Comprised of</w:t>
            </w:r>
          </w:p>
        </w:tc>
        <w:tc>
          <w:tcPr>
            <w:tcW w:w="192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78"/>
        </w:trPr>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300" w:type="dxa"/>
            <w:vAlign w:val="bottom"/>
            <w:gridSpan w:val="3"/>
          </w:tcPr>
          <w:p>
            <w:pPr>
              <w:ind w:left="560"/>
              <w:spacing w:after="0"/>
              <w:rPr>
                <w:sz w:val="20"/>
                <w:szCs w:val="20"/>
                <w:color w:val="auto"/>
              </w:rPr>
            </w:pPr>
            <w:r>
              <w:rPr>
                <w:rFonts w:ascii="Arial" w:cs="Arial" w:eastAsia="Arial" w:hAnsi="Arial"/>
                <w:sz w:val="18"/>
                <w:szCs w:val="18"/>
                <w:color w:val="auto"/>
                <w:w w:val="88"/>
              </w:rPr>
              <w:t>[Type of Loan requested: Base Rate Loan or Eurodollar Rate Loan]</w:t>
            </w:r>
          </w:p>
        </w:tc>
      </w:tr>
      <w:tr>
        <w:trPr>
          <w:trHeight w:val="380"/>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4.</w:t>
            </w:r>
          </w:p>
        </w:tc>
        <w:tc>
          <w:tcPr>
            <w:tcW w:w="3960" w:type="dxa"/>
            <w:vAlign w:val="bottom"/>
            <w:gridSpan w:val="2"/>
          </w:tcPr>
          <w:p>
            <w:pPr>
              <w:ind w:left="160"/>
              <w:spacing w:after="0"/>
              <w:rPr>
                <w:sz w:val="20"/>
                <w:szCs w:val="20"/>
                <w:color w:val="auto"/>
              </w:rPr>
            </w:pPr>
            <w:r>
              <w:rPr>
                <w:rFonts w:ascii="Arial" w:cs="Arial" w:eastAsia="Arial" w:hAnsi="Arial"/>
                <w:sz w:val="18"/>
                <w:szCs w:val="18"/>
                <w:color w:val="auto"/>
                <w:w w:val="89"/>
              </w:rPr>
              <w:t>For Eurodollar Rate Loans: with an Interest Period of</w:t>
            </w:r>
          </w:p>
        </w:tc>
        <w:tc>
          <w:tcPr>
            <w:tcW w:w="520" w:type="dxa"/>
            <w:vAlign w:val="bottom"/>
            <w:tcBorders>
              <w:bottom w:val="single" w:sz="8" w:color="auto"/>
            </w:tcBorders>
          </w:tcPr>
          <w:p>
            <w:pPr>
              <w:spacing w:after="0"/>
              <w:rPr>
                <w:sz w:val="24"/>
                <w:szCs w:val="24"/>
                <w:color w:val="auto"/>
              </w:rPr>
            </w:pPr>
          </w:p>
        </w:tc>
        <w:tc>
          <w:tcPr>
            <w:tcW w:w="2860" w:type="dxa"/>
            <w:vAlign w:val="bottom"/>
          </w:tcPr>
          <w:p>
            <w:pPr>
              <w:ind w:left="40"/>
              <w:spacing w:after="0"/>
              <w:rPr>
                <w:sz w:val="20"/>
                <w:szCs w:val="20"/>
                <w:color w:val="auto"/>
              </w:rPr>
            </w:pPr>
            <w:r>
              <w:rPr>
                <w:rFonts w:ascii="Arial" w:cs="Arial" w:eastAsia="Arial" w:hAnsi="Arial"/>
                <w:sz w:val="18"/>
                <w:szCs w:val="18"/>
                <w:color w:val="auto"/>
              </w:rPr>
              <w:t>months.</w:t>
            </w:r>
          </w:p>
        </w:tc>
      </w:tr>
    </w:tbl>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The Revolving Credit Borrowing, if any, requested herein complies with the proviso to the first sentence of </w:t>
      </w:r>
      <w:r>
        <w:rPr>
          <w:rFonts w:ascii="Arial" w:cs="Arial" w:eastAsia="Arial" w:hAnsi="Arial"/>
          <w:sz w:val="16"/>
          <w:szCs w:val="16"/>
          <w:u w:val="single" w:color="auto"/>
          <w:color w:val="auto"/>
        </w:rPr>
        <w:t>Section 2.01(b)</w:t>
      </w:r>
      <w:r>
        <w:rPr>
          <w:rFonts w:ascii="Arial" w:cs="Arial" w:eastAsia="Arial" w:hAnsi="Arial"/>
          <w:sz w:val="16"/>
          <w:szCs w:val="16"/>
          <w:color w:val="auto"/>
        </w:rPr>
        <w:t xml:space="preserve"> of the Agreement.</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INTEGRA LIFESCIENCES HOLDINGS</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 xml:space="preserve">CORPORATION, </w:t>
      </w:r>
      <w:r>
        <w:rPr>
          <w:rFonts w:ascii="Arial" w:cs="Arial" w:eastAsia="Arial" w:hAnsi="Arial"/>
          <w:sz w:val="18"/>
          <w:szCs w:val="18"/>
          <w:color w:val="auto"/>
        </w:rPr>
        <w:t>a Delaware corporation</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10795</wp:posOffset>
            </wp:positionV>
            <wp:extent cx="260731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Loan Notice</w:t>
      </w:r>
    </w:p>
    <w:p>
      <w:pPr>
        <w:sectPr>
          <w:pgSz w:w="11900" w:h="16838" w:orient="portrait"/>
          <w:cols w:equalWidth="0" w:num="1">
            <w:col w:w="11420"/>
          </w:cols>
          <w:pgMar w:left="240" w:top="280" w:right="239"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SWING LINE LOAN NOTICE</w:t>
      </w:r>
    </w:p>
    <w:p>
      <w:pPr>
        <w:spacing w:after="0" w:line="177" w:lineRule="exact"/>
        <w:rPr>
          <w:sz w:val="20"/>
          <w:szCs w:val="20"/>
          <w:color w:val="auto"/>
        </w:rPr>
      </w:pPr>
    </w:p>
    <w:p>
      <w:pPr>
        <w:ind w:left="9860"/>
        <w:spacing w:after="0"/>
        <w:tabs>
          <w:tab w:leader="none" w:pos="107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w:t>
      </w: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To:</w:t>
        <w:tab/>
        <w:t>Bank of America, N.A., as Swing Line Lender</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Bank of America, N.A., as Administrative Agent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Reference is made to that certain Second Amended and Restated Credit Agreement, dated as of June 8, 2011 (as amended, restated, extended, supplemented or otherwise modified in writing from time to time, the “</w:t>
      </w:r>
      <w:r>
        <w:rPr>
          <w:rFonts w:ascii="Arial" w:cs="Arial" w:eastAsia="Arial" w:hAnsi="Arial"/>
          <w:sz w:val="18"/>
          <w:szCs w:val="18"/>
          <w:u w:val="single" w:color="auto"/>
          <w:color w:val="auto"/>
        </w:rPr>
        <w:t>Agreement</w:t>
      </w:r>
      <w:r>
        <w:rPr>
          <w:rFonts w:ascii="Arial" w:cs="Arial" w:eastAsia="Arial" w:hAnsi="Arial"/>
          <w:sz w:val="18"/>
          <w:szCs w:val="18"/>
          <w:color w:val="auto"/>
        </w:rPr>
        <w:t>”; the terms defined therein being used herein as therein defined), among INTEGRA LIFESCIENCES HOLDINGS CORPORATION,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from time to time party thereto and BANK OF AMERICA, N.A., as Administrative Agent, Swing Line Lender and L/C Issuer.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hereby requests a Swing Line Loan:</w:t>
      </w:r>
    </w:p>
    <w:p>
      <w:pPr>
        <w:spacing w:after="0" w:line="90"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1.</w:t>
            </w:r>
          </w:p>
        </w:tc>
        <w:tc>
          <w:tcPr>
            <w:tcW w:w="2080" w:type="dxa"/>
            <w:vAlign w:val="bottom"/>
          </w:tcPr>
          <w:p>
            <w:pPr>
              <w:ind w:left="160"/>
              <w:spacing w:after="0"/>
              <w:rPr>
                <w:sz w:val="20"/>
                <w:szCs w:val="20"/>
                <w:color w:val="auto"/>
              </w:rPr>
            </w:pPr>
            <w:r>
              <w:rPr>
                <w:rFonts w:ascii="Arial" w:cs="Arial" w:eastAsia="Arial" w:hAnsi="Arial"/>
                <w:sz w:val="18"/>
                <w:szCs w:val="18"/>
                <w:color w:val="auto"/>
              </w:rPr>
              <w:t>On</w:t>
            </w:r>
          </w:p>
        </w:tc>
        <w:tc>
          <w:tcPr>
            <w:tcW w:w="2440" w:type="dxa"/>
            <w:vAlign w:val="bottom"/>
          </w:tcPr>
          <w:p>
            <w:pPr>
              <w:jc w:val="right"/>
              <w:spacing w:after="0"/>
              <w:rPr>
                <w:sz w:val="20"/>
                <w:szCs w:val="20"/>
                <w:color w:val="auto"/>
              </w:rPr>
            </w:pPr>
            <w:r>
              <w:rPr>
                <w:rFonts w:ascii="Arial" w:cs="Arial" w:eastAsia="Arial" w:hAnsi="Arial"/>
                <w:sz w:val="18"/>
                <w:szCs w:val="18"/>
                <w:color w:val="auto"/>
              </w:rPr>
              <w:t>(a Business Day).</w:t>
            </w:r>
          </w:p>
        </w:tc>
      </w:tr>
      <w:tr>
        <w:trPr>
          <w:trHeight w:val="29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2.</w:t>
            </w:r>
          </w:p>
        </w:tc>
        <w:tc>
          <w:tcPr>
            <w:tcW w:w="2080" w:type="dxa"/>
            <w:vAlign w:val="bottom"/>
          </w:tcPr>
          <w:p>
            <w:pPr>
              <w:ind w:left="160"/>
              <w:spacing w:after="0"/>
              <w:rPr>
                <w:sz w:val="20"/>
                <w:szCs w:val="20"/>
                <w:color w:val="auto"/>
              </w:rPr>
            </w:pPr>
            <w:r>
              <w:rPr>
                <w:rFonts w:ascii="Arial" w:cs="Arial" w:eastAsia="Arial" w:hAnsi="Arial"/>
                <w:sz w:val="18"/>
                <w:szCs w:val="18"/>
                <w:color w:val="auto"/>
              </w:rPr>
              <w:t>In the amount of $</w:t>
            </w:r>
          </w:p>
        </w:tc>
        <w:tc>
          <w:tcPr>
            <w:tcW w:w="2440" w:type="dxa"/>
            <w:vAlign w:val="bottom"/>
          </w:tcPr>
          <w:p>
            <w:pPr>
              <w:jc w:val="right"/>
              <w:ind w:right="1712"/>
              <w:spacing w:after="0"/>
              <w:rPr>
                <w:sz w:val="20"/>
                <w:szCs w:val="20"/>
                <w:color w:val="auto"/>
              </w:rPr>
            </w:pPr>
            <w:r>
              <w:rPr>
                <w:rFonts w:ascii="Arial" w:cs="Arial" w:eastAsia="Arial" w:hAnsi="Arial"/>
                <w:sz w:val="18"/>
                <w:szCs w:val="18"/>
                <w:color w:val="auto"/>
              </w:rPr>
              <w:t>.</w:t>
            </w:r>
          </w:p>
        </w:tc>
      </w:tr>
    </w:tbl>
    <w:p>
      <w:pPr>
        <w:spacing w:after="0" w:line="15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 xml:space="preserve">The Swing Line Borrowing requested herein complies with the requirements of the proviso to the first sentence of </w:t>
      </w:r>
      <w:r>
        <w:rPr>
          <w:rFonts w:ascii="Arial" w:cs="Arial" w:eastAsia="Arial" w:hAnsi="Arial"/>
          <w:sz w:val="16"/>
          <w:szCs w:val="16"/>
          <w:u w:val="single" w:color="auto"/>
          <w:color w:val="auto"/>
        </w:rPr>
        <w:t>Section 2.04(b)</w:t>
      </w:r>
      <w:r>
        <w:rPr>
          <w:rFonts w:ascii="Arial" w:cs="Arial" w:eastAsia="Arial" w:hAnsi="Arial"/>
          <w:sz w:val="16"/>
          <w:szCs w:val="16"/>
          <w:color w:val="auto"/>
        </w:rPr>
        <w:t xml:space="preserve"> of the Agreement.</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INTEGRA LIFESCIENCES HOLDINGS</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 xml:space="preserve">CORPORATION, </w:t>
      </w:r>
      <w:r>
        <w:rPr>
          <w:rFonts w:ascii="Arial" w:cs="Arial" w:eastAsia="Arial" w:hAnsi="Arial"/>
          <w:sz w:val="18"/>
          <w:szCs w:val="18"/>
          <w:color w:val="auto"/>
        </w:rPr>
        <w:t>a Delaware corporation</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Swing Line Loan Notice</w:t>
      </w:r>
    </w:p>
    <w:p>
      <w:pPr>
        <w:sectPr>
          <w:pgSz w:w="11900" w:h="16838" w:orient="portrait"/>
          <w:cols w:equalWidth="0" w:num="1">
            <w:col w:w="11420"/>
          </w:cols>
          <w:pgMar w:left="240" w:top="280" w:right="239" w:bottom="1440" w:gutter="0" w:footer="0" w:header="0"/>
        </w:sectPr>
      </w:pPr>
    </w:p>
    <w:bookmarkStart w:id="209" w:name="page210"/>
    <w:bookmarkEnd w:id="209"/>
    <w:tbl>
      <w:tblPr>
        <w:tblLayout w:type="fixed"/>
        <w:tblInd w:w="460" w:type="dxa"/>
        <w:tblCellMar>
          <w:top w:w="0" w:type="dxa"/>
          <w:left w:w="0" w:type="dxa"/>
          <w:bottom w:w="0" w:type="dxa"/>
          <w:right w:w="0" w:type="dxa"/>
        </w:tblCellMar>
      </w:tblPr>
      <w:tr>
        <w:trPr>
          <w:trHeight w:val="222"/>
        </w:trPr>
        <w:tc>
          <w:tcPr>
            <w:tcW w:w="3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39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EXHIBIT C</w:t>
            </w:r>
          </w:p>
        </w:tc>
      </w:tr>
      <w:tr>
        <w:trPr>
          <w:trHeight w:val="378"/>
        </w:trPr>
        <w:tc>
          <w:tcPr>
            <w:tcW w:w="3520" w:type="dxa"/>
            <w:vAlign w:val="bottom"/>
          </w:tcPr>
          <w:p>
            <w:pPr>
              <w:spacing w:after="0"/>
              <w:rPr>
                <w:sz w:val="24"/>
                <w:szCs w:val="24"/>
                <w:color w:val="auto"/>
              </w:rPr>
            </w:pPr>
          </w:p>
        </w:tc>
        <w:tc>
          <w:tcPr>
            <w:tcW w:w="3520" w:type="dxa"/>
            <w:vAlign w:val="bottom"/>
            <w:gridSpan w:val="2"/>
          </w:tcPr>
          <w:p>
            <w:pPr>
              <w:ind w:left="140"/>
              <w:spacing w:after="0"/>
              <w:rPr>
                <w:sz w:val="20"/>
                <w:szCs w:val="20"/>
                <w:color w:val="auto"/>
              </w:rPr>
            </w:pPr>
            <w:r>
              <w:rPr>
                <w:rFonts w:ascii="Arial" w:cs="Arial" w:eastAsia="Arial" w:hAnsi="Arial"/>
                <w:sz w:val="18"/>
                <w:szCs w:val="18"/>
                <w:b w:val="1"/>
                <w:bCs w:val="1"/>
                <w:color w:val="auto"/>
              </w:rPr>
              <w:t>FORM OF REVOLVING CREDIT NOTE</w:t>
            </w:r>
          </w:p>
        </w:tc>
        <w:tc>
          <w:tcPr>
            <w:tcW w:w="3920" w:type="dxa"/>
            <w:vAlign w:val="bottom"/>
          </w:tcPr>
          <w:p>
            <w:pPr>
              <w:spacing w:after="0"/>
              <w:rPr>
                <w:sz w:val="24"/>
                <w:szCs w:val="24"/>
                <w:color w:val="auto"/>
              </w:rPr>
            </w:pPr>
          </w:p>
        </w:tc>
      </w:tr>
      <w:tr>
        <w:trPr>
          <w:trHeight w:val="378"/>
        </w:trPr>
        <w:tc>
          <w:tcPr>
            <w:tcW w:w="3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920" w:type="dxa"/>
            <w:vAlign w:val="bottom"/>
          </w:tcPr>
          <w:p>
            <w:pPr>
              <w:jc w:val="right"/>
              <w:spacing w:after="0"/>
              <w:rPr>
                <w:sz w:val="20"/>
                <w:szCs w:val="20"/>
                <w:color w:val="auto"/>
              </w:rPr>
            </w:pPr>
            <w:r>
              <w:rPr>
                <w:rFonts w:ascii="Arial" w:cs="Arial" w:eastAsia="Arial" w:hAnsi="Arial"/>
                <w:sz w:val="18"/>
                <w:szCs w:val="18"/>
                <w:b w:val="1"/>
                <w:bCs w:val="1"/>
                <w:color w:val="auto"/>
              </w:rPr>
              <w:t>June 8, 2011</w:t>
            </w:r>
          </w:p>
        </w:tc>
      </w:tr>
      <w:tr>
        <w:trPr>
          <w:trHeight w:val="340"/>
        </w:trPr>
        <w:tc>
          <w:tcPr>
            <w:tcW w:w="7040" w:type="dxa"/>
            <w:vAlign w:val="bottom"/>
            <w:gridSpan w:val="3"/>
          </w:tcPr>
          <w:p>
            <w:pPr>
              <w:spacing w:after="0"/>
              <w:rPr>
                <w:sz w:val="20"/>
                <w:szCs w:val="20"/>
                <w:color w:val="auto"/>
              </w:rPr>
            </w:pPr>
            <w:r>
              <w:rPr>
                <w:rFonts w:ascii="Arial" w:cs="Arial" w:eastAsia="Arial" w:hAnsi="Arial"/>
                <w:sz w:val="18"/>
                <w:szCs w:val="18"/>
                <w:color w:val="auto"/>
              </w:rPr>
              <w:t>FOR VALUE RECEIVED, the undersigned (the “Borrower”), hereby promises to pay to</w:t>
            </w:r>
          </w:p>
        </w:tc>
        <w:tc>
          <w:tcPr>
            <w:tcW w:w="3920" w:type="dxa"/>
            <w:vAlign w:val="bottom"/>
          </w:tcPr>
          <w:p>
            <w:pPr>
              <w:jc w:val="right"/>
              <w:spacing w:after="0"/>
              <w:rPr>
                <w:sz w:val="20"/>
                <w:szCs w:val="20"/>
                <w:color w:val="auto"/>
              </w:rPr>
            </w:pPr>
            <w:r>
              <w:rPr>
                <w:rFonts w:ascii="Arial" w:cs="Arial" w:eastAsia="Arial" w:hAnsi="Arial"/>
                <w:sz w:val="18"/>
                <w:szCs w:val="18"/>
                <w:color w:val="auto"/>
                <w:w w:val="91"/>
              </w:rPr>
              <w:t>or registered assigns permitted by the Agreement (as</w:t>
            </w:r>
          </w:p>
        </w:tc>
      </w:tr>
      <w:tr>
        <w:trPr>
          <w:trHeight w:val="20"/>
        </w:trPr>
        <w:tc>
          <w:tcPr>
            <w:tcW w:w="35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bl>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both"/>
        <w:spacing w:after="0" w:line="298" w:lineRule="auto"/>
        <w:rPr>
          <w:sz w:val="20"/>
          <w:szCs w:val="20"/>
          <w:color w:val="auto"/>
        </w:rPr>
      </w:pPr>
      <w:r>
        <w:rPr>
          <w:rFonts w:ascii="Arial" w:cs="Arial" w:eastAsia="Arial" w:hAnsi="Arial"/>
          <w:sz w:val="16"/>
          <w:szCs w:val="16"/>
          <w:color w:val="auto"/>
        </w:rPr>
        <w:t>hereinafter defined) (the “</w:t>
      </w:r>
      <w:r>
        <w:rPr>
          <w:rFonts w:ascii="Arial" w:cs="Arial" w:eastAsia="Arial" w:hAnsi="Arial"/>
          <w:sz w:val="16"/>
          <w:szCs w:val="16"/>
          <w:u w:val="single" w:color="auto"/>
          <w:color w:val="auto"/>
        </w:rPr>
        <w:t>Lender</w:t>
      </w:r>
      <w:r>
        <w:rPr>
          <w:rFonts w:ascii="Arial" w:cs="Arial" w:eastAsia="Arial" w:hAnsi="Arial"/>
          <w:sz w:val="16"/>
          <w:szCs w:val="16"/>
          <w:color w:val="auto"/>
        </w:rPr>
        <w:t>”), in accordance with the provisions of the Agreement, the principal amount of each Revolving Credit Loan from time to time made by the Lender to the Borrower under that certain Second Amended and Restated Credit Agreement, dated as of June 8, 2011 (as amended, restated, extended, supplemented or otherwise modified in writing from time to time, the “</w:t>
      </w:r>
      <w:r>
        <w:rPr>
          <w:rFonts w:ascii="Arial" w:cs="Arial" w:eastAsia="Arial" w:hAnsi="Arial"/>
          <w:sz w:val="16"/>
          <w:szCs w:val="16"/>
          <w:u w:val="single" w:color="auto"/>
          <w:color w:val="auto"/>
        </w:rPr>
        <w:t>Agreement</w:t>
      </w:r>
      <w:r>
        <w:rPr>
          <w:rFonts w:ascii="Arial" w:cs="Arial" w:eastAsia="Arial" w:hAnsi="Arial"/>
          <w:sz w:val="16"/>
          <w:szCs w:val="16"/>
          <w:color w:val="auto"/>
        </w:rPr>
        <w:t>;” the terms defined therein being used herein as therein defined), among the Borrower, the lenders from time to time party thereto and Bank of America, N.A., as Administrative Agent, Swing Line Lender and L/C Issuer.</w:t>
      </w:r>
    </w:p>
    <w:p>
      <w:pPr>
        <w:spacing w:after="0" w:line="113"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The Borrower promises to pay interest on the unpaid principal amount of each Revolving Credit Loan from the date of such Revolving Credit Loan until such principal amount is paid in full, at such interest rates and at such times as provided in the Agreement. Except as otherwise provided in Section 2.04(f) of the Agreement with respect to Swing Line Loans, all payments of principal and interest shall be made to the Administrative Agent for the account of the Lender in Dollars in immediately available funds at the Administrative Agent’s Office. If any amount is not paid in full when due hereunder, such unpaid amount shall bear interest, to be paid upon demand, from the due date thereof until the date of actual payment (and before as well as after judgment) computed at the per annum rate set forth in the Agreement.</w:t>
      </w:r>
    </w:p>
    <w:p>
      <w:pPr>
        <w:spacing w:after="0" w:line="144"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This Revolving Credit Note is one of the Notes referred to in the Agreement, is entitled to the benefits thereof and may be prepaid in whole or in part subject to the terms and conditions provided therein. This Revolving Credit Note is also entitled to the benefits of the Subsidiary Guaranty and is secured by the Collateral. This Revolving Credit Note is issued in replacement of a Revolving Credit Note dated August 10, 2010 issued to the Lender pursuant to the Existing Credit Agreement (the “</w:t>
      </w:r>
      <w:r>
        <w:rPr>
          <w:rFonts w:ascii="Arial" w:cs="Arial" w:eastAsia="Arial" w:hAnsi="Arial"/>
          <w:sz w:val="16"/>
          <w:szCs w:val="16"/>
          <w:u w:val="single" w:color="auto"/>
          <w:color w:val="auto"/>
        </w:rPr>
        <w:t>Original Note</w:t>
      </w:r>
      <w:r>
        <w:rPr>
          <w:rFonts w:ascii="Arial" w:cs="Arial" w:eastAsia="Arial" w:hAnsi="Arial"/>
          <w:sz w:val="16"/>
          <w:szCs w:val="16"/>
          <w:color w:val="auto"/>
        </w:rPr>
        <w:t>”), and does not effect any refinancing or extinguishment of the indebtedness and obligations of such Original Note and is not a novation but is a replacement of such Original Note. If one or more of the Events of Default specified in the Agreement occurs and is continuing, all amounts then remaining unpaid on this Revolving Credit Note shall become under certain circumstances, or may be declared to be, immediately due and payable all as provided in the Agreement. Revolving Credit Loans made by the Lender shall be evidenced by one or more loan accounts or records maintained by the Lender in the ordinary course of business. The Lender may also attach schedules to this Revolving Credit Note and endorse thereon the date, amount and maturity of its Revolving Credit Loans and payments with respect thereto.</w:t>
      </w:r>
    </w:p>
    <w:p>
      <w:pPr>
        <w:spacing w:after="0" w:line="12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Borrower, for itself, its successors and assigns, hereby waives diligence, presentment, protest and demand and notice of protest, demand, dishonor and non-payment of this Revolving Credit Note.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w:t>
      </w:r>
    </w:p>
    <w:p>
      <w:pPr>
        <w:sectPr>
          <w:pgSz w:w="11900" w:h="16838" w:orient="portrait"/>
          <w:cols w:equalWidth="0" w:num="1">
            <w:col w:w="11420"/>
          </w:cols>
          <w:pgMar w:left="240" w:top="280" w:right="239" w:bottom="1440" w:gutter="0" w:footer="0" w:header="0"/>
        </w:sectPr>
      </w:pPr>
    </w:p>
    <w:bookmarkStart w:id="210" w:name="page211"/>
    <w:bookmarkEnd w:id="210"/>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REVOLVING CREDIT NOTE SHALL BE GOVERNED BY AND CONSTRUED IN ACCORDANCE WITH THE LAWS OF THE STATE OF NEW YORK WITHOUT REFERENCE TO THE CONFLICTS OF LAWS PRINCIPLES THEREOF.</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INTEGRA LIFESCIENCES HOLDINGS</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 xml:space="preserve">CORPORATION, </w:t>
      </w:r>
      <w:r>
        <w:rPr>
          <w:rFonts w:ascii="Arial" w:cs="Arial" w:eastAsia="Arial" w:hAnsi="Arial"/>
          <w:sz w:val="18"/>
          <w:szCs w:val="18"/>
          <w:color w:val="auto"/>
        </w:rPr>
        <w:t>a Delaware corporation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6985</wp:posOffset>
            </wp:positionV>
            <wp:extent cx="260731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Note</w:t>
      </w:r>
    </w:p>
    <w:p>
      <w:pPr>
        <w:sectPr>
          <w:pgSz w:w="11900" w:h="16838" w:orient="portrait"/>
          <w:cols w:equalWidth="0" w:num="1">
            <w:col w:w="11400"/>
          </w:cols>
          <w:pgMar w:left="240" w:top="280" w:right="259" w:bottom="1440" w:gutter="0" w:footer="0" w:header="0"/>
        </w:sectPr>
      </w:pPr>
    </w:p>
    <w:bookmarkStart w:id="211" w:name="page212"/>
    <w:bookmarkEnd w:id="211"/>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REVOLVING CREDIT LOANS AND PAYMENTS WITH RESPECT THERETO</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1280" w:type="dxa"/>
            <w:vAlign w:val="bottom"/>
            <w:tcBorders>
              <w:top w:val="single" w:sz="8" w:color="auto"/>
              <w:left w:val="single" w:sz="8" w:color="auto"/>
              <w:right w:val="single" w:sz="8" w:color="auto"/>
            </w:tcBorders>
          </w:tcPr>
          <w:p>
            <w:pPr>
              <w:spacing w:after="0"/>
              <w:rPr>
                <w:sz w:val="13"/>
                <w:szCs w:val="13"/>
                <w:color w:val="auto"/>
              </w:rPr>
            </w:pPr>
          </w:p>
        </w:tc>
        <w:tc>
          <w:tcPr>
            <w:tcW w:w="1380" w:type="dxa"/>
            <w:vAlign w:val="bottom"/>
            <w:tcBorders>
              <w:top w:val="single" w:sz="8" w:color="auto"/>
              <w:right w:val="single" w:sz="8" w:color="auto"/>
            </w:tcBorders>
          </w:tcPr>
          <w:p>
            <w:pPr>
              <w:spacing w:after="0"/>
              <w:rPr>
                <w:sz w:val="13"/>
                <w:szCs w:val="13"/>
                <w:color w:val="auto"/>
              </w:rPr>
            </w:pPr>
          </w:p>
        </w:tc>
        <w:tc>
          <w:tcPr>
            <w:tcW w:w="1500" w:type="dxa"/>
            <w:vAlign w:val="bottom"/>
            <w:tcBorders>
              <w:top w:val="single" w:sz="8" w:color="auto"/>
              <w:right w:val="single" w:sz="8" w:color="auto"/>
            </w:tcBorders>
          </w:tcPr>
          <w:p>
            <w:pPr>
              <w:spacing w:after="0"/>
              <w:rPr>
                <w:sz w:val="13"/>
                <w:szCs w:val="13"/>
                <w:color w:val="auto"/>
              </w:rPr>
            </w:pPr>
          </w:p>
        </w:tc>
        <w:tc>
          <w:tcPr>
            <w:tcW w:w="1500" w:type="dxa"/>
            <w:vAlign w:val="bottom"/>
            <w:tcBorders>
              <w:top w:val="single" w:sz="8" w:color="auto"/>
              <w:right w:val="single" w:sz="8" w:color="auto"/>
            </w:tcBorders>
          </w:tcPr>
          <w:p>
            <w:pPr>
              <w:spacing w:after="0"/>
              <w:rPr>
                <w:sz w:val="13"/>
                <w:szCs w:val="13"/>
                <w:color w:val="auto"/>
              </w:rPr>
            </w:pPr>
          </w:p>
        </w:tc>
        <w:tc>
          <w:tcPr>
            <w:tcW w:w="1480" w:type="dxa"/>
            <w:vAlign w:val="bottom"/>
            <w:tcBorders>
              <w:top w:val="single" w:sz="8" w:color="auto"/>
              <w:right w:val="single" w:sz="8" w:color="auto"/>
            </w:tcBorders>
          </w:tcPr>
          <w:p>
            <w:pPr>
              <w:spacing w:after="0"/>
              <w:rPr>
                <w:sz w:val="13"/>
                <w:szCs w:val="13"/>
                <w:color w:val="auto"/>
              </w:rPr>
            </w:pPr>
          </w:p>
        </w:tc>
        <w:tc>
          <w:tcPr>
            <w:tcW w:w="1480" w:type="dxa"/>
            <w:vAlign w:val="bottom"/>
            <w:tcBorders>
              <w:top w:val="single" w:sz="8" w:color="auto"/>
              <w:right w:val="single" w:sz="8" w:color="auto"/>
            </w:tcBorders>
          </w:tcPr>
          <w:p>
            <w:pPr>
              <w:jc w:val="center"/>
              <w:ind w:left="12"/>
              <w:spacing w:after="0" w:line="151" w:lineRule="exact"/>
              <w:rPr>
                <w:sz w:val="20"/>
                <w:szCs w:val="20"/>
                <w:color w:val="auto"/>
              </w:rPr>
            </w:pPr>
            <w:r>
              <w:rPr>
                <w:rFonts w:ascii="Arial" w:cs="Arial" w:eastAsia="Arial" w:hAnsi="Arial"/>
                <w:sz w:val="14"/>
                <w:szCs w:val="14"/>
                <w:color w:val="auto"/>
                <w:w w:val="93"/>
              </w:rPr>
              <w:t>Amount of</w:t>
            </w:r>
          </w:p>
        </w:tc>
        <w:tc>
          <w:tcPr>
            <w:tcW w:w="1460" w:type="dxa"/>
            <w:vAlign w:val="bottom"/>
            <w:tcBorders>
              <w:top w:val="single" w:sz="8" w:color="auto"/>
              <w:right w:val="single" w:sz="8" w:color="auto"/>
            </w:tcBorders>
          </w:tcPr>
          <w:p>
            <w:pPr>
              <w:jc w:val="center"/>
              <w:ind w:left="12"/>
              <w:spacing w:after="0" w:line="151" w:lineRule="exact"/>
              <w:rPr>
                <w:sz w:val="20"/>
                <w:szCs w:val="20"/>
                <w:color w:val="auto"/>
              </w:rPr>
            </w:pPr>
            <w:r>
              <w:rPr>
                <w:rFonts w:ascii="Arial" w:cs="Arial" w:eastAsia="Arial" w:hAnsi="Arial"/>
                <w:sz w:val="14"/>
                <w:szCs w:val="14"/>
                <w:color w:val="auto"/>
                <w:w w:val="87"/>
              </w:rPr>
              <w:t>Outstanding</w:t>
            </w:r>
          </w:p>
        </w:tc>
        <w:tc>
          <w:tcPr>
            <w:tcW w:w="1360" w:type="dxa"/>
            <w:vAlign w:val="bottom"/>
            <w:tcBorders>
              <w:top w:val="single" w:sz="8" w:color="auto"/>
              <w:right w:val="single" w:sz="8" w:color="auto"/>
            </w:tcBorders>
          </w:tcPr>
          <w:p>
            <w:pPr>
              <w:spacing w:after="0"/>
              <w:rPr>
                <w:sz w:val="13"/>
                <w:szCs w:val="13"/>
                <w:color w:val="auto"/>
              </w:rPr>
            </w:pPr>
          </w:p>
        </w:tc>
      </w:tr>
      <w:tr>
        <w:trPr>
          <w:trHeight w:val="149"/>
        </w:trPr>
        <w:tc>
          <w:tcPr>
            <w:tcW w:w="1280" w:type="dxa"/>
            <w:vAlign w:val="bottom"/>
            <w:tcBorders>
              <w:left w:val="single" w:sz="8" w:color="auto"/>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w w:val="88"/>
              </w:rPr>
              <w:t>End of</w:t>
            </w:r>
          </w:p>
        </w:tc>
        <w:tc>
          <w:tcPr>
            <w:tcW w:w="148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w w:val="91"/>
              </w:rPr>
              <w:t>Principal or</w:t>
            </w:r>
          </w:p>
        </w:tc>
        <w:tc>
          <w:tcPr>
            <w:tcW w:w="146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w w:val="93"/>
              </w:rPr>
              <w:t>Principal</w:t>
            </w:r>
          </w:p>
        </w:tc>
        <w:tc>
          <w:tcPr>
            <w:tcW w:w="1360" w:type="dxa"/>
            <w:vAlign w:val="bottom"/>
            <w:tcBorders>
              <w:right w:val="single" w:sz="8" w:color="auto"/>
            </w:tcBorders>
          </w:tcPr>
          <w:p>
            <w:pPr>
              <w:spacing w:after="0"/>
              <w:rPr>
                <w:sz w:val="12"/>
                <w:szCs w:val="12"/>
                <w:color w:val="auto"/>
              </w:rPr>
            </w:pPr>
          </w:p>
        </w:tc>
      </w:tr>
      <w:tr>
        <w:trPr>
          <w:trHeight w:val="149"/>
        </w:trPr>
        <w:tc>
          <w:tcPr>
            <w:tcW w:w="1280" w:type="dxa"/>
            <w:vAlign w:val="bottom"/>
            <w:tcBorders>
              <w:left w:val="single" w:sz="8" w:color="auto"/>
              <w:right w:val="single" w:sz="8" w:color="auto"/>
            </w:tcBorders>
          </w:tcPr>
          <w:p>
            <w:pPr>
              <w:spacing w:after="0"/>
              <w:rPr>
                <w:sz w:val="12"/>
                <w:szCs w:val="12"/>
                <w:color w:val="auto"/>
              </w:rPr>
            </w:pPr>
          </w:p>
        </w:tc>
        <w:tc>
          <w:tcPr>
            <w:tcW w:w="138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w w:val="89"/>
              </w:rPr>
              <w:t>Type of</w:t>
            </w:r>
          </w:p>
        </w:tc>
        <w:tc>
          <w:tcPr>
            <w:tcW w:w="1500" w:type="dxa"/>
            <w:vAlign w:val="bottom"/>
            <w:tcBorders>
              <w:right w:val="single" w:sz="8" w:color="auto"/>
            </w:tcBorders>
          </w:tcPr>
          <w:p>
            <w:pPr>
              <w:ind w:left="500"/>
              <w:spacing w:after="0" w:line="149" w:lineRule="exact"/>
              <w:rPr>
                <w:sz w:val="20"/>
                <w:szCs w:val="20"/>
                <w:color w:val="auto"/>
              </w:rPr>
            </w:pPr>
            <w:r>
              <w:rPr>
                <w:rFonts w:ascii="Arial" w:cs="Arial" w:eastAsia="Arial" w:hAnsi="Arial"/>
                <w:sz w:val="14"/>
                <w:szCs w:val="14"/>
                <w:color w:val="auto"/>
              </w:rPr>
              <w:t>Amount of</w:t>
            </w:r>
          </w:p>
        </w:tc>
        <w:tc>
          <w:tcPr>
            <w:tcW w:w="150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w w:val="92"/>
              </w:rPr>
              <w:t>Maturity</w:t>
            </w:r>
          </w:p>
        </w:tc>
        <w:tc>
          <w:tcPr>
            <w:tcW w:w="148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w w:val="85"/>
              </w:rPr>
              <w:t>Interest</w:t>
            </w:r>
          </w:p>
        </w:tc>
        <w:tc>
          <w:tcPr>
            <w:tcW w:w="148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w w:val="86"/>
              </w:rPr>
              <w:t>Interest Paid</w:t>
            </w:r>
          </w:p>
        </w:tc>
        <w:tc>
          <w:tcPr>
            <w:tcW w:w="146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w w:val="86"/>
              </w:rPr>
              <w:t>Balance This</w:t>
            </w:r>
          </w:p>
        </w:tc>
        <w:tc>
          <w:tcPr>
            <w:tcW w:w="1360" w:type="dxa"/>
            <w:vAlign w:val="bottom"/>
            <w:tcBorders>
              <w:right w:val="single" w:sz="8" w:color="auto"/>
            </w:tcBorders>
          </w:tcPr>
          <w:p>
            <w:pPr>
              <w:ind w:left="420"/>
              <w:spacing w:after="0" w:line="149" w:lineRule="exact"/>
              <w:rPr>
                <w:sz w:val="20"/>
                <w:szCs w:val="20"/>
                <w:color w:val="auto"/>
              </w:rPr>
            </w:pPr>
            <w:r>
              <w:rPr>
                <w:rFonts w:ascii="Arial" w:cs="Arial" w:eastAsia="Arial" w:hAnsi="Arial"/>
                <w:sz w:val="14"/>
                <w:szCs w:val="14"/>
                <w:color w:val="auto"/>
              </w:rPr>
              <w:t>Notation</w:t>
            </w:r>
          </w:p>
        </w:tc>
      </w:tr>
      <w:tr>
        <w:trPr>
          <w:trHeight w:val="173"/>
        </w:trPr>
        <w:tc>
          <w:tcPr>
            <w:tcW w:w="128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4"/>
                <w:szCs w:val="14"/>
                <w:color w:val="auto"/>
              </w:rPr>
              <w:t>Date</w:t>
            </w:r>
          </w:p>
        </w:tc>
        <w:tc>
          <w:tcPr>
            <w:tcW w:w="138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4"/>
                <w:szCs w:val="14"/>
                <w:color w:val="auto"/>
                <w:w w:val="88"/>
              </w:rPr>
              <w:t>Loan Made</w:t>
            </w:r>
          </w:p>
        </w:tc>
        <w:tc>
          <w:tcPr>
            <w:tcW w:w="150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4"/>
                <w:szCs w:val="14"/>
                <w:color w:val="auto"/>
              </w:rPr>
              <w:t>Loan Made</w:t>
            </w:r>
          </w:p>
        </w:tc>
        <w:tc>
          <w:tcPr>
            <w:tcW w:w="150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4"/>
                <w:szCs w:val="14"/>
                <w:color w:val="auto"/>
                <w:w w:val="87"/>
              </w:rPr>
              <w:t>Date</w:t>
            </w:r>
          </w:p>
        </w:tc>
        <w:tc>
          <w:tcPr>
            <w:tcW w:w="148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4"/>
                <w:szCs w:val="14"/>
                <w:color w:val="auto"/>
                <w:w w:val="88"/>
              </w:rPr>
              <w:t>Period</w:t>
            </w:r>
          </w:p>
        </w:tc>
        <w:tc>
          <w:tcPr>
            <w:tcW w:w="148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4"/>
                <w:szCs w:val="14"/>
                <w:color w:val="auto"/>
                <w:w w:val="86"/>
              </w:rPr>
              <w:t>This Date</w:t>
            </w:r>
          </w:p>
        </w:tc>
        <w:tc>
          <w:tcPr>
            <w:tcW w:w="146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4"/>
                <w:szCs w:val="14"/>
                <w:color w:val="auto"/>
                <w:w w:val="87"/>
              </w:rPr>
              <w:t>Date</w:t>
            </w:r>
          </w:p>
        </w:tc>
        <w:tc>
          <w:tcPr>
            <w:tcW w:w="136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4"/>
                <w:szCs w:val="14"/>
                <w:color w:val="auto"/>
              </w:rPr>
              <w:t>Made By</w:t>
            </w:r>
          </w:p>
        </w:tc>
      </w:tr>
      <w:tr>
        <w:trPr>
          <w:trHeight w:val="237"/>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r>
      <w:tr>
        <w:trPr>
          <w:trHeight w:val="210"/>
        </w:trPr>
        <w:tc>
          <w:tcPr>
            <w:tcW w:w="1280" w:type="dxa"/>
            <w:vAlign w:val="bottom"/>
            <w:tcBorders>
              <w:left w:val="single" w:sz="8" w:color="auto"/>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r>
      <w:tr>
        <w:trPr>
          <w:trHeight w:val="237"/>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r>
      <w:tr>
        <w:trPr>
          <w:trHeight w:val="210"/>
        </w:trPr>
        <w:tc>
          <w:tcPr>
            <w:tcW w:w="1280" w:type="dxa"/>
            <w:vAlign w:val="bottom"/>
            <w:tcBorders>
              <w:left w:val="single" w:sz="8" w:color="auto"/>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r>
      <w:tr>
        <w:trPr>
          <w:trHeight w:val="210"/>
        </w:trPr>
        <w:tc>
          <w:tcPr>
            <w:tcW w:w="1280" w:type="dxa"/>
            <w:vAlign w:val="bottom"/>
            <w:tcBorders>
              <w:left w:val="single" w:sz="8" w:color="auto"/>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r>
      <w:tr>
        <w:trPr>
          <w:trHeight w:val="237"/>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r>
      <w:tr>
        <w:trPr>
          <w:trHeight w:val="210"/>
        </w:trPr>
        <w:tc>
          <w:tcPr>
            <w:tcW w:w="1280" w:type="dxa"/>
            <w:vAlign w:val="bottom"/>
            <w:tcBorders>
              <w:left w:val="single" w:sz="8" w:color="auto"/>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r>
      <w:tr>
        <w:trPr>
          <w:trHeight w:val="237"/>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r>
      <w:tr>
        <w:trPr>
          <w:trHeight w:val="210"/>
        </w:trPr>
        <w:tc>
          <w:tcPr>
            <w:tcW w:w="1280" w:type="dxa"/>
            <w:vAlign w:val="bottom"/>
            <w:tcBorders>
              <w:left w:val="single" w:sz="8" w:color="auto"/>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r>
      <w:tr>
        <w:trPr>
          <w:trHeight w:val="210"/>
        </w:trPr>
        <w:tc>
          <w:tcPr>
            <w:tcW w:w="1280" w:type="dxa"/>
            <w:vAlign w:val="bottom"/>
            <w:tcBorders>
              <w:left w:val="single" w:sz="8" w:color="auto"/>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r>
      <w:tr>
        <w:trPr>
          <w:trHeight w:val="210"/>
        </w:trPr>
        <w:tc>
          <w:tcPr>
            <w:tcW w:w="1280" w:type="dxa"/>
            <w:vAlign w:val="bottom"/>
            <w:tcBorders>
              <w:left w:val="single" w:sz="8" w:color="auto"/>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r>
      <w:tr>
        <w:trPr>
          <w:trHeight w:val="210"/>
        </w:trPr>
        <w:tc>
          <w:tcPr>
            <w:tcW w:w="1280" w:type="dxa"/>
            <w:vAlign w:val="bottom"/>
            <w:tcBorders>
              <w:left w:val="single" w:sz="8" w:color="auto"/>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r>
      <w:tr>
        <w:trPr>
          <w:trHeight w:val="210"/>
        </w:trPr>
        <w:tc>
          <w:tcPr>
            <w:tcW w:w="1280" w:type="dxa"/>
            <w:vAlign w:val="bottom"/>
            <w:tcBorders>
              <w:left w:val="single" w:sz="8" w:color="auto"/>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r>
      <w:tr>
        <w:trPr>
          <w:trHeight w:val="237"/>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r>
      <w:tr>
        <w:trPr>
          <w:trHeight w:val="210"/>
        </w:trPr>
        <w:tc>
          <w:tcPr>
            <w:tcW w:w="1280" w:type="dxa"/>
            <w:vAlign w:val="bottom"/>
            <w:tcBorders>
              <w:left w:val="single" w:sz="8" w:color="auto"/>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r>
      <w:tr>
        <w:trPr>
          <w:trHeight w:val="237"/>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r>
      <w:tr>
        <w:trPr>
          <w:trHeight w:val="210"/>
        </w:trPr>
        <w:tc>
          <w:tcPr>
            <w:tcW w:w="1280" w:type="dxa"/>
            <w:vAlign w:val="bottom"/>
            <w:tcBorders>
              <w:left w:val="single" w:sz="8" w:color="auto"/>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r>
      <w:tr>
        <w:trPr>
          <w:trHeight w:val="210"/>
        </w:trPr>
        <w:tc>
          <w:tcPr>
            <w:tcW w:w="1280" w:type="dxa"/>
            <w:vAlign w:val="bottom"/>
            <w:tcBorders>
              <w:left w:val="single" w:sz="8" w:color="auto"/>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r>
      <w:tr>
        <w:trPr>
          <w:trHeight w:val="237"/>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r>
      <w:tr>
        <w:trPr>
          <w:trHeight w:val="210"/>
        </w:trPr>
        <w:tc>
          <w:tcPr>
            <w:tcW w:w="1280" w:type="dxa"/>
            <w:vAlign w:val="bottom"/>
            <w:tcBorders>
              <w:left w:val="single" w:sz="8" w:color="auto"/>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r>
      <w:tr>
        <w:trPr>
          <w:trHeight w:val="237"/>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r>
    </w:tbl>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C-3</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Form of Note</w:t>
      </w:r>
    </w:p>
    <w:p>
      <w:pPr>
        <w:sectPr>
          <w:pgSz w:w="11900" w:h="16838" w:orient="portrait"/>
          <w:cols w:equalWidth="0" w:num="1">
            <w:col w:w="11440"/>
          </w:cols>
          <w:pgMar w:left="240" w:top="280" w:right="219" w:bottom="1440" w:gutter="0" w:footer="0" w:header="0"/>
        </w:sectPr>
      </w:pPr>
    </w:p>
    <w:bookmarkStart w:id="212" w:name="page213"/>
    <w:bookmarkEnd w:id="212"/>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COMPLIANCE CERTIFICATE</w:t>
      </w:r>
    </w:p>
    <w:p>
      <w:pPr>
        <w:spacing w:after="0" w:line="177" w:lineRule="exact"/>
        <w:rPr>
          <w:sz w:val="20"/>
          <w:szCs w:val="20"/>
          <w:color w:val="auto"/>
        </w:rPr>
      </w:pPr>
    </w:p>
    <w:p>
      <w:pPr>
        <w:jc w:val="right"/>
        <w:spacing w:after="0"/>
        <w:tabs>
          <w:tab w:leader="none" w:pos="20" w:val="left"/>
        </w:tabs>
        <w:rPr>
          <w:sz w:val="20"/>
          <w:szCs w:val="20"/>
          <w:color w:val="auto"/>
        </w:rPr>
      </w:pPr>
      <w:r>
        <w:rPr>
          <w:rFonts w:ascii="Arial" w:cs="Arial" w:eastAsia="Arial" w:hAnsi="Arial"/>
          <w:sz w:val="18"/>
          <w:szCs w:val="18"/>
          <w:color w:val="auto"/>
        </w:rPr>
        <w:t>Financial Statement Date:</w:t>
      </w:r>
      <w:r>
        <w:rPr>
          <w:sz w:val="20"/>
          <w:szCs w:val="20"/>
          <w:color w:val="auto"/>
        </w:rPr>
        <w:tab/>
      </w:r>
      <w:r>
        <w:rPr>
          <w:rFonts w:ascii="Arial" w:cs="Arial" w:eastAsia="Arial" w:hAnsi="Arial"/>
          <w:sz w:val="14"/>
          <w:szCs w:val="14"/>
          <w:color w:val="auto"/>
        </w:rPr>
        <w:t>,</w:t>
      </w: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To:</w:t>
        <w:tab/>
        <w:t>Bank of America, N.A., as Administrative Agent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Reference is made to that certain Second Amended and Restated Credit Agreement, dated as of June 8, 2011 (as amended, restated, extended, supplemented or otherwise modified in writing from time to time, the “</w:t>
      </w:r>
      <w:r>
        <w:rPr>
          <w:rFonts w:ascii="Arial" w:cs="Arial" w:eastAsia="Arial" w:hAnsi="Arial"/>
          <w:sz w:val="18"/>
          <w:szCs w:val="18"/>
          <w:u w:val="single" w:color="auto"/>
          <w:color w:val="auto"/>
        </w:rPr>
        <w:t>Agreement</w:t>
      </w:r>
      <w:r>
        <w:rPr>
          <w:rFonts w:ascii="Arial" w:cs="Arial" w:eastAsia="Arial" w:hAnsi="Arial"/>
          <w:sz w:val="18"/>
          <w:szCs w:val="18"/>
          <w:color w:val="auto"/>
        </w:rPr>
        <w:t>”; the terms defined therein being used herein as therein defined), among INTEGRA LIFESCIENCES HOLDINGS CORPORATION,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from time to time party thereto (the “</w:t>
      </w:r>
      <w:r>
        <w:rPr>
          <w:rFonts w:ascii="Arial" w:cs="Arial" w:eastAsia="Arial" w:hAnsi="Arial"/>
          <w:sz w:val="18"/>
          <w:szCs w:val="18"/>
          <w:u w:val="single" w:color="auto"/>
          <w:color w:val="auto"/>
        </w:rPr>
        <w:t>Lenders</w:t>
      </w:r>
      <w:r>
        <w:rPr>
          <w:rFonts w:ascii="Arial" w:cs="Arial" w:eastAsia="Arial" w:hAnsi="Arial"/>
          <w:sz w:val="18"/>
          <w:szCs w:val="18"/>
          <w:color w:val="auto"/>
        </w:rPr>
        <w:t>”) and BANK OF AMERICA, N.A., as Administrative Agent, Swing Line Lender and L/C Issuer.</w:t>
      </w:r>
    </w:p>
    <w:p>
      <w:pPr>
        <w:spacing w:after="0" w:line="143"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undersigned Responsible Officer hereby certifies, solely in his/her capacity as an officer of the Borrower, as of the date hereof that he/she is authorized to execute and deliver this Certificate to the Administrative Agent on the behalf of the Borrower, and that: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xml:space="preserve">[Use following paragraph 1 for fiscal </w:t>
      </w:r>
      <w:r>
        <w:rPr>
          <w:rFonts w:ascii="Arial" w:cs="Arial" w:eastAsia="Arial" w:hAnsi="Arial"/>
          <w:sz w:val="18"/>
          <w:szCs w:val="18"/>
          <w:b w:val="1"/>
          <w:bCs w:val="1"/>
          <w:i w:val="1"/>
          <w:iCs w:val="1"/>
          <w:color w:val="auto"/>
        </w:rPr>
        <w:t>year-end</w:t>
      </w:r>
      <w:r>
        <w:rPr>
          <w:rFonts w:ascii="Arial" w:cs="Arial" w:eastAsia="Arial" w:hAnsi="Arial"/>
          <w:sz w:val="18"/>
          <w:szCs w:val="18"/>
          <w:i w:val="1"/>
          <w:iCs w:val="1"/>
          <w:color w:val="auto"/>
        </w:rPr>
        <w:t xml:space="preserve"> financial statements]</w:t>
      </w:r>
    </w:p>
    <w:p>
      <w:pPr>
        <w:spacing w:after="0" w:line="171" w:lineRule="exact"/>
        <w:rPr>
          <w:sz w:val="20"/>
          <w:szCs w:val="20"/>
          <w:color w:val="auto"/>
        </w:rPr>
      </w:pPr>
    </w:p>
    <w:p>
      <w:pPr>
        <w:jc w:val="both"/>
        <w:ind w:firstLine="464"/>
        <w:spacing w:after="0" w:line="259" w:lineRule="auto"/>
        <w:tabs>
          <w:tab w:leader="none" w:pos="637"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xml:space="preserve">I have reviewed the most recent year-end audited financial statements, complete and correct copies of which are attached hereto as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required by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of the Agreement for the fiscal year of the Borrower and its Consolidated Subsidiaries ended as of the above date, together with the reports and opinions of an independent certified public accountant required by such section.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xml:space="preserve">[Use following paragraph 1 for fiscal </w:t>
      </w:r>
      <w:r>
        <w:rPr>
          <w:rFonts w:ascii="Arial" w:cs="Arial" w:eastAsia="Arial" w:hAnsi="Arial"/>
          <w:sz w:val="18"/>
          <w:szCs w:val="18"/>
          <w:b w:val="1"/>
          <w:bCs w:val="1"/>
          <w:i w:val="1"/>
          <w:iCs w:val="1"/>
          <w:color w:val="auto"/>
        </w:rPr>
        <w:t>quarter-end</w:t>
      </w:r>
      <w:r>
        <w:rPr>
          <w:rFonts w:ascii="Arial" w:cs="Arial" w:eastAsia="Arial" w:hAnsi="Arial"/>
          <w:sz w:val="18"/>
          <w:szCs w:val="18"/>
          <w:i w:val="1"/>
          <w:iCs w:val="1"/>
          <w:color w:val="auto"/>
        </w:rPr>
        <w:t xml:space="preserve"> financial statements]</w:t>
      </w:r>
    </w:p>
    <w:p>
      <w:pPr>
        <w:spacing w:after="0" w:line="171" w:lineRule="exact"/>
        <w:rPr>
          <w:sz w:val="20"/>
          <w:szCs w:val="20"/>
          <w:color w:val="auto"/>
        </w:rPr>
      </w:pPr>
    </w:p>
    <w:p>
      <w:pPr>
        <w:ind w:firstLine="464"/>
        <w:spacing w:after="0" w:line="268" w:lineRule="auto"/>
        <w:tabs>
          <w:tab w:leader="none" w:pos="637"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I have reviewed the unaudited financial statements, complete and correct copies of which are attached hereto as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required by </w:t>
      </w:r>
      <w:r>
        <w:rPr>
          <w:rFonts w:ascii="Arial" w:cs="Arial" w:eastAsia="Arial" w:hAnsi="Arial"/>
          <w:sz w:val="18"/>
          <w:szCs w:val="18"/>
          <w:u w:val="single" w:color="auto"/>
          <w:color w:val="auto"/>
        </w:rPr>
        <w:t>Section 6.01(b)</w:t>
      </w:r>
      <w:r>
        <w:rPr>
          <w:rFonts w:ascii="Arial" w:cs="Arial" w:eastAsia="Arial" w:hAnsi="Arial"/>
          <w:sz w:val="18"/>
          <w:szCs w:val="18"/>
          <w:color w:val="auto"/>
        </w:rPr>
        <w:t xml:space="preserve"> of the Agreement for the fiscal quarter of the Borrower and its Consolidated Subsidiaries ended as of the above date.</w:t>
      </w:r>
    </w:p>
    <w:p>
      <w:pPr>
        <w:spacing w:after="0" w:line="131" w:lineRule="exact"/>
        <w:rPr>
          <w:rFonts w:ascii="Arial" w:cs="Arial" w:eastAsia="Arial" w:hAnsi="Arial"/>
          <w:sz w:val="18"/>
          <w:szCs w:val="18"/>
          <w:color w:val="auto"/>
        </w:rPr>
      </w:pPr>
    </w:p>
    <w:p>
      <w:pPr>
        <w:jc w:val="both"/>
        <w:ind w:firstLine="464"/>
        <w:spacing w:after="0" w:line="259" w:lineRule="auto"/>
        <w:tabs>
          <w:tab w:leader="none" w:pos="633" w:val="left"/>
        </w:tabs>
        <w:numPr>
          <w:ilvl w:val="0"/>
          <w:numId w:val="221"/>
        </w:numPr>
        <w:rPr>
          <w:rFonts w:ascii="Arial" w:cs="Arial" w:eastAsia="Arial" w:hAnsi="Arial"/>
          <w:sz w:val="18"/>
          <w:szCs w:val="18"/>
          <w:color w:val="auto"/>
        </w:rPr>
      </w:pPr>
      <w:r>
        <w:rPr>
          <w:rFonts w:ascii="Arial" w:cs="Arial" w:eastAsia="Arial" w:hAnsi="Arial"/>
          <w:sz w:val="18"/>
          <w:szCs w:val="18"/>
          <w:color w:val="auto"/>
        </w:rPr>
        <w:t>Based on my knowledge, the financial statements do not contain any untrue statement of a material fact or omit to state a material fact necessary to make the statements made, in light of the circumstances under which such statements were made, not misleading with respect to the period covered by the financial statements.</w:t>
      </w:r>
    </w:p>
    <w:p>
      <w:pPr>
        <w:spacing w:after="0" w:line="140" w:lineRule="exact"/>
        <w:rPr>
          <w:rFonts w:ascii="Arial" w:cs="Arial" w:eastAsia="Arial" w:hAnsi="Arial"/>
          <w:sz w:val="18"/>
          <w:szCs w:val="18"/>
          <w:color w:val="auto"/>
        </w:rPr>
      </w:pPr>
    </w:p>
    <w:p>
      <w:pPr>
        <w:jc w:val="both"/>
        <w:ind w:firstLine="464"/>
        <w:spacing w:after="0" w:line="298" w:lineRule="auto"/>
        <w:tabs>
          <w:tab w:leader="none" w:pos="641" w:val="left"/>
        </w:tabs>
        <w:numPr>
          <w:ilvl w:val="0"/>
          <w:numId w:val="2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Certificate, fairly present in all material respects the consolidated financial condition, results of operations and cash flows of the Borrower and its Consolidated Subsidiaries and the combined financial condition, results of operations and cash flows of the Borrower and its Consolidated Subsidiaries, each in accordance with GAAP as of, and for, the period presented in the financial statements, subject only to normal year-end audit adjustments, formatting requirements and the absence of footnotes.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Compliance Certificate</w:t>
      </w:r>
    </w:p>
    <w:p>
      <w:pPr>
        <w:sectPr>
          <w:pgSz w:w="11900" w:h="16838" w:orient="portrait"/>
          <w:cols w:equalWidth="0" w:num="1">
            <w:col w:w="11420"/>
          </w:cols>
          <w:pgMar w:left="240" w:top="280" w:right="239" w:bottom="1440" w:gutter="0" w:footer="0" w:header="0"/>
        </w:sectPr>
      </w:pPr>
    </w:p>
    <w:bookmarkStart w:id="213" w:name="page214"/>
    <w:bookmarkEnd w:id="213"/>
    <w:p>
      <w:pPr>
        <w:jc w:val="both"/>
        <w:ind w:firstLine="464"/>
        <w:spacing w:after="0" w:line="259" w:lineRule="auto"/>
        <w:tabs>
          <w:tab w:leader="none" w:pos="649" w:val="left"/>
        </w:tabs>
        <w:numPr>
          <w:ilvl w:val="0"/>
          <w:numId w:val="2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undersigned has reviewed and is familiar with the terms of the Agreement and has made, or has caused to be made under his/her supervision, a detailed review of the transactions and condition (financial or otherwise) of the Borrower and its Consolidated Subsidiaries during the accounting period covered by the attached financial statements.</w:t>
      </w:r>
    </w:p>
    <w:p>
      <w:pPr>
        <w:spacing w:after="0" w:line="140" w:lineRule="exact"/>
        <w:rPr>
          <w:rFonts w:ascii="Arial" w:cs="Arial" w:eastAsia="Arial" w:hAnsi="Arial"/>
          <w:sz w:val="18"/>
          <w:szCs w:val="18"/>
          <w:color w:val="auto"/>
        </w:rPr>
      </w:pPr>
    </w:p>
    <w:p>
      <w:pPr>
        <w:jc w:val="both"/>
        <w:ind w:firstLine="464"/>
        <w:spacing w:after="0" w:line="259" w:lineRule="auto"/>
        <w:tabs>
          <w:tab w:leader="none" w:pos="643"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 review of the activities of the Borrower and its Consolidated Subsidiaries during the accounting period covered by the attached financial statements has been made under the supervision of the undersigned with a view to determining whether during such fiscal period the Borrower and its Consolidated Subsidiaries performed and observed all their Obligations under the Loan Documents, and</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[select one:]</w:t>
      </w:r>
    </w:p>
    <w:p>
      <w:pPr>
        <w:spacing w:after="0" w:line="171"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[to the best knowledge of the undersigned during such fiscal period, the Borrower and its Consolidated Subsidiaries performed and observed each covenant and condition of the Loan Documents applicable to it and no Default under the financial covenants set forth in the Loan Documents occurred or is continuing.]</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following covenants or conditions have not been performed or observed and the following is a list of each such Default and its nature and status:]</w:t>
      </w:r>
    </w:p>
    <w:p>
      <w:pPr>
        <w:spacing w:after="0" w:line="19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[6. Attached as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to this Certificate are (a) supplements to </w:t>
      </w:r>
      <w:r>
        <w:rPr>
          <w:rFonts w:ascii="Arial" w:cs="Arial" w:eastAsia="Arial" w:hAnsi="Arial"/>
          <w:sz w:val="18"/>
          <w:szCs w:val="18"/>
          <w:u w:val="single" w:color="auto"/>
          <w:color w:val="auto"/>
        </w:rPr>
        <w:t>Schedules 5.08</w:t>
      </w:r>
      <w:r>
        <w:rPr>
          <w:rFonts w:ascii="Arial" w:cs="Arial" w:eastAsia="Arial" w:hAnsi="Arial"/>
          <w:sz w:val="18"/>
          <w:szCs w:val="18"/>
          <w:color w:val="auto"/>
        </w:rPr>
        <w:t xml:space="preserve">, </w:t>
      </w:r>
      <w:r>
        <w:rPr>
          <w:rFonts w:ascii="Arial" w:cs="Arial" w:eastAsia="Arial" w:hAnsi="Arial"/>
          <w:sz w:val="18"/>
          <w:szCs w:val="18"/>
          <w:u w:val="single" w:color="auto"/>
          <w:color w:val="auto"/>
        </w:rPr>
        <w:t>5.23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5.25</w:t>
      </w:r>
      <w:r>
        <w:rPr>
          <w:rFonts w:ascii="Arial" w:cs="Arial" w:eastAsia="Arial" w:hAnsi="Arial"/>
          <w:sz w:val="18"/>
          <w:szCs w:val="18"/>
          <w:color w:val="auto"/>
        </w:rPr>
        <w:t xml:space="preserve"> of the Agreement and (b) supplements required by Section 4.14 of the Security Agreement and Section 4.1(b) of the Pledge Agreement.]</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[7. After giving effect to the supplements to </w:t>
      </w:r>
      <w:r>
        <w:rPr>
          <w:rFonts w:ascii="Arial" w:cs="Arial" w:eastAsia="Arial" w:hAnsi="Arial"/>
          <w:sz w:val="16"/>
          <w:szCs w:val="16"/>
          <w:u w:val="single" w:color="auto"/>
          <w:color w:val="auto"/>
        </w:rPr>
        <w:t>Schedules 5.08</w:t>
      </w:r>
      <w:r>
        <w:rPr>
          <w:rFonts w:ascii="Arial" w:cs="Arial" w:eastAsia="Arial" w:hAnsi="Arial"/>
          <w:sz w:val="16"/>
          <w:szCs w:val="16"/>
          <w:color w:val="auto"/>
        </w:rPr>
        <w:t xml:space="preserve">, </w:t>
      </w:r>
      <w:r>
        <w:rPr>
          <w:rFonts w:ascii="Arial" w:cs="Arial" w:eastAsia="Arial" w:hAnsi="Arial"/>
          <w:sz w:val="16"/>
          <w:szCs w:val="16"/>
          <w:u w:val="single" w:color="auto"/>
          <w:color w:val="auto"/>
        </w:rPr>
        <w:t>5.23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5.25</w:t>
      </w:r>
      <w:r>
        <w:rPr>
          <w:rFonts w:ascii="Arial" w:cs="Arial" w:eastAsia="Arial" w:hAnsi="Arial"/>
          <w:sz w:val="16"/>
          <w:szCs w:val="16"/>
          <w:color w:val="auto"/>
        </w:rPr>
        <w:t xml:space="preserve"> of the Agreement, supplements required by Section 4.14 of the Security Agreement and Section 4.1(b) of the Pledge Agreement delivered herewith,] the representations and warranties contained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of the Agreement, </w:t>
      </w:r>
      <w:r>
        <w:rPr>
          <w:rFonts w:ascii="Arial" w:cs="Arial" w:eastAsia="Arial" w:hAnsi="Arial"/>
          <w:sz w:val="16"/>
          <w:szCs w:val="16"/>
          <w:u w:val="single" w:color="auto"/>
          <w:color w:val="auto"/>
        </w:rPr>
        <w:t>Article</w:t>
      </w:r>
    </w:p>
    <w:p>
      <w:pPr>
        <w:jc w:val="both"/>
        <w:ind w:firstLine="8"/>
        <w:spacing w:after="0" w:line="252" w:lineRule="auto"/>
        <w:tabs>
          <w:tab w:leader="none" w:pos="228" w:val="left"/>
        </w:tabs>
        <w:numPr>
          <w:ilvl w:val="0"/>
          <w:numId w:val="223"/>
        </w:numPr>
        <w:rPr>
          <w:rFonts w:ascii="Arial" w:cs="Arial" w:eastAsia="Arial" w:hAnsi="Arial"/>
          <w:sz w:val="18"/>
          <w:szCs w:val="18"/>
          <w:u w:val="single" w:color="auto"/>
          <w:color w:val="auto"/>
        </w:rPr>
      </w:pPr>
      <w:r>
        <w:rPr>
          <w:rFonts w:ascii="Arial" w:cs="Arial" w:eastAsia="Arial" w:hAnsi="Arial"/>
          <w:sz w:val="18"/>
          <w:szCs w:val="18"/>
          <w:color w:val="auto"/>
        </w:rPr>
        <w:t xml:space="preserve">of the Security Agreement and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of the Pledge Agreement, as applicable, or which are contained in any document furnished at any time under or in connection with the Loan Documents, are true and correct in all material respects on and as of the date hereof, except to the extent that such representations and warranties specifically refer to an earlier date, in which case they are true and correct as of such earlier date, and except that for purposes of this Certificate, the representations and warranties contained in subsections (a) and (b) of </w:t>
      </w:r>
      <w:r>
        <w:rPr>
          <w:rFonts w:ascii="Arial" w:cs="Arial" w:eastAsia="Arial" w:hAnsi="Arial"/>
          <w:sz w:val="18"/>
          <w:szCs w:val="18"/>
          <w:u w:val="single" w:color="auto"/>
          <w:color w:val="auto"/>
        </w:rPr>
        <w:t>Section 5.05</w:t>
      </w:r>
      <w:r>
        <w:rPr>
          <w:rFonts w:ascii="Arial" w:cs="Arial" w:eastAsia="Arial" w:hAnsi="Arial"/>
          <w:sz w:val="18"/>
          <w:szCs w:val="18"/>
          <w:color w:val="auto"/>
        </w:rPr>
        <w:t xml:space="preserve"> of the Agreement shall be deemed to refer to the most recent statements furnished pursuant to subsections (a) and (b), respectively, of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of the Agreement, including the statements in connection with which this Certificate is delivered and the references to Schedules shall be deemed to refer to the most updated supplements to the Schedules furnished pursuant to subsection (b) of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of the Agreement.</w:t>
      </w:r>
    </w:p>
    <w:p>
      <w:pPr>
        <w:spacing w:after="0" w:line="146" w:lineRule="exact"/>
        <w:rPr>
          <w:rFonts w:ascii="Arial" w:cs="Arial" w:eastAsia="Arial" w:hAnsi="Arial"/>
          <w:sz w:val="18"/>
          <w:szCs w:val="18"/>
          <w:u w:val="single" w:color="auto"/>
          <w:color w:val="auto"/>
        </w:rPr>
      </w:pPr>
    </w:p>
    <w:p>
      <w:pPr>
        <w:ind w:firstLine="464"/>
        <w:spacing w:after="0" w:line="268" w:lineRule="auto"/>
        <w:tabs>
          <w:tab w:leader="none" w:pos="643" w:val="left"/>
        </w:tabs>
        <w:numPr>
          <w:ilvl w:val="1"/>
          <w:numId w:val="223"/>
        </w:numPr>
        <w:rPr>
          <w:rFonts w:ascii="Arial" w:cs="Arial" w:eastAsia="Arial" w:hAnsi="Arial"/>
          <w:sz w:val="18"/>
          <w:szCs w:val="18"/>
          <w:color w:val="auto"/>
        </w:rPr>
      </w:pPr>
      <w:r>
        <w:rPr>
          <w:rFonts w:ascii="Arial" w:cs="Arial" w:eastAsia="Arial" w:hAnsi="Arial"/>
          <w:sz w:val="18"/>
          <w:szCs w:val="18"/>
          <w:color w:val="auto"/>
        </w:rPr>
        <w:t xml:space="preserve">The financial covenant analyses and information set forth on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attached hereto are true and accurate in all material respects on and as of the date of this Certificate.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Compliance Certificate</w:t>
      </w:r>
    </w:p>
    <w:p>
      <w:pPr>
        <w:sectPr>
          <w:pgSz w:w="11900" w:h="16838" w:orient="portrait"/>
          <w:cols w:equalWidth="0" w:num="1">
            <w:col w:w="11420"/>
          </w:cols>
          <w:pgMar w:left="240" w:top="280" w:right="239" w:bottom="1440" w:gutter="0" w:footer="0" w:header="0"/>
        </w:sectPr>
      </w:pPr>
    </w:p>
    <w:bookmarkStart w:id="214" w:name="page215"/>
    <w:bookmarkEnd w:id="214"/>
    <w:p>
      <w:pPr>
        <w:jc w:val="both"/>
        <w:ind w:firstLine="464"/>
        <w:spacing w:after="0" w:line="259" w:lineRule="auto"/>
        <w:tabs>
          <w:tab w:leader="none" w:pos="638" w:val="left"/>
        </w:tabs>
        <w:numPr>
          <w:ilvl w:val="0"/>
          <w:numId w:val="2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All future synergies, cost savings and restructuring charges included in the calculation of Consolidated EBITDA either (a) have been determined by the Company to be permitted to be included as pro forma adjustments under Article 11 of Regulation S-X or (b) are otherwise permitted under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the definition of Permitted Cost Savings” found in the Credit Agreement..</w:t>
      </w:r>
    </w:p>
    <w:p>
      <w:pPr>
        <w:spacing w:after="0" w:line="140" w:lineRule="exact"/>
        <w:rPr>
          <w:rFonts w:ascii="Arial" w:cs="Arial" w:eastAsia="Arial" w:hAnsi="Arial"/>
          <w:sz w:val="18"/>
          <w:szCs w:val="18"/>
          <w:color w:val="auto"/>
        </w:rPr>
      </w:pPr>
    </w:p>
    <w:p>
      <w:pPr>
        <w:ind w:firstLine="464"/>
        <w:spacing w:after="0" w:line="370" w:lineRule="auto"/>
        <w:tabs>
          <w:tab w:leader="none" w:pos="720" w:val="left"/>
        </w:tabs>
        <w:numPr>
          <w:ilvl w:val="0"/>
          <w:numId w:val="224"/>
        </w:numPr>
        <w:rPr>
          <w:rFonts w:ascii="Arial" w:cs="Arial" w:eastAsia="Arial" w:hAnsi="Arial"/>
          <w:sz w:val="15"/>
          <w:szCs w:val="15"/>
          <w:color w:val="auto"/>
        </w:rPr>
      </w:pPr>
      <w:r>
        <w:rPr>
          <w:rFonts w:ascii="Arial" w:cs="Arial" w:eastAsia="Arial" w:hAnsi="Arial"/>
          <w:sz w:val="15"/>
          <w:szCs w:val="15"/>
          <w:color w:val="auto"/>
        </w:rPr>
        <w:t>The Consolidated EBITDA during the four consecutive fiscal quarters most recently ended of all Domestic Subsidiaries that are designated as Excluded Subsidiaries does not exceed five percent (5.0%) of the Consolidated EBITDA during such period of the Borrower and its consolidated Domestic Subsidiaries.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IN WITNESS WHEREOF, </w:t>
      </w:r>
      <w:r>
        <w:rPr>
          <w:rFonts w:ascii="Arial" w:cs="Arial" w:eastAsia="Arial" w:hAnsi="Arial"/>
          <w:sz w:val="16"/>
          <w:szCs w:val="16"/>
          <w:color w:val="auto"/>
        </w:rPr>
        <w:t>the undersigned Responsible Officer has executed this Certificate solely in his/her capacity as an officer of the Borrower as of</w:t>
      </w:r>
    </w:p>
    <w:p>
      <w:pPr>
        <w:spacing w:after="0" w:line="38" w:lineRule="exact"/>
        <w:rPr>
          <w:sz w:val="20"/>
          <w:szCs w:val="20"/>
          <w:color w:val="auto"/>
        </w:rPr>
      </w:pPr>
    </w:p>
    <w:p>
      <w:pPr>
        <w:ind w:left="980" w:hanging="445"/>
        <w:spacing w:after="0"/>
        <w:tabs>
          <w:tab w:leader="none" w:pos="9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w:t>
      </w:r>
    </w:p>
    <w:p>
      <w:pPr>
        <w:spacing w:after="0" w:line="19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INTEGRA LIFESCIENCES HOLDINGS</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 xml:space="preserve">CORPORATION, </w:t>
      </w:r>
      <w:r>
        <w:rPr>
          <w:rFonts w:ascii="Arial" w:cs="Arial" w:eastAsia="Arial" w:hAnsi="Arial"/>
          <w:sz w:val="18"/>
          <w:szCs w:val="18"/>
          <w:color w:val="auto"/>
        </w:rPr>
        <w:t>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170180</wp:posOffset>
            </wp:positionV>
            <wp:extent cx="261556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28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Responsible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Compliance Certificate</w:t>
      </w:r>
    </w:p>
    <w:p>
      <w:pPr>
        <w:sectPr>
          <w:pgSz w:w="11900" w:h="16838" w:orient="portrait"/>
          <w:cols w:equalWidth="0" w:num="1">
            <w:col w:w="11420"/>
          </w:cols>
          <w:pgMar w:left="240" w:top="280" w:right="239" w:bottom="1440" w:gutter="0" w:footer="0" w:header="0"/>
        </w:sectPr>
      </w:pPr>
    </w:p>
    <w:bookmarkStart w:id="215" w:name="page216"/>
    <w:bookmarkEnd w:id="215"/>
    <w:p>
      <w:pPr>
        <w:ind w:left="2560"/>
        <w:spacing w:after="0"/>
        <w:tabs>
          <w:tab w:leader="none" w:pos="53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the Quarter/Year ended</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Statement Date</w:t>
      </w:r>
      <w:r>
        <w:rPr>
          <w:rFonts w:ascii="Arial" w:cs="Arial" w:eastAsia="Arial" w:hAnsi="Arial"/>
          <w:sz w:val="16"/>
          <w:szCs w:val="16"/>
          <w:color w:val="auto"/>
        </w:rPr>
        <w:t>”)</w:t>
      </w:r>
    </w:p>
    <w:p>
      <w:pPr>
        <w:sectPr>
          <w:pgSz w:w="11900" w:h="16838" w:orient="portrait"/>
          <w:cols w:equalWidth="0" w:num="1">
            <w:col w:w="9019"/>
          </w:cols>
          <w:pgMar w:left="1440" w:top="280" w:right="1440" w:bottom="1440" w:gutter="0" w:footer="0" w:header="0"/>
        </w:sect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SCHEDULE 1</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to the Compliance Certificate</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Financial Certificates</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D-4</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Form of Compliance Certificate</w:t>
      </w:r>
    </w:p>
    <w:p>
      <w:pPr>
        <w:sectPr>
          <w:pgSz w:w="11900" w:h="16838" w:orient="portrait"/>
          <w:cols w:equalWidth="0" w:num="1">
            <w:col w:w="9019"/>
          </w:cols>
          <w:pgMar w:left="1440" w:top="280" w:right="1440" w:bottom="1440" w:gutter="0" w:footer="0" w:header="0"/>
          <w:type w:val="continuous"/>
        </w:sectPr>
      </w:pPr>
    </w:p>
    <w:bookmarkStart w:id="216" w:name="page217"/>
    <w:bookmarkEnd w:id="216"/>
    <w:p>
      <w:pPr>
        <w:ind w:left="3752"/>
        <w:spacing w:after="0"/>
        <w:tabs>
          <w:tab w:leader="none" w:pos="657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Quarter/Year ended</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Statement Date</w:t>
      </w:r>
      <w:r>
        <w:rPr>
          <w:rFonts w:ascii="Arial" w:cs="Arial" w:eastAsia="Arial" w:hAnsi="Arial"/>
          <w:sz w:val="16"/>
          <w:szCs w:val="16"/>
          <w:color w:val="auto"/>
        </w:rPr>
        <w:t>”)</w:t>
      </w:r>
    </w:p>
    <w:p>
      <w:pPr>
        <w:spacing w:after="0" w:line="165" w:lineRule="exact"/>
        <w:rPr>
          <w:sz w:val="20"/>
          <w:szCs w:val="20"/>
          <w:color w:val="auto"/>
        </w:rPr>
      </w:pPr>
    </w:p>
    <w:p>
      <w:pPr>
        <w:jc w:val="center"/>
        <w:ind w:right="-611"/>
        <w:spacing w:after="0"/>
        <w:rPr>
          <w:sz w:val="20"/>
          <w:szCs w:val="20"/>
          <w:color w:val="auto"/>
        </w:rPr>
      </w:pPr>
      <w:r>
        <w:rPr>
          <w:rFonts w:ascii="Arial" w:cs="Arial" w:eastAsia="Arial" w:hAnsi="Arial"/>
          <w:sz w:val="18"/>
          <w:szCs w:val="18"/>
          <w:b w:val="1"/>
          <w:bCs w:val="1"/>
          <w:color w:val="auto"/>
        </w:rPr>
        <w:t>SCHEDULE 2</w:t>
      </w:r>
    </w:p>
    <w:p>
      <w:pPr>
        <w:spacing w:after="0" w:line="21" w:lineRule="exact"/>
        <w:rPr>
          <w:sz w:val="20"/>
          <w:szCs w:val="20"/>
          <w:color w:val="auto"/>
        </w:rPr>
      </w:pPr>
    </w:p>
    <w:p>
      <w:pPr>
        <w:jc w:val="center"/>
        <w:ind w:right="-611"/>
        <w:spacing w:after="0"/>
        <w:rPr>
          <w:sz w:val="20"/>
          <w:szCs w:val="20"/>
          <w:color w:val="auto"/>
        </w:rPr>
      </w:pPr>
      <w:r>
        <w:rPr>
          <w:rFonts w:ascii="Arial" w:cs="Arial" w:eastAsia="Arial" w:hAnsi="Arial"/>
          <w:sz w:val="18"/>
          <w:szCs w:val="18"/>
          <w:b w:val="1"/>
          <w:bCs w:val="1"/>
          <w:color w:val="auto"/>
        </w:rPr>
        <w:t>to the Compliance Certificate</w:t>
      </w:r>
    </w:p>
    <w:p>
      <w:pPr>
        <w:spacing w:after="0" w:line="9" w:lineRule="exact"/>
        <w:rPr>
          <w:sz w:val="20"/>
          <w:szCs w:val="20"/>
          <w:color w:val="auto"/>
        </w:rPr>
      </w:pPr>
    </w:p>
    <w:p>
      <w:pPr>
        <w:jc w:val="center"/>
        <w:ind w:right="-611"/>
        <w:spacing w:after="0"/>
        <w:rPr>
          <w:sz w:val="20"/>
          <w:szCs w:val="20"/>
          <w:color w:val="auto"/>
        </w:rPr>
      </w:pPr>
      <w:r>
        <w:rPr>
          <w:rFonts w:ascii="Arial" w:cs="Arial" w:eastAsia="Arial" w:hAnsi="Arial"/>
          <w:sz w:val="18"/>
          <w:szCs w:val="18"/>
          <w:b w:val="1"/>
          <w:bCs w:val="1"/>
          <w:color w:val="auto"/>
        </w:rPr>
        <w:t>($ in 000’s)</w:t>
      </w:r>
    </w:p>
    <w:p>
      <w:pPr>
        <w:spacing w:after="0" w:line="199" w:lineRule="exact"/>
        <w:rPr>
          <w:sz w:val="20"/>
          <w:szCs w:val="20"/>
          <w:color w:val="auto"/>
        </w:rPr>
      </w:pPr>
    </w:p>
    <w:p>
      <w:pPr>
        <w:ind w:left="452" w:hanging="452"/>
        <w:spacing w:after="0"/>
        <w:tabs>
          <w:tab w:leader="none" w:pos="452"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Maximum Consolidated Total Leverage Ratio (Section 7.17(a))</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A.   Consolidated Funded Indebtedness of the Borrower and its Consolidated Subsidiaries at Statement Date:</w:t>
      </w:r>
    </w:p>
    <w:p>
      <w:pPr>
        <w:spacing w:after="0" w:line="117" w:lineRule="exact"/>
        <w:rPr>
          <w:sz w:val="20"/>
          <w:szCs w:val="20"/>
          <w:color w:val="auto"/>
        </w:rPr>
      </w:pPr>
    </w:p>
    <w:tbl>
      <w:tblPr>
        <w:tblLayout w:type="fixed"/>
        <w:tblInd w:w="872" w:type="dxa"/>
        <w:tblCellMar>
          <w:top w:w="0" w:type="dxa"/>
          <w:left w:w="0" w:type="dxa"/>
          <w:bottom w:w="0" w:type="dxa"/>
          <w:right w:w="0" w:type="dxa"/>
        </w:tblCellMar>
      </w:tblPr>
      <w:tr>
        <w:trPr>
          <w:trHeight w:val="222"/>
        </w:trPr>
        <w:tc>
          <w:tcPr>
            <w:tcW w:w="280" w:type="dxa"/>
            <w:vAlign w:val="bottom"/>
          </w:tcPr>
          <w:p>
            <w:pPr>
              <w:jc w:val="right"/>
              <w:spacing w:after="0"/>
              <w:rPr>
                <w:sz w:val="20"/>
                <w:szCs w:val="20"/>
                <w:color w:val="auto"/>
              </w:rPr>
            </w:pPr>
            <w:r>
              <w:rPr>
                <w:rFonts w:ascii="Arial" w:cs="Arial" w:eastAsia="Arial" w:hAnsi="Arial"/>
                <w:sz w:val="18"/>
                <w:szCs w:val="18"/>
                <w:color w:val="auto"/>
                <w:w w:val="81"/>
              </w:rPr>
              <w:t>(1)</w:t>
            </w:r>
          </w:p>
        </w:tc>
        <w:tc>
          <w:tcPr>
            <w:tcW w:w="8740" w:type="dxa"/>
            <w:vAlign w:val="bottom"/>
          </w:tcPr>
          <w:p>
            <w:pPr>
              <w:ind w:left="100"/>
              <w:spacing w:after="0"/>
              <w:rPr>
                <w:sz w:val="20"/>
                <w:szCs w:val="20"/>
                <w:color w:val="auto"/>
              </w:rPr>
            </w:pPr>
            <w:r>
              <w:rPr>
                <w:rFonts w:ascii="Arial" w:cs="Arial" w:eastAsia="Arial" w:hAnsi="Arial"/>
                <w:sz w:val="18"/>
                <w:szCs w:val="18"/>
                <w:color w:val="auto"/>
              </w:rPr>
              <w:t>Consolidated Funded Indebtedness of the Borrower and its Consolidated Subsidiaries at Statement Date: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280" w:type="dxa"/>
            <w:vAlign w:val="bottom"/>
          </w:tcPr>
          <w:p>
            <w:pPr>
              <w:spacing w:after="0"/>
              <w:rPr>
                <w:sz w:val="24"/>
                <w:szCs w:val="24"/>
                <w:color w:val="auto"/>
              </w:rPr>
            </w:pPr>
          </w:p>
        </w:tc>
        <w:tc>
          <w:tcPr>
            <w:tcW w:w="8740" w:type="dxa"/>
            <w:vAlign w:val="bottom"/>
          </w:tcPr>
          <w:p>
            <w:pPr>
              <w:ind w:left="140"/>
              <w:spacing w:after="0"/>
              <w:rPr>
                <w:sz w:val="20"/>
                <w:szCs w:val="20"/>
                <w:color w:val="auto"/>
              </w:rPr>
            </w:pPr>
            <w:r>
              <w:rPr>
                <w:rFonts w:ascii="Arial" w:cs="Arial" w:eastAsia="Arial" w:hAnsi="Arial"/>
                <w:sz w:val="18"/>
                <w:szCs w:val="18"/>
                <w:color w:val="auto"/>
              </w:rPr>
              <w:t>(2) Unrestricted cash as set forth on the most recent balance sheet in excess of $40,000,000:</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280" w:type="dxa"/>
            <w:vAlign w:val="bottom"/>
          </w:tcPr>
          <w:p>
            <w:pPr>
              <w:jc w:val="right"/>
              <w:spacing w:after="0"/>
              <w:rPr>
                <w:sz w:val="20"/>
                <w:szCs w:val="20"/>
                <w:color w:val="auto"/>
              </w:rPr>
            </w:pPr>
            <w:r>
              <w:rPr>
                <w:rFonts w:ascii="Arial" w:cs="Arial" w:eastAsia="Arial" w:hAnsi="Arial"/>
                <w:sz w:val="18"/>
                <w:szCs w:val="18"/>
                <w:color w:val="auto"/>
                <w:w w:val="81"/>
              </w:rPr>
              <w:t>(3)</w:t>
            </w:r>
          </w:p>
        </w:tc>
        <w:tc>
          <w:tcPr>
            <w:tcW w:w="8740" w:type="dxa"/>
            <w:vAlign w:val="bottom"/>
          </w:tcPr>
          <w:p>
            <w:pPr>
              <w:ind w:left="100"/>
              <w:spacing w:after="0"/>
              <w:rPr>
                <w:sz w:val="20"/>
                <w:szCs w:val="20"/>
                <w:color w:val="auto"/>
              </w:rPr>
            </w:pPr>
            <w:r>
              <w:rPr>
                <w:rFonts w:ascii="Arial" w:cs="Arial" w:eastAsia="Arial" w:hAnsi="Arial"/>
                <w:sz w:val="18"/>
                <w:szCs w:val="18"/>
                <w:color w:val="auto"/>
                <w:w w:val="98"/>
              </w:rPr>
              <w:t>Consolidated Funded Indebtedness of the Borrower and its Consolidated Subsidiaries (Line I.A.1 – Line I.A.2):</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10" w:lineRule="exact"/>
        <w:rPr>
          <w:sz w:val="20"/>
          <w:szCs w:val="20"/>
          <w:color w:val="auto"/>
        </w:rPr>
      </w:pPr>
    </w:p>
    <w:p>
      <w:pPr>
        <w:ind w:left="812" w:hanging="380"/>
        <w:spacing w:after="0"/>
        <w:tabs>
          <w:tab w:leader="none" w:pos="812" w:val="left"/>
        </w:tabs>
        <w:numPr>
          <w:ilvl w:val="0"/>
          <w:numId w:val="227"/>
        </w:numPr>
        <w:rPr>
          <w:rFonts w:ascii="Arial" w:cs="Arial" w:eastAsia="Arial" w:hAnsi="Arial"/>
          <w:sz w:val="18"/>
          <w:szCs w:val="18"/>
          <w:color w:val="auto"/>
        </w:rPr>
      </w:pPr>
      <w:r>
        <w:rPr>
          <w:rFonts w:ascii="Arial" w:cs="Arial" w:eastAsia="Arial" w:hAnsi="Arial"/>
          <w:sz w:val="18"/>
          <w:szCs w:val="18"/>
          <w:color w:val="auto"/>
        </w:rPr>
        <w:t>Consolidated EBITDA for four consecutive fiscal quarters most recently ended (the “</w:t>
      </w:r>
      <w:r>
        <w:rPr>
          <w:rFonts w:ascii="Arial" w:cs="Arial" w:eastAsia="Arial" w:hAnsi="Arial"/>
          <w:sz w:val="18"/>
          <w:szCs w:val="18"/>
          <w:u w:val="single" w:color="auto"/>
          <w:color w:val="auto"/>
        </w:rPr>
        <w:t>Subject Period</w:t>
      </w:r>
      <w:r>
        <w:rPr>
          <w:rFonts w:ascii="Arial" w:cs="Arial" w:eastAsia="Arial" w:hAnsi="Arial"/>
          <w:sz w:val="18"/>
          <w:szCs w:val="18"/>
          <w:color w:val="auto"/>
        </w:rPr>
        <w:t>”):</w:t>
      </w:r>
    </w:p>
    <w:p>
      <w:pPr>
        <w:spacing w:after="0" w:line="117" w:lineRule="exact"/>
        <w:rPr>
          <w:sz w:val="20"/>
          <w:szCs w:val="20"/>
          <w:color w:val="auto"/>
        </w:rPr>
      </w:pPr>
    </w:p>
    <w:p>
      <w:pPr>
        <w:ind w:left="1252" w:hanging="388"/>
        <w:spacing w:after="0"/>
        <w:tabs>
          <w:tab w:leader="none" w:pos="1252" w:val="left"/>
        </w:tabs>
        <w:numPr>
          <w:ilvl w:val="0"/>
          <w:numId w:val="228"/>
        </w:numPr>
        <w:rPr>
          <w:rFonts w:ascii="Arial" w:cs="Arial" w:eastAsia="Arial" w:hAnsi="Arial"/>
          <w:sz w:val="18"/>
          <w:szCs w:val="18"/>
          <w:color w:val="auto"/>
        </w:rPr>
      </w:pPr>
      <w:r>
        <w:rPr>
          <w:rFonts w:ascii="Arial" w:cs="Arial" w:eastAsia="Arial" w:hAnsi="Arial"/>
          <w:sz w:val="18"/>
          <w:szCs w:val="18"/>
          <w:color w:val="auto"/>
        </w:rPr>
        <w:t>Consolidated EBITDA of the Borrower and its Consolidated Subsidiaries for the Subject Period:</w:t>
      </w:r>
    </w:p>
    <w:p>
      <w:pPr>
        <w:sectPr>
          <w:pgSz w:w="11900" w:h="16838" w:orient="portrait"/>
          <w:cols w:equalWidth="0" w:num="1">
            <w:col w:w="10792"/>
          </w:cols>
          <w:pgMar w:left="248" w:top="280" w:right="859" w:bottom="1440" w:gutter="0" w:footer="0" w:header="0"/>
        </w:sectPr>
      </w:pPr>
    </w:p>
    <w:p>
      <w:pPr>
        <w:spacing w:after="0" w:line="117" w:lineRule="exact"/>
        <w:rPr>
          <w:sz w:val="20"/>
          <w:szCs w:val="20"/>
          <w:color w:val="auto"/>
        </w:rPr>
      </w:pPr>
    </w:p>
    <w:p>
      <w:pPr>
        <w:ind w:left="1292"/>
        <w:spacing w:after="0"/>
        <w:tabs>
          <w:tab w:leader="none" w:pos="1672"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Consolidated Net Income for Subject Period:</w:t>
      </w:r>
    </w:p>
    <w:p>
      <w:pPr>
        <w:spacing w:after="0" w:line="117" w:lineRule="exact"/>
        <w:rPr>
          <w:sz w:val="20"/>
          <w:szCs w:val="20"/>
          <w:color w:val="auto"/>
        </w:rPr>
      </w:pPr>
    </w:p>
    <w:p>
      <w:pPr>
        <w:ind w:left="1292"/>
        <w:spacing w:after="0"/>
        <w:tabs>
          <w:tab w:leader="none" w:pos="1672" w:val="left"/>
        </w:tabs>
        <w:rPr>
          <w:sz w:val="20"/>
          <w:szCs w:val="20"/>
          <w:color w:val="auto"/>
        </w:rPr>
      </w:pPr>
      <w:r>
        <w:rPr>
          <w:rFonts w:ascii="Arial" w:cs="Arial" w:eastAsia="Arial" w:hAnsi="Arial"/>
          <w:sz w:val="15"/>
          <w:szCs w:val="15"/>
          <w:color w:val="auto"/>
        </w:rPr>
        <w:t>ii.</w:t>
      </w:r>
      <w:r>
        <w:rPr>
          <w:sz w:val="20"/>
          <w:szCs w:val="20"/>
          <w:color w:val="auto"/>
        </w:rPr>
        <w:tab/>
      </w:r>
      <w:r>
        <w:rPr>
          <w:rFonts w:ascii="Arial" w:cs="Arial" w:eastAsia="Arial" w:hAnsi="Arial"/>
          <w:sz w:val="15"/>
          <w:szCs w:val="15"/>
          <w:color w:val="auto"/>
        </w:rPr>
        <w:t>Consolidated Interest Charges for Subject Period, to the extent deducted in calculating Consolidated Net Income in item (i):</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63" w:lineRule="exact"/>
        <w:rPr>
          <w:sz w:val="20"/>
          <w:szCs w:val="20"/>
          <w:color w:val="auto"/>
        </w:rPr>
      </w:pPr>
    </w:p>
    <w:p>
      <w:pPr>
        <w:sectPr>
          <w:pgSz w:w="11900" w:h="16838" w:orient="portrait"/>
          <w:cols w:equalWidth="0" w:num="2">
            <w:col w:w="10392" w:space="320"/>
            <w:col w:w="80"/>
          </w:cols>
          <w:pgMar w:left="248" w:top="280" w:right="859" w:bottom="1440" w:gutter="0" w:footer="0" w:header="0"/>
          <w:type w:val="continuous"/>
        </w:sectPr>
      </w:pPr>
    </w:p>
    <w:p>
      <w:pPr>
        <w:ind w:left="1812" w:hanging="515"/>
        <w:spacing w:after="0"/>
        <w:tabs>
          <w:tab w:leader="none" w:pos="1812" w:val="left"/>
        </w:tabs>
        <w:numPr>
          <w:ilvl w:val="0"/>
          <w:numId w:val="229"/>
        </w:numPr>
        <w:rPr>
          <w:rFonts w:ascii="Arial" w:cs="Arial" w:eastAsia="Arial" w:hAnsi="Arial"/>
          <w:sz w:val="16"/>
          <w:szCs w:val="16"/>
          <w:color w:val="auto"/>
        </w:rPr>
      </w:pPr>
      <w:r>
        <w:rPr>
          <w:rFonts w:ascii="Arial" w:cs="Arial" w:eastAsia="Arial" w:hAnsi="Arial"/>
          <w:sz w:val="16"/>
          <w:szCs w:val="16"/>
          <w:color w:val="auto"/>
        </w:rPr>
        <w:t>Provision for federal, state, local and foreign income taxes for Subject Period, to the extent deducted in calculating</w:t>
      </w:r>
    </w:p>
    <w:p>
      <w:pPr>
        <w:spacing w:after="0" w:line="38"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8"/>
          <w:szCs w:val="18"/>
          <w:color w:val="auto"/>
        </w:rPr>
        <w:t>Consolidated Net Income in item (i):</w:t>
      </w:r>
      <w:r>
        <w:rPr>
          <w:sz w:val="20"/>
          <w:szCs w:val="20"/>
          <w:color w:val="auto"/>
        </w:rPr>
        <w:tab/>
      </w:r>
      <w:r>
        <w:rPr>
          <w:rFonts w:ascii="Arial" w:cs="Arial" w:eastAsia="Arial" w:hAnsi="Arial"/>
          <w:sz w:val="14"/>
          <w:szCs w:val="14"/>
          <w:color w:val="auto"/>
        </w:rPr>
        <w:t>$</w:t>
      </w:r>
    </w:p>
    <w:p>
      <w:pPr>
        <w:spacing w:after="0" w:line="111" w:lineRule="exact"/>
        <w:rPr>
          <w:sz w:val="20"/>
          <w:szCs w:val="20"/>
          <w:color w:val="auto"/>
        </w:rPr>
      </w:pPr>
    </w:p>
    <w:p>
      <w:pPr>
        <w:ind w:left="1712" w:hanging="415"/>
        <w:spacing w:after="0"/>
        <w:tabs>
          <w:tab w:leader="none" w:pos="1712" w:val="left"/>
        </w:tabs>
        <w:numPr>
          <w:ilvl w:val="0"/>
          <w:numId w:val="230"/>
        </w:numPr>
        <w:rPr>
          <w:rFonts w:ascii="Arial" w:cs="Arial" w:eastAsia="Arial" w:hAnsi="Arial"/>
          <w:sz w:val="16"/>
          <w:szCs w:val="16"/>
          <w:color w:val="auto"/>
        </w:rPr>
      </w:pPr>
      <w:r>
        <w:rPr>
          <w:rFonts w:ascii="Arial" w:cs="Arial" w:eastAsia="Arial" w:hAnsi="Arial"/>
          <w:sz w:val="16"/>
          <w:szCs w:val="16"/>
          <w:color w:val="auto"/>
        </w:rPr>
        <w:t>Depreciation expenses deducted in determining such Consolidated Net Income for Subject Period, to the extent deducted in</w:t>
      </w:r>
    </w:p>
    <w:p>
      <w:pPr>
        <w:sectPr>
          <w:pgSz w:w="11900" w:h="16838" w:orient="portrait"/>
          <w:cols w:equalWidth="0" w:num="1">
            <w:col w:w="10792"/>
          </w:cols>
          <w:pgMar w:left="248" w:top="280" w:right="859" w:bottom="1440" w:gutter="0" w:footer="0" w:header="0"/>
          <w:type w:val="continuous"/>
        </w:sectPr>
      </w:pPr>
    </w:p>
    <w:p>
      <w:pPr>
        <w:spacing w:after="0" w:line="38" w:lineRule="exact"/>
        <w:rPr>
          <w:sz w:val="20"/>
          <w:szCs w:val="20"/>
          <w:color w:val="auto"/>
        </w:rPr>
      </w:pPr>
    </w:p>
    <w:p>
      <w:pPr>
        <w:ind w:left="1732"/>
        <w:spacing w:after="0"/>
        <w:rPr>
          <w:sz w:val="20"/>
          <w:szCs w:val="20"/>
          <w:color w:val="auto"/>
        </w:rPr>
      </w:pPr>
      <w:r>
        <w:rPr>
          <w:rFonts w:ascii="Arial" w:cs="Arial" w:eastAsia="Arial" w:hAnsi="Arial"/>
          <w:sz w:val="16"/>
          <w:szCs w:val="16"/>
          <w:color w:val="auto"/>
        </w:rPr>
        <w:t>calculating Consolidated Net Income in item (i):</w:t>
      </w:r>
    </w:p>
    <w:p>
      <w:pPr>
        <w:spacing w:after="0" w:line="134" w:lineRule="exact"/>
        <w:rPr>
          <w:sz w:val="20"/>
          <w:szCs w:val="20"/>
          <w:color w:val="auto"/>
        </w:rPr>
      </w:pPr>
    </w:p>
    <w:p>
      <w:pPr>
        <w:ind w:left="1292"/>
        <w:spacing w:after="0"/>
        <w:tabs>
          <w:tab w:leader="none" w:pos="1652" w:val="left"/>
        </w:tabs>
        <w:rPr>
          <w:sz w:val="20"/>
          <w:szCs w:val="20"/>
          <w:color w:val="auto"/>
        </w:rPr>
      </w:pPr>
      <w:r>
        <w:rPr>
          <w:rFonts w:ascii="Arial" w:cs="Arial" w:eastAsia="Arial" w:hAnsi="Arial"/>
          <w:sz w:val="15"/>
          <w:szCs w:val="15"/>
          <w:color w:val="auto"/>
        </w:rPr>
        <w:t>v.</w:t>
      </w:r>
      <w:r>
        <w:rPr>
          <w:sz w:val="20"/>
          <w:szCs w:val="20"/>
          <w:color w:val="auto"/>
        </w:rPr>
        <w:tab/>
      </w:r>
      <w:r>
        <w:rPr>
          <w:rFonts w:ascii="Arial" w:cs="Arial" w:eastAsia="Arial" w:hAnsi="Arial"/>
          <w:sz w:val="15"/>
          <w:szCs w:val="15"/>
          <w:color w:val="auto"/>
        </w:rPr>
        <w:t>Enterprise resource planning costs for Subject Period</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63" w:lineRule="exact"/>
        <w:rPr>
          <w:sz w:val="20"/>
          <w:szCs w:val="20"/>
          <w:color w:val="auto"/>
        </w:rPr>
      </w:pPr>
    </w:p>
    <w:p>
      <w:pPr>
        <w:sectPr>
          <w:pgSz w:w="11900" w:h="16838" w:orient="portrait"/>
          <w:cols w:equalWidth="0" w:num="2">
            <w:col w:w="9992" w:space="720"/>
            <w:col w:w="80"/>
          </w:cols>
          <w:pgMar w:left="248" w:top="280" w:right="859" w:bottom="1440" w:gutter="0" w:footer="0" w:header="0"/>
          <w:type w:val="continuous"/>
        </w:sectPr>
      </w:pPr>
    </w:p>
    <w:p>
      <w:pPr>
        <w:ind w:left="1712" w:hanging="415"/>
        <w:spacing w:after="0"/>
        <w:tabs>
          <w:tab w:leader="none" w:pos="1712" w:val="left"/>
        </w:tabs>
        <w:numPr>
          <w:ilvl w:val="0"/>
          <w:numId w:val="231"/>
        </w:numPr>
        <w:rPr>
          <w:rFonts w:ascii="Arial" w:cs="Arial" w:eastAsia="Arial" w:hAnsi="Arial"/>
          <w:sz w:val="16"/>
          <w:szCs w:val="16"/>
          <w:color w:val="auto"/>
        </w:rPr>
      </w:pPr>
      <w:r>
        <w:rPr>
          <w:rFonts w:ascii="Arial" w:cs="Arial" w:eastAsia="Arial" w:hAnsi="Arial"/>
          <w:sz w:val="16"/>
          <w:szCs w:val="16"/>
          <w:color w:val="auto"/>
        </w:rPr>
        <w:t>Amortization expenses deducted in determining such Consolidated Net Income for Subject Period, to the extent deducted in</w:t>
      </w:r>
    </w:p>
    <w:p>
      <w:pPr>
        <w:spacing w:after="0" w:line="38"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8"/>
          <w:szCs w:val="18"/>
          <w:color w:val="auto"/>
        </w:rPr>
        <w:t>calculating Consolidated Net Income in item (i):</w:t>
      </w:r>
      <w:r>
        <w:rPr>
          <w:sz w:val="20"/>
          <w:szCs w:val="20"/>
          <w:color w:val="auto"/>
        </w:rPr>
        <w:tab/>
      </w:r>
      <w:r>
        <w:rPr>
          <w:rFonts w:ascii="Arial" w:cs="Arial" w:eastAsia="Arial" w:hAnsi="Arial"/>
          <w:sz w:val="14"/>
          <w:szCs w:val="14"/>
          <w:color w:val="auto"/>
        </w:rPr>
        <w:t>$</w:t>
      </w:r>
    </w:p>
    <w:p>
      <w:pPr>
        <w:spacing w:after="0" w:line="165" w:lineRule="exact"/>
        <w:rPr>
          <w:sz w:val="20"/>
          <w:szCs w:val="20"/>
          <w:color w:val="auto"/>
        </w:rPr>
      </w:pPr>
    </w:p>
    <w:p>
      <w:pPr>
        <w:jc w:val="center"/>
        <w:ind w:right="-611"/>
        <w:spacing w:after="0"/>
        <w:rPr>
          <w:sz w:val="20"/>
          <w:szCs w:val="20"/>
          <w:color w:val="auto"/>
        </w:rPr>
      </w:pPr>
      <w:r>
        <w:rPr>
          <w:rFonts w:ascii="Arial" w:cs="Arial" w:eastAsia="Arial" w:hAnsi="Arial"/>
          <w:sz w:val="18"/>
          <w:szCs w:val="18"/>
          <w:color w:val="auto"/>
        </w:rPr>
        <w:t>D-5</w:t>
      </w:r>
    </w:p>
    <w:p>
      <w:pPr>
        <w:spacing w:after="0" w:line="15" w:lineRule="exact"/>
        <w:rPr>
          <w:sz w:val="20"/>
          <w:szCs w:val="20"/>
          <w:color w:val="auto"/>
        </w:rPr>
      </w:pPr>
    </w:p>
    <w:p>
      <w:pPr>
        <w:jc w:val="center"/>
        <w:ind w:right="-611"/>
        <w:spacing w:after="0"/>
        <w:rPr>
          <w:sz w:val="20"/>
          <w:szCs w:val="20"/>
          <w:color w:val="auto"/>
        </w:rPr>
      </w:pPr>
      <w:r>
        <w:rPr>
          <w:rFonts w:ascii="Arial" w:cs="Arial" w:eastAsia="Arial" w:hAnsi="Arial"/>
          <w:sz w:val="18"/>
          <w:szCs w:val="18"/>
          <w:color w:val="auto"/>
        </w:rPr>
        <w:t>Form of Compliance Certificate</w:t>
      </w:r>
    </w:p>
    <w:p>
      <w:pPr>
        <w:sectPr>
          <w:pgSz w:w="11900" w:h="16838" w:orient="portrait"/>
          <w:cols w:equalWidth="0" w:num="1">
            <w:col w:w="10792"/>
          </w:cols>
          <w:pgMar w:left="248" w:top="280" w:right="859" w:bottom="1440" w:gutter="0" w:footer="0" w:header="0"/>
          <w:type w:val="continuous"/>
        </w:sectPr>
      </w:pPr>
    </w:p>
    <w:bookmarkStart w:id="217" w:name="page218"/>
    <w:bookmarkEnd w:id="217"/>
    <w:p>
      <w:pPr>
        <w:jc w:val="both"/>
        <w:ind w:left="1732" w:right="240" w:hanging="435"/>
        <w:spacing w:after="0" w:line="259" w:lineRule="auto"/>
        <w:tabs>
          <w:tab w:leader="none" w:pos="1767" w:val="left"/>
        </w:tabs>
        <w:numPr>
          <w:ilvl w:val="0"/>
          <w:numId w:val="2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expenses and all equity compensation charges reducing Consolidated Net Income which do not represent a cash item for Subject Period or any future period, to the extent deducted in calculating Consolidated Net Income in item (i):</w:t>
      </w:r>
    </w:p>
    <w:p>
      <w:pPr>
        <w:spacing w:after="0" w:line="86" w:lineRule="exact"/>
        <w:rPr>
          <w:rFonts w:ascii="Arial" w:cs="Arial" w:eastAsia="Arial" w:hAnsi="Arial"/>
          <w:sz w:val="18"/>
          <w:szCs w:val="18"/>
          <w:color w:val="auto"/>
        </w:rPr>
      </w:pPr>
    </w:p>
    <w:p>
      <w:pPr>
        <w:ind w:left="1672" w:hanging="375"/>
        <w:spacing w:after="0"/>
        <w:tabs>
          <w:tab w:leader="none" w:pos="1672" w:val="left"/>
        </w:tabs>
        <w:numPr>
          <w:ilvl w:val="0"/>
          <w:numId w:val="232"/>
        </w:numPr>
        <w:rPr>
          <w:rFonts w:ascii="Arial" w:cs="Arial" w:eastAsia="Arial" w:hAnsi="Arial"/>
          <w:sz w:val="18"/>
          <w:szCs w:val="18"/>
          <w:color w:val="auto"/>
        </w:rPr>
      </w:pPr>
      <w:r>
        <w:rPr>
          <w:rFonts w:ascii="Arial" w:cs="Arial" w:eastAsia="Arial" w:hAnsi="Arial"/>
          <w:sz w:val="18"/>
          <w:szCs w:val="18"/>
          <w:color w:val="auto"/>
        </w:rPr>
        <w:t>Permitted Cost Savings for Subject Period:</w:t>
      </w:r>
    </w:p>
    <w:p>
      <w:pPr>
        <w:spacing w:after="0" w:line="117" w:lineRule="exact"/>
        <w:rPr>
          <w:rFonts w:ascii="Arial" w:cs="Arial" w:eastAsia="Arial" w:hAnsi="Arial"/>
          <w:sz w:val="18"/>
          <w:szCs w:val="18"/>
          <w:color w:val="auto"/>
        </w:rPr>
      </w:pPr>
    </w:p>
    <w:p>
      <w:pPr>
        <w:ind w:left="1732" w:right="240" w:hanging="435"/>
        <w:spacing w:after="0" w:line="332" w:lineRule="auto"/>
        <w:tabs>
          <w:tab w:leader="none" w:pos="1781" w:val="left"/>
        </w:tabs>
        <w:numPr>
          <w:ilvl w:val="0"/>
          <w:numId w:val="232"/>
        </w:numPr>
        <w:rPr>
          <w:rFonts w:ascii="Arial" w:cs="Arial" w:eastAsia="Arial" w:hAnsi="Arial"/>
          <w:sz w:val="16"/>
          <w:szCs w:val="16"/>
          <w:color w:val="auto"/>
        </w:rPr>
      </w:pPr>
      <w:r>
        <w:rPr>
          <w:rFonts w:ascii="Arial" w:cs="Arial" w:eastAsia="Arial" w:hAnsi="Arial"/>
          <w:sz w:val="16"/>
          <w:szCs w:val="16"/>
          <w:color w:val="auto"/>
        </w:rPr>
        <w:t>Federal, state, local and foreign income tax credits of the Borrower and its Consolidated Subsidiaries for Subject Period, to the extent included in calculating Consolidated Net Income in item (i):</w:t>
      </w:r>
    </w:p>
    <w:p>
      <w:pPr>
        <w:spacing w:after="0" w:line="31" w:lineRule="exact"/>
        <w:rPr>
          <w:rFonts w:ascii="Arial" w:cs="Arial" w:eastAsia="Arial" w:hAnsi="Arial"/>
          <w:sz w:val="16"/>
          <w:szCs w:val="16"/>
          <w:color w:val="auto"/>
        </w:rPr>
      </w:pPr>
    </w:p>
    <w:p>
      <w:pPr>
        <w:ind w:left="1672" w:hanging="375"/>
        <w:spacing w:after="0"/>
        <w:tabs>
          <w:tab w:leader="none" w:pos="1672"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All non-cash items increasing Consolidated Net Income for Subject Period:</w:t>
      </w:r>
    </w:p>
    <w:p>
      <w:pPr>
        <w:spacing w:after="0" w:line="117" w:lineRule="exact"/>
        <w:rPr>
          <w:rFonts w:ascii="Arial" w:cs="Arial" w:eastAsia="Arial" w:hAnsi="Arial"/>
          <w:sz w:val="18"/>
          <w:szCs w:val="18"/>
          <w:color w:val="auto"/>
        </w:rPr>
      </w:pPr>
    </w:p>
    <w:p>
      <w:pPr>
        <w:ind w:left="1732" w:right="240" w:hanging="435"/>
        <w:spacing w:after="0" w:line="268" w:lineRule="auto"/>
        <w:tabs>
          <w:tab w:leader="none" w:pos="1813" w:val="left"/>
        </w:tabs>
        <w:numPr>
          <w:ilvl w:val="0"/>
          <w:numId w:val="232"/>
        </w:numPr>
        <w:rPr>
          <w:rFonts w:ascii="Arial" w:cs="Arial" w:eastAsia="Arial" w:hAnsi="Arial"/>
          <w:sz w:val="18"/>
          <w:szCs w:val="18"/>
          <w:color w:val="auto"/>
        </w:rPr>
      </w:pPr>
      <w:r>
        <w:rPr>
          <w:rFonts w:ascii="Arial" w:cs="Arial" w:eastAsia="Arial" w:hAnsi="Arial"/>
          <w:sz w:val="18"/>
          <w:szCs w:val="18"/>
          <w:color w:val="auto"/>
        </w:rPr>
        <w:t>Consolidated EBITDA (Line I.B.1.i + Line I.B.1.ii + Line I.B.1.iii + Line I.B.1.iv + Line I.B.v + Line I.B.1.vi + Line I.B.1.vii+ Line I.B.1.vii – Line I.B.1.viii – Line I.B.ix):</w:t>
      </w:r>
    </w:p>
    <w:p>
      <w:pPr>
        <w:spacing w:after="0" w:line="186" w:lineRule="exact"/>
        <w:rPr>
          <w:sz w:val="20"/>
          <w:szCs w:val="20"/>
          <w:color w:val="auto"/>
        </w:rPr>
      </w:pPr>
    </w:p>
    <w:p>
      <w:pPr>
        <w:ind w:left="452" w:right="2820" w:hanging="20"/>
        <w:spacing w:after="0" w:line="456" w:lineRule="auto"/>
        <w:tabs>
          <w:tab w:leader="none" w:pos="808" w:val="left"/>
        </w:tabs>
        <w:numPr>
          <w:ilvl w:val="0"/>
          <w:numId w:val="233"/>
        </w:numPr>
        <w:rPr>
          <w:rFonts w:ascii="Arial" w:cs="Arial" w:eastAsia="Arial" w:hAnsi="Arial"/>
          <w:sz w:val="18"/>
          <w:szCs w:val="18"/>
          <w:color w:val="auto"/>
        </w:rPr>
      </w:pPr>
      <w:r>
        <w:rPr>
          <w:rFonts w:ascii="Arial" w:cs="Arial" w:eastAsia="Arial" w:hAnsi="Arial"/>
          <w:sz w:val="18"/>
          <w:szCs w:val="18"/>
          <w:color w:val="auto"/>
        </w:rPr>
        <w:t>Consolidated Total Leverage Ratio for the Subject Period (Line I.A.3 ÷ Line I.B.1.x) Maximum permitted:</w:t>
      </w:r>
    </w:p>
    <w:tbl>
      <w:tblPr>
        <w:tblLayout w:type="fixed"/>
        <w:tblInd w:w="1832" w:type="dxa"/>
        <w:tblCellMar>
          <w:top w:w="0" w:type="dxa"/>
          <w:left w:w="0" w:type="dxa"/>
          <w:bottom w:w="0" w:type="dxa"/>
          <w:right w:w="0" w:type="dxa"/>
        </w:tblCellMar>
      </w:tblPr>
      <w:tr>
        <w:trPr>
          <w:trHeight w:val="154"/>
        </w:trPr>
        <w:tc>
          <w:tcPr>
            <w:tcW w:w="2020" w:type="dxa"/>
            <w:vAlign w:val="bottom"/>
          </w:tcPr>
          <w:p>
            <w:pPr>
              <w:spacing w:after="0"/>
              <w:rPr>
                <w:sz w:val="13"/>
                <w:szCs w:val="13"/>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Date of Determination</w:t>
            </w:r>
          </w:p>
        </w:tc>
        <w:tc>
          <w:tcPr>
            <w:tcW w:w="1800" w:type="dxa"/>
            <w:vAlign w:val="bottom"/>
            <w:vMerge w:val="restart"/>
          </w:tcPr>
          <w:p>
            <w:pPr>
              <w:spacing w:after="0"/>
              <w:rPr>
                <w:sz w:val="13"/>
                <w:szCs w:val="13"/>
                <w:color w:val="auto"/>
              </w:rPr>
            </w:pPr>
          </w:p>
        </w:tc>
        <w:tc>
          <w:tcPr>
            <w:tcW w:w="2560" w:type="dxa"/>
            <w:vAlign w:val="bottom"/>
            <w:gridSpan w:val="2"/>
          </w:tcPr>
          <w:p>
            <w:pPr>
              <w:jc w:val="center"/>
              <w:ind w:left="1072"/>
              <w:spacing w:after="0" w:line="155" w:lineRule="exact"/>
              <w:rPr>
                <w:sz w:val="20"/>
                <w:szCs w:val="20"/>
                <w:color w:val="auto"/>
              </w:rPr>
            </w:pPr>
            <w:r>
              <w:rPr>
                <w:rFonts w:ascii="Arial" w:cs="Arial" w:eastAsia="Arial" w:hAnsi="Arial"/>
                <w:sz w:val="14"/>
                <w:szCs w:val="14"/>
                <w:b w:val="1"/>
                <w:bCs w:val="1"/>
                <w:color w:val="auto"/>
                <w:w w:val="87"/>
              </w:rPr>
              <w:t>Maximum Consolidated</w:t>
            </w:r>
          </w:p>
        </w:tc>
        <w:tc>
          <w:tcPr>
            <w:tcW w:w="0" w:type="dxa"/>
            <w:vAlign w:val="bottom"/>
          </w:tcPr>
          <w:p>
            <w:pPr>
              <w:spacing w:after="0"/>
              <w:rPr>
                <w:sz w:val="1"/>
                <w:szCs w:val="1"/>
                <w:color w:val="auto"/>
              </w:rPr>
            </w:pPr>
          </w:p>
        </w:tc>
      </w:tr>
      <w:tr>
        <w:trPr>
          <w:trHeight w:val="168"/>
        </w:trPr>
        <w:tc>
          <w:tcPr>
            <w:tcW w:w="2020" w:type="dxa"/>
            <w:vAlign w:val="bottom"/>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14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Total Leverage Ratio</w:t>
            </w:r>
          </w:p>
        </w:tc>
        <w:tc>
          <w:tcPr>
            <w:tcW w:w="0" w:type="dxa"/>
            <w:vAlign w:val="bottom"/>
          </w:tcPr>
          <w:p>
            <w:pPr>
              <w:spacing w:after="0"/>
              <w:rPr>
                <w:sz w:val="1"/>
                <w:szCs w:val="1"/>
                <w:color w:val="auto"/>
              </w:rPr>
            </w:pPr>
          </w:p>
        </w:tc>
      </w:tr>
      <w:tr>
        <w:trPr>
          <w:trHeight w:val="203"/>
        </w:trPr>
        <w:tc>
          <w:tcPr>
            <w:tcW w:w="5200" w:type="dxa"/>
            <w:vAlign w:val="bottom"/>
            <w:tcBorders>
              <w:top w:val="single" w:sz="8" w:color="CCEEFF"/>
            </w:tcBorders>
            <w:gridSpan w:val="3"/>
            <w:shd w:val="clear" w:color="auto" w:fill="CCEEFF"/>
          </w:tcPr>
          <w:p>
            <w:pPr>
              <w:jc w:val="center"/>
              <w:ind w:left="112"/>
              <w:spacing w:after="0" w:line="202" w:lineRule="exact"/>
              <w:rPr>
                <w:sz w:val="20"/>
                <w:szCs w:val="20"/>
                <w:color w:val="auto"/>
              </w:rPr>
            </w:pPr>
            <w:r>
              <w:rPr>
                <w:rFonts w:ascii="Arial" w:cs="Arial" w:eastAsia="Arial" w:hAnsi="Arial"/>
                <w:sz w:val="18"/>
                <w:szCs w:val="18"/>
                <w:color w:val="auto"/>
                <w:w w:val="89"/>
              </w:rPr>
              <w:t>Closing Date through March 31, 2012</w:t>
            </w:r>
          </w:p>
        </w:tc>
        <w:tc>
          <w:tcPr>
            <w:tcW w:w="116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3.75 to 1.00</w:t>
            </w:r>
          </w:p>
        </w:tc>
        <w:tc>
          <w:tcPr>
            <w:tcW w:w="0" w:type="dxa"/>
            <w:vAlign w:val="bottom"/>
          </w:tcPr>
          <w:p>
            <w:pPr>
              <w:spacing w:after="0"/>
              <w:rPr>
                <w:sz w:val="1"/>
                <w:szCs w:val="1"/>
                <w:color w:val="auto"/>
              </w:rPr>
            </w:pPr>
          </w:p>
        </w:tc>
      </w:tr>
      <w:tr>
        <w:trPr>
          <w:trHeight w:val="222"/>
        </w:trPr>
        <w:tc>
          <w:tcPr>
            <w:tcW w:w="5200" w:type="dxa"/>
            <w:vAlign w:val="bottom"/>
            <w:gridSpan w:val="3"/>
          </w:tcPr>
          <w:p>
            <w:pPr>
              <w:jc w:val="center"/>
              <w:ind w:left="112"/>
              <w:spacing w:after="0"/>
              <w:rPr>
                <w:sz w:val="20"/>
                <w:szCs w:val="20"/>
                <w:color w:val="auto"/>
              </w:rPr>
            </w:pPr>
            <w:r>
              <w:rPr>
                <w:rFonts w:ascii="Arial" w:cs="Arial" w:eastAsia="Arial" w:hAnsi="Arial"/>
                <w:sz w:val="18"/>
                <w:szCs w:val="18"/>
                <w:color w:val="auto"/>
                <w:w w:val="86"/>
              </w:rPr>
              <w:t>June 30, 2012 and thereafter</w:t>
            </w:r>
          </w:p>
        </w:tc>
        <w:tc>
          <w:tcPr>
            <w:tcW w:w="116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3.50 to 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 1.00</w:t>
      </w:r>
    </w:p>
    <w:p>
      <w:pPr>
        <w:spacing w:after="0" w:line="1547" w:lineRule="exact"/>
        <w:rPr>
          <w:sz w:val="20"/>
          <w:szCs w:val="20"/>
          <w:color w:val="auto"/>
        </w:rPr>
      </w:pPr>
    </w:p>
    <w:p>
      <w:pPr>
        <w:sectPr>
          <w:pgSz w:w="11900" w:h="16838" w:orient="portrait"/>
          <w:cols w:equalWidth="0" w:num="2">
            <w:col w:w="9592" w:space="600"/>
            <w:col w:w="1120"/>
          </w:cols>
          <w:pgMar w:left="248" w:top="280" w:right="339" w:bottom="1440" w:gutter="0" w:footer="0" w:header="0"/>
        </w:sectPr>
      </w:pPr>
    </w:p>
    <w:p>
      <w:pPr>
        <w:spacing w:after="0" w:line="63" w:lineRule="exact"/>
        <w:rPr>
          <w:sz w:val="20"/>
          <w:szCs w:val="20"/>
          <w:color w:val="auto"/>
        </w:rPr>
      </w:pPr>
    </w:p>
    <w:p>
      <w:pPr>
        <w:ind w:left="452" w:hanging="452"/>
        <w:spacing w:after="0"/>
        <w:tabs>
          <w:tab w:leader="none" w:pos="452" w:val="left"/>
        </w:tabs>
        <w:numPr>
          <w:ilvl w:val="0"/>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t>Minimum Consolidated Fixed Charge Coverage Ratio (Section 7.17(c))</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A.   Consolidated EBITDAR of the Borrower and its Consolidated Subsidiaries:</w:t>
      </w:r>
    </w:p>
    <w:p>
      <w:pPr>
        <w:spacing w:after="0" w:line="90" w:lineRule="exact"/>
        <w:rPr>
          <w:sz w:val="20"/>
          <w:szCs w:val="20"/>
          <w:color w:val="auto"/>
        </w:rPr>
      </w:pPr>
    </w:p>
    <w:p>
      <w:pPr>
        <w:ind w:left="872"/>
        <w:spacing w:after="0"/>
        <w:tabs>
          <w:tab w:leader="none" w:pos="1232" w:val="left"/>
          <w:tab w:leader="none" w:pos="10152" w:val="left"/>
        </w:tabs>
        <w:rPr>
          <w:sz w:val="20"/>
          <w:szCs w:val="20"/>
          <w:color w:val="auto"/>
        </w:rPr>
      </w:pPr>
      <w:r>
        <w:rPr>
          <w:rFonts w:ascii="Arial" w:cs="Arial" w:eastAsia="Arial" w:hAnsi="Arial"/>
          <w:sz w:val="18"/>
          <w:szCs w:val="18"/>
          <w:color w:val="auto"/>
        </w:rPr>
        <w:t>(1)</w:t>
        <w:tab/>
        <w:t>Consolidated EBITDA of the Borrower and its Consolidated Subsidiaries for the Subject Period (Line I.B.1.x):</w:t>
      </w:r>
      <w:r>
        <w:rPr>
          <w:sz w:val="20"/>
          <w:szCs w:val="20"/>
          <w:color w:val="auto"/>
        </w:rPr>
        <w:tab/>
      </w:r>
      <w:r>
        <w:rPr>
          <w:rFonts w:ascii="Arial" w:cs="Arial" w:eastAsia="Arial" w:hAnsi="Arial"/>
          <w:sz w:val="14"/>
          <w:szCs w:val="14"/>
          <w:color w:val="auto"/>
        </w:rPr>
        <w:t>$</w:t>
      </w:r>
    </w:p>
    <w:p>
      <w:pPr>
        <w:spacing w:after="0" w:line="117" w:lineRule="exact"/>
        <w:rPr>
          <w:sz w:val="20"/>
          <w:szCs w:val="20"/>
          <w:color w:val="auto"/>
        </w:rPr>
      </w:pPr>
    </w:p>
    <w:p>
      <w:pPr>
        <w:ind w:left="1292" w:hanging="428"/>
        <w:spacing w:after="0"/>
        <w:tabs>
          <w:tab w:leader="none" w:pos="1292" w:val="left"/>
        </w:tabs>
        <w:numPr>
          <w:ilvl w:val="0"/>
          <w:numId w:val="235"/>
        </w:numPr>
        <w:rPr>
          <w:rFonts w:ascii="Arial" w:cs="Arial" w:eastAsia="Arial" w:hAnsi="Arial"/>
          <w:sz w:val="16"/>
          <w:szCs w:val="16"/>
          <w:color w:val="auto"/>
        </w:rPr>
      </w:pPr>
      <w:r>
        <w:rPr>
          <w:rFonts w:ascii="Arial" w:cs="Arial" w:eastAsia="Arial" w:hAnsi="Arial"/>
          <w:sz w:val="16"/>
          <w:szCs w:val="16"/>
          <w:color w:val="auto"/>
        </w:rPr>
        <w:t>Rental Expense for the Borrower and its Consolidated Subsidiaries, to the extent deducted in calculating Consolidated Net</w:t>
      </w:r>
    </w:p>
    <w:p>
      <w:pPr>
        <w:spacing w:after="0" w:line="38" w:lineRule="exact"/>
        <w:rPr>
          <w:sz w:val="20"/>
          <w:szCs w:val="20"/>
          <w:color w:val="auto"/>
        </w:rPr>
      </w:pPr>
    </w:p>
    <w:p>
      <w:pPr>
        <w:jc w:val="right"/>
        <w:ind w:right="1060"/>
        <w:spacing w:after="0"/>
        <w:tabs>
          <w:tab w:leader="none" w:pos="60" w:val="left"/>
        </w:tabs>
        <w:rPr>
          <w:sz w:val="20"/>
          <w:szCs w:val="20"/>
          <w:color w:val="auto"/>
        </w:rPr>
      </w:pPr>
      <w:r>
        <w:rPr>
          <w:rFonts w:ascii="Arial" w:cs="Arial" w:eastAsia="Arial" w:hAnsi="Arial"/>
          <w:sz w:val="18"/>
          <w:szCs w:val="18"/>
          <w:color w:val="auto"/>
        </w:rPr>
        <w:t>Income in Line I.B.1.i.:</w:t>
      </w:r>
      <w:r>
        <w:rPr>
          <w:sz w:val="20"/>
          <w:szCs w:val="20"/>
          <w:color w:val="auto"/>
        </w:rPr>
        <w:tab/>
      </w:r>
      <w:r>
        <w:rPr>
          <w:rFonts w:ascii="Arial" w:cs="Arial" w:eastAsia="Arial" w:hAnsi="Arial"/>
          <w:sz w:val="14"/>
          <w:szCs w:val="14"/>
          <w:color w:val="auto"/>
        </w:rPr>
        <w:t>$</w:t>
      </w:r>
    </w:p>
    <w:p>
      <w:pPr>
        <w:spacing w:after="0" w:line="111" w:lineRule="exact"/>
        <w:rPr>
          <w:sz w:val="20"/>
          <w:szCs w:val="20"/>
          <w:color w:val="auto"/>
        </w:rPr>
      </w:pPr>
    </w:p>
    <w:p>
      <w:pPr>
        <w:ind w:left="872"/>
        <w:spacing w:after="0"/>
        <w:tabs>
          <w:tab w:leader="none" w:pos="1232" w:val="left"/>
          <w:tab w:leader="none" w:pos="10152" w:val="left"/>
        </w:tabs>
        <w:rPr>
          <w:sz w:val="20"/>
          <w:szCs w:val="20"/>
          <w:color w:val="auto"/>
        </w:rPr>
      </w:pPr>
      <w:r>
        <w:rPr>
          <w:rFonts w:ascii="Arial" w:cs="Arial" w:eastAsia="Arial" w:hAnsi="Arial"/>
          <w:sz w:val="18"/>
          <w:szCs w:val="18"/>
          <w:color w:val="auto"/>
        </w:rPr>
        <w:t>(3)</w:t>
        <w:tab/>
        <w:t>Consolidated EBITDAR (Line II.A.1.+Line II.A.2.):</w:t>
      </w:r>
      <w:r>
        <w:rPr>
          <w:sz w:val="20"/>
          <w:szCs w:val="20"/>
          <w:color w:val="auto"/>
        </w:rPr>
        <w:tab/>
      </w:r>
      <w:r>
        <w:rPr>
          <w:rFonts w:ascii="Arial" w:cs="Arial" w:eastAsia="Arial" w:hAnsi="Arial"/>
          <w:sz w:val="14"/>
          <w:szCs w:val="14"/>
          <w:color w:val="auto"/>
        </w:rPr>
        <w:t>$</w:t>
      </w:r>
    </w:p>
    <w:p>
      <w:pPr>
        <w:spacing w:after="0" w:line="171"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D-6</w:t>
      </w:r>
    </w:p>
    <w:p>
      <w:pPr>
        <w:spacing w:after="0" w:line="15"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Form of Compliance Certificate</w:t>
      </w:r>
    </w:p>
    <w:p>
      <w:pPr>
        <w:sectPr>
          <w:pgSz w:w="11900" w:h="16838" w:orient="portrait"/>
          <w:cols w:equalWidth="0" w:num="1">
            <w:col w:w="11312"/>
          </w:cols>
          <w:pgMar w:left="248" w:top="280" w:right="339" w:bottom="1440" w:gutter="0" w:footer="0" w:header="0"/>
          <w:type w:val="continuous"/>
        </w:sectPr>
      </w:pPr>
    </w:p>
    <w:bookmarkStart w:id="218" w:name="page219"/>
    <w:bookmarkEnd w:id="218"/>
    <w:p>
      <w:pPr>
        <w:ind w:left="440"/>
        <w:spacing w:after="0"/>
        <w:tabs>
          <w:tab w:leader="none" w:pos="800" w:val="left"/>
          <w:tab w:leader="none" w:pos="103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w:t>
        <w:tab/>
        <w:t>Consolidated Capital Expenditures in excess of $40,000,000 for the Subject Period:</w:t>
      </w:r>
      <w:r>
        <w:rPr>
          <w:sz w:val="20"/>
          <w:szCs w:val="20"/>
          <w:color w:val="auto"/>
        </w:rPr>
        <w:tab/>
      </w:r>
      <w:r>
        <w:rPr>
          <w:rFonts w:ascii="Arial" w:cs="Arial" w:eastAsia="Arial" w:hAnsi="Arial"/>
          <w:sz w:val="14"/>
          <w:szCs w:val="14"/>
          <w:color w:val="auto"/>
        </w:rPr>
        <w:t>$</w:t>
      </w:r>
    </w:p>
    <w:p>
      <w:pPr>
        <w:spacing w:after="0" w:line="117" w:lineRule="exact"/>
        <w:rPr>
          <w:sz w:val="20"/>
          <w:szCs w:val="20"/>
          <w:color w:val="auto"/>
        </w:rPr>
      </w:pPr>
    </w:p>
    <w:p>
      <w:pPr>
        <w:ind w:left="820" w:hanging="380"/>
        <w:spacing w:after="0"/>
        <w:tabs>
          <w:tab w:leader="none" w:pos="82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Consolidated Fixed Charges of the Borrower and its Consolidated Subsidiaries for the Subject Period:</w:t>
      </w:r>
    </w:p>
    <w:p>
      <w:pPr>
        <w:spacing w:after="0" w:line="117" w:lineRule="exact"/>
        <w:rPr>
          <w:sz w:val="20"/>
          <w:szCs w:val="20"/>
          <w:color w:val="auto"/>
        </w:rPr>
      </w:pPr>
    </w:p>
    <w:tbl>
      <w:tblPr>
        <w:tblLayout w:type="fixed"/>
        <w:tblInd w:w="440" w:type="dxa"/>
        <w:tblCellMar>
          <w:top w:w="0" w:type="dxa"/>
          <w:left w:w="0" w:type="dxa"/>
          <w:bottom w:w="0" w:type="dxa"/>
          <w:right w:w="0" w:type="dxa"/>
        </w:tblCellMar>
      </w:tblPr>
      <w:tr>
        <w:trPr>
          <w:trHeight w:val="222"/>
        </w:trPr>
        <w:tc>
          <w:tcPr>
            <w:tcW w:w="116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7380" w:type="dxa"/>
            <w:vAlign w:val="bottom"/>
          </w:tcPr>
          <w:p>
            <w:pPr>
              <w:ind w:left="80"/>
              <w:spacing w:after="0"/>
              <w:rPr>
                <w:sz w:val="20"/>
                <w:szCs w:val="20"/>
                <w:color w:val="auto"/>
              </w:rPr>
            </w:pPr>
            <w:r>
              <w:rPr>
                <w:rFonts w:ascii="Arial" w:cs="Arial" w:eastAsia="Arial" w:hAnsi="Arial"/>
                <w:sz w:val="18"/>
                <w:szCs w:val="18"/>
                <w:color w:val="auto"/>
              </w:rPr>
              <w:t>Consolidated Cash Interest Charges for Subject Period:</w:t>
            </w:r>
          </w:p>
        </w:tc>
        <w:tc>
          <w:tcPr>
            <w:tcW w:w="2340" w:type="dxa"/>
            <w:vAlign w:val="bottom"/>
          </w:tcPr>
          <w:p>
            <w:pPr>
              <w:jc w:val="right"/>
              <w:ind w:right="772"/>
              <w:spacing w:after="0"/>
              <w:rPr>
                <w:sz w:val="20"/>
                <w:szCs w:val="20"/>
                <w:color w:val="auto"/>
              </w:rPr>
            </w:pPr>
            <w:r>
              <w:rPr>
                <w:rFonts w:ascii="Arial" w:cs="Arial" w:eastAsia="Arial" w:hAnsi="Arial"/>
                <w:sz w:val="18"/>
                <w:szCs w:val="18"/>
                <w:color w:val="auto"/>
              </w:rPr>
              <w:t>$</w:t>
            </w:r>
          </w:p>
        </w:tc>
      </w:tr>
      <w:tr>
        <w:trPr>
          <w:trHeight w:val="324"/>
        </w:trPr>
        <w:tc>
          <w:tcPr>
            <w:tcW w:w="116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7380" w:type="dxa"/>
            <w:vAlign w:val="bottom"/>
          </w:tcPr>
          <w:p>
            <w:pPr>
              <w:ind w:left="80"/>
              <w:spacing w:after="0"/>
              <w:rPr>
                <w:sz w:val="20"/>
                <w:szCs w:val="20"/>
                <w:color w:val="auto"/>
              </w:rPr>
            </w:pPr>
            <w:r>
              <w:rPr>
                <w:rFonts w:ascii="Arial" w:cs="Arial" w:eastAsia="Arial" w:hAnsi="Arial"/>
                <w:sz w:val="18"/>
                <w:szCs w:val="18"/>
                <w:color w:val="auto"/>
              </w:rPr>
              <w:t>Consolidated Scheduled Debt Payments for Subject Period:</w:t>
            </w:r>
          </w:p>
        </w:tc>
        <w:tc>
          <w:tcPr>
            <w:tcW w:w="2340" w:type="dxa"/>
            <w:vAlign w:val="bottom"/>
          </w:tcPr>
          <w:p>
            <w:pPr>
              <w:jc w:val="right"/>
              <w:ind w:right="772"/>
              <w:spacing w:after="0"/>
              <w:rPr>
                <w:sz w:val="20"/>
                <w:szCs w:val="20"/>
                <w:color w:val="auto"/>
              </w:rPr>
            </w:pPr>
            <w:r>
              <w:rPr>
                <w:rFonts w:ascii="Arial" w:cs="Arial" w:eastAsia="Arial" w:hAnsi="Arial"/>
                <w:sz w:val="18"/>
                <w:szCs w:val="18"/>
                <w:color w:val="auto"/>
              </w:rPr>
              <w:t>$</w:t>
            </w:r>
          </w:p>
        </w:tc>
      </w:tr>
      <w:tr>
        <w:trPr>
          <w:trHeight w:val="324"/>
        </w:trPr>
        <w:tc>
          <w:tcPr>
            <w:tcW w:w="116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7380" w:type="dxa"/>
            <w:vAlign w:val="bottom"/>
          </w:tcPr>
          <w:p>
            <w:pPr>
              <w:ind w:left="80"/>
              <w:spacing w:after="0"/>
              <w:rPr>
                <w:sz w:val="20"/>
                <w:szCs w:val="20"/>
                <w:color w:val="auto"/>
              </w:rPr>
            </w:pPr>
            <w:r>
              <w:rPr>
                <w:rFonts w:ascii="Arial" w:cs="Arial" w:eastAsia="Arial" w:hAnsi="Arial"/>
                <w:sz w:val="18"/>
                <w:szCs w:val="18"/>
                <w:color w:val="auto"/>
              </w:rPr>
              <w:t>Consolidated Cash Taxes for Subject Period:</w:t>
            </w:r>
          </w:p>
        </w:tc>
        <w:tc>
          <w:tcPr>
            <w:tcW w:w="2340" w:type="dxa"/>
            <w:vAlign w:val="bottom"/>
          </w:tcPr>
          <w:p>
            <w:pPr>
              <w:jc w:val="right"/>
              <w:ind w:right="772"/>
              <w:spacing w:after="0"/>
              <w:rPr>
                <w:sz w:val="20"/>
                <w:szCs w:val="20"/>
                <w:color w:val="auto"/>
              </w:rPr>
            </w:pPr>
            <w:r>
              <w:rPr>
                <w:rFonts w:ascii="Arial" w:cs="Arial" w:eastAsia="Arial" w:hAnsi="Arial"/>
                <w:sz w:val="18"/>
                <w:szCs w:val="18"/>
                <w:color w:val="auto"/>
              </w:rPr>
              <w:t>$</w:t>
            </w:r>
          </w:p>
        </w:tc>
      </w:tr>
      <w:tr>
        <w:trPr>
          <w:trHeight w:val="324"/>
        </w:trPr>
        <w:tc>
          <w:tcPr>
            <w:tcW w:w="116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7380" w:type="dxa"/>
            <w:vAlign w:val="bottom"/>
          </w:tcPr>
          <w:p>
            <w:pPr>
              <w:ind w:left="80"/>
              <w:spacing w:after="0"/>
              <w:rPr>
                <w:sz w:val="20"/>
                <w:szCs w:val="20"/>
                <w:color w:val="auto"/>
              </w:rPr>
            </w:pPr>
            <w:r>
              <w:rPr>
                <w:rFonts w:ascii="Arial" w:cs="Arial" w:eastAsia="Arial" w:hAnsi="Arial"/>
                <w:sz w:val="18"/>
                <w:szCs w:val="18"/>
                <w:color w:val="auto"/>
              </w:rPr>
              <w:t>Rental Expense for Subject Period:</w:t>
            </w:r>
          </w:p>
        </w:tc>
        <w:tc>
          <w:tcPr>
            <w:tcW w:w="2340" w:type="dxa"/>
            <w:vAlign w:val="bottom"/>
          </w:tcPr>
          <w:p>
            <w:pPr>
              <w:jc w:val="right"/>
              <w:ind w:right="772"/>
              <w:spacing w:after="0"/>
              <w:rPr>
                <w:sz w:val="20"/>
                <w:szCs w:val="20"/>
                <w:color w:val="auto"/>
              </w:rPr>
            </w:pPr>
            <w:r>
              <w:rPr>
                <w:rFonts w:ascii="Arial" w:cs="Arial" w:eastAsia="Arial" w:hAnsi="Arial"/>
                <w:sz w:val="18"/>
                <w:szCs w:val="18"/>
                <w:color w:val="auto"/>
              </w:rPr>
              <w:t>$</w:t>
            </w:r>
          </w:p>
        </w:tc>
      </w:tr>
      <w:tr>
        <w:trPr>
          <w:trHeight w:val="324"/>
        </w:trPr>
        <w:tc>
          <w:tcPr>
            <w:tcW w:w="116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7380" w:type="dxa"/>
            <w:vAlign w:val="bottom"/>
          </w:tcPr>
          <w:p>
            <w:pPr>
              <w:ind w:left="80"/>
              <w:spacing w:after="0"/>
              <w:rPr>
                <w:sz w:val="20"/>
                <w:szCs w:val="20"/>
                <w:color w:val="auto"/>
              </w:rPr>
            </w:pPr>
            <w:r>
              <w:rPr>
                <w:rFonts w:ascii="Arial" w:cs="Arial" w:eastAsia="Arial" w:hAnsi="Arial"/>
                <w:sz w:val="18"/>
                <w:szCs w:val="18"/>
                <w:color w:val="auto"/>
              </w:rPr>
              <w:t>Consolidated Fixed Charges (Line II.C.1. + Line II.C.2 + Line II.C.3 + Line II.C.4):</w:t>
            </w:r>
          </w:p>
        </w:tc>
        <w:tc>
          <w:tcPr>
            <w:tcW w:w="2340" w:type="dxa"/>
            <w:vAlign w:val="bottom"/>
          </w:tcPr>
          <w:p>
            <w:pPr>
              <w:jc w:val="right"/>
              <w:ind w:right="772"/>
              <w:spacing w:after="0"/>
              <w:rPr>
                <w:sz w:val="20"/>
                <w:szCs w:val="20"/>
                <w:color w:val="auto"/>
              </w:rPr>
            </w:pPr>
            <w:r>
              <w:rPr>
                <w:rFonts w:ascii="Arial" w:cs="Arial" w:eastAsia="Arial" w:hAnsi="Arial"/>
                <w:sz w:val="18"/>
                <w:szCs w:val="18"/>
                <w:color w:val="auto"/>
              </w:rPr>
              <w:t>$</w:t>
            </w:r>
          </w:p>
        </w:tc>
      </w:tr>
      <w:tr>
        <w:trPr>
          <w:trHeight w:val="324"/>
        </w:trPr>
        <w:tc>
          <w:tcPr>
            <w:tcW w:w="8540" w:type="dxa"/>
            <w:vAlign w:val="bottom"/>
            <w:gridSpan w:val="2"/>
          </w:tcPr>
          <w:p>
            <w:pPr>
              <w:spacing w:after="0"/>
              <w:rPr>
                <w:sz w:val="20"/>
                <w:szCs w:val="20"/>
                <w:color w:val="auto"/>
              </w:rPr>
            </w:pPr>
            <w:r>
              <w:rPr>
                <w:rFonts w:ascii="Arial" w:cs="Arial" w:eastAsia="Arial" w:hAnsi="Arial"/>
                <w:sz w:val="18"/>
                <w:szCs w:val="18"/>
                <w:color w:val="auto"/>
              </w:rPr>
              <w:t>C.   Consolidated Fixed Charge Coverage Ratio ((Line II.A.3 – Line II.B) ÷ Line II.B.5):</w:t>
            </w:r>
          </w:p>
        </w:tc>
        <w:tc>
          <w:tcPr>
            <w:tcW w:w="2340" w:type="dxa"/>
            <w:vAlign w:val="bottom"/>
          </w:tcPr>
          <w:p>
            <w:pPr>
              <w:jc w:val="right"/>
              <w:spacing w:after="0"/>
              <w:rPr>
                <w:sz w:val="20"/>
                <w:szCs w:val="20"/>
                <w:color w:val="auto"/>
              </w:rPr>
            </w:pPr>
            <w:r>
              <w:rPr>
                <w:rFonts w:ascii="Arial" w:cs="Arial" w:eastAsia="Arial" w:hAnsi="Arial"/>
                <w:sz w:val="18"/>
                <w:szCs w:val="18"/>
                <w:color w:val="auto"/>
              </w:rPr>
              <w:t>to 1.00</w:t>
            </w:r>
          </w:p>
        </w:tc>
      </w:tr>
      <w:tr>
        <w:trPr>
          <w:trHeight w:val="432"/>
        </w:trPr>
        <w:tc>
          <w:tcPr>
            <w:tcW w:w="8540" w:type="dxa"/>
            <w:vAlign w:val="bottom"/>
            <w:gridSpan w:val="2"/>
          </w:tcPr>
          <w:p>
            <w:pPr>
              <w:spacing w:after="0"/>
              <w:rPr>
                <w:sz w:val="20"/>
                <w:szCs w:val="20"/>
                <w:color w:val="auto"/>
              </w:rPr>
            </w:pPr>
            <w:r>
              <w:rPr>
                <w:rFonts w:ascii="Arial" w:cs="Arial" w:eastAsia="Arial" w:hAnsi="Arial"/>
                <w:sz w:val="18"/>
                <w:szCs w:val="18"/>
                <w:color w:val="auto"/>
              </w:rPr>
              <w:t>Minimum permitted:</w:t>
            </w:r>
          </w:p>
        </w:tc>
        <w:tc>
          <w:tcPr>
            <w:tcW w:w="2340" w:type="dxa"/>
            <w:vAlign w:val="bottom"/>
          </w:tcPr>
          <w:p>
            <w:pPr>
              <w:jc w:val="right"/>
              <w:spacing w:after="0"/>
              <w:rPr>
                <w:sz w:val="20"/>
                <w:szCs w:val="20"/>
                <w:color w:val="auto"/>
              </w:rPr>
            </w:pPr>
            <w:r>
              <w:rPr>
                <w:rFonts w:ascii="Arial" w:cs="Arial" w:eastAsia="Arial" w:hAnsi="Arial"/>
                <w:sz w:val="18"/>
                <w:szCs w:val="18"/>
                <w:color w:val="auto"/>
              </w:rPr>
              <w:t>2.00 to 1.00</w:t>
            </w:r>
          </w:p>
        </w:tc>
      </w:tr>
    </w:tbl>
    <w:p>
      <w:pPr>
        <w:spacing w:after="0" w:line="27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III.</w:t>
        <w:tab/>
        <w:t>Consolidated Capital Expenditures (Section 7.18)</w:t>
      </w:r>
    </w:p>
    <w:p>
      <w:pPr>
        <w:sectPr>
          <w:pgSz w:w="11900" w:h="16838" w:orient="portrait"/>
          <w:cols w:equalWidth="0" w:num="1">
            <w:col w:w="11320"/>
          </w:cols>
          <w:pgMar w:left="240" w:top="280" w:right="339" w:bottom="1440" w:gutter="0" w:footer="0" w:header="0"/>
        </w:sectPr>
      </w:pPr>
    </w:p>
    <w:p>
      <w:pPr>
        <w:spacing w:after="0" w:line="96"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A.</w:t>
        <w:tab/>
        <w:t>Consolidated Capital Expenditures made during fiscal year to date:</w:t>
      </w:r>
    </w:p>
    <w:p>
      <w:pPr>
        <w:spacing w:after="0" w:line="117" w:lineRule="exact"/>
        <w:rPr>
          <w:sz w:val="20"/>
          <w:szCs w:val="20"/>
          <w:color w:val="auto"/>
        </w:rPr>
      </w:pPr>
    </w:p>
    <w:p>
      <w:pPr>
        <w:ind w:left="440"/>
        <w:spacing w:after="0"/>
        <w:tabs>
          <w:tab w:leader="none" w:pos="800" w:val="left"/>
        </w:tabs>
        <w:rPr>
          <w:sz w:val="20"/>
          <w:szCs w:val="20"/>
          <w:color w:val="auto"/>
        </w:rPr>
      </w:pPr>
      <w:r>
        <w:rPr>
          <w:rFonts w:ascii="Arial" w:cs="Arial" w:eastAsia="Arial" w:hAnsi="Arial"/>
          <w:sz w:val="15"/>
          <w:szCs w:val="15"/>
          <w:color w:val="auto"/>
        </w:rPr>
        <w:t>B.</w:t>
        <w:tab/>
        <w:t>Consolidated Capital Expenditures that could have been made during prior fiscal year but which were not made:</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63" w:lineRule="exact"/>
        <w:rPr>
          <w:sz w:val="20"/>
          <w:szCs w:val="20"/>
          <w:color w:val="auto"/>
        </w:rPr>
      </w:pPr>
    </w:p>
    <w:p>
      <w:pPr>
        <w:sectPr>
          <w:pgSz w:w="11900" w:h="16838" w:orient="portrait"/>
          <w:cols w:equalWidth="0" w:num="2">
            <w:col w:w="9680" w:space="720"/>
            <w:col w:w="920"/>
          </w:cols>
          <w:pgMar w:left="240" w:top="280" w:right="339" w:bottom="1440" w:gutter="0" w:footer="0" w:header="0"/>
          <w:type w:val="continuous"/>
        </w:sectPr>
      </w:pPr>
    </w:p>
    <w:p>
      <w:pPr>
        <w:ind w:left="860" w:hanging="420"/>
        <w:spacing w:after="0"/>
        <w:tabs>
          <w:tab w:leader="none" w:pos="86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10.0% of the revenues of the Borrower and its consolidated Subsidiaries during the immediately preceding fiscal year (based upon</w:t>
      </w:r>
    </w:p>
    <w:p>
      <w:pPr>
        <w:sectPr>
          <w:pgSz w:w="11900" w:h="16838" w:orient="portrait"/>
          <w:cols w:equalWidth="0" w:num="1">
            <w:col w:w="11320"/>
          </w:cols>
          <w:pgMar w:left="240" w:top="280" w:right="339" w:bottom="1440" w:gutter="0" w:footer="0" w:header="0"/>
          <w:type w:val="continuous"/>
        </w:sectPr>
      </w:pPr>
    </w:p>
    <w:p>
      <w:pPr>
        <w:spacing w:after="0" w:line="3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audited financial statements):</w:t>
      </w:r>
    </w:p>
    <w:p>
      <w:pPr>
        <w:spacing w:after="0" w:line="111"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6"/>
          <w:szCs w:val="16"/>
          <w:color w:val="auto"/>
        </w:rPr>
        <w:t>D.</w:t>
        <w:tab/>
        <w:t>Maximum permitted Consolidated Capital Expenditures (Line III.C + Line III.B):</w:t>
      </w:r>
    </w:p>
    <w:p>
      <w:pPr>
        <w:spacing w:after="0" w:line="140" w:lineRule="exact"/>
        <w:rPr>
          <w:sz w:val="20"/>
          <w:szCs w:val="20"/>
          <w:color w:val="auto"/>
        </w:rPr>
      </w:pPr>
    </w:p>
    <w:p>
      <w:pPr>
        <w:ind w:left="440"/>
        <w:spacing w:after="0"/>
        <w:tabs>
          <w:tab w:leader="none" w:pos="800" w:val="left"/>
        </w:tabs>
        <w:rPr>
          <w:sz w:val="20"/>
          <w:szCs w:val="20"/>
          <w:color w:val="auto"/>
        </w:rPr>
      </w:pPr>
      <w:r>
        <w:rPr>
          <w:rFonts w:ascii="Arial" w:cs="Arial" w:eastAsia="Arial" w:hAnsi="Arial"/>
          <w:sz w:val="18"/>
          <w:szCs w:val="18"/>
          <w:color w:val="auto"/>
        </w:rPr>
        <w:t>E.</w:t>
        <w:tab/>
        <w:t>Excess (deficient) for covenant compliance (Line III.D – Line III.A):</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16" w:lineRule="exact"/>
        <w:rPr>
          <w:sz w:val="20"/>
          <w:szCs w:val="20"/>
          <w:color w:val="auto"/>
        </w:rPr>
      </w:pPr>
    </w:p>
    <w:p>
      <w:pPr>
        <w:sectPr>
          <w:pgSz w:w="11900" w:h="16838" w:orient="portrait"/>
          <w:cols w:equalWidth="0" w:num="2">
            <w:col w:w="9680" w:space="720"/>
            <w:col w:w="920"/>
          </w:cols>
          <w:pgMar w:left="240" w:top="280" w:right="339" w:bottom="1440" w:gutter="0" w:footer="0" w:header="0"/>
          <w:type w:val="continuous"/>
        </w:sectPr>
      </w:pPr>
    </w:p>
    <w:p>
      <w:pPr>
        <w:jc w:val="center"/>
        <w:ind w:right="-119"/>
        <w:spacing w:after="0"/>
        <w:rPr>
          <w:sz w:val="20"/>
          <w:szCs w:val="20"/>
          <w:color w:val="auto"/>
        </w:rPr>
      </w:pPr>
      <w:r>
        <w:rPr>
          <w:rFonts w:ascii="Arial" w:cs="Arial" w:eastAsia="Arial" w:hAnsi="Arial"/>
          <w:sz w:val="18"/>
          <w:szCs w:val="18"/>
          <w:color w:val="auto"/>
        </w:rPr>
        <w:t>D-7</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Form of Compliance Certificate</w:t>
      </w:r>
    </w:p>
    <w:p>
      <w:pPr>
        <w:sectPr>
          <w:pgSz w:w="11900" w:h="16838" w:orient="portrait"/>
          <w:cols w:equalWidth="0" w:num="1">
            <w:col w:w="11320"/>
          </w:cols>
          <w:pgMar w:left="240" w:top="280" w:right="339" w:bottom="1440" w:gutter="0" w:footer="0" w:header="0"/>
          <w:type w:val="continuous"/>
        </w:sectPr>
      </w:pPr>
    </w:p>
    <w:bookmarkStart w:id="219" w:name="page220"/>
    <w:bookmarkEnd w:id="219"/>
    <w:p>
      <w:pPr>
        <w:ind w:left="39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3</w:t>
      </w:r>
    </w:p>
    <w:p>
      <w:pPr>
        <w:spacing w:after="0" w:line="171"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to the Compliance Certificate</w:t>
      </w:r>
    </w:p>
    <w:p>
      <w:pPr>
        <w:spacing w:after="0" w:line="21" w:lineRule="exact"/>
        <w:rPr>
          <w:sz w:val="20"/>
          <w:szCs w:val="20"/>
          <w:color w:val="auto"/>
        </w:rPr>
      </w:pPr>
    </w:p>
    <w:p>
      <w:pPr>
        <w:ind w:left="2840"/>
        <w:spacing w:after="0"/>
        <w:rPr>
          <w:sz w:val="20"/>
          <w:szCs w:val="20"/>
          <w:color w:val="auto"/>
        </w:rPr>
      </w:pPr>
      <w:r>
        <w:rPr>
          <w:rFonts w:ascii="Arial" w:cs="Arial" w:eastAsia="Arial" w:hAnsi="Arial"/>
          <w:sz w:val="15"/>
          <w:szCs w:val="15"/>
          <w:b w:val="1"/>
          <w:bCs w:val="1"/>
          <w:color w:val="auto"/>
        </w:rPr>
        <w:t xml:space="preserve">Supplements to </w:t>
      </w:r>
      <w:r>
        <w:rPr>
          <w:rFonts w:ascii="Arial" w:cs="Arial" w:eastAsia="Arial" w:hAnsi="Arial"/>
          <w:sz w:val="15"/>
          <w:szCs w:val="15"/>
          <w:b w:val="1"/>
          <w:bCs w:val="1"/>
          <w:u w:val="single" w:color="auto"/>
          <w:color w:val="auto"/>
        </w:rPr>
        <w:t>Schedules 5.08</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5.23</w:t>
      </w:r>
      <w:r>
        <w:rPr>
          <w:rFonts w:ascii="Arial" w:cs="Arial" w:eastAsia="Arial" w:hAnsi="Arial"/>
          <w:sz w:val="15"/>
          <w:szCs w:val="15"/>
          <w:b w:val="1"/>
          <w:bCs w:val="1"/>
          <w:color w:val="auto"/>
        </w:rPr>
        <w:t xml:space="preserve"> and </w:t>
      </w:r>
      <w:r>
        <w:rPr>
          <w:rFonts w:ascii="Arial" w:cs="Arial" w:eastAsia="Arial" w:hAnsi="Arial"/>
          <w:sz w:val="15"/>
          <w:szCs w:val="15"/>
          <w:b w:val="1"/>
          <w:bCs w:val="1"/>
          <w:u w:val="single" w:color="auto"/>
          <w:color w:val="auto"/>
        </w:rPr>
        <w:t>5.25</w:t>
      </w:r>
    </w:p>
    <w:p>
      <w:pPr>
        <w:spacing w:after="0" w:line="19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D-8</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Form of Compliance Certificate</w:t>
      </w:r>
    </w:p>
    <w:p>
      <w:pPr>
        <w:sectPr>
          <w:pgSz w:w="11900" w:h="16838" w:orient="portrait"/>
          <w:cols w:equalWidth="0" w:num="1">
            <w:col w:w="9019"/>
          </w:cols>
          <w:pgMar w:left="1440" w:top="274" w:right="1440" w:bottom="1440" w:gutter="0" w:footer="0" w:header="0"/>
        </w:sectPr>
      </w:pPr>
    </w:p>
    <w:bookmarkStart w:id="220" w:name="page221"/>
    <w:bookmarkEnd w:id="220"/>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ASSIGNMENT AND ASSUMPTION</w:t>
      </w:r>
    </w:p>
    <w:p>
      <w:pPr>
        <w:spacing w:after="0" w:line="177"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This Assignment and Assumption (this “</w:t>
      </w:r>
      <w:r>
        <w:rPr>
          <w:rFonts w:ascii="Arial" w:cs="Arial" w:eastAsia="Arial" w:hAnsi="Arial"/>
          <w:sz w:val="16"/>
          <w:szCs w:val="16"/>
          <w:u w:val="single" w:color="auto"/>
          <w:color w:val="auto"/>
        </w:rPr>
        <w:t>Assignment and Assumption</w:t>
      </w:r>
      <w:r>
        <w:rPr>
          <w:rFonts w:ascii="Arial" w:cs="Arial" w:eastAsia="Arial" w:hAnsi="Arial"/>
          <w:sz w:val="16"/>
          <w:szCs w:val="16"/>
          <w:color w:val="auto"/>
        </w:rPr>
        <w:t>”) is dated as of the Effective Date set forth below and is entered into by and between [the][each]</w:t>
      </w:r>
      <w:r>
        <w:rPr>
          <w:rFonts w:ascii="Arial" w:cs="Arial" w:eastAsia="Arial" w:hAnsi="Arial"/>
          <w:sz w:val="10"/>
          <w:szCs w:val="10"/>
          <w:color w:val="auto"/>
        </w:rPr>
        <w:t>1</w:t>
      </w:r>
      <w:r>
        <w:rPr>
          <w:rFonts w:ascii="Arial" w:cs="Arial" w:eastAsia="Arial" w:hAnsi="Arial"/>
          <w:sz w:val="16"/>
          <w:szCs w:val="16"/>
          <w:color w:val="auto"/>
        </w:rPr>
        <w:t xml:space="preserve"> Assignor identified in item 1 below ([the][each, an] “</w:t>
      </w:r>
      <w:r>
        <w:rPr>
          <w:rFonts w:ascii="Arial" w:cs="Arial" w:eastAsia="Arial" w:hAnsi="Arial"/>
          <w:sz w:val="16"/>
          <w:szCs w:val="16"/>
          <w:u w:val="single" w:color="auto"/>
          <w:color w:val="auto"/>
        </w:rPr>
        <w:t>Assignor</w:t>
      </w:r>
      <w:r>
        <w:rPr>
          <w:rFonts w:ascii="Arial" w:cs="Arial" w:eastAsia="Arial" w:hAnsi="Arial"/>
          <w:sz w:val="16"/>
          <w:szCs w:val="16"/>
          <w:color w:val="auto"/>
        </w:rPr>
        <w:t>”) and [the][each]</w:t>
      </w:r>
      <w:r>
        <w:rPr>
          <w:rFonts w:ascii="Arial" w:cs="Arial" w:eastAsia="Arial" w:hAnsi="Arial"/>
          <w:sz w:val="10"/>
          <w:szCs w:val="10"/>
          <w:color w:val="auto"/>
        </w:rPr>
        <w:t>2</w:t>
      </w:r>
      <w:r>
        <w:rPr>
          <w:rFonts w:ascii="Arial" w:cs="Arial" w:eastAsia="Arial" w:hAnsi="Arial"/>
          <w:sz w:val="16"/>
          <w:szCs w:val="16"/>
          <w:color w:val="auto"/>
        </w:rPr>
        <w:t xml:space="preserve"> Assignee identified in item 2 below ([the][each, an] “</w:t>
      </w:r>
      <w:r>
        <w:rPr>
          <w:rFonts w:ascii="Arial" w:cs="Arial" w:eastAsia="Arial" w:hAnsi="Arial"/>
          <w:sz w:val="16"/>
          <w:szCs w:val="16"/>
          <w:u w:val="single" w:color="auto"/>
          <w:color w:val="auto"/>
        </w:rPr>
        <w:t>Assignee</w:t>
      </w:r>
      <w:r>
        <w:rPr>
          <w:rFonts w:ascii="Arial" w:cs="Arial" w:eastAsia="Arial" w:hAnsi="Arial"/>
          <w:sz w:val="16"/>
          <w:szCs w:val="16"/>
          <w:color w:val="auto"/>
        </w:rPr>
        <w:t>”). [It is understood and agreed that the rights and obligations of [the Assignors][the Assignees]</w:t>
      </w:r>
      <w:r>
        <w:rPr>
          <w:rFonts w:ascii="Arial" w:cs="Arial" w:eastAsia="Arial" w:hAnsi="Arial"/>
          <w:sz w:val="10"/>
          <w:szCs w:val="10"/>
          <w:color w:val="auto"/>
        </w:rPr>
        <w:t>3</w:t>
      </w:r>
      <w:r>
        <w:rPr>
          <w:rFonts w:ascii="Arial" w:cs="Arial" w:eastAsia="Arial" w:hAnsi="Arial"/>
          <w:sz w:val="16"/>
          <w:szCs w:val="16"/>
          <w:color w:val="auto"/>
        </w:rPr>
        <w:t xml:space="preserve"> hereunder are several and not joint.]</w:t>
      </w:r>
      <w:r>
        <w:rPr>
          <w:rFonts w:ascii="Arial" w:cs="Arial" w:eastAsia="Arial" w:hAnsi="Arial"/>
          <w:sz w:val="10"/>
          <w:szCs w:val="10"/>
          <w:color w:val="auto"/>
        </w:rPr>
        <w:t>4</w:t>
      </w:r>
      <w:r>
        <w:rPr>
          <w:rFonts w:ascii="Arial" w:cs="Arial" w:eastAsia="Arial" w:hAnsi="Arial"/>
          <w:sz w:val="16"/>
          <w:szCs w:val="16"/>
          <w:color w:val="auto"/>
        </w:rPr>
        <w:t xml:space="preserve"> Capitalized terms used but not defined herein shall have the meanings given to them in the Credit Agreement identified below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20" w:lineRule="exact"/>
        <w:rPr>
          <w:sz w:val="20"/>
          <w:szCs w:val="20"/>
          <w:color w:val="auto"/>
        </w:rPr>
      </w:pPr>
    </w:p>
    <w:p>
      <w:pPr>
        <w:jc w:val="both"/>
        <w:ind w:firstLine="456"/>
        <w:spacing w:after="0" w:line="285" w:lineRule="auto"/>
        <w:rPr>
          <w:sz w:val="20"/>
          <w:szCs w:val="20"/>
          <w:color w:val="auto"/>
        </w:rPr>
      </w:pPr>
      <w:r>
        <w:rPr>
          <w:rFonts w:ascii="Arial" w:cs="Arial" w:eastAsia="Arial" w:hAnsi="Arial"/>
          <w:sz w:val="16"/>
          <w:szCs w:val="16"/>
          <w:color w:val="auto"/>
        </w:rPr>
        <w:t>For an agreed consideration, [the][each] Assignor hereby irrevocably sells and assigns to [the Assignee][the respective Assignees], and [the][each] Assignee hereby irrevocably purchases and assumes from [the Assignor][the respective Assignors], subject to and in accordance with the Standard Terms and Conditions and the Credit Agreement, as of the Effective Date inserted by the Administrative Agent as contemplated below (i) all of [the Assignor’s][the respective Assignors’] rights and obligations in [its capacity as a Lender][their respective capacities as Lenders] under the Credit Agreement and any other documents or instruments delivered pursuant thereto to the extent related to the amount and percentage interest identified below of all of such outstanding rights and obligations of [the Assignor][the respective Assignors] under the respective facilities identified below (including, without limitation, the Letters of Credit and the Swing Line Loans included in such facilities</w:t>
      </w:r>
      <w:r>
        <w:rPr>
          <w:rFonts w:ascii="Arial" w:cs="Arial" w:eastAsia="Arial" w:hAnsi="Arial"/>
          <w:sz w:val="10"/>
          <w:szCs w:val="10"/>
          <w:color w:val="auto"/>
        </w:rPr>
        <w:t>5</w:t>
      </w:r>
      <w:r>
        <w:rPr>
          <w:rFonts w:ascii="Arial" w:cs="Arial" w:eastAsia="Arial" w:hAnsi="Arial"/>
          <w:sz w:val="16"/>
          <w:szCs w:val="16"/>
          <w:color w:val="auto"/>
        </w:rPr>
        <w:t>) and (ii) to the extent permitted to be assigned under applicable law, all claims, suits, causes of action and any other right of [the Assignor (in its capacity as a Lender)][the respective Assignors (in their respective capacities as Lenders)]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[the][any] Assignor to [the][any] Assignee pursuant to clauses (i) and (ii) above being referred to herein collectively as [the][an] “</w:t>
      </w:r>
      <w:r>
        <w:rPr>
          <w:rFonts w:ascii="Arial" w:cs="Arial" w:eastAsia="Arial" w:hAnsi="Arial"/>
          <w:sz w:val="16"/>
          <w:szCs w:val="16"/>
          <w:u w:val="single" w:color="auto"/>
          <w:color w:val="auto"/>
        </w:rPr>
        <w:t>Assigned</w:t>
      </w:r>
      <w:r>
        <w:rPr>
          <w:rFonts w:ascii="Arial" w:cs="Arial" w:eastAsia="Arial" w:hAnsi="Arial"/>
          <w:sz w:val="16"/>
          <w:szCs w:val="16"/>
          <w:color w:val="auto"/>
        </w:rPr>
        <w:t xml:space="preserve"> </w:t>
      </w:r>
      <w:r>
        <w:rPr>
          <w:rFonts w:ascii="Arial" w:cs="Arial" w:eastAsia="Arial" w:hAnsi="Arial"/>
          <w:sz w:val="16"/>
          <w:szCs w:val="16"/>
          <w:u w:val="single" w:color="auto"/>
          <w:color w:val="auto"/>
        </w:rPr>
        <w:t>Interest</w:t>
      </w:r>
      <w:r>
        <w:rPr>
          <w:rFonts w:ascii="Arial" w:cs="Arial" w:eastAsia="Arial" w:hAnsi="Arial"/>
          <w:sz w:val="16"/>
          <w:szCs w:val="16"/>
          <w:color w:val="auto"/>
        </w:rPr>
        <w:t>”). Each such sale and assignment is without recourse to [the][any] Assignor and, except as expressly provided in this Assignment and Assumption, without representation or warranty by [the][any] 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289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p>
      <w:pPr>
        <w:spacing w:after="0" w:line="297"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317"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317" w:lineRule="exact"/>
        <w:rPr>
          <w:sz w:val="20"/>
          <w:szCs w:val="20"/>
          <w:color w:val="auto"/>
        </w:rPr>
      </w:pPr>
    </w:p>
    <w:p>
      <w:pPr>
        <w:spacing w:after="0"/>
        <w:rPr>
          <w:sz w:val="20"/>
          <w:szCs w:val="20"/>
          <w:color w:val="auto"/>
        </w:rPr>
      </w:pPr>
      <w:r>
        <w:rPr>
          <w:rFonts w:ascii="Arial" w:cs="Arial" w:eastAsia="Arial" w:hAnsi="Arial"/>
          <w:sz w:val="10"/>
          <w:szCs w:val="10"/>
          <w:color w:val="auto"/>
        </w:rPr>
        <w:t>3</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4</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bracketed language here and elsewhere in this form relating to the Assignor(s), if the assignment is from a single Assignor, choose the first bracketed language. If the assignment is from multiple Assignors, choose the second bracketed language.</w:t>
      </w:r>
    </w:p>
    <w:p>
      <w:pPr>
        <w:spacing w:after="0" w:line="261" w:lineRule="auto"/>
        <w:rPr>
          <w:sz w:val="20"/>
          <w:szCs w:val="20"/>
          <w:color w:val="auto"/>
        </w:rPr>
      </w:pPr>
      <w:r>
        <w:rPr>
          <w:rFonts w:ascii="Arial" w:cs="Arial" w:eastAsia="Arial" w:hAnsi="Arial"/>
          <w:sz w:val="18"/>
          <w:szCs w:val="18"/>
          <w:color w:val="auto"/>
        </w:rPr>
        <w:t>For bracketed language here and elsewhere in this form relating to the Assignee(s), if the assignment is to a single Assignee, choose the first bracketed language. If the assignment is to multiple Assignees, choose the second bracketed language. Select as appropriate.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Include bracketed language if there are either multiple Assignors or multiple Assignees.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Include all applicable subfacilities.</w:t>
      </w:r>
    </w:p>
    <w:p>
      <w:pPr>
        <w:spacing w:after="0" w:line="16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E-1</w:t>
      </w:r>
    </w:p>
    <w:p>
      <w:pPr>
        <w:spacing w:after="0" w:line="1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Form of Assignment and Assumption</w:t>
      </w:r>
    </w:p>
    <w:p>
      <w:pPr>
        <w:sectPr>
          <w:pgSz w:w="11900" w:h="16838" w:orient="portrait"/>
          <w:cols w:equalWidth="0" w:num="2">
            <w:col w:w="60" w:space="400"/>
            <w:col w:w="10960"/>
          </w:cols>
          <w:pgMar w:left="240" w:top="280" w:right="239" w:bottom="1440" w:gutter="0" w:footer="0" w:header="0"/>
          <w:type w:val="continuous"/>
        </w:sectPr>
      </w:pPr>
    </w:p>
    <w:bookmarkStart w:id="221" w:name="page222"/>
    <w:bookmarkEnd w:id="221"/>
    <w:p>
      <w:pPr>
        <w:ind w:left="400" w:hanging="392"/>
        <w:spacing w:after="0"/>
        <w:tabs>
          <w:tab w:leader="none" w:pos="400"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Assignor[s]</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400" w:hanging="392"/>
        <w:spacing w:after="0"/>
        <w:tabs>
          <w:tab w:leader="none" w:pos="400"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Assignee[s]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-434340</wp:posOffset>
            </wp:positionV>
            <wp:extent cx="253873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538730" cy="8890"/>
                    </a:xfrm>
                    <a:prstGeom prst="rect">
                      <a:avLst/>
                    </a:prstGeom>
                    <a:noFill/>
                  </pic:spPr>
                </pic:pic>
              </a:graphicData>
            </a:graphic>
          </wp:anchor>
        </w:drawing>
        <w:drawing>
          <wp:anchor simplePos="0" relativeHeight="251657728" behindDoc="1" locked="0" layoutInCell="0" allowOverlap="1">
            <wp:simplePos x="0" y="0"/>
            <wp:positionH relativeFrom="column">
              <wp:posOffset>2037715</wp:posOffset>
            </wp:positionH>
            <wp:positionV relativeFrom="paragraph">
              <wp:posOffset>-280035</wp:posOffset>
            </wp:positionV>
            <wp:extent cx="253873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538730" cy="8890"/>
                    </a:xfrm>
                    <a:prstGeom prst="rect">
                      <a:avLst/>
                    </a:prstGeom>
                    <a:noFill/>
                  </pic:spPr>
                </pic:pic>
              </a:graphicData>
            </a:graphic>
          </wp:anchor>
        </w:drawing>
        <w:drawing>
          <wp:anchor simplePos="0" relativeHeight="251657728" behindDoc="1" locked="0" layoutInCell="0" allowOverlap="1">
            <wp:simplePos x="0" y="0"/>
            <wp:positionH relativeFrom="column">
              <wp:posOffset>2037715</wp:posOffset>
            </wp:positionH>
            <wp:positionV relativeFrom="paragraph">
              <wp:posOffset>10795</wp:posOffset>
            </wp:positionV>
            <wp:extent cx="253873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221"/>
        </w:trPr>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220" w:type="dxa"/>
            <w:vAlign w:val="bottom"/>
            <w:gridSpan w:val="4"/>
          </w:tcPr>
          <w:p>
            <w:pPr>
              <w:spacing w:after="0"/>
              <w:rPr>
                <w:sz w:val="20"/>
                <w:szCs w:val="20"/>
                <w:color w:val="auto"/>
              </w:rPr>
            </w:pPr>
            <w:r>
              <w:rPr>
                <w:rFonts w:ascii="Arial" w:cs="Arial" w:eastAsia="Arial" w:hAnsi="Arial"/>
                <w:sz w:val="18"/>
                <w:szCs w:val="18"/>
                <w:color w:val="auto"/>
              </w:rPr>
              <w:t>[for each Assignee, indicate [Affiliate][Approved Fund] of [</w:t>
            </w:r>
            <w:r>
              <w:rPr>
                <w:rFonts w:ascii="Arial" w:cs="Arial" w:eastAsia="Arial" w:hAnsi="Arial"/>
                <w:sz w:val="18"/>
                <w:szCs w:val="18"/>
                <w:i w:val="1"/>
                <w:iCs w:val="1"/>
                <w:color w:val="auto"/>
              </w:rPr>
              <w:t>identify Lender</w:t>
            </w:r>
            <w:r>
              <w:rPr>
                <w:rFonts w:ascii="Arial" w:cs="Arial" w:eastAsia="Arial" w:hAnsi="Arial"/>
                <w:sz w:val="18"/>
                <w:szCs w:val="18"/>
                <w:color w:val="auto"/>
              </w:rPr>
              <w:t>]]</w:t>
            </w:r>
          </w:p>
        </w:tc>
      </w:tr>
      <w:tr>
        <w:trPr>
          <w:trHeight w:val="394"/>
        </w:trPr>
        <w:tc>
          <w:tcPr>
            <w:tcW w:w="400" w:type="dxa"/>
            <w:vAlign w:val="bottom"/>
          </w:tcPr>
          <w:p>
            <w:pPr>
              <w:jc w:val="right"/>
              <w:ind w:right="172"/>
              <w:spacing w:after="0"/>
              <w:rPr>
                <w:sz w:val="20"/>
                <w:szCs w:val="20"/>
                <w:color w:val="auto"/>
              </w:rPr>
            </w:pPr>
            <w:r>
              <w:rPr>
                <w:rFonts w:ascii="Arial" w:cs="Arial" w:eastAsia="Arial" w:hAnsi="Arial"/>
                <w:sz w:val="18"/>
                <w:szCs w:val="18"/>
                <w:color w:val="auto"/>
                <w:w w:val="79"/>
              </w:rPr>
              <w:t>3.</w:t>
            </w:r>
          </w:p>
        </w:tc>
        <w:tc>
          <w:tcPr>
            <w:tcW w:w="2800" w:type="dxa"/>
            <w:vAlign w:val="bottom"/>
            <w:gridSpan w:val="4"/>
          </w:tcPr>
          <w:p>
            <w:pPr>
              <w:spacing w:after="0"/>
              <w:rPr>
                <w:sz w:val="20"/>
                <w:szCs w:val="20"/>
                <w:color w:val="auto"/>
              </w:rPr>
            </w:pPr>
            <w:r>
              <w:rPr>
                <w:rFonts w:ascii="Arial" w:cs="Arial" w:eastAsia="Arial" w:hAnsi="Arial"/>
                <w:sz w:val="18"/>
                <w:szCs w:val="18"/>
                <w:color w:val="auto"/>
              </w:rPr>
              <w:t>Borrower:</w:t>
            </w:r>
          </w:p>
        </w:tc>
        <w:tc>
          <w:tcPr>
            <w:tcW w:w="8220" w:type="dxa"/>
            <w:vAlign w:val="bottom"/>
            <w:gridSpan w:val="4"/>
          </w:tcPr>
          <w:p>
            <w:pPr>
              <w:spacing w:after="0"/>
              <w:rPr>
                <w:sz w:val="20"/>
                <w:szCs w:val="20"/>
                <w:color w:val="auto"/>
              </w:rPr>
            </w:pPr>
            <w:r>
              <w:rPr>
                <w:rFonts w:ascii="Arial" w:cs="Arial" w:eastAsia="Arial" w:hAnsi="Arial"/>
                <w:sz w:val="18"/>
                <w:szCs w:val="18"/>
                <w:color w:val="auto"/>
              </w:rPr>
              <w:t>Integra LifeSciences Holdings Corporation, a Delaware corporation</w:t>
            </w:r>
          </w:p>
        </w:tc>
      </w:tr>
      <w:tr>
        <w:trPr>
          <w:trHeight w:val="20"/>
        </w:trPr>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560" w:type="dxa"/>
            <w:vAlign w:val="bottom"/>
            <w:gridSpan w:val="2"/>
          </w:tcPr>
          <w:p>
            <w:pPr>
              <w:spacing w:after="0" w:line="20" w:lineRule="exact"/>
              <w:rPr>
                <w:sz w:val="1"/>
                <w:szCs w:val="1"/>
                <w:color w:val="auto"/>
              </w:rPr>
            </w:pPr>
          </w:p>
        </w:tc>
      </w:tr>
      <w:tr>
        <w:trPr>
          <w:trHeight w:val="412"/>
        </w:trPr>
        <w:tc>
          <w:tcPr>
            <w:tcW w:w="400" w:type="dxa"/>
            <w:vAlign w:val="bottom"/>
          </w:tcPr>
          <w:p>
            <w:pPr>
              <w:jc w:val="right"/>
              <w:ind w:right="172"/>
              <w:spacing w:after="0"/>
              <w:rPr>
                <w:sz w:val="20"/>
                <w:szCs w:val="20"/>
                <w:color w:val="auto"/>
              </w:rPr>
            </w:pPr>
            <w:r>
              <w:rPr>
                <w:rFonts w:ascii="Arial" w:cs="Arial" w:eastAsia="Arial" w:hAnsi="Arial"/>
                <w:sz w:val="18"/>
                <w:szCs w:val="18"/>
                <w:color w:val="auto"/>
                <w:w w:val="79"/>
              </w:rPr>
              <w:t>4.</w:t>
            </w:r>
          </w:p>
        </w:tc>
        <w:tc>
          <w:tcPr>
            <w:tcW w:w="2800" w:type="dxa"/>
            <w:vAlign w:val="bottom"/>
            <w:gridSpan w:val="4"/>
          </w:tcPr>
          <w:p>
            <w:pPr>
              <w:spacing w:after="0"/>
              <w:rPr>
                <w:sz w:val="20"/>
                <w:szCs w:val="20"/>
                <w:color w:val="auto"/>
              </w:rPr>
            </w:pPr>
            <w:r>
              <w:rPr>
                <w:rFonts w:ascii="Arial" w:cs="Arial" w:eastAsia="Arial" w:hAnsi="Arial"/>
                <w:sz w:val="18"/>
                <w:szCs w:val="18"/>
                <w:color w:val="auto"/>
              </w:rPr>
              <w:t>Administrative Agent:</w:t>
            </w:r>
          </w:p>
        </w:tc>
        <w:tc>
          <w:tcPr>
            <w:tcW w:w="8220" w:type="dxa"/>
            <w:vAlign w:val="bottom"/>
            <w:gridSpan w:val="4"/>
          </w:tcPr>
          <w:p>
            <w:pPr>
              <w:spacing w:after="0"/>
              <w:rPr>
                <w:sz w:val="20"/>
                <w:szCs w:val="20"/>
                <w:color w:val="auto"/>
              </w:rPr>
            </w:pPr>
            <w:r>
              <w:rPr>
                <w:rFonts w:ascii="Arial" w:cs="Arial" w:eastAsia="Arial" w:hAnsi="Arial"/>
                <w:sz w:val="18"/>
                <w:szCs w:val="18"/>
                <w:color w:val="auto"/>
              </w:rPr>
              <w:t>Bank of America, N.A., as the administrative agent under the Credit Agreement</w:t>
            </w:r>
          </w:p>
        </w:tc>
      </w:tr>
      <w:tr>
        <w:trPr>
          <w:trHeight w:val="412"/>
        </w:trPr>
        <w:tc>
          <w:tcPr>
            <w:tcW w:w="400" w:type="dxa"/>
            <w:vAlign w:val="bottom"/>
          </w:tcPr>
          <w:p>
            <w:pPr>
              <w:jc w:val="right"/>
              <w:ind w:right="172"/>
              <w:spacing w:after="0"/>
              <w:rPr>
                <w:sz w:val="20"/>
                <w:szCs w:val="20"/>
                <w:color w:val="auto"/>
              </w:rPr>
            </w:pPr>
            <w:r>
              <w:rPr>
                <w:rFonts w:ascii="Arial" w:cs="Arial" w:eastAsia="Arial" w:hAnsi="Arial"/>
                <w:sz w:val="18"/>
                <w:szCs w:val="18"/>
                <w:color w:val="auto"/>
                <w:w w:val="79"/>
              </w:rPr>
              <w:t>5.</w:t>
            </w:r>
          </w:p>
        </w:tc>
        <w:tc>
          <w:tcPr>
            <w:tcW w:w="15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Credit Agreement:</w:t>
            </w:r>
          </w:p>
        </w:tc>
        <w:tc>
          <w:tcPr>
            <w:tcW w:w="1280" w:type="dxa"/>
            <w:vAlign w:val="bottom"/>
          </w:tcPr>
          <w:p>
            <w:pPr>
              <w:spacing w:after="0"/>
              <w:rPr>
                <w:sz w:val="24"/>
                <w:szCs w:val="24"/>
                <w:color w:val="auto"/>
              </w:rPr>
            </w:pPr>
          </w:p>
        </w:tc>
        <w:tc>
          <w:tcPr>
            <w:tcW w:w="8220" w:type="dxa"/>
            <w:vAlign w:val="bottom"/>
            <w:gridSpan w:val="4"/>
          </w:tcPr>
          <w:p>
            <w:pPr>
              <w:spacing w:after="0"/>
              <w:rPr>
                <w:sz w:val="20"/>
                <w:szCs w:val="20"/>
                <w:color w:val="auto"/>
              </w:rPr>
            </w:pPr>
            <w:r>
              <w:rPr>
                <w:rFonts w:ascii="Arial" w:cs="Arial" w:eastAsia="Arial" w:hAnsi="Arial"/>
                <w:sz w:val="18"/>
                <w:szCs w:val="18"/>
                <w:color w:val="auto"/>
                <w:w w:val="93"/>
              </w:rPr>
              <w:t>The Second Amended and Restated Credit Agreement, dated as of June 8, 2011, among Integra LifeSciences</w:t>
            </w:r>
          </w:p>
        </w:tc>
      </w:tr>
      <w:tr>
        <w:trPr>
          <w:trHeight w:val="196"/>
        </w:trPr>
        <w:tc>
          <w:tcPr>
            <w:tcW w:w="40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220" w:type="dxa"/>
            <w:vAlign w:val="bottom"/>
            <w:gridSpan w:val="4"/>
          </w:tcPr>
          <w:p>
            <w:pPr>
              <w:spacing w:after="0" w:line="196" w:lineRule="exact"/>
              <w:rPr>
                <w:sz w:val="20"/>
                <w:szCs w:val="20"/>
                <w:color w:val="auto"/>
              </w:rPr>
            </w:pPr>
            <w:r>
              <w:rPr>
                <w:rFonts w:ascii="Arial" w:cs="Arial" w:eastAsia="Arial" w:hAnsi="Arial"/>
                <w:sz w:val="18"/>
                <w:szCs w:val="18"/>
                <w:color w:val="auto"/>
                <w:w w:val="91"/>
              </w:rPr>
              <w:t>Holdings Corporation (the “Borrower”), the Lenders from time to time party thereto and Bank of America, N.A., as</w:t>
            </w:r>
          </w:p>
        </w:tc>
      </w:tr>
      <w:tr>
        <w:trPr>
          <w:trHeight w:val="20"/>
        </w:trPr>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560" w:type="dxa"/>
            <w:vAlign w:val="bottom"/>
            <w:gridSpan w:val="2"/>
          </w:tcPr>
          <w:p>
            <w:pPr>
              <w:spacing w:after="0" w:line="20" w:lineRule="exact"/>
              <w:rPr>
                <w:sz w:val="1"/>
                <w:szCs w:val="1"/>
                <w:color w:val="auto"/>
              </w:rPr>
            </w:pPr>
          </w:p>
        </w:tc>
      </w:tr>
      <w:tr>
        <w:trPr>
          <w:trHeight w:val="235"/>
        </w:trPr>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220" w:type="dxa"/>
            <w:vAlign w:val="bottom"/>
            <w:gridSpan w:val="4"/>
          </w:tcPr>
          <w:p>
            <w:pPr>
              <w:spacing w:after="0"/>
              <w:rPr>
                <w:sz w:val="20"/>
                <w:szCs w:val="20"/>
                <w:color w:val="auto"/>
              </w:rPr>
            </w:pPr>
            <w:r>
              <w:rPr>
                <w:rFonts w:ascii="Arial" w:cs="Arial" w:eastAsia="Arial" w:hAnsi="Arial"/>
                <w:sz w:val="18"/>
                <w:szCs w:val="18"/>
                <w:color w:val="auto"/>
              </w:rPr>
              <w:t>Administrative Agent, Swing Line Lender and L/C Issuer.</w:t>
            </w:r>
          </w:p>
        </w:tc>
      </w:tr>
    </w:tbl>
    <w:p>
      <w:pPr>
        <w:spacing w:after="0" w:line="210" w:lineRule="exact"/>
        <w:rPr>
          <w:sz w:val="20"/>
          <w:szCs w:val="20"/>
          <w:color w:val="auto"/>
        </w:rPr>
      </w:pPr>
    </w:p>
    <w:p>
      <w:pPr>
        <w:ind w:left="400" w:hanging="392"/>
        <w:spacing w:after="0"/>
        <w:tabs>
          <w:tab w:leader="none" w:pos="400"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Assigned Interest[s]</w:t>
      </w:r>
      <w:r>
        <w:rPr>
          <w:rFonts w:ascii="Arial" w:cs="Arial" w:eastAsia="Arial" w:hAnsi="Arial"/>
          <w:sz w:val="18"/>
          <w:szCs w:val="18"/>
          <w:color w:val="auto"/>
        </w:rPr>
        <w: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color w:val="auto"/>
                <w:w w:val="86"/>
              </w:rPr>
              <w:t>Aggregate</w:t>
            </w:r>
          </w:p>
        </w:tc>
        <w:tc>
          <w:tcPr>
            <w:tcW w:w="340" w:type="dxa"/>
            <w:vAlign w:val="bottom"/>
          </w:tcPr>
          <w:p>
            <w:pPr>
              <w:spacing w:after="0"/>
              <w:rPr>
                <w:sz w:val="14"/>
                <w:szCs w:val="14"/>
                <w:color w:val="auto"/>
              </w:rPr>
            </w:pPr>
          </w:p>
        </w:tc>
        <w:tc>
          <w:tcPr>
            <w:tcW w:w="1400" w:type="dxa"/>
            <w:vAlign w:val="bottom"/>
            <w:gridSpan w:val="2"/>
          </w:tcPr>
          <w:p>
            <w:pPr>
              <w:jc w:val="center"/>
              <w:ind w:right="680"/>
              <w:spacing w:after="0"/>
              <w:rPr>
                <w:sz w:val="20"/>
                <w:szCs w:val="20"/>
                <w:color w:val="auto"/>
              </w:rPr>
            </w:pPr>
            <w:r>
              <w:rPr>
                <w:rFonts w:ascii="Arial" w:cs="Arial" w:eastAsia="Arial" w:hAnsi="Arial"/>
                <w:sz w:val="14"/>
                <w:szCs w:val="14"/>
                <w:color w:val="auto"/>
                <w:w w:val="93"/>
              </w:rPr>
              <w:t>Amount of</w:t>
            </w:r>
          </w:p>
        </w:tc>
        <w:tc>
          <w:tcPr>
            <w:tcW w:w="760" w:type="dxa"/>
            <w:vAlign w:val="bottom"/>
          </w:tcPr>
          <w:p>
            <w:pPr>
              <w:jc w:val="center"/>
              <w:spacing w:after="0"/>
              <w:rPr>
                <w:sz w:val="20"/>
                <w:szCs w:val="20"/>
                <w:color w:val="auto"/>
              </w:rPr>
            </w:pPr>
            <w:r>
              <w:rPr>
                <w:rFonts w:ascii="Arial" w:cs="Arial" w:eastAsia="Arial" w:hAnsi="Arial"/>
                <w:sz w:val="14"/>
                <w:szCs w:val="14"/>
                <w:color w:val="auto"/>
                <w:w w:val="80"/>
              </w:rPr>
              <w:t>Percentage</w:t>
            </w: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0"/>
              </w:rPr>
              <w:t>Amount of</w:t>
            </w:r>
          </w:p>
        </w:tc>
        <w:tc>
          <w:tcPr>
            <w:tcW w:w="340" w:type="dxa"/>
            <w:vAlign w:val="bottom"/>
          </w:tcPr>
          <w:p>
            <w:pPr>
              <w:spacing w:after="0"/>
              <w:rPr>
                <w:sz w:val="12"/>
                <w:szCs w:val="12"/>
                <w:color w:val="auto"/>
              </w:rPr>
            </w:pPr>
          </w:p>
        </w:tc>
        <w:tc>
          <w:tcPr>
            <w:tcW w:w="1400" w:type="dxa"/>
            <w:vAlign w:val="bottom"/>
            <w:gridSpan w:val="2"/>
          </w:tcPr>
          <w:p>
            <w:pPr>
              <w:spacing w:after="0" w:line="149" w:lineRule="exact"/>
              <w:rPr>
                <w:sz w:val="20"/>
                <w:szCs w:val="20"/>
                <w:color w:val="auto"/>
              </w:rPr>
            </w:pPr>
            <w:r>
              <w:rPr>
                <w:rFonts w:ascii="Arial" w:cs="Arial" w:eastAsia="Arial" w:hAnsi="Arial"/>
                <w:sz w:val="14"/>
                <w:szCs w:val="14"/>
                <w:color w:val="auto"/>
              </w:rPr>
              <w:t>Commitment</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0"/>
              </w:rPr>
              <w:t>Assigned of</w:t>
            </w: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480" w:type="dxa"/>
            <w:vAlign w:val="bottom"/>
            <w:gridSpan w:val="2"/>
            <w:vMerge w:val="restart"/>
          </w:tcPr>
          <w:p>
            <w:pPr>
              <w:spacing w:after="0"/>
              <w:rPr>
                <w:sz w:val="20"/>
                <w:szCs w:val="20"/>
                <w:color w:val="auto"/>
              </w:rPr>
            </w:pPr>
            <w:r>
              <w:rPr>
                <w:rFonts w:ascii="Arial" w:cs="Arial" w:eastAsia="Arial" w:hAnsi="Arial"/>
                <w:sz w:val="14"/>
                <w:szCs w:val="14"/>
                <w:color w:val="auto"/>
              </w:rPr>
              <w:t>Assignor[s]</w:t>
            </w:r>
            <w:r>
              <w:rPr>
                <w:rFonts w:ascii="Arial" w:cs="Arial" w:eastAsia="Arial" w:hAnsi="Arial"/>
                <w:sz w:val="22"/>
                <w:szCs w:val="22"/>
                <w:color w:val="auto"/>
                <w:vertAlign w:val="superscript"/>
              </w:rPr>
              <w:t>6</w:t>
            </w:r>
          </w:p>
        </w:tc>
        <w:tc>
          <w:tcPr>
            <w:tcW w:w="238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4"/>
                <w:szCs w:val="14"/>
                <w:color w:val="auto"/>
              </w:rPr>
              <w:t>Assignee[s]</w:t>
            </w:r>
            <w:r>
              <w:rPr>
                <w:rFonts w:ascii="Arial" w:cs="Arial" w:eastAsia="Arial" w:hAnsi="Arial"/>
                <w:sz w:val="22"/>
                <w:szCs w:val="22"/>
                <w:color w:val="auto"/>
                <w:vertAlign w:val="superscript"/>
              </w:rPr>
              <w:t>7</w:t>
            </w:r>
          </w:p>
        </w:tc>
        <w:tc>
          <w:tcPr>
            <w:tcW w:w="1140" w:type="dxa"/>
            <w:vAlign w:val="bottom"/>
            <w:gridSpan w:val="2"/>
          </w:tcPr>
          <w:p>
            <w:pPr>
              <w:jc w:val="center"/>
              <w:ind w:right="560"/>
              <w:spacing w:after="0" w:line="133" w:lineRule="exact"/>
              <w:rPr>
                <w:sz w:val="20"/>
                <w:szCs w:val="20"/>
                <w:color w:val="auto"/>
              </w:rPr>
            </w:pPr>
            <w:r>
              <w:rPr>
                <w:rFonts w:ascii="Arial" w:cs="Arial" w:eastAsia="Arial" w:hAnsi="Arial"/>
                <w:sz w:val="14"/>
                <w:szCs w:val="14"/>
                <w:color w:val="auto"/>
                <w:w w:val="96"/>
              </w:rPr>
              <w:t>Facility</w:t>
            </w:r>
          </w:p>
        </w:tc>
        <w:tc>
          <w:tcPr>
            <w:tcW w:w="1420" w:type="dxa"/>
            <w:vAlign w:val="bottom"/>
            <w:gridSpan w:val="2"/>
          </w:tcPr>
          <w:p>
            <w:pPr>
              <w:spacing w:after="0" w:line="133" w:lineRule="exact"/>
              <w:rPr>
                <w:sz w:val="20"/>
                <w:szCs w:val="20"/>
                <w:color w:val="auto"/>
              </w:rPr>
            </w:pPr>
            <w:r>
              <w:rPr>
                <w:rFonts w:ascii="Arial" w:cs="Arial" w:eastAsia="Arial" w:hAnsi="Arial"/>
                <w:sz w:val="14"/>
                <w:szCs w:val="14"/>
                <w:color w:val="auto"/>
              </w:rPr>
              <w:t>Commitment/Loans</w:t>
            </w:r>
          </w:p>
        </w:tc>
        <w:tc>
          <w:tcPr>
            <w:tcW w:w="340" w:type="dxa"/>
            <w:vAlign w:val="bottom"/>
          </w:tcPr>
          <w:p>
            <w:pPr>
              <w:spacing w:after="0"/>
              <w:rPr>
                <w:sz w:val="11"/>
                <w:szCs w:val="11"/>
                <w:color w:val="auto"/>
              </w:rPr>
            </w:pPr>
          </w:p>
        </w:tc>
        <w:tc>
          <w:tcPr>
            <w:tcW w:w="1400" w:type="dxa"/>
            <w:vAlign w:val="bottom"/>
            <w:gridSpan w:val="2"/>
          </w:tcPr>
          <w:p>
            <w:pPr>
              <w:jc w:val="center"/>
              <w:ind w:right="680"/>
              <w:spacing w:after="0" w:line="133" w:lineRule="exact"/>
              <w:rPr>
                <w:sz w:val="20"/>
                <w:szCs w:val="20"/>
                <w:color w:val="auto"/>
              </w:rPr>
            </w:pPr>
            <w:r>
              <w:rPr>
                <w:rFonts w:ascii="Arial" w:cs="Arial" w:eastAsia="Arial" w:hAnsi="Arial"/>
                <w:sz w:val="14"/>
                <w:szCs w:val="14"/>
                <w:color w:val="auto"/>
                <w:w w:val="85"/>
              </w:rPr>
              <w:t>/Loans</w:t>
            </w:r>
          </w:p>
        </w:tc>
        <w:tc>
          <w:tcPr>
            <w:tcW w:w="760" w:type="dxa"/>
            <w:vAlign w:val="bottom"/>
          </w:tcPr>
          <w:p>
            <w:pPr>
              <w:jc w:val="center"/>
              <w:spacing w:after="0" w:line="133" w:lineRule="exact"/>
              <w:rPr>
                <w:sz w:val="20"/>
                <w:szCs w:val="20"/>
                <w:color w:val="auto"/>
              </w:rPr>
            </w:pPr>
            <w:r>
              <w:rPr>
                <w:rFonts w:ascii="Arial" w:cs="Arial" w:eastAsia="Arial" w:hAnsi="Arial"/>
                <w:sz w:val="14"/>
                <w:szCs w:val="14"/>
                <w:color w:val="auto"/>
                <w:w w:val="88"/>
              </w:rPr>
              <w:t>Commitment/</w:t>
            </w:r>
          </w:p>
        </w:tc>
        <w:tc>
          <w:tcPr>
            <w:tcW w:w="780" w:type="dxa"/>
            <w:vAlign w:val="bottom"/>
          </w:tcPr>
          <w:p>
            <w:pPr>
              <w:spacing w:after="0"/>
              <w:rPr>
                <w:sz w:val="11"/>
                <w:szCs w:val="11"/>
                <w:color w:val="auto"/>
              </w:rPr>
            </w:pPr>
          </w:p>
        </w:tc>
        <w:tc>
          <w:tcPr>
            <w:tcW w:w="440" w:type="dxa"/>
            <w:vAlign w:val="bottom"/>
          </w:tcPr>
          <w:p>
            <w:pPr>
              <w:ind w:left="20"/>
              <w:spacing w:after="0" w:line="133" w:lineRule="exact"/>
              <w:rPr>
                <w:sz w:val="20"/>
                <w:szCs w:val="20"/>
                <w:color w:val="auto"/>
              </w:rPr>
            </w:pPr>
            <w:r>
              <w:rPr>
                <w:rFonts w:ascii="Arial" w:cs="Arial" w:eastAsia="Arial" w:hAnsi="Arial"/>
                <w:sz w:val="14"/>
                <w:szCs w:val="14"/>
                <w:color w:val="auto"/>
                <w:w w:val="93"/>
              </w:rPr>
              <w:t>CUSIP</w:t>
            </w:r>
          </w:p>
        </w:tc>
        <w:tc>
          <w:tcPr>
            <w:tcW w:w="0" w:type="dxa"/>
            <w:vAlign w:val="bottom"/>
          </w:tcPr>
          <w:p>
            <w:pPr>
              <w:spacing w:after="0"/>
              <w:rPr>
                <w:sz w:val="1"/>
                <w:szCs w:val="1"/>
                <w:color w:val="auto"/>
              </w:rPr>
            </w:pPr>
          </w:p>
        </w:tc>
      </w:tr>
      <w:tr>
        <w:trPr>
          <w:trHeight w:val="169"/>
        </w:trPr>
        <w:tc>
          <w:tcPr>
            <w:tcW w:w="1480" w:type="dxa"/>
            <w:vAlign w:val="bottom"/>
            <w:gridSpan w:val="2"/>
            <w:vMerge w:val="continue"/>
          </w:tcPr>
          <w:p>
            <w:pPr>
              <w:spacing w:after="0"/>
              <w:rPr>
                <w:sz w:val="14"/>
                <w:szCs w:val="14"/>
                <w:color w:val="auto"/>
              </w:rPr>
            </w:pPr>
          </w:p>
        </w:tc>
        <w:tc>
          <w:tcPr>
            <w:tcW w:w="238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140" w:type="dxa"/>
            <w:vAlign w:val="bottom"/>
            <w:gridSpan w:val="2"/>
          </w:tcPr>
          <w:p>
            <w:pPr>
              <w:jc w:val="center"/>
              <w:ind w:right="580"/>
              <w:spacing w:after="0" w:line="162" w:lineRule="exact"/>
              <w:rPr>
                <w:sz w:val="20"/>
                <w:szCs w:val="20"/>
                <w:color w:val="auto"/>
              </w:rPr>
            </w:pPr>
            <w:r>
              <w:rPr>
                <w:rFonts w:ascii="Arial" w:cs="Arial" w:eastAsia="Arial" w:hAnsi="Arial"/>
                <w:sz w:val="12"/>
                <w:szCs w:val="12"/>
                <w:color w:val="auto"/>
                <w:w w:val="99"/>
              </w:rPr>
              <w:t>Assigned</w:t>
            </w:r>
            <w:r>
              <w:rPr>
                <w:rFonts w:ascii="Arial" w:cs="Arial" w:eastAsia="Arial" w:hAnsi="Arial"/>
                <w:sz w:val="18"/>
                <w:szCs w:val="18"/>
                <w:color w:val="auto"/>
                <w:w w:val="99"/>
                <w:vertAlign w:val="superscript"/>
              </w:rPr>
              <w:t>8</w:t>
            </w: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color w:val="auto"/>
                <w:w w:val="87"/>
              </w:rPr>
              <w:t>for all Lenders</w:t>
            </w:r>
          </w:p>
        </w:tc>
        <w:tc>
          <w:tcPr>
            <w:tcW w:w="340" w:type="dxa"/>
            <w:vAlign w:val="bottom"/>
          </w:tcPr>
          <w:p>
            <w:pPr>
              <w:spacing w:after="0"/>
              <w:rPr>
                <w:sz w:val="14"/>
                <w:szCs w:val="14"/>
                <w:color w:val="auto"/>
              </w:rPr>
            </w:pPr>
          </w:p>
        </w:tc>
        <w:tc>
          <w:tcPr>
            <w:tcW w:w="1400" w:type="dxa"/>
            <w:vAlign w:val="bottom"/>
            <w:gridSpan w:val="2"/>
          </w:tcPr>
          <w:p>
            <w:pPr>
              <w:jc w:val="center"/>
              <w:ind w:right="660"/>
              <w:spacing w:after="0"/>
              <w:rPr>
                <w:sz w:val="20"/>
                <w:szCs w:val="20"/>
                <w:color w:val="auto"/>
              </w:rPr>
            </w:pPr>
            <w:r>
              <w:rPr>
                <w:rFonts w:ascii="Arial" w:cs="Arial" w:eastAsia="Arial" w:hAnsi="Arial"/>
                <w:sz w:val="14"/>
                <w:szCs w:val="14"/>
                <w:color w:val="auto"/>
                <w:w w:val="86"/>
              </w:rPr>
              <w:t>Assigned</w:t>
            </w:r>
          </w:p>
        </w:tc>
        <w:tc>
          <w:tcPr>
            <w:tcW w:w="760" w:type="dxa"/>
            <w:vAlign w:val="bottom"/>
          </w:tcPr>
          <w:p>
            <w:pPr>
              <w:jc w:val="center"/>
              <w:spacing w:after="0" w:line="162" w:lineRule="exact"/>
              <w:rPr>
                <w:sz w:val="20"/>
                <w:szCs w:val="20"/>
                <w:color w:val="auto"/>
              </w:rPr>
            </w:pPr>
            <w:r>
              <w:rPr>
                <w:rFonts w:ascii="Arial" w:cs="Arial" w:eastAsia="Arial" w:hAnsi="Arial"/>
                <w:sz w:val="12"/>
                <w:szCs w:val="12"/>
                <w:color w:val="auto"/>
                <w:w w:val="96"/>
              </w:rPr>
              <w:t>Loans</w:t>
            </w:r>
            <w:r>
              <w:rPr>
                <w:rFonts w:ascii="Arial" w:cs="Arial" w:eastAsia="Arial" w:hAnsi="Arial"/>
                <w:sz w:val="18"/>
                <w:szCs w:val="18"/>
                <w:color w:val="auto"/>
                <w:w w:val="96"/>
                <w:vertAlign w:val="superscript"/>
              </w:rPr>
              <w:t>9</w:t>
            </w:r>
          </w:p>
        </w:tc>
        <w:tc>
          <w:tcPr>
            <w:tcW w:w="78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Arial" w:cs="Arial" w:eastAsia="Arial" w:hAnsi="Arial"/>
                <w:sz w:val="14"/>
                <w:szCs w:val="14"/>
                <w:color w:val="auto"/>
                <w:w w:val="84"/>
              </w:rPr>
              <w:t>Number</w:t>
            </w:r>
          </w:p>
        </w:tc>
        <w:tc>
          <w:tcPr>
            <w:tcW w:w="0" w:type="dxa"/>
            <w:vAlign w:val="bottom"/>
          </w:tcPr>
          <w:p>
            <w:pPr>
              <w:spacing w:after="0"/>
              <w:rPr>
                <w:sz w:val="1"/>
                <w:szCs w:val="1"/>
                <w:color w:val="auto"/>
              </w:rPr>
            </w:pPr>
          </w:p>
        </w:tc>
      </w:tr>
      <w:tr>
        <w:trPr>
          <w:trHeight w:val="216"/>
        </w:trPr>
        <w:tc>
          <w:tcPr>
            <w:tcW w:w="7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jc w:val="right"/>
              <w:ind w:right="552"/>
              <w:spacing w:after="0"/>
              <w:rPr>
                <w:sz w:val="20"/>
                <w:szCs w:val="20"/>
                <w:color w:val="auto"/>
              </w:rPr>
            </w:pPr>
            <w:r>
              <w:rPr>
                <w:rFonts w:ascii="Arial" w:cs="Arial" w:eastAsia="Arial" w:hAnsi="Arial"/>
                <w:sz w:val="18"/>
                <w:szCs w:val="18"/>
                <w:color w:val="auto"/>
                <w:w w:val="74"/>
              </w:rPr>
              <w:t>%</w:t>
            </w:r>
          </w:p>
        </w:tc>
        <w:tc>
          <w:tcPr>
            <w:tcW w:w="4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jc w:val="right"/>
              <w:ind w:right="552"/>
              <w:spacing w:after="0"/>
              <w:rPr>
                <w:sz w:val="20"/>
                <w:szCs w:val="20"/>
                <w:color w:val="auto"/>
              </w:rPr>
            </w:pPr>
            <w:r>
              <w:rPr>
                <w:rFonts w:ascii="Arial" w:cs="Arial" w:eastAsia="Arial" w:hAnsi="Arial"/>
                <w:sz w:val="18"/>
                <w:szCs w:val="18"/>
                <w:color w:val="auto"/>
                <w:w w:val="74"/>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74"/>
              </w:rPr>
              <w:t>%</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7"/>
        </w:trPr>
        <w:tc>
          <w:tcPr>
            <w:tcW w:w="1480" w:type="dxa"/>
            <w:vAlign w:val="bottom"/>
            <w:gridSpan w:val="2"/>
          </w:tcPr>
          <w:p>
            <w:pPr>
              <w:spacing w:after="0"/>
              <w:rPr>
                <w:sz w:val="20"/>
                <w:szCs w:val="20"/>
                <w:color w:val="auto"/>
              </w:rPr>
            </w:pPr>
            <w:r>
              <w:rPr>
                <w:rFonts w:ascii="Arial" w:cs="Arial" w:eastAsia="Arial" w:hAnsi="Arial"/>
                <w:sz w:val="18"/>
                <w:szCs w:val="18"/>
                <w:color w:val="auto"/>
              </w:rPr>
              <w:t>[7.   Trade Date:</w:t>
            </w:r>
          </w:p>
        </w:tc>
        <w:tc>
          <w:tcPr>
            <w:tcW w:w="2380" w:type="dxa"/>
            <w:vAlign w:val="bottom"/>
          </w:tcPr>
          <w:p>
            <w:pPr>
              <w:jc w:val="right"/>
              <w:ind w:right="1392"/>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10</w:t>
            </w: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480" w:type="dxa"/>
            <w:vAlign w:val="bottom"/>
            <w:gridSpan w:val="2"/>
          </w:tcPr>
          <w:p>
            <w:pPr>
              <w:spacing w:after="0"/>
              <w:rPr>
                <w:sz w:val="20"/>
                <w:szCs w:val="20"/>
                <w:color w:val="auto"/>
              </w:rPr>
            </w:pPr>
            <w:r>
              <w:rPr>
                <w:rFonts w:ascii="Arial" w:cs="Arial" w:eastAsia="Arial" w:hAnsi="Arial"/>
                <w:sz w:val="18"/>
                <w:szCs w:val="18"/>
                <w:color w:val="auto"/>
              </w:rPr>
              <w:t>Effective Date:</w:t>
            </w:r>
          </w:p>
        </w:tc>
        <w:tc>
          <w:tcPr>
            <w:tcW w:w="9940" w:type="dxa"/>
            <w:vAlign w:val="bottom"/>
            <w:gridSpan w:val="13"/>
          </w:tcPr>
          <w:p>
            <w:pPr>
              <w:ind w:left="200"/>
              <w:spacing w:after="0"/>
              <w:rPr>
                <w:sz w:val="20"/>
                <w:szCs w:val="20"/>
                <w:color w:val="auto"/>
              </w:rPr>
            </w:pPr>
            <w:r>
              <w:rPr>
                <w:rFonts w:ascii="Arial" w:cs="Arial" w:eastAsia="Arial" w:hAnsi="Arial"/>
                <w:sz w:val="18"/>
                <w:szCs w:val="18"/>
                <w:color w:val="auto"/>
                <w:w w:val="95"/>
              </w:rPr>
              <w:t>, 20  [TO BE INSERTED BY ADMINISTRATIVE AGENT AND WHICH SHALL BE THE EFFECTIVE DATE OF RECORDATION</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OF TRANSFER IN THE REGISTER THEREFOR.]</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terms set forth in this Assignment and Assumption are hereby agreed to:</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ASSIGNOR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4" w:lineRule="exact"/>
        <w:rPr>
          <w:sz w:val="20"/>
          <w:szCs w:val="20"/>
          <w:color w:val="auto"/>
        </w:rPr>
      </w:pPr>
    </w:p>
    <w:p>
      <w:pPr>
        <w:ind w:left="460" w:hanging="452"/>
        <w:spacing w:after="0"/>
        <w:tabs>
          <w:tab w:leader="none" w:pos="460" w:val="left"/>
        </w:tabs>
        <w:numPr>
          <w:ilvl w:val="0"/>
          <w:numId w:val="240"/>
        </w:numPr>
        <w:rPr>
          <w:rFonts w:ascii="Arial" w:cs="Arial" w:eastAsia="Arial" w:hAnsi="Arial"/>
          <w:sz w:val="22"/>
          <w:szCs w:val="22"/>
          <w:color w:val="auto"/>
          <w:vertAlign w:val="superscript"/>
        </w:rPr>
      </w:pPr>
      <w:r>
        <w:rPr>
          <w:rFonts w:ascii="Arial" w:cs="Arial" w:eastAsia="Arial" w:hAnsi="Arial"/>
          <w:sz w:val="18"/>
          <w:szCs w:val="18"/>
          <w:color w:val="auto"/>
        </w:rPr>
        <w:t>List each Assignor, as appropriate.</w:t>
      </w:r>
    </w:p>
    <w:p>
      <w:pPr>
        <w:ind w:left="460" w:hanging="452"/>
        <w:spacing w:after="0" w:line="205" w:lineRule="auto"/>
        <w:tabs>
          <w:tab w:leader="none" w:pos="460" w:val="left"/>
        </w:tabs>
        <w:numPr>
          <w:ilvl w:val="0"/>
          <w:numId w:val="241"/>
        </w:numPr>
        <w:rPr>
          <w:rFonts w:ascii="Arial" w:cs="Arial" w:eastAsia="Arial" w:hAnsi="Arial"/>
          <w:sz w:val="22"/>
          <w:szCs w:val="22"/>
          <w:color w:val="auto"/>
          <w:vertAlign w:val="superscript"/>
        </w:rPr>
      </w:pPr>
      <w:r>
        <w:rPr>
          <w:rFonts w:ascii="Arial" w:cs="Arial" w:eastAsia="Arial" w:hAnsi="Arial"/>
          <w:sz w:val="18"/>
          <w:szCs w:val="18"/>
          <w:color w:val="auto"/>
        </w:rPr>
        <w:t>List each Assignee, as appropriate.</w:t>
      </w:r>
    </w:p>
    <w:p>
      <w:pPr>
        <w:spacing w:after="0" w:line="3" w:lineRule="exact"/>
        <w:rPr>
          <w:sz w:val="20"/>
          <w:szCs w:val="20"/>
          <w:color w:val="auto"/>
        </w:rPr>
      </w:pPr>
    </w:p>
    <w:p>
      <w:pPr>
        <w:ind w:left="460" w:hanging="452"/>
        <w:spacing w:after="0"/>
        <w:tabs>
          <w:tab w:leader="none" w:pos="460" w:val="left"/>
        </w:tabs>
        <w:numPr>
          <w:ilvl w:val="0"/>
          <w:numId w:val="242"/>
        </w:numPr>
        <w:rPr>
          <w:rFonts w:ascii="Arial" w:cs="Arial" w:eastAsia="Arial" w:hAnsi="Arial"/>
          <w:sz w:val="20"/>
          <w:szCs w:val="20"/>
          <w:color w:val="auto"/>
          <w:vertAlign w:val="superscript"/>
        </w:rPr>
      </w:pPr>
      <w:r>
        <w:rPr>
          <w:rFonts w:ascii="Arial" w:cs="Arial" w:eastAsia="Arial" w:hAnsi="Arial"/>
          <w:sz w:val="16"/>
          <w:szCs w:val="16"/>
          <w:color w:val="auto"/>
        </w:rPr>
        <w:t>Fill in the appropriate terminology for the types of facilities under the Credit Agreement that are being assigned under this Assignment (e.g. “Revolving</w:t>
      </w:r>
    </w:p>
    <w:p>
      <w:pPr>
        <w:spacing w:after="0" w:line="162" w:lineRule="exact"/>
        <w:rPr>
          <w:sz w:val="20"/>
          <w:szCs w:val="20"/>
          <w:color w:val="auto"/>
        </w:rPr>
      </w:pPr>
    </w:p>
    <w:p>
      <w:pPr>
        <w:ind w:left="460" w:hanging="452"/>
        <w:spacing w:after="0"/>
        <w:tabs>
          <w:tab w:leader="none" w:pos="460" w:val="left"/>
        </w:tabs>
        <w:numPr>
          <w:ilvl w:val="0"/>
          <w:numId w:val="243"/>
        </w:numPr>
        <w:rPr>
          <w:rFonts w:ascii="Arial" w:cs="Arial" w:eastAsia="Arial" w:hAnsi="Arial"/>
          <w:sz w:val="22"/>
          <w:szCs w:val="22"/>
          <w:color w:val="auto"/>
          <w:vertAlign w:val="superscript"/>
        </w:rPr>
      </w:pPr>
      <w:r>
        <w:rPr>
          <w:rFonts w:ascii="Arial" w:cs="Arial" w:eastAsia="Arial" w:hAnsi="Arial"/>
          <w:sz w:val="18"/>
          <w:szCs w:val="18"/>
          <w:color w:val="auto"/>
        </w:rPr>
        <w:t>Set forth, to at least 9 decimals, as a percentage of the Commitment/Loans of all Lenders thereunder.</w:t>
      </w:r>
    </w:p>
    <w:p>
      <w:pPr>
        <w:ind w:left="460" w:hanging="452"/>
        <w:spacing w:after="0" w:line="221" w:lineRule="auto"/>
        <w:tabs>
          <w:tab w:leader="none" w:pos="460" w:val="left"/>
        </w:tabs>
        <w:numPr>
          <w:ilvl w:val="0"/>
          <w:numId w:val="244"/>
        </w:numPr>
        <w:rPr>
          <w:rFonts w:ascii="Arial" w:cs="Arial" w:eastAsia="Arial" w:hAnsi="Arial"/>
          <w:sz w:val="22"/>
          <w:szCs w:val="22"/>
          <w:color w:val="auto"/>
          <w:vertAlign w:val="superscript"/>
        </w:rPr>
      </w:pPr>
      <w:r>
        <w:rPr>
          <w:rFonts w:ascii="Arial" w:cs="Arial" w:eastAsia="Arial" w:hAnsi="Arial"/>
          <w:sz w:val="18"/>
          <w:szCs w:val="18"/>
          <w:color w:val="auto"/>
        </w:rPr>
        <w:t>To be completed if the Assignor and the Assignee intend that the minimum assignment amount is to be determined as of the Trade Date.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Assignment and Assumption</w:t>
      </w:r>
    </w:p>
    <w:p>
      <w:pPr>
        <w:sectPr>
          <w:pgSz w:w="11900" w:h="16838" w:orient="portrait"/>
          <w:cols w:equalWidth="0" w:num="1">
            <w:col w:w="11420"/>
          </w:cols>
          <w:pgMar w:left="240" w:top="280" w:right="239" w:bottom="1440" w:gutter="0" w:footer="0" w:header="0"/>
        </w:sectPr>
      </w:pPr>
    </w:p>
    <w:bookmarkStart w:id="222" w:name="page223"/>
    <w:bookmarkEnd w:id="222"/>
    <w:p>
      <w:pPr>
        <w:ind w:left="6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ASSIGNEE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ASSIGNEE]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[Consented to and]</w:t>
      </w:r>
      <w:r>
        <w:rPr>
          <w:rFonts w:ascii="Arial" w:cs="Arial" w:eastAsia="Arial" w:hAnsi="Arial"/>
          <w:sz w:val="11"/>
          <w:szCs w:val="11"/>
          <w:color w:val="auto"/>
        </w:rPr>
        <w:t>11</w:t>
      </w:r>
      <w:r>
        <w:rPr>
          <w:rFonts w:ascii="Arial" w:cs="Arial" w:eastAsia="Arial" w:hAnsi="Arial"/>
          <w:sz w:val="18"/>
          <w:szCs w:val="18"/>
          <w:color w:val="auto"/>
        </w:rPr>
        <w:t xml:space="preserve">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 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L/C Issuer and Swing Line Lender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r>
        <w:rPr>
          <w:rFonts w:ascii="Arial" w:cs="Arial" w:eastAsia="Arial" w:hAnsi="Arial"/>
          <w:sz w:val="11"/>
          <w:szCs w:val="11"/>
          <w:color w:val="auto"/>
        </w:rPr>
        <w:t>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[BORROWER]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289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03" w:lineRule="exact"/>
        <w:rPr>
          <w:sz w:val="20"/>
          <w:szCs w:val="20"/>
          <w:color w:val="auto"/>
        </w:rPr>
      </w:pPr>
    </w:p>
    <w:p>
      <w:pPr>
        <w:ind w:left="460" w:hanging="452"/>
        <w:spacing w:after="0"/>
        <w:tabs>
          <w:tab w:leader="none" w:pos="460" w:val="left"/>
        </w:tabs>
        <w:numPr>
          <w:ilvl w:val="0"/>
          <w:numId w:val="245"/>
        </w:numPr>
        <w:rPr>
          <w:rFonts w:ascii="Arial" w:cs="Arial" w:eastAsia="Arial" w:hAnsi="Arial"/>
          <w:sz w:val="22"/>
          <w:szCs w:val="22"/>
          <w:color w:val="auto"/>
          <w:vertAlign w:val="superscript"/>
        </w:rPr>
      </w:pPr>
      <w:r>
        <w:rPr>
          <w:rFonts w:ascii="Arial" w:cs="Arial" w:eastAsia="Arial" w:hAnsi="Arial"/>
          <w:sz w:val="18"/>
          <w:szCs w:val="18"/>
          <w:color w:val="auto"/>
        </w:rPr>
        <w:t>To be added only if the consent of the Administrative Agent is required by the terms of the Credit Agreement.</w:t>
      </w:r>
    </w:p>
    <w:p>
      <w:pPr>
        <w:spacing w:after="0" w:line="7" w:lineRule="exact"/>
        <w:rPr>
          <w:rFonts w:ascii="Arial" w:cs="Arial" w:eastAsia="Arial" w:hAnsi="Arial"/>
          <w:sz w:val="22"/>
          <w:szCs w:val="22"/>
          <w:color w:val="auto"/>
          <w:vertAlign w:val="superscript"/>
        </w:rPr>
      </w:pPr>
    </w:p>
    <w:p>
      <w:pPr>
        <w:ind w:left="460" w:hanging="452"/>
        <w:spacing w:after="0" w:line="221" w:lineRule="auto"/>
        <w:tabs>
          <w:tab w:leader="none" w:pos="460" w:val="left"/>
        </w:tabs>
        <w:numPr>
          <w:ilvl w:val="0"/>
          <w:numId w:val="245"/>
        </w:numPr>
        <w:rPr>
          <w:rFonts w:ascii="Arial" w:cs="Arial" w:eastAsia="Arial" w:hAnsi="Arial"/>
          <w:sz w:val="22"/>
          <w:szCs w:val="22"/>
          <w:color w:val="auto"/>
          <w:vertAlign w:val="superscript"/>
        </w:rPr>
      </w:pPr>
      <w:r>
        <w:rPr>
          <w:rFonts w:ascii="Arial" w:cs="Arial" w:eastAsia="Arial" w:hAnsi="Arial"/>
          <w:sz w:val="18"/>
          <w:szCs w:val="18"/>
          <w:color w:val="auto"/>
        </w:rPr>
        <w:t>To be added to the extent the consent of the Borrower and/or other parties (e.g. L/C Issuer and Swing Line Lender) is required by the terms of the Credit Agreement.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Assignment and Assumption</w:t>
      </w:r>
    </w:p>
    <w:p>
      <w:pPr>
        <w:sectPr>
          <w:pgSz w:w="11900" w:h="16838" w:orient="portrait"/>
          <w:cols w:equalWidth="0" w:num="1">
            <w:col w:w="11420"/>
          </w:cols>
          <w:pgMar w:left="240" w:top="280" w:right="239" w:bottom="1440" w:gutter="0" w:footer="0" w:header="0"/>
        </w:sectPr>
      </w:pPr>
    </w:p>
    <w:bookmarkStart w:id="223" w:name="page224"/>
    <w:bookmarkEnd w:id="223"/>
    <w:p>
      <w:pPr>
        <w:ind w:left="7640"/>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1 TO ASSIGNMENT AND ASSUMPTION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STANDARD TERMS AND CONDITIONS FOR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AND ASSUMPTION</w:t>
      </w:r>
    </w:p>
    <w:p>
      <w:pPr>
        <w:spacing w:after="0" w:line="165" w:lineRule="exact"/>
        <w:rPr>
          <w:sz w:val="20"/>
          <w:szCs w:val="20"/>
          <w:color w:val="auto"/>
        </w:rPr>
      </w:pPr>
    </w:p>
    <w:p>
      <w:pPr>
        <w:ind w:left="180" w:hanging="172"/>
        <w:spacing w:after="0"/>
        <w:tabs>
          <w:tab w:leader="none" w:pos="180"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9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Assignor</w:t>
      </w:r>
      <w:r>
        <w:rPr>
          <w:rFonts w:ascii="Arial" w:cs="Arial" w:eastAsia="Arial" w:hAnsi="Arial"/>
          <w:sz w:val="16"/>
          <w:szCs w:val="16"/>
          <w:color w:val="auto"/>
        </w:rPr>
        <w:t>. [The][Each] Assignor (a) represents and warrants that (i) it is the legal and beneficial owner of [the][[the relevant] Assigned Interest, (ii) [the] [such]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11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Assignee</w:t>
      </w:r>
      <w:r>
        <w:rPr>
          <w:rFonts w:ascii="Arial" w:cs="Arial" w:eastAsia="Arial" w:hAnsi="Arial"/>
          <w:sz w:val="16"/>
          <w:szCs w:val="16"/>
          <w:color w:val="auto"/>
        </w:rPr>
        <w:t xml:space="preserve">. [The][Each]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all the requirements to be an assignee under </w:t>
      </w:r>
      <w:r>
        <w:rPr>
          <w:rFonts w:ascii="Arial" w:cs="Arial" w:eastAsia="Arial" w:hAnsi="Arial"/>
          <w:sz w:val="16"/>
          <w:szCs w:val="16"/>
          <w:u w:val="single" w:color="auto"/>
          <w:color w:val="auto"/>
        </w:rPr>
        <w:t>Section 10.06(b)(iii)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(v)</w:t>
      </w:r>
      <w:r>
        <w:rPr>
          <w:rFonts w:ascii="Arial" w:cs="Arial" w:eastAsia="Arial" w:hAnsi="Arial"/>
          <w:sz w:val="16"/>
          <w:szCs w:val="16"/>
          <w:color w:val="auto"/>
        </w:rPr>
        <w:t xml:space="preserve"> of the Credit Agreement (subject to such consents, if any, as may be required under </w:t>
      </w:r>
      <w:r>
        <w:rPr>
          <w:rFonts w:ascii="Arial" w:cs="Arial" w:eastAsia="Arial" w:hAnsi="Arial"/>
          <w:sz w:val="16"/>
          <w:szCs w:val="16"/>
          <w:u w:val="single" w:color="auto"/>
          <w:color w:val="auto"/>
        </w:rPr>
        <w:t>Section 10.06(b)(iii)</w:t>
      </w:r>
      <w:r>
        <w:rPr>
          <w:rFonts w:ascii="Arial" w:cs="Arial" w:eastAsia="Arial" w:hAnsi="Arial"/>
          <w:sz w:val="16"/>
          <w:szCs w:val="16"/>
          <w:color w:val="auto"/>
        </w:rPr>
        <w:t xml:space="preserve"> of the Credit Agreement), (iii) from and after the Effective Date, it shall be bound by the provisions of the Credit Agreement as a Lender thereunder and, to the extent of [the][the relevant] Assigned Interest, shall have the obligations of a Lender thereunder, (iv) it is sophisticated with respect to decisions to acquire assets of the type represented by [the][such] Assigned Interest and either it, or the Person exercising discretion in making its decision to acquire [the][such] Assigned Interest, is experienced in acquiring assets of such type, (v) it has received a copy of the Credit Agreement, and has received or has been accorded the opportunity to receive copies of the most recent financial statements delivered pursuant to Section thereof, as applicable, and such other documents and information as it deems appropriate to make its own credit analysis and decision to enter into this Assignment and Assumption and to purchase [the][such] Assigned Interest, (vi) it has, independently and without reliance upon the Administrative Agent or any other Lender and based on such documents and information as it has deemed appropriate, made its own credit analysis and decision to enter into this Assignment and Assumption and to purchase [the][such] Assigned Interest, and (vii) if it is a Foreign Lender, attached hereto is any documentation required to be delivered by it pursuant to the terms of the Credit Agreement, duly completed and executed by [the][such] Assignee; and (b) agrees that (i) it will, independently and without reliance upon the Administrative Agent, [the][any]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E-4</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Assignment and Assumption</w:t>
      </w:r>
    </w:p>
    <w:p>
      <w:pPr>
        <w:sectPr>
          <w:pgSz w:w="11900" w:h="16838" w:orient="portrait"/>
          <w:cols w:equalWidth="0" w:num="1">
            <w:col w:w="11420"/>
          </w:cols>
          <w:pgMar w:left="240" w:top="280" w:right="239" w:bottom="1440" w:gutter="0" w:footer="0" w:header="0"/>
        </w:sectPr>
      </w:pPr>
    </w:p>
    <w:bookmarkStart w:id="224" w:name="page225"/>
    <w:bookmarkEnd w:id="224"/>
    <w:p>
      <w:pPr>
        <w:jc w:val="both"/>
        <w:ind w:firstLine="8"/>
        <w:spacing w:after="0" w:line="259" w:lineRule="auto"/>
        <w:tabs>
          <w:tab w:leader="none" w:pos="176" w:val="left"/>
        </w:tabs>
        <w:numPr>
          <w:ilvl w:val="0"/>
          <w:numId w:val="24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Payments</w:t>
      </w:r>
      <w:r>
        <w:rPr>
          <w:rFonts w:ascii="Arial" w:cs="Arial" w:eastAsia="Arial" w:hAnsi="Arial"/>
          <w:sz w:val="18"/>
          <w:szCs w:val="18"/>
          <w:color w:val="auto"/>
        </w:rPr>
        <w:t>. From and after the Effective Date, the Administrative Agent shall make all payments in respect of [the][each] Assigned Interest (including payments of principal, interest, fees and other amounts) to [the][the relevant] Assignor for amounts which have accrued to but excluding the Effective Date and to [the][the relevant] Assignee for amounts which have accrued from and after the Effective Date.</w:t>
      </w:r>
    </w:p>
    <w:p>
      <w:pPr>
        <w:spacing w:after="0" w:line="140" w:lineRule="exact"/>
        <w:rPr>
          <w:rFonts w:ascii="Arial" w:cs="Arial" w:eastAsia="Arial" w:hAnsi="Arial"/>
          <w:sz w:val="18"/>
          <w:szCs w:val="18"/>
          <w:color w:val="auto"/>
        </w:rPr>
      </w:pPr>
    </w:p>
    <w:p>
      <w:pPr>
        <w:jc w:val="both"/>
        <w:ind w:firstLine="8"/>
        <w:spacing w:after="0" w:line="298" w:lineRule="auto"/>
        <w:tabs>
          <w:tab w:leader="none" w:pos="176" w:val="left"/>
        </w:tabs>
        <w:numPr>
          <w:ilvl w:val="0"/>
          <w:numId w:val="247"/>
        </w:numPr>
        <w:rPr>
          <w:rFonts w:ascii="Arial" w:cs="Arial" w:eastAsia="Arial" w:hAnsi="Arial"/>
          <w:sz w:val="16"/>
          <w:szCs w:val="16"/>
          <w:color w:val="auto"/>
        </w:rPr>
      </w:pPr>
      <w:r>
        <w:rPr>
          <w:rFonts w:ascii="Arial" w:cs="Arial" w:eastAsia="Arial" w:hAnsi="Arial"/>
          <w:sz w:val="16"/>
          <w:szCs w:val="16"/>
          <w:u w:val="single" w:color="auto"/>
          <w:color w:val="auto"/>
        </w:rPr>
        <w:t>General Provisions</w:t>
      </w:r>
      <w:r>
        <w:rPr>
          <w:rFonts w:ascii="Arial" w:cs="Arial" w:eastAsia="Arial" w:hAnsi="Arial"/>
          <w:sz w:val="16"/>
          <w:szCs w:val="16"/>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New York.</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E-5</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Assignment and Assumption</w:t>
      </w:r>
    </w:p>
    <w:p>
      <w:pPr>
        <w:sectPr>
          <w:pgSz w:w="11900" w:h="16838" w:orient="portrait"/>
          <w:cols w:equalWidth="0" w:num="1">
            <w:col w:w="11420"/>
          </w:cols>
          <w:pgMar w:left="240" w:top="280" w:right="239" w:bottom="1440" w:gutter="0" w:footer="0" w:header="0"/>
        </w:sectPr>
      </w:pPr>
    </w:p>
    <w:bookmarkStart w:id="225" w:name="page226"/>
    <w:bookmarkEnd w:id="225"/>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F</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SUBSIDIARY GUARANTY AGREEMENT</w:t>
      </w:r>
    </w:p>
    <w:p>
      <w:pPr>
        <w:spacing w:after="0" w:line="159" w:lineRule="exact"/>
        <w:rPr>
          <w:sz w:val="20"/>
          <w:szCs w:val="20"/>
          <w:color w:val="auto"/>
        </w:rPr>
      </w:pPr>
    </w:p>
    <w:p>
      <w:pPr>
        <w:jc w:val="both"/>
        <w:ind w:firstLine="456"/>
        <w:spacing w:after="0" w:line="296"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b w:val="1"/>
          <w:bCs w:val="1"/>
          <w:color w:val="auto"/>
        </w:rPr>
        <w:t>AMENDED AND RESTATED SUBSIDIARY GUARANTY AGREEMENT</w:t>
      </w:r>
      <w:r>
        <w:rPr>
          <w:rFonts w:ascii="Arial" w:cs="Arial" w:eastAsia="Arial" w:hAnsi="Arial"/>
          <w:sz w:val="16"/>
          <w:szCs w:val="16"/>
          <w:color w:val="auto"/>
        </w:rPr>
        <w:t>, dated as of August 10, 2010 as amended, restated, amended and restated, supplemented or otherwise modified from time to time, this “</w:t>
      </w:r>
      <w:r>
        <w:rPr>
          <w:rFonts w:ascii="Arial" w:cs="Arial" w:eastAsia="Arial" w:hAnsi="Arial"/>
          <w:sz w:val="16"/>
          <w:szCs w:val="16"/>
          <w:u w:val="single" w:color="auto"/>
          <w:color w:val="auto"/>
        </w:rPr>
        <w:t>Agreement</w:t>
      </w:r>
      <w:r>
        <w:rPr>
          <w:rFonts w:ascii="Arial" w:cs="Arial" w:eastAsia="Arial" w:hAnsi="Arial"/>
          <w:sz w:val="16"/>
          <w:szCs w:val="16"/>
          <w:color w:val="auto"/>
        </w:rPr>
        <w:t xml:space="preserve">”), is made by each of the Persons (such capitalized term and all other capitalized terms not otherwise defined herein to have the meanings provided for in </w:t>
      </w:r>
      <w:r>
        <w:rPr>
          <w:rFonts w:ascii="Arial" w:cs="Arial" w:eastAsia="Arial" w:hAnsi="Arial"/>
          <w:sz w:val="16"/>
          <w:szCs w:val="16"/>
          <w:u w:val="single" w:color="auto"/>
          <w:color w:val="auto"/>
        </w:rPr>
        <w:t>Article I</w:t>
      </w:r>
      <w:r>
        <w:rPr>
          <w:rFonts w:ascii="Arial" w:cs="Arial" w:eastAsia="Arial" w:hAnsi="Arial"/>
          <w:sz w:val="16"/>
          <w:szCs w:val="16"/>
          <w:color w:val="auto"/>
        </w:rPr>
        <w:t xml:space="preserve">) listed on the signature pages hereof (such Persons, together with the Additional Guarantors (as defined in </w:t>
      </w:r>
      <w:r>
        <w:rPr>
          <w:rFonts w:ascii="Arial" w:cs="Arial" w:eastAsia="Arial" w:hAnsi="Arial"/>
          <w:sz w:val="16"/>
          <w:szCs w:val="16"/>
          <w:u w:val="single" w:color="auto"/>
          <w:color w:val="auto"/>
        </w:rPr>
        <w:t>Section 5.6</w:t>
      </w:r>
      <w:r>
        <w:rPr>
          <w:rFonts w:ascii="Arial" w:cs="Arial" w:eastAsia="Arial" w:hAnsi="Arial"/>
          <w:sz w:val="16"/>
          <w:szCs w:val="16"/>
          <w:color w:val="auto"/>
        </w:rPr>
        <w:t>) are collectively referred to as the “</w:t>
      </w:r>
      <w:r>
        <w:rPr>
          <w:rFonts w:ascii="Arial" w:cs="Arial" w:eastAsia="Arial" w:hAnsi="Arial"/>
          <w:sz w:val="16"/>
          <w:szCs w:val="16"/>
          <w:u w:val="single" w:color="auto"/>
          <w:color w:val="auto"/>
        </w:rPr>
        <w:t>Guarantors</w:t>
      </w:r>
      <w:r>
        <w:rPr>
          <w:rFonts w:ascii="Arial" w:cs="Arial" w:eastAsia="Arial" w:hAnsi="Arial"/>
          <w:sz w:val="16"/>
          <w:szCs w:val="16"/>
          <w:color w:val="auto"/>
        </w:rPr>
        <w:t>” and individually as a “</w:t>
      </w:r>
      <w:r>
        <w:rPr>
          <w:rFonts w:ascii="Arial" w:cs="Arial" w:eastAsia="Arial" w:hAnsi="Arial"/>
          <w:sz w:val="16"/>
          <w:szCs w:val="16"/>
          <w:u w:val="single" w:color="auto"/>
          <w:color w:val="auto"/>
        </w:rPr>
        <w:t>Guarantor</w:t>
      </w:r>
      <w:r>
        <w:rPr>
          <w:rFonts w:ascii="Arial" w:cs="Arial" w:eastAsia="Arial" w:hAnsi="Arial"/>
          <w:sz w:val="16"/>
          <w:szCs w:val="16"/>
          <w:color w:val="auto"/>
        </w:rPr>
        <w:t xml:space="preserve">”), in favor of </w:t>
      </w:r>
      <w:r>
        <w:rPr>
          <w:rFonts w:ascii="Arial" w:cs="Arial" w:eastAsia="Arial" w:hAnsi="Arial"/>
          <w:sz w:val="16"/>
          <w:szCs w:val="16"/>
          <w:b w:val="1"/>
          <w:bCs w:val="1"/>
          <w:color w:val="auto"/>
        </w:rPr>
        <w:t>BANK OF</w:t>
      </w:r>
      <w:r>
        <w:rPr>
          <w:rFonts w:ascii="Arial" w:cs="Arial" w:eastAsia="Arial" w:hAnsi="Arial"/>
          <w:sz w:val="16"/>
          <w:szCs w:val="16"/>
          <w:color w:val="auto"/>
        </w:rPr>
        <w:t xml:space="preserve"> </w:t>
      </w:r>
      <w:r>
        <w:rPr>
          <w:rFonts w:ascii="Arial" w:cs="Arial" w:eastAsia="Arial" w:hAnsi="Arial"/>
          <w:sz w:val="16"/>
          <w:szCs w:val="16"/>
          <w:b w:val="1"/>
          <w:bCs w:val="1"/>
          <w:color w:val="auto"/>
        </w:rPr>
        <w:t>AMERICA, N.A</w:t>
      </w:r>
      <w:r>
        <w:rPr>
          <w:rFonts w:ascii="Arial" w:cs="Arial" w:eastAsia="Arial" w:hAnsi="Arial"/>
          <w:sz w:val="16"/>
          <w:szCs w:val="16"/>
          <w:color w:val="auto"/>
        </w:rPr>
        <w:t>., as administrative and collateral agent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for each of the Secured Parties.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17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Guarantors have entered into that certain Subsidiary Guaranty Agreement dated as of December 22, 2005 (as amended, supplemented or</w:t>
      </w:r>
      <w:r>
        <w:rPr>
          <w:rFonts w:ascii="Arial" w:cs="Arial" w:eastAsia="Arial" w:hAnsi="Arial"/>
          <w:sz w:val="18"/>
          <w:szCs w:val="18"/>
          <w:b w:val="1"/>
          <w:bCs w:val="1"/>
          <w:color w:val="auto"/>
        </w:rPr>
        <w:t xml:space="preserve"> </w:t>
      </w:r>
      <w:r>
        <w:rPr>
          <w:rFonts w:ascii="Arial" w:cs="Arial" w:eastAsia="Arial" w:hAnsi="Arial"/>
          <w:sz w:val="18"/>
          <w:szCs w:val="18"/>
          <w:color w:val="auto"/>
        </w:rPr>
        <w:t>modified from time to time prior to the date hereof, the “</w:t>
      </w:r>
      <w:r>
        <w:rPr>
          <w:rFonts w:ascii="Arial" w:cs="Arial" w:eastAsia="Arial" w:hAnsi="Arial"/>
          <w:sz w:val="18"/>
          <w:szCs w:val="18"/>
          <w:u w:val="single" w:color="auto"/>
          <w:color w:val="auto"/>
        </w:rPr>
        <w:t>Existing Guaranty Agreement</w:t>
      </w:r>
      <w:r>
        <w:rPr>
          <w:rFonts w:ascii="Arial" w:cs="Arial" w:eastAsia="Arial" w:hAnsi="Arial"/>
          <w:sz w:val="18"/>
          <w:szCs w:val="18"/>
          <w:color w:val="auto"/>
        </w:rPr>
        <w:t>”), pursuant to which the Guarantors have guaranteed the payment and performance of the obligations of Integra LifeSciences Holdings Corporation,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under that certain Credit Agreement (the “</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dated as of December 22, 2005, among the Borrower, the lenders from time to time party thereto and the Administrative Agent (the “</w:t>
      </w:r>
      <w:r>
        <w:rPr>
          <w:rFonts w:ascii="Arial" w:cs="Arial" w:eastAsia="Arial" w:hAnsi="Arial"/>
          <w:sz w:val="18"/>
          <w:szCs w:val="18"/>
          <w:u w:val="single" w:color="auto"/>
          <w:color w:val="auto"/>
        </w:rPr>
        <w:t>Existing Guaranty</w:t>
      </w:r>
      <w:r>
        <w:rPr>
          <w:rFonts w:ascii="Arial" w:cs="Arial" w:eastAsia="Arial" w:hAnsi="Arial"/>
          <w:sz w:val="18"/>
          <w:szCs w:val="18"/>
          <w:color w:val="auto"/>
        </w:rPr>
        <w:t>”); and</w:t>
      </w:r>
    </w:p>
    <w:p>
      <w:pPr>
        <w:spacing w:after="0" w:line="139" w:lineRule="exact"/>
        <w:rPr>
          <w:sz w:val="20"/>
          <w:szCs w:val="20"/>
          <w:color w:val="auto"/>
        </w:rPr>
      </w:pPr>
    </w:p>
    <w:p>
      <w:pPr>
        <w:jc w:val="both"/>
        <w:ind w:firstLine="456"/>
        <w:spacing w:after="0" w:line="310"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Borrower has requested that the Existing Credit Agreement be amended by that certain Amended and Restated Credit Agreement, dated</w:t>
      </w:r>
      <w:r>
        <w:rPr>
          <w:rFonts w:ascii="Arial" w:cs="Arial" w:eastAsia="Arial" w:hAnsi="Arial"/>
          <w:sz w:val="16"/>
          <w:szCs w:val="16"/>
          <w:b w:val="1"/>
          <w:bCs w:val="1"/>
          <w:color w:val="auto"/>
        </w:rPr>
        <w:t xml:space="preserve"> </w:t>
      </w:r>
      <w:r>
        <w:rPr>
          <w:rFonts w:ascii="Arial" w:cs="Arial" w:eastAsia="Arial" w:hAnsi="Arial"/>
          <w:sz w:val="16"/>
          <w:szCs w:val="16"/>
          <w:color w:val="auto"/>
        </w:rPr>
        <w:t>as of the date hereof (as amended, restated, amended and restated,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the Borrower, the various financial institutions as are, or may from time to time become, parties thereto and the Administrative Agent; and</w:t>
      </w:r>
    </w:p>
    <w:p>
      <w:pPr>
        <w:spacing w:after="0" w:line="97" w:lineRule="exact"/>
        <w:rPr>
          <w:sz w:val="20"/>
          <w:szCs w:val="20"/>
          <w:color w:val="auto"/>
        </w:rPr>
      </w:pPr>
    </w:p>
    <w:p>
      <w:pPr>
        <w:jc w:val="both"/>
        <w:ind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each of the Guarantors is a Subsidiary of the Borrower and will receive substantial direct and indirect benefits from the Credit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Credit Extensions and other financial accommodations to be made or issued thereunder;</w:t>
      </w:r>
    </w:p>
    <w:p>
      <w:pPr>
        <w:spacing w:after="0" w:line="120"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good and valuable consideration, the receipt and sufficiency of which are hereby acknowledged, and in order to induce the</w:t>
      </w:r>
      <w:r>
        <w:rPr>
          <w:rFonts w:ascii="Arial" w:cs="Arial" w:eastAsia="Arial" w:hAnsi="Arial"/>
          <w:sz w:val="18"/>
          <w:szCs w:val="18"/>
          <w:b w:val="1"/>
          <w:bCs w:val="1"/>
          <w:color w:val="auto"/>
        </w:rPr>
        <w:t xml:space="preserve"> </w:t>
      </w:r>
      <w:r>
        <w:rPr>
          <w:rFonts w:ascii="Arial" w:cs="Arial" w:eastAsia="Arial" w:hAnsi="Arial"/>
          <w:sz w:val="18"/>
          <w:szCs w:val="18"/>
          <w:color w:val="auto"/>
        </w:rPr>
        <w:t>Lenders to continue to make Credit Extensions (including the initial Credit Extension) to the Borrower pursuant to the Credit Agreement, each Guarantor agrees, for the benefit of each Secured Party, as follows: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159" w:lineRule="exact"/>
        <w:rPr>
          <w:sz w:val="20"/>
          <w:szCs w:val="20"/>
          <w:color w:val="auto"/>
        </w:rPr>
      </w:pPr>
    </w:p>
    <w:p>
      <w:pPr>
        <w:jc w:val="both"/>
        <w:ind w:firstLine="456"/>
        <w:spacing w:after="0" w:line="275" w:lineRule="auto"/>
        <w:rPr>
          <w:sz w:val="20"/>
          <w:szCs w:val="20"/>
          <w:color w:val="auto"/>
        </w:rPr>
      </w:pPr>
      <w:r>
        <w:rPr>
          <w:rFonts w:ascii="Arial" w:cs="Arial" w:eastAsia="Arial" w:hAnsi="Arial"/>
          <w:sz w:val="18"/>
          <w:szCs w:val="18"/>
          <w:b w:val="1"/>
          <w:bCs w:val="1"/>
          <w:color w:val="auto"/>
        </w:rPr>
        <w:t xml:space="preserve">1.1 Definitions. </w:t>
      </w:r>
      <w:r>
        <w:rPr>
          <w:rFonts w:ascii="Arial" w:cs="Arial" w:eastAsia="Arial" w:hAnsi="Arial"/>
          <w:sz w:val="18"/>
          <w:szCs w:val="18"/>
          <w:color w:val="auto"/>
        </w:rPr>
        <w:t>The following terms (whether or not underscored) when used in this Agreement, including its preamble and recitals, shall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meanings (such definitions to be equally applicable to the singular and plural forms thereof):</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Guarantors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5.6(b)</w:t>
      </w:r>
      <w:r>
        <w:rPr>
          <w:rFonts w:ascii="Arial" w:cs="Arial" w:eastAsia="Arial" w:hAnsi="Arial"/>
          <w:sz w:val="18"/>
          <w:szCs w:val="18"/>
          <w:color w:val="auto"/>
        </w:rPr>
        <w:t>.</w:t>
      </w:r>
    </w:p>
    <w:p>
      <w:pPr>
        <w:sectPr>
          <w:pgSz w:w="11900" w:h="16838" w:orient="portrait"/>
          <w:cols w:equalWidth="0" w:num="1">
            <w:col w:w="11420"/>
          </w:cols>
          <w:pgMar w:left="240" w:top="280" w:right="239" w:bottom="1440" w:gutter="0" w:footer="0" w:header="0"/>
        </w:sectPr>
      </w:pPr>
    </w:p>
    <w:bookmarkStart w:id="226" w:name="page227"/>
    <w:bookmarkEnd w:id="22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first recital</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first recital</w:t>
      </w:r>
      <w:r>
        <w:rPr>
          <w:rFonts w:ascii="Arial" w:cs="Arial" w:eastAsia="Arial" w:hAnsi="Arial"/>
          <w:sz w:val="18"/>
          <w:szCs w:val="18"/>
          <w:color w:val="auto"/>
        </w:rPr>
        <w:t>.</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Subsidiary Guarantors</w:t>
      </w:r>
      <w:r>
        <w:rPr>
          <w:rFonts w:ascii="Arial" w:cs="Arial" w:eastAsia="Arial" w:hAnsi="Arial"/>
          <w:sz w:val="18"/>
          <w:szCs w:val="18"/>
          <w:color w:val="auto"/>
        </w:rPr>
        <w:t>” means those Subsidiary Guarantors (as defined in the Existing Guaranty Agreement) that are party to the Existing Guaranty Agreement and that are classified as Excluded Subsidiaries in the Credit Agreement as of the Closing Date.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first recital</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Guaranty</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first recital</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Guaranty Agreement</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first recital</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Guaranteed Obligations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w:t>
      </w:r>
      <w:r>
        <w:rPr>
          <w:rFonts w:ascii="Arial" w:cs="Arial" w:eastAsia="Arial" w:hAnsi="Arial"/>
          <w:sz w:val="18"/>
          <w:szCs w:val="18"/>
          <w:color w:val="auto"/>
        </w:rPr>
        <w:t>” and “</w:t>
      </w:r>
      <w:r>
        <w:rPr>
          <w:rFonts w:ascii="Arial" w:cs="Arial" w:eastAsia="Arial" w:hAnsi="Arial"/>
          <w:sz w:val="18"/>
          <w:szCs w:val="18"/>
          <w:u w:val="single" w:color="auto"/>
          <w:color w:val="auto"/>
        </w:rPr>
        <w:t>Guarantors</w:t>
      </w:r>
      <w:r>
        <w:rPr>
          <w:rFonts w:ascii="Arial" w:cs="Arial" w:eastAsia="Arial" w:hAnsi="Arial"/>
          <w:sz w:val="18"/>
          <w:szCs w:val="18"/>
          <w:color w:val="auto"/>
        </w:rPr>
        <w:t xml:space="preserve">” are defined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5.4(a)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is defined in the Credit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is defined in the Credit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is defined in the Credit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 Petition Interest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2.4(b)(ii)</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Obligations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2.4(b)</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is defined in the Credit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means the date on which the latest of the following events occurs:</w:t>
      </w:r>
    </w:p>
    <w:p>
      <w:pPr>
        <w:spacing w:after="0" w:line="171" w:lineRule="exact"/>
        <w:rPr>
          <w:sz w:val="20"/>
          <w:szCs w:val="20"/>
          <w:color w:val="auto"/>
        </w:rPr>
      </w:pPr>
    </w:p>
    <w:p>
      <w:pPr>
        <w:ind w:firstLine="921"/>
        <w:spacing w:after="0" w:line="268" w:lineRule="auto"/>
        <w:tabs>
          <w:tab w:leader="none" w:pos="1195"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payment in full in cash of the Guaranteed Obligations and all other amounts payable under this Agreement (other than contingent indemnification obligations);</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termination or expiration of the Availability Period; and</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termination or expiration of all Letters of Credit and all Secured Swap Contracts.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227" w:name="page228"/>
    <w:bookmarkEnd w:id="227"/>
    <w:p>
      <w:pPr>
        <w:jc w:val="both"/>
        <w:ind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1.2 Credit Agreement Definitions. </w:t>
      </w:r>
      <w:r>
        <w:rPr>
          <w:rFonts w:ascii="Arial" w:cs="Arial" w:eastAsia="Arial" w:hAnsi="Arial"/>
          <w:sz w:val="18"/>
          <w:szCs w:val="18"/>
          <w:color w:val="auto"/>
        </w:rPr>
        <w:t>Unless otherwise defined herein or the context otherwise requires, terms used in this Agreement, including its</w:t>
      </w:r>
      <w:r>
        <w:rPr>
          <w:rFonts w:ascii="Arial" w:cs="Arial" w:eastAsia="Arial" w:hAnsi="Arial"/>
          <w:sz w:val="18"/>
          <w:szCs w:val="18"/>
          <w:b w:val="1"/>
          <w:bCs w:val="1"/>
          <w:color w:val="auto"/>
        </w:rPr>
        <w:t xml:space="preserve"> </w:t>
      </w:r>
      <w:r>
        <w:rPr>
          <w:rFonts w:ascii="Arial" w:cs="Arial" w:eastAsia="Arial" w:hAnsi="Arial"/>
          <w:sz w:val="18"/>
          <w:szCs w:val="18"/>
          <w:color w:val="auto"/>
        </w:rPr>
        <w:t>preamble and recitals, have the meanings provided in the Credit Agreement.</w:t>
      </w:r>
    </w:p>
    <w:p>
      <w:pPr>
        <w:spacing w:after="0" w:line="120" w:lineRule="exact"/>
        <w:rPr>
          <w:sz w:val="20"/>
          <w:szCs w:val="20"/>
          <w:color w:val="auto"/>
        </w:rPr>
      </w:pPr>
    </w:p>
    <w:p>
      <w:pPr>
        <w:jc w:val="both"/>
        <w:ind w:right="20" w:firstLine="456"/>
        <w:spacing w:after="0" w:line="275" w:lineRule="auto"/>
        <w:rPr>
          <w:sz w:val="20"/>
          <w:szCs w:val="20"/>
          <w:color w:val="auto"/>
        </w:rPr>
      </w:pPr>
      <w:r>
        <w:rPr>
          <w:rFonts w:ascii="Arial" w:cs="Arial" w:eastAsia="Arial" w:hAnsi="Arial"/>
          <w:sz w:val="18"/>
          <w:szCs w:val="18"/>
          <w:b w:val="1"/>
          <w:bCs w:val="1"/>
          <w:color w:val="auto"/>
        </w:rPr>
        <w:t xml:space="preserve">1.3 Other Interpretive Provisions. </w:t>
      </w:r>
      <w:r>
        <w:rPr>
          <w:rFonts w:ascii="Arial" w:cs="Arial" w:eastAsia="Arial" w:hAnsi="Arial"/>
          <w:sz w:val="18"/>
          <w:szCs w:val="18"/>
          <w:color w:val="auto"/>
        </w:rPr>
        <w:t>The rules of construction in Sections 1.02 to 1.06 of the Credit Agreement shall be equally applicable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282"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GUARANTY</w:t>
      </w:r>
    </w:p>
    <w:p>
      <w:pPr>
        <w:spacing w:after="0" w:line="159"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b w:val="1"/>
          <w:bCs w:val="1"/>
          <w:color w:val="auto"/>
        </w:rPr>
        <w:t xml:space="preserve">2.1 Guaranty; Limitation of Liability. </w:t>
      </w:r>
      <w:r>
        <w:rPr>
          <w:rFonts w:ascii="Arial" w:cs="Arial" w:eastAsia="Arial" w:hAnsi="Arial"/>
          <w:sz w:val="16"/>
          <w:szCs w:val="16"/>
          <w:color w:val="auto"/>
        </w:rPr>
        <w:t>(a) Each Guarantor hereby absolutely, unconditionally and irrevocably guarantees the punctual payment when due,</w:t>
      </w:r>
      <w:r>
        <w:rPr>
          <w:rFonts w:ascii="Arial" w:cs="Arial" w:eastAsia="Arial" w:hAnsi="Arial"/>
          <w:sz w:val="16"/>
          <w:szCs w:val="16"/>
          <w:b w:val="1"/>
          <w:bCs w:val="1"/>
          <w:color w:val="auto"/>
        </w:rPr>
        <w:t xml:space="preserve"> </w:t>
      </w:r>
      <w:r>
        <w:rPr>
          <w:rFonts w:ascii="Arial" w:cs="Arial" w:eastAsia="Arial" w:hAnsi="Arial"/>
          <w:sz w:val="16"/>
          <w:szCs w:val="16"/>
          <w:color w:val="auto"/>
        </w:rPr>
        <w:t>whether at scheduled maturity or on any date of a required prepayment or by acceleration, demand or otherwise, of all Obligations of each other Loan Party now or hereafter existing under or in respect of the Loan Documents (including, without limitation, any extensions, modifications, substitutions, amendments or renewals of any or all of the foregoing Obligations), whether direct or indirect, absolute or contingent, and whether for principal, interest, premiums, fees, indemnities, contract causes of action, costs, expenses or otherwise (such Obligations being the “</w:t>
      </w:r>
      <w:r>
        <w:rPr>
          <w:rFonts w:ascii="Arial" w:cs="Arial" w:eastAsia="Arial" w:hAnsi="Arial"/>
          <w:sz w:val="16"/>
          <w:szCs w:val="16"/>
          <w:u w:val="single" w:color="auto"/>
          <w:color w:val="auto"/>
        </w:rPr>
        <w:t>Guaranteed Obligations</w:t>
      </w:r>
      <w:r>
        <w:rPr>
          <w:rFonts w:ascii="Arial" w:cs="Arial" w:eastAsia="Arial" w:hAnsi="Arial"/>
          <w:sz w:val="16"/>
          <w:szCs w:val="16"/>
          <w:color w:val="auto"/>
        </w:rPr>
        <w:t>”), and agrees to pay any and all expenses (including, without limitation, all reasonable fees, charges and disbursements of counsel) incurred by the Administrative Agent or any other Secured Party in enforcing any rights under this Agreement or any other Loan Document. Without limiting the generality of the foregoing, each Guarantor’s liability shall extend to all amounts that constitute part of the Guaranteed Obligations and would be owed by any other Loan Party to any Secured Party under or in respect of the Loan Documents but for the fact that they are unenforceable or not allowable due to the existence of a bankruptcy, reorganization or similar proceeding involving such other Loan Party.</w:t>
      </w:r>
    </w:p>
    <w:p>
      <w:pPr>
        <w:spacing w:after="0" w:line="121" w:lineRule="exact"/>
        <w:rPr>
          <w:sz w:val="20"/>
          <w:szCs w:val="20"/>
          <w:color w:val="auto"/>
        </w:rPr>
      </w:pPr>
    </w:p>
    <w:p>
      <w:pPr>
        <w:jc w:val="both"/>
        <w:ind w:firstLine="1492"/>
        <w:spacing w:after="0" w:line="291" w:lineRule="auto"/>
        <w:tabs>
          <w:tab w:leader="none" w:pos="1735" w:val="left"/>
        </w:tabs>
        <w:numPr>
          <w:ilvl w:val="0"/>
          <w:numId w:val="249"/>
        </w:numPr>
        <w:rPr>
          <w:rFonts w:ascii="Arial" w:cs="Arial" w:eastAsia="Arial" w:hAnsi="Arial"/>
          <w:sz w:val="16"/>
          <w:szCs w:val="16"/>
          <w:color w:val="auto"/>
        </w:rPr>
      </w:pPr>
      <w:r>
        <w:rPr>
          <w:rFonts w:ascii="Arial" w:cs="Arial" w:eastAsia="Arial" w:hAnsi="Arial"/>
          <w:sz w:val="16"/>
          <w:szCs w:val="16"/>
          <w:color w:val="auto"/>
        </w:rPr>
        <w:t>Each Guarantor, and by its acceptance of this Agreement, the Administrative Agent and each other Secured Party, hereby confirms that it is the intention of all such Persons that this Agreement and the Obligations of each Guarantor hereunder not constitute a fraudulent transfer or conveyance for purposes of Debtor Relief Laws, the Uniform Fraudulent Conveyance Act, the Uniform Fraudulent Transfer Act or any similar Law to the extent applicable to this Agreement and the Obligations of each Guarantor hereunder. To effectuate the foregoing intention, the Administrative Agent, the other Secured Parties and the Guarantors hereby irrevocably agree that the Obligations of each Guarantor under this Agreement at any time shall be limited to the maximum amount as will result in the Obligations of such Guarantor under this Agreement not constituting a fraudulent transfer or conveyance.</w:t>
      </w:r>
    </w:p>
    <w:p>
      <w:pPr>
        <w:spacing w:after="0" w:line="120" w:lineRule="exact"/>
        <w:rPr>
          <w:rFonts w:ascii="Arial" w:cs="Arial" w:eastAsia="Arial" w:hAnsi="Arial"/>
          <w:sz w:val="16"/>
          <w:szCs w:val="16"/>
          <w:color w:val="auto"/>
        </w:rPr>
      </w:pPr>
    </w:p>
    <w:p>
      <w:pPr>
        <w:jc w:val="both"/>
        <w:ind w:firstLine="1492"/>
        <w:spacing w:after="0" w:line="306" w:lineRule="auto"/>
        <w:tabs>
          <w:tab w:leader="none" w:pos="1724" w:val="left"/>
        </w:tabs>
        <w:numPr>
          <w:ilvl w:val="0"/>
          <w:numId w:val="249"/>
        </w:numPr>
        <w:rPr>
          <w:rFonts w:ascii="Arial" w:cs="Arial" w:eastAsia="Arial" w:hAnsi="Arial"/>
          <w:sz w:val="16"/>
          <w:szCs w:val="16"/>
          <w:color w:val="auto"/>
        </w:rPr>
      </w:pPr>
      <w:r>
        <w:rPr>
          <w:rFonts w:ascii="Arial" w:cs="Arial" w:eastAsia="Arial" w:hAnsi="Arial"/>
          <w:sz w:val="16"/>
          <w:szCs w:val="16"/>
          <w:color w:val="auto"/>
        </w:rPr>
        <w:t>Each Guarantor hereby unconditionally and irrevocably agrees that in the event any payment shall be required to be made to any Secured Party under this Agreement or any other guaranty, such Guarantor will contribute, to the maximum extent permitted by Law, such amounts to each other Guarantor and each other guarantor so as to maximize the aggregate amount paid to the Secured Parties under or in respect of the Loan Documents.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228" w:name="page229"/>
    <w:bookmarkEnd w:id="228"/>
    <w:p>
      <w:pPr>
        <w:jc w:val="both"/>
        <w:ind w:firstLine="456"/>
        <w:spacing w:after="0" w:line="28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2.2 Guaranty Absolute. </w:t>
      </w:r>
      <w:r>
        <w:rPr>
          <w:rFonts w:ascii="Arial" w:cs="Arial" w:eastAsia="Arial" w:hAnsi="Arial"/>
          <w:sz w:val="16"/>
          <w:szCs w:val="16"/>
          <w:color w:val="auto"/>
        </w:rPr>
        <w:t>Each Guarantor guarantees that the Guaranteed Obligations will be paid strictly in accordance with the terms of the Loan</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regardless of any Law now or hereafter in effect in any jurisdiction affecting any of such terms or the rights of any Secured Party with respect thereto. The Obligations of each Guarantor under or in respect of this Agreement are independent of the Guaranteed Obligations or any other Obligations of any other Loan Party under or in respect of the Loan Documents, and a separate action or actions may be brought and prosecuted against each Guarantor to enforce this Agreement, irrespective of whether any action is brought against the Borrower or any other Loan Party or whether the Borrower or any other Loan Party is joined in any such action or actions. This Agreement is an absolute and unconditional guaranty of payment when due, and not of collection, by each Guarantor jointly and severally with any other Guarantor of the Guaranteed Obligations. The liability of each Guarantor under this Agreement shall be irrevocable, absolute and unconditional irrespective of, and each Guarantor hereby irrevocably waives any defenses it may now have or hereafter acquire in any way relating to, any or all of the following:</w:t>
      </w:r>
    </w:p>
    <w:p>
      <w:pPr>
        <w:spacing w:after="0" w:line="119" w:lineRule="exact"/>
        <w:rPr>
          <w:sz w:val="20"/>
          <w:szCs w:val="20"/>
          <w:color w:val="auto"/>
        </w:rPr>
      </w:pPr>
    </w:p>
    <w:p>
      <w:pPr>
        <w:ind w:left="1160" w:hanging="239"/>
        <w:spacing w:after="0"/>
        <w:tabs>
          <w:tab w:leader="none" w:pos="11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any lack of validity or enforceability of any Loan Document or any agreement or instrument relating thereto;</w:t>
      </w:r>
    </w:p>
    <w:p>
      <w:pPr>
        <w:spacing w:after="0" w:line="171" w:lineRule="exact"/>
        <w:rPr>
          <w:rFonts w:ascii="Arial" w:cs="Arial" w:eastAsia="Arial" w:hAnsi="Arial"/>
          <w:sz w:val="18"/>
          <w:szCs w:val="18"/>
          <w:color w:val="auto"/>
        </w:rPr>
      </w:pPr>
    </w:p>
    <w:p>
      <w:pPr>
        <w:jc w:val="both"/>
        <w:ind w:firstLine="921"/>
        <w:spacing w:after="0" w:line="256" w:lineRule="auto"/>
        <w:tabs>
          <w:tab w:leader="none" w:pos="1164"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any change in the time, manner or place of payment of, or in any other term of, all or any of the Guaranteed Obligations or any other Obligations of any other Loan Party under or in respect of the Loan Documents, or any other amendment or waiver of or any consent to departure from any Loan Document, including, without limitation, any increase in the Guaranteed Obligations resulting from the extension of additional credit to any Loan Party or any of its Subsidiaries or otherwise;</w:t>
      </w:r>
    </w:p>
    <w:p>
      <w:pPr>
        <w:spacing w:after="0" w:line="143" w:lineRule="exact"/>
        <w:rPr>
          <w:rFonts w:ascii="Arial" w:cs="Arial" w:eastAsia="Arial" w:hAnsi="Arial"/>
          <w:sz w:val="18"/>
          <w:szCs w:val="18"/>
          <w:color w:val="auto"/>
        </w:rPr>
      </w:pPr>
    </w:p>
    <w:p>
      <w:pPr>
        <w:ind w:firstLine="921"/>
        <w:spacing w:after="0" w:line="268" w:lineRule="auto"/>
        <w:tabs>
          <w:tab w:leader="none" w:pos="1166"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any taking, exchange, release or non-perfection of any Collateral or any other collateral, or any taking, release or amendment or waiver of, or consent to departure from, any other guaranty, for all or any of the Guaranteed Obligations;</w:t>
      </w:r>
    </w:p>
    <w:p>
      <w:pPr>
        <w:spacing w:after="0" w:line="131" w:lineRule="exact"/>
        <w:rPr>
          <w:rFonts w:ascii="Arial" w:cs="Arial" w:eastAsia="Arial" w:hAnsi="Arial"/>
          <w:sz w:val="18"/>
          <w:szCs w:val="18"/>
          <w:color w:val="auto"/>
        </w:rPr>
      </w:pPr>
    </w:p>
    <w:p>
      <w:pPr>
        <w:jc w:val="both"/>
        <w:ind w:firstLine="921"/>
        <w:spacing w:after="0" w:line="259" w:lineRule="auto"/>
        <w:tabs>
          <w:tab w:leader="none" w:pos="1164"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any manner of application of Collateral or any other collateral, or proceeds thereof, to all or any of the Guaranteed Obligations, or any manner of sale or other disposition of any Collateral or any other collateral for all or any of the Guaranteed Obligations or any other Obligations of any Loan Party under the Loan Documents or any other assets of any Loan Party or any of its Subsidiaries;</w:t>
      </w:r>
    </w:p>
    <w:p>
      <w:pPr>
        <w:spacing w:after="0" w:line="140" w:lineRule="exact"/>
        <w:rPr>
          <w:rFonts w:ascii="Arial" w:cs="Arial" w:eastAsia="Arial" w:hAnsi="Arial"/>
          <w:sz w:val="18"/>
          <w:szCs w:val="18"/>
          <w:color w:val="auto"/>
        </w:rPr>
      </w:pPr>
    </w:p>
    <w:p>
      <w:pPr>
        <w:jc w:val="both"/>
        <w:ind w:firstLine="921"/>
        <w:spacing w:after="0" w:line="259" w:lineRule="auto"/>
        <w:tabs>
          <w:tab w:leader="none" w:pos="1165"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any change, restructuring or termination of the corporate structure or existence of any Loan Party or any of its Subsidiaries or any insolvency, bankruptcy, reorganization or other similar proceeding affecting the Borrower or any other Loan Party or its assets or any resulting release or discharge of any Guaranteed Obligation;</w:t>
      </w:r>
    </w:p>
    <w:p>
      <w:pPr>
        <w:spacing w:after="0" w:line="140" w:lineRule="exact"/>
        <w:rPr>
          <w:rFonts w:ascii="Arial" w:cs="Arial" w:eastAsia="Arial" w:hAnsi="Arial"/>
          <w:sz w:val="18"/>
          <w:szCs w:val="18"/>
          <w:color w:val="auto"/>
        </w:rPr>
      </w:pPr>
    </w:p>
    <w:p>
      <w:pPr>
        <w:ind w:firstLine="921"/>
        <w:spacing w:after="0" w:line="268" w:lineRule="auto"/>
        <w:tabs>
          <w:tab w:leader="none" w:pos="1134"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existence of any claim, setoff or other right which any Guarantor may have at any time against any Loan Party, the Administrative Agent, any Lender or any other Person, whether in connection herewith or any unrelated transaction;</w:t>
      </w:r>
    </w:p>
    <w:p>
      <w:pPr>
        <w:spacing w:after="0" w:line="131" w:lineRule="exact"/>
        <w:rPr>
          <w:rFonts w:ascii="Arial" w:cs="Arial" w:eastAsia="Arial" w:hAnsi="Arial"/>
          <w:sz w:val="18"/>
          <w:szCs w:val="18"/>
          <w:color w:val="auto"/>
        </w:rPr>
      </w:pPr>
    </w:p>
    <w:p>
      <w:pPr>
        <w:ind w:right="20" w:firstLine="921"/>
        <w:spacing w:after="0" w:line="332" w:lineRule="auto"/>
        <w:tabs>
          <w:tab w:leader="none" w:pos="1164" w:val="left"/>
        </w:tabs>
        <w:numPr>
          <w:ilvl w:val="0"/>
          <w:numId w:val="250"/>
        </w:numPr>
        <w:rPr>
          <w:rFonts w:ascii="Arial" w:cs="Arial" w:eastAsia="Arial" w:hAnsi="Arial"/>
          <w:sz w:val="16"/>
          <w:szCs w:val="16"/>
          <w:color w:val="auto"/>
        </w:rPr>
      </w:pPr>
      <w:r>
        <w:rPr>
          <w:rFonts w:ascii="Arial" w:cs="Arial" w:eastAsia="Arial" w:hAnsi="Arial"/>
          <w:sz w:val="16"/>
          <w:szCs w:val="16"/>
          <w:color w:val="auto"/>
        </w:rPr>
        <w:t>any invalidity or unenforceability relating to or against the Borrower or any other Loan Party for any reason of the whole or any provision of any Loan Document, or any provision of applicable Law purporting to prohibit the payment or performance by the Borrower of the Guaranteed Obligations;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229" w:name="page230"/>
    <w:bookmarkEnd w:id="229"/>
    <w:p>
      <w:pPr>
        <w:jc w:val="both"/>
        <w:ind w:firstLine="921"/>
        <w:spacing w:after="0" w:line="259" w:lineRule="auto"/>
        <w:tabs>
          <w:tab w:leader="none" w:pos="1188" w:val="left"/>
        </w:tabs>
        <w:numPr>
          <w:ilvl w:val="0"/>
          <w:numId w:val="2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failure of any Secured Party to disclose to any Loan Party any information relating to the business, condition (financial or otherwise), operations, performance, properties or prospects of any other Loan Party now or hereafter known to such Secured Party (each Guarantor waiving any duty on the part of the Secured Parties to disclose such information);</w:t>
      </w:r>
    </w:p>
    <w:p>
      <w:pPr>
        <w:spacing w:after="0" w:line="140" w:lineRule="exact"/>
        <w:rPr>
          <w:rFonts w:ascii="Arial" w:cs="Arial" w:eastAsia="Arial" w:hAnsi="Arial"/>
          <w:sz w:val="18"/>
          <w:szCs w:val="18"/>
          <w:color w:val="auto"/>
        </w:rPr>
      </w:pPr>
    </w:p>
    <w:p>
      <w:pPr>
        <w:ind w:firstLine="921"/>
        <w:spacing w:after="0" w:line="268" w:lineRule="auto"/>
        <w:tabs>
          <w:tab w:leader="none" w:pos="113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failure of any other Person to execute or deliver this Agreement or any other guaranty or agreement or the release or reduction of liability of any Guarantor or other guarantor or surety with respect to the Guaranteed Obligations; or</w:t>
      </w:r>
    </w:p>
    <w:p>
      <w:pPr>
        <w:spacing w:after="0" w:line="131" w:lineRule="exact"/>
        <w:rPr>
          <w:rFonts w:ascii="Arial" w:cs="Arial" w:eastAsia="Arial" w:hAnsi="Arial"/>
          <w:sz w:val="18"/>
          <w:szCs w:val="18"/>
          <w:color w:val="auto"/>
        </w:rPr>
      </w:pPr>
    </w:p>
    <w:p>
      <w:pPr>
        <w:ind w:firstLine="921"/>
        <w:spacing w:after="0" w:line="332" w:lineRule="auto"/>
        <w:tabs>
          <w:tab w:leader="none" w:pos="1142" w:val="left"/>
        </w:tabs>
        <w:numPr>
          <w:ilvl w:val="0"/>
          <w:numId w:val="251"/>
        </w:numPr>
        <w:rPr>
          <w:rFonts w:ascii="Arial" w:cs="Arial" w:eastAsia="Arial" w:hAnsi="Arial"/>
          <w:sz w:val="16"/>
          <w:szCs w:val="16"/>
          <w:color w:val="auto"/>
        </w:rPr>
      </w:pPr>
      <w:r>
        <w:rPr>
          <w:rFonts w:ascii="Arial" w:cs="Arial" w:eastAsia="Arial" w:hAnsi="Arial"/>
          <w:sz w:val="16"/>
          <w:szCs w:val="16"/>
          <w:color w:val="auto"/>
        </w:rPr>
        <w:t>any other circumstance (including, without limitation, any statute of limitations) or any existence of or reliance on any representation by any Secured Party that might otherwise constitute a defense available to, or a discharge of, any Loan Party or any other guarantor or surety.</w:t>
      </w:r>
    </w:p>
    <w:p>
      <w:pPr>
        <w:spacing w:after="0" w:line="8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This Agreement shall continue to be effective or be reinstated, as the case may be, if at any time any payment of any of the Guaranteed Obligations is rescinded or must otherwise be returned by any Secured Party or any other Person upon the insolvency, bankruptcy or reorganization of the Borrower or any other Loan Party or otherwise, all as though such payment had not been made.</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2.3 Waivers and Acknowledgments.</w:t>
      </w:r>
    </w:p>
    <w:p>
      <w:pPr>
        <w:spacing w:after="0" w:line="96" w:lineRule="exact"/>
        <w:rPr>
          <w:sz w:val="20"/>
          <w:szCs w:val="20"/>
          <w:color w:val="auto"/>
        </w:rPr>
      </w:pPr>
    </w:p>
    <w:p>
      <w:pPr>
        <w:jc w:val="both"/>
        <w:ind w:firstLine="921"/>
        <w:spacing w:after="0" w:line="256" w:lineRule="auto"/>
        <w:tabs>
          <w:tab w:leader="none" w:pos="1209" w:val="left"/>
        </w:tabs>
        <w:numPr>
          <w:ilvl w:val="0"/>
          <w:numId w:val="252"/>
        </w:numPr>
        <w:rPr>
          <w:rFonts w:ascii="Arial" w:cs="Arial" w:eastAsia="Arial" w:hAnsi="Arial"/>
          <w:sz w:val="18"/>
          <w:szCs w:val="18"/>
          <w:color w:val="auto"/>
        </w:rPr>
      </w:pPr>
      <w:r>
        <w:rPr>
          <w:rFonts w:ascii="Arial" w:cs="Arial" w:eastAsia="Arial" w:hAnsi="Arial"/>
          <w:sz w:val="18"/>
          <w:szCs w:val="18"/>
          <w:color w:val="auto"/>
        </w:rPr>
        <w:t>Each Guarantor hereby unconditionally and irrevocably waives promptness, diligence, notice of acceptance, presentment, demand for performance, notice of nonperformance, default, acceleration, protest or dishonor and any other notice with respect to any of the Guaranteed Obligations and this Agreement and any requirement that any Secured Party protect, secure, perfect or insure any Lien or any property subject thereto or exhaust any right or take any action against any Loan Party or any other Person or any Collateral.</w:t>
      </w:r>
    </w:p>
    <w:p>
      <w:pPr>
        <w:spacing w:after="0" w:line="143" w:lineRule="exact"/>
        <w:rPr>
          <w:rFonts w:ascii="Arial" w:cs="Arial" w:eastAsia="Arial" w:hAnsi="Arial"/>
          <w:sz w:val="18"/>
          <w:szCs w:val="18"/>
          <w:color w:val="auto"/>
        </w:rPr>
      </w:pPr>
    </w:p>
    <w:p>
      <w:pPr>
        <w:ind w:firstLine="921"/>
        <w:spacing w:after="0" w:line="268" w:lineRule="auto"/>
        <w:tabs>
          <w:tab w:leader="none" w:pos="1181" w:val="left"/>
        </w:tabs>
        <w:numPr>
          <w:ilvl w:val="0"/>
          <w:numId w:val="252"/>
        </w:numPr>
        <w:rPr>
          <w:rFonts w:ascii="Arial" w:cs="Arial" w:eastAsia="Arial" w:hAnsi="Arial"/>
          <w:sz w:val="18"/>
          <w:szCs w:val="18"/>
          <w:color w:val="auto"/>
        </w:rPr>
      </w:pPr>
      <w:r>
        <w:rPr>
          <w:rFonts w:ascii="Arial" w:cs="Arial" w:eastAsia="Arial" w:hAnsi="Arial"/>
          <w:sz w:val="18"/>
          <w:szCs w:val="18"/>
          <w:color w:val="auto"/>
        </w:rPr>
        <w:t>Each Guarantor hereby unconditionally and irrevocably waives any right to revoke this Agreement and acknowledges that this Agreement is continuing in nature and applies to all Guaranteed Obligations, whether existing now or in the future.</w:t>
      </w:r>
    </w:p>
    <w:p>
      <w:pPr>
        <w:spacing w:after="0" w:line="131" w:lineRule="exact"/>
        <w:rPr>
          <w:rFonts w:ascii="Arial" w:cs="Arial" w:eastAsia="Arial" w:hAnsi="Arial"/>
          <w:sz w:val="18"/>
          <w:szCs w:val="18"/>
          <w:color w:val="auto"/>
        </w:rPr>
      </w:pPr>
    </w:p>
    <w:p>
      <w:pPr>
        <w:jc w:val="both"/>
        <w:ind w:firstLine="921"/>
        <w:spacing w:after="0" w:line="255" w:lineRule="auto"/>
        <w:tabs>
          <w:tab w:leader="none" w:pos="1158" w:val="left"/>
        </w:tabs>
        <w:numPr>
          <w:ilvl w:val="0"/>
          <w:numId w:val="252"/>
        </w:numPr>
        <w:rPr>
          <w:rFonts w:ascii="Arial" w:cs="Arial" w:eastAsia="Arial" w:hAnsi="Arial"/>
          <w:sz w:val="18"/>
          <w:szCs w:val="18"/>
          <w:color w:val="auto"/>
        </w:rPr>
      </w:pPr>
      <w:r>
        <w:rPr>
          <w:rFonts w:ascii="Arial" w:cs="Arial" w:eastAsia="Arial" w:hAnsi="Arial"/>
          <w:sz w:val="18"/>
          <w:szCs w:val="18"/>
          <w:color w:val="auto"/>
        </w:rPr>
        <w:t>Each Guarantor hereby unconditionally and irrevocably waives (i) any defense arising by reason of any claim or defense based upon an election of remedies by any Secured Party that in any manner impairs, reduces, releases or otherwise adversely affects the subrogation, reimbursement, exoneration, contribution or indemnification rights of such Guarantor or other rights of such Guarantor to proceed against any of the other Loan Parties, any other guarantor or any other Person or any Collateral and (ii) any defense based on any right of setoff or counterclaim against or in respect of the Obligations of such Guarantor hereunder.</w:t>
      </w:r>
    </w:p>
    <w:p>
      <w:pPr>
        <w:spacing w:after="0" w:line="142" w:lineRule="exact"/>
        <w:rPr>
          <w:rFonts w:ascii="Arial" w:cs="Arial" w:eastAsia="Arial" w:hAnsi="Arial"/>
          <w:sz w:val="18"/>
          <w:szCs w:val="18"/>
          <w:color w:val="auto"/>
        </w:rPr>
      </w:pPr>
    </w:p>
    <w:p>
      <w:pPr>
        <w:jc w:val="both"/>
        <w:ind w:firstLine="921"/>
        <w:spacing w:after="0" w:line="256" w:lineRule="auto"/>
        <w:tabs>
          <w:tab w:leader="none" w:pos="1174" w:val="left"/>
        </w:tabs>
        <w:numPr>
          <w:ilvl w:val="0"/>
          <w:numId w:val="252"/>
        </w:numPr>
        <w:rPr>
          <w:rFonts w:ascii="Arial" w:cs="Arial" w:eastAsia="Arial" w:hAnsi="Arial"/>
          <w:sz w:val="18"/>
          <w:szCs w:val="18"/>
          <w:color w:val="auto"/>
        </w:rPr>
      </w:pPr>
      <w:r>
        <w:rPr>
          <w:rFonts w:ascii="Arial" w:cs="Arial" w:eastAsia="Arial" w:hAnsi="Arial"/>
          <w:sz w:val="18"/>
          <w:szCs w:val="18"/>
          <w:color w:val="auto"/>
        </w:rPr>
        <w:t>Each Guarantor acknowledges that the Administrative Agent may, without notice to or demand upon such Guarantor and without affecting the liability of such Guarantor under this Agreement, foreclose under any mortgage by nonjudicial sale, and each Guarantor hereby waives any defense to the recovery by the Administrative Agent and the other Secured Parties against such Guarantor of any deficiency after such nonjudicial sale and any defense or benefits that may be afforded by applicable Law.</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230" w:name="page231"/>
    <w:bookmarkEnd w:id="230"/>
    <w:p>
      <w:pPr>
        <w:jc w:val="both"/>
        <w:ind w:firstLine="921"/>
        <w:spacing w:after="0" w:line="259" w:lineRule="auto"/>
        <w:tabs>
          <w:tab w:leader="none" w:pos="1173" w:val="left"/>
        </w:tabs>
        <w:numPr>
          <w:ilvl w:val="0"/>
          <w:numId w:val="2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Guarantor hereby unconditionally and irrevocably waives any duty on the part of any Secured Party to disclose to such Guarantor any matter, fact or thing relating to the business, condition (financial or otherwise), operations, performance, properties or prospects of any other Loan Party or any of its Subsidiaries now or hereafter known by such Secured Party.</w:t>
      </w:r>
    </w:p>
    <w:p>
      <w:pPr>
        <w:spacing w:after="0" w:line="140" w:lineRule="exact"/>
        <w:rPr>
          <w:rFonts w:ascii="Arial" w:cs="Arial" w:eastAsia="Arial" w:hAnsi="Arial"/>
          <w:sz w:val="18"/>
          <w:szCs w:val="18"/>
          <w:color w:val="auto"/>
        </w:rPr>
      </w:pPr>
    </w:p>
    <w:p>
      <w:pPr>
        <w:ind w:right="20" w:firstLine="921"/>
        <w:spacing w:after="0" w:line="332" w:lineRule="auto"/>
        <w:tabs>
          <w:tab w:leader="none" w:pos="1147" w:val="left"/>
        </w:tabs>
        <w:numPr>
          <w:ilvl w:val="0"/>
          <w:numId w:val="253"/>
        </w:numPr>
        <w:rPr>
          <w:rFonts w:ascii="Arial" w:cs="Arial" w:eastAsia="Arial" w:hAnsi="Arial"/>
          <w:sz w:val="16"/>
          <w:szCs w:val="16"/>
          <w:color w:val="auto"/>
        </w:rPr>
      </w:pPr>
      <w:r>
        <w:rPr>
          <w:rFonts w:ascii="Arial" w:cs="Arial" w:eastAsia="Arial" w:hAnsi="Arial"/>
          <w:sz w:val="16"/>
          <w:szCs w:val="16"/>
          <w:color w:val="auto"/>
        </w:rPr>
        <w:t xml:space="preserve">Each Guarantor acknowledges that it will receive substantial direct and indirect benefits from the financing arrangements contemplated by the Loan Documents and that the waivers set forth in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are knowingly made in contemplation of such benefits.</w:t>
      </w:r>
    </w:p>
    <w:p>
      <w:pPr>
        <w:spacing w:after="0" w:line="79"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b w:val="1"/>
          <w:bCs w:val="1"/>
          <w:color w:val="auto"/>
        </w:rPr>
        <w:t xml:space="preserve">2.4 Subordination. </w:t>
      </w:r>
      <w:r>
        <w:rPr>
          <w:rFonts w:ascii="Arial" w:cs="Arial" w:eastAsia="Arial" w:hAnsi="Arial"/>
          <w:sz w:val="16"/>
          <w:szCs w:val="16"/>
          <w:color w:val="auto"/>
        </w:rPr>
        <w:t>(a) Each Guarantor hereby unconditionally and irrevocably agrees not to exercise any rights that it may now have or hereafter acquire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against the Borrower, any other Guarantor or any other insider guarantor that arise from the existence, payment, performance or enforcement of such Guarantor’s Obligations under or in respect of this Agreement or any other Loan Document, including, without limitation, any right of subrogation, reimbursement, exoneration, contribution (pursuant to </w:t>
      </w:r>
      <w:r>
        <w:rPr>
          <w:rFonts w:ascii="Arial" w:cs="Arial" w:eastAsia="Arial" w:hAnsi="Arial"/>
          <w:sz w:val="16"/>
          <w:szCs w:val="16"/>
          <w:u w:val="single" w:color="auto"/>
          <w:color w:val="auto"/>
        </w:rPr>
        <w:t>Section 2.1(c)</w:t>
      </w:r>
      <w:r>
        <w:rPr>
          <w:rFonts w:ascii="Arial" w:cs="Arial" w:eastAsia="Arial" w:hAnsi="Arial"/>
          <w:sz w:val="16"/>
          <w:szCs w:val="16"/>
          <w:color w:val="auto"/>
        </w:rPr>
        <w:t xml:space="preserve"> or otherwise) or indemnification and any right to participate in any claim or remedy of any Secured Party against the Borrower, any other Guarantor or any other insider guarantor or any Collateral, whether or not such claim, remedy or right arises in equity or under contract, statute or common law, including, without limitation, the right to take or receive from the Borrower, any other Guarantor or any other insider guarantor, directly or indirectly, in cash or other property or by setoff or in any other manner, payment or security on account of such claim, remedy or right, unless and until the Termination Date has occurred.</w:t>
      </w:r>
    </w:p>
    <w:p>
      <w:pPr>
        <w:spacing w:after="0" w:line="118" w:lineRule="exact"/>
        <w:rPr>
          <w:sz w:val="20"/>
          <w:szCs w:val="20"/>
          <w:color w:val="auto"/>
        </w:rPr>
      </w:pPr>
    </w:p>
    <w:p>
      <w:pPr>
        <w:jc w:val="both"/>
        <w:ind w:firstLine="921"/>
        <w:spacing w:after="0" w:line="306" w:lineRule="auto"/>
        <w:tabs>
          <w:tab w:leader="none" w:pos="1163" w:val="left"/>
        </w:tabs>
        <w:numPr>
          <w:ilvl w:val="0"/>
          <w:numId w:val="254"/>
        </w:numPr>
        <w:rPr>
          <w:rFonts w:ascii="Arial" w:cs="Arial" w:eastAsia="Arial" w:hAnsi="Arial"/>
          <w:sz w:val="16"/>
          <w:szCs w:val="16"/>
          <w:color w:val="auto"/>
        </w:rPr>
      </w:pPr>
      <w:r>
        <w:rPr>
          <w:rFonts w:ascii="Arial" w:cs="Arial" w:eastAsia="Arial" w:hAnsi="Arial"/>
          <w:sz w:val="16"/>
          <w:szCs w:val="16"/>
          <w:color w:val="auto"/>
        </w:rPr>
        <w:t xml:space="preserve">Each Guarantor hereby agrees that any and all debts, liabilities and other obligations owed to such Guarantor by each other Loan Party, including pursuant to </w:t>
      </w:r>
      <w:r>
        <w:rPr>
          <w:rFonts w:ascii="Arial" w:cs="Arial" w:eastAsia="Arial" w:hAnsi="Arial"/>
          <w:sz w:val="16"/>
          <w:szCs w:val="16"/>
          <w:u w:val="single" w:color="auto"/>
          <w:color w:val="auto"/>
        </w:rPr>
        <w:t>Section 2.1(c)</w:t>
      </w:r>
      <w:r>
        <w:rPr>
          <w:rFonts w:ascii="Arial" w:cs="Arial" w:eastAsia="Arial" w:hAnsi="Arial"/>
          <w:sz w:val="16"/>
          <w:szCs w:val="16"/>
          <w:color w:val="auto"/>
        </w:rPr>
        <w:t xml:space="preserve"> (collectively, the “</w:t>
      </w:r>
      <w:r>
        <w:rPr>
          <w:rFonts w:ascii="Arial" w:cs="Arial" w:eastAsia="Arial" w:hAnsi="Arial"/>
          <w:sz w:val="16"/>
          <w:szCs w:val="16"/>
          <w:u w:val="single" w:color="auto"/>
          <w:color w:val="auto"/>
        </w:rPr>
        <w:t>Subordinated Obligations</w:t>
      </w:r>
      <w:r>
        <w:rPr>
          <w:rFonts w:ascii="Arial" w:cs="Arial" w:eastAsia="Arial" w:hAnsi="Arial"/>
          <w:sz w:val="16"/>
          <w:szCs w:val="16"/>
          <w:color w:val="auto"/>
        </w:rPr>
        <w:t xml:space="preserve">”), are hereby subordinated to the prior payment in full in cash of the Obligations of such other Loan Party under the Loan Documents to the extent and in the manner hereinafter set forth in this </w:t>
      </w:r>
      <w:r>
        <w:rPr>
          <w:rFonts w:ascii="Arial" w:cs="Arial" w:eastAsia="Arial" w:hAnsi="Arial"/>
          <w:sz w:val="16"/>
          <w:szCs w:val="16"/>
          <w:u w:val="single" w:color="auto"/>
          <w:color w:val="auto"/>
        </w:rPr>
        <w:t>Section 2.4(b)</w:t>
      </w:r>
      <w:r>
        <w:rPr>
          <w:rFonts w:ascii="Arial" w:cs="Arial" w:eastAsia="Arial" w:hAnsi="Arial"/>
          <w:sz w:val="16"/>
          <w:szCs w:val="16"/>
          <w:color w:val="auto"/>
        </w:rPr>
        <w:t>:</w:t>
      </w:r>
    </w:p>
    <w:p>
      <w:pPr>
        <w:spacing w:after="0" w:line="25" w:lineRule="exact"/>
        <w:rPr>
          <w:rFonts w:ascii="Arial" w:cs="Arial" w:eastAsia="Arial" w:hAnsi="Arial"/>
          <w:sz w:val="16"/>
          <w:szCs w:val="16"/>
          <w:color w:val="auto"/>
        </w:rPr>
      </w:pPr>
    </w:p>
    <w:p>
      <w:pPr>
        <w:jc w:val="both"/>
        <w:ind w:left="460" w:firstLine="881"/>
        <w:spacing w:after="0" w:line="294" w:lineRule="auto"/>
        <w:tabs>
          <w:tab w:leader="none" w:pos="1552" w:val="left"/>
        </w:tabs>
        <w:numPr>
          <w:ilvl w:val="1"/>
          <w:numId w:val="254"/>
        </w:numPr>
        <w:rPr>
          <w:rFonts w:ascii="Arial" w:cs="Arial" w:eastAsia="Arial" w:hAnsi="Arial"/>
          <w:sz w:val="16"/>
          <w:szCs w:val="16"/>
          <w:color w:val="auto"/>
        </w:rPr>
      </w:pPr>
      <w:r>
        <w:rPr>
          <w:rFonts w:ascii="Arial" w:cs="Arial" w:eastAsia="Arial" w:hAnsi="Arial"/>
          <w:sz w:val="16"/>
          <w:szCs w:val="16"/>
          <w:color w:val="auto"/>
        </w:rPr>
        <w:t>Except during the continuance of an Event of Default (including the commencement and continuation of any proceeding under any Debtor Relief Law relating to any other Loan Party), each Guarantor may receive regularly scheduled payments from any other Loan Party on account of the Subordinated Obligations. After the occurrence and during the continuance of any Event of Default (including the commencement and continuation of any proceeding under any Debtor Relief Law relating to any other Loan Party), however, unless the Administrative Agent otherwise agrees, no Guarantor shall demand, accept or take any action to collect any payment on account of the Subordinated Obligations.</w:t>
      </w:r>
    </w:p>
    <w:p>
      <w:pPr>
        <w:spacing w:after="0" w:line="34" w:lineRule="exact"/>
        <w:rPr>
          <w:rFonts w:ascii="Arial" w:cs="Arial" w:eastAsia="Arial" w:hAnsi="Arial"/>
          <w:sz w:val="16"/>
          <w:szCs w:val="16"/>
          <w:color w:val="auto"/>
        </w:rPr>
      </w:pPr>
    </w:p>
    <w:p>
      <w:pPr>
        <w:jc w:val="both"/>
        <w:ind w:left="460" w:firstLine="881"/>
        <w:spacing w:after="0" w:line="298" w:lineRule="auto"/>
        <w:tabs>
          <w:tab w:leader="none" w:pos="1605" w:val="left"/>
        </w:tabs>
        <w:numPr>
          <w:ilvl w:val="1"/>
          <w:numId w:val="254"/>
        </w:numPr>
        <w:rPr>
          <w:rFonts w:ascii="Arial" w:cs="Arial" w:eastAsia="Arial" w:hAnsi="Arial"/>
          <w:sz w:val="16"/>
          <w:szCs w:val="16"/>
          <w:color w:val="auto"/>
        </w:rPr>
      </w:pPr>
      <w:r>
        <w:rPr>
          <w:rFonts w:ascii="Arial" w:cs="Arial" w:eastAsia="Arial" w:hAnsi="Arial"/>
          <w:sz w:val="16"/>
          <w:szCs w:val="16"/>
          <w:color w:val="auto"/>
        </w:rPr>
        <w:t>In any proceeding under any Debtor Relief Law relating to any other Loan Party, each Guarantor agrees that the Secured Parties shall be entitled to receive payment in full in cash of all Obligations (including all interest and expenses accruing after the commencement of a proceeding under any Debtor Relief Law, whether or not constituting an allowed claim in such proceeding (“</w:t>
      </w:r>
      <w:r>
        <w:rPr>
          <w:rFonts w:ascii="Arial" w:cs="Arial" w:eastAsia="Arial" w:hAnsi="Arial"/>
          <w:sz w:val="16"/>
          <w:szCs w:val="16"/>
          <w:u w:val="single" w:color="auto"/>
          <w:color w:val="auto"/>
        </w:rPr>
        <w:t>Post Petition Interest</w:t>
      </w:r>
      <w:r>
        <w:rPr>
          <w:rFonts w:ascii="Arial" w:cs="Arial" w:eastAsia="Arial" w:hAnsi="Arial"/>
          <w:sz w:val="16"/>
          <w:szCs w:val="16"/>
          <w:color w:val="auto"/>
        </w:rPr>
        <w:t>”)) of each other Loan Party before such Guarantor receives payment of any Subordinated Obligations of such other Loan Party.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231" w:name="page232"/>
    <w:bookmarkEnd w:id="231"/>
    <w:p>
      <w:pPr>
        <w:jc w:val="both"/>
        <w:ind w:left="460" w:firstLine="881"/>
        <w:spacing w:after="0" w:line="254" w:lineRule="auto"/>
        <w:tabs>
          <w:tab w:leader="none" w:pos="1685" w:val="left"/>
        </w:tabs>
        <w:numPr>
          <w:ilvl w:val="1"/>
          <w:numId w:val="2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After the occurrence and during the continuance of any Event of Default (including the commencement and continuation of any proceeding under any Debtor Relief Law relating to any other Loan Party), each Guarantor shall, if the Administrative Agent so requests, collect, enforce and receive payments on account of any Subordinated Obligations due to such Guarantor from any other Loan Party as trustee for the Secured Parties and deliver such payments to the Administrative Agent for application to the Guaranteed Obligations (including all Post Petition Interest), together with any necessary endorsements or other instruments of transfer, but without reducing or affecting in any manner the liability of such Guarantor under the other provisions of this Agreement.</w:t>
      </w:r>
    </w:p>
    <w:p>
      <w:pPr>
        <w:spacing w:after="0" w:line="63" w:lineRule="exact"/>
        <w:rPr>
          <w:rFonts w:ascii="Arial" w:cs="Arial" w:eastAsia="Arial" w:hAnsi="Arial"/>
          <w:sz w:val="18"/>
          <w:szCs w:val="18"/>
          <w:color w:val="auto"/>
        </w:rPr>
      </w:pPr>
    </w:p>
    <w:p>
      <w:pPr>
        <w:jc w:val="both"/>
        <w:ind w:left="460" w:firstLine="881"/>
        <w:spacing w:after="0" w:line="253" w:lineRule="auto"/>
        <w:tabs>
          <w:tab w:leader="none" w:pos="1676" w:val="left"/>
        </w:tabs>
        <w:numPr>
          <w:ilvl w:val="1"/>
          <w:numId w:val="255"/>
        </w:numPr>
        <w:rPr>
          <w:rFonts w:ascii="Arial" w:cs="Arial" w:eastAsia="Arial" w:hAnsi="Arial"/>
          <w:sz w:val="18"/>
          <w:szCs w:val="18"/>
          <w:color w:val="auto"/>
        </w:rPr>
      </w:pPr>
      <w:r>
        <w:rPr>
          <w:rFonts w:ascii="Arial" w:cs="Arial" w:eastAsia="Arial" w:hAnsi="Arial"/>
          <w:sz w:val="18"/>
          <w:szCs w:val="18"/>
          <w:color w:val="auto"/>
        </w:rPr>
        <w:t>After the occurrence and during the continuance of any Event of Default (including the commencement and continuation of any proceeding under any Debtor Relief Law relating to any other Loan Party), the Administrative Agent is authorized and empowered (but without any obligation to so do), in its discretion, (A) in the name of any Guarantor, to collect and enforce, and to submit claims in respect of, Subordinated Obligations due to such Guarantor and to apply any amounts received thereon to the Guaranteed Obligations (including any and all Post Petition Interest), and (B) to require any Guarantor (1) to collect and enforce, and to submit claims in respect of, Subordinated Obligations due to such Guarantor and (2) to pay any amounts received on such obligations to the Administrative Agent for application to the Guaranteed Obligations (including any and all Post Petition Interest).</w:t>
      </w:r>
    </w:p>
    <w:p>
      <w:pPr>
        <w:spacing w:after="0" w:line="66" w:lineRule="exact"/>
        <w:rPr>
          <w:rFonts w:ascii="Arial" w:cs="Arial" w:eastAsia="Arial" w:hAnsi="Arial"/>
          <w:sz w:val="18"/>
          <w:szCs w:val="18"/>
          <w:color w:val="auto"/>
        </w:rPr>
      </w:pPr>
    </w:p>
    <w:p>
      <w:pPr>
        <w:ind w:left="460" w:firstLine="881"/>
        <w:spacing w:after="0" w:line="268" w:lineRule="auto"/>
        <w:tabs>
          <w:tab w:leader="none" w:pos="1587" w:val="left"/>
        </w:tabs>
        <w:numPr>
          <w:ilvl w:val="1"/>
          <w:numId w:val="255"/>
        </w:numPr>
        <w:rPr>
          <w:rFonts w:ascii="Arial" w:cs="Arial" w:eastAsia="Arial" w:hAnsi="Arial"/>
          <w:sz w:val="18"/>
          <w:szCs w:val="18"/>
          <w:color w:val="auto"/>
        </w:rPr>
      </w:pPr>
      <w:r>
        <w:rPr>
          <w:rFonts w:ascii="Arial" w:cs="Arial" w:eastAsia="Arial" w:hAnsi="Arial"/>
          <w:sz w:val="18"/>
          <w:szCs w:val="18"/>
          <w:color w:val="auto"/>
        </w:rPr>
        <w:t xml:space="preserve">In the event of any conflict between the provisions of this </w:t>
      </w:r>
      <w:r>
        <w:rPr>
          <w:rFonts w:ascii="Arial" w:cs="Arial" w:eastAsia="Arial" w:hAnsi="Arial"/>
          <w:sz w:val="18"/>
          <w:szCs w:val="18"/>
          <w:u w:val="single" w:color="auto"/>
          <w:color w:val="auto"/>
        </w:rPr>
        <w:t>Section 2.4(b)</w:t>
      </w:r>
      <w:r>
        <w:rPr>
          <w:rFonts w:ascii="Arial" w:cs="Arial" w:eastAsia="Arial" w:hAnsi="Arial"/>
          <w:sz w:val="18"/>
          <w:szCs w:val="18"/>
          <w:color w:val="auto"/>
        </w:rPr>
        <w:t xml:space="preserve"> and the provisions of Annex A of any Pledged Note (as defined in the Pledge Agreement), the provisions of such Annex A shall govern.</w:t>
      </w:r>
    </w:p>
    <w:p>
      <w:pPr>
        <w:spacing w:after="0" w:line="131" w:lineRule="exact"/>
        <w:rPr>
          <w:rFonts w:ascii="Arial" w:cs="Arial" w:eastAsia="Arial" w:hAnsi="Arial"/>
          <w:sz w:val="18"/>
          <w:szCs w:val="18"/>
          <w:color w:val="auto"/>
        </w:rPr>
      </w:pPr>
    </w:p>
    <w:p>
      <w:pPr>
        <w:jc w:val="both"/>
        <w:ind w:firstLine="921"/>
        <w:spacing w:after="0" w:line="294" w:lineRule="auto"/>
        <w:tabs>
          <w:tab w:leader="none" w:pos="1168" w:val="left"/>
        </w:tabs>
        <w:numPr>
          <w:ilvl w:val="0"/>
          <w:numId w:val="256"/>
        </w:numPr>
        <w:rPr>
          <w:rFonts w:ascii="Arial" w:cs="Arial" w:eastAsia="Arial" w:hAnsi="Arial"/>
          <w:sz w:val="16"/>
          <w:szCs w:val="16"/>
          <w:color w:val="auto"/>
        </w:rPr>
      </w:pPr>
      <w:r>
        <w:rPr>
          <w:rFonts w:ascii="Arial" w:cs="Arial" w:eastAsia="Arial" w:hAnsi="Arial"/>
          <w:sz w:val="16"/>
          <w:szCs w:val="16"/>
          <w:color w:val="auto"/>
        </w:rPr>
        <w:t xml:space="preserve">If any amount shall be paid to any Guarantor in violation of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at any time prior to the Termination Date, such amount shall be received and held in trust for the benefit of the Secured Parties, shall be segregated from other property and funds of such Guarantor and shall forthwith be paid or delivered to the Administrative Agent in the same form as so received (with any necessary endorsement or assignment) to be credited and applied to the Guaranteed Obligations and all other amounts payable under this Agreement, whether matured or unmatured, in accordance with the terms of the Loan Documents, or to be held as Collateral for any Guaranteed Obligations or other amounts payable under this Agreement thereafter arising.</w:t>
      </w:r>
    </w:p>
    <w:p>
      <w:pPr>
        <w:spacing w:after="0" w:line="115" w:lineRule="exact"/>
        <w:rPr>
          <w:rFonts w:ascii="Arial" w:cs="Arial" w:eastAsia="Arial" w:hAnsi="Arial"/>
          <w:sz w:val="16"/>
          <w:szCs w:val="16"/>
          <w:color w:val="auto"/>
        </w:rPr>
      </w:pPr>
    </w:p>
    <w:p>
      <w:pPr>
        <w:jc w:val="both"/>
        <w:ind w:firstLine="921"/>
        <w:spacing w:after="0" w:line="306" w:lineRule="auto"/>
        <w:tabs>
          <w:tab w:leader="none" w:pos="1168" w:val="left"/>
        </w:tabs>
        <w:numPr>
          <w:ilvl w:val="0"/>
          <w:numId w:val="256"/>
        </w:numPr>
        <w:rPr>
          <w:rFonts w:ascii="Arial" w:cs="Arial" w:eastAsia="Arial" w:hAnsi="Arial"/>
          <w:sz w:val="16"/>
          <w:szCs w:val="16"/>
          <w:color w:val="auto"/>
        </w:rPr>
      </w:pPr>
      <w:r>
        <w:rPr>
          <w:rFonts w:ascii="Arial" w:cs="Arial" w:eastAsia="Arial" w:hAnsi="Arial"/>
          <w:sz w:val="16"/>
          <w:szCs w:val="16"/>
          <w:color w:val="auto"/>
        </w:rPr>
        <w:t>If the Termination Date shall have occurred, the Administrative Agent will, at any Guarantor’s request and expense, execute and deliver to such Guarantor appropriate documents, without recourse and without representation or warranty, necessary to evidence the transfer by subrogation to such Guarantor of an interest in the Guaranteed Obligations resulting from such payment made by such Guarantor pursuant to this Agreement.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232" w:name="page233"/>
    <w:bookmarkEnd w:id="232"/>
    <w:p>
      <w:pPr>
        <w:jc w:val="both"/>
        <w:ind w:firstLine="456"/>
        <w:spacing w:after="0" w:line="29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2.5 Payments Free and Clear of Taxes, Etc. </w:t>
      </w:r>
      <w:r>
        <w:rPr>
          <w:rFonts w:ascii="Arial" w:cs="Arial" w:eastAsia="Arial" w:hAnsi="Arial"/>
          <w:sz w:val="16"/>
          <w:szCs w:val="16"/>
          <w:color w:val="auto"/>
        </w:rPr>
        <w:t>(a) Any and all payments made by any Guarantor under or in respect of this Agreement or any other Loan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Document shall be made, in accordance with Section 3.01 of the Credit Agreement, free and clear of and without reduction or withholding for any Indemnified Taxes or Other Taxes; provided that if any Guarantor shall be required by any Laws to deduct any Taxes (including Other Taxes) from such payments, then (i) the sum payable shall be increased as necessary so that after making all required deductions (including deductions applicable to additional sums payable under this </w:t>
      </w:r>
      <w:r>
        <w:rPr>
          <w:rFonts w:ascii="Arial" w:cs="Arial" w:eastAsia="Arial" w:hAnsi="Arial"/>
          <w:sz w:val="16"/>
          <w:szCs w:val="16"/>
          <w:u w:val="single" w:color="auto"/>
          <w:color w:val="auto"/>
        </w:rPr>
        <w:t>Section 2.5</w:t>
      </w:r>
      <w:r>
        <w:rPr>
          <w:rFonts w:ascii="Arial" w:cs="Arial" w:eastAsia="Arial" w:hAnsi="Arial"/>
          <w:sz w:val="16"/>
          <w:szCs w:val="16"/>
          <w:color w:val="auto"/>
        </w:rPr>
        <w:t>), each of the Administrative Agent, Lender or the L/C Issuer, as the case may be, receives an amount equal to the sum it would have received had no such deductions been made, (ii) such Guarantor shall make such deductions, and (iii) such Guarantor shall timely pay the full amount deducted to the relevant Governmental Authority in accordance with Law.</w:t>
      </w:r>
    </w:p>
    <w:p>
      <w:pPr>
        <w:spacing w:after="0" w:line="119" w:lineRule="exact"/>
        <w:rPr>
          <w:sz w:val="20"/>
          <w:szCs w:val="20"/>
          <w:color w:val="auto"/>
        </w:rPr>
      </w:pPr>
    </w:p>
    <w:p>
      <w:pPr>
        <w:jc w:val="both"/>
        <w:ind w:firstLine="921"/>
        <w:spacing w:after="0" w:line="306" w:lineRule="auto"/>
        <w:tabs>
          <w:tab w:leader="none" w:pos="1162" w:val="left"/>
        </w:tabs>
        <w:numPr>
          <w:ilvl w:val="0"/>
          <w:numId w:val="257"/>
        </w:numPr>
        <w:rPr>
          <w:rFonts w:ascii="Arial" w:cs="Arial" w:eastAsia="Arial" w:hAnsi="Arial"/>
          <w:sz w:val="16"/>
          <w:szCs w:val="16"/>
          <w:color w:val="auto"/>
        </w:rPr>
      </w:pPr>
      <w:r>
        <w:rPr>
          <w:rFonts w:ascii="Arial" w:cs="Arial" w:eastAsia="Arial" w:hAnsi="Arial"/>
          <w:sz w:val="16"/>
          <w:szCs w:val="16"/>
          <w:color w:val="auto"/>
        </w:rPr>
        <w:t>Without limiting the provisions of subsection (a) above, each Guarantor shall timely pay any Other Taxes that arise from any payment made by or on behalf of such Guarantor under or in respect of this Agreement or any other Loan Document or from the execution, delivery, performance, enforcement or registration of, or otherwise with respect to, this Agreement and the other Loan Documents to the relevant Governmental Authority in accordance with Law.</w:t>
      </w:r>
    </w:p>
    <w:p>
      <w:pPr>
        <w:spacing w:after="0" w:line="106" w:lineRule="exact"/>
        <w:rPr>
          <w:rFonts w:ascii="Arial" w:cs="Arial" w:eastAsia="Arial" w:hAnsi="Arial"/>
          <w:sz w:val="16"/>
          <w:szCs w:val="16"/>
          <w:color w:val="auto"/>
        </w:rPr>
      </w:pPr>
    </w:p>
    <w:p>
      <w:pPr>
        <w:jc w:val="both"/>
        <w:ind w:firstLine="921"/>
        <w:spacing w:after="0" w:line="291" w:lineRule="auto"/>
        <w:tabs>
          <w:tab w:leader="none" w:pos="1152" w:val="left"/>
        </w:tabs>
        <w:numPr>
          <w:ilvl w:val="0"/>
          <w:numId w:val="257"/>
        </w:numPr>
        <w:rPr>
          <w:rFonts w:ascii="Arial" w:cs="Arial" w:eastAsia="Arial" w:hAnsi="Arial"/>
          <w:sz w:val="16"/>
          <w:szCs w:val="16"/>
          <w:color w:val="auto"/>
        </w:rPr>
      </w:pPr>
      <w:r>
        <w:rPr>
          <w:rFonts w:ascii="Arial" w:cs="Arial" w:eastAsia="Arial" w:hAnsi="Arial"/>
          <w:sz w:val="16"/>
          <w:szCs w:val="16"/>
          <w:color w:val="auto"/>
        </w:rPr>
        <w:t xml:space="preserve">Each Guarantor shall indemnify the Administrative Agent, each Lender and the L/C Issuer, within (ten) 10 days after demand therefor, for the full amount of Indemnified Taxes or Other Taxes (including any Indemnified Taxes or Other Taxes imposed or asserted or attributable to amounts payable under this </w:t>
      </w:r>
      <w:r>
        <w:rPr>
          <w:rFonts w:ascii="Arial" w:cs="Arial" w:eastAsia="Arial" w:hAnsi="Arial"/>
          <w:sz w:val="16"/>
          <w:szCs w:val="16"/>
          <w:u w:val="single" w:color="auto"/>
          <w:color w:val="auto"/>
        </w:rPr>
        <w:t>Section 2.5</w:t>
      </w:r>
      <w:r>
        <w:rPr>
          <w:rFonts w:ascii="Arial" w:cs="Arial" w:eastAsia="Arial" w:hAnsi="Arial"/>
          <w:sz w:val="16"/>
          <w:szCs w:val="16"/>
          <w:color w:val="auto"/>
        </w:rPr>
        <w:t>) paid by the Administrative Agent, such Lender or L/C Issuer, as the case may be, and any penalties, interest and reasonable expenses arising therefrom or with respect thereto, whether or not such Indemnified Taxes or Other Taxes were correctly or legally imposed or asserted by the relevant Governmental Authority. A certificate certifying the amount of such payment or liability delivered to a Guarantor by a Lender or the L/C Issuer (with a copy to the Administrative Agent), or by the Administrative Agent on its own behalf or on behalf of a Lender or the L/C Issuer, shall be conclusive absent manifest error.</w:t>
      </w:r>
    </w:p>
    <w:p>
      <w:pPr>
        <w:spacing w:after="0" w:line="120" w:lineRule="exact"/>
        <w:rPr>
          <w:rFonts w:ascii="Arial" w:cs="Arial" w:eastAsia="Arial" w:hAnsi="Arial"/>
          <w:sz w:val="16"/>
          <w:szCs w:val="16"/>
          <w:color w:val="auto"/>
        </w:rPr>
      </w:pPr>
    </w:p>
    <w:p>
      <w:pPr>
        <w:jc w:val="both"/>
        <w:ind w:firstLine="921"/>
        <w:spacing w:after="0" w:line="306" w:lineRule="auto"/>
        <w:tabs>
          <w:tab w:leader="none" w:pos="1173" w:val="left"/>
        </w:tabs>
        <w:numPr>
          <w:ilvl w:val="0"/>
          <w:numId w:val="257"/>
        </w:numPr>
        <w:rPr>
          <w:rFonts w:ascii="Arial" w:cs="Arial" w:eastAsia="Arial" w:hAnsi="Arial"/>
          <w:sz w:val="16"/>
          <w:szCs w:val="16"/>
          <w:color w:val="auto"/>
        </w:rPr>
      </w:pPr>
      <w:r>
        <w:rPr>
          <w:rFonts w:ascii="Arial" w:cs="Arial" w:eastAsia="Arial" w:hAnsi="Arial"/>
          <w:sz w:val="16"/>
          <w:szCs w:val="16"/>
          <w:color w:val="auto"/>
        </w:rPr>
        <w:t>As soon as practicable after any payment of Indemnified Taxes or Other Taxes by any Guarantor to a Governmental Authority, such Guarantor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Guarantor hereby makes each representation and warranty made in the Loan Documents by the Borrower with respect to such Guarantor and each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Guarantor hereby further represents and warrants as follows:</w:t>
      </w:r>
    </w:p>
    <w:p>
      <w:pPr>
        <w:spacing w:after="0" w:line="159" w:lineRule="exact"/>
        <w:rPr>
          <w:sz w:val="20"/>
          <w:szCs w:val="20"/>
          <w:color w:val="auto"/>
        </w:rPr>
      </w:pPr>
    </w:p>
    <w:p>
      <w:pPr>
        <w:jc w:val="center"/>
        <w:ind w:right="440"/>
        <w:spacing w:after="0" w:line="447" w:lineRule="auto"/>
        <w:rPr>
          <w:sz w:val="20"/>
          <w:szCs w:val="20"/>
          <w:color w:val="auto"/>
        </w:rPr>
      </w:pPr>
      <w:r>
        <w:rPr>
          <w:rFonts w:ascii="Arial" w:cs="Arial" w:eastAsia="Arial" w:hAnsi="Arial"/>
          <w:sz w:val="18"/>
          <w:szCs w:val="18"/>
          <w:b w:val="1"/>
          <w:bCs w:val="1"/>
          <w:color w:val="auto"/>
        </w:rPr>
        <w:t xml:space="preserve">3.1 No Conditions Precedent. </w:t>
      </w:r>
      <w:r>
        <w:rPr>
          <w:rFonts w:ascii="Arial" w:cs="Arial" w:eastAsia="Arial" w:hAnsi="Arial"/>
          <w:sz w:val="18"/>
          <w:szCs w:val="18"/>
          <w:color w:val="auto"/>
        </w:rPr>
        <w:t>There are no conditions precedent to the effectiveness of this Agreement that have not been satisfied or waived.</w:t>
      </w:r>
      <w:r>
        <w:rPr>
          <w:rFonts w:ascii="Arial" w:cs="Arial" w:eastAsia="Arial" w:hAnsi="Arial"/>
          <w:sz w:val="18"/>
          <w:szCs w:val="18"/>
          <w:b w:val="1"/>
          <w:bCs w:val="1"/>
          <w:color w:val="auto"/>
        </w:rPr>
        <w:t xml:space="preserve"> </w:t>
      </w: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233" w:name="page234"/>
    <w:bookmarkEnd w:id="233"/>
    <w:p>
      <w:pPr>
        <w:jc w:val="both"/>
        <w:ind w:firstLine="456"/>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3.2 Independent Credit Analysis. </w:t>
      </w:r>
      <w:r>
        <w:rPr>
          <w:rFonts w:ascii="Arial" w:cs="Arial" w:eastAsia="Arial" w:hAnsi="Arial"/>
          <w:sz w:val="18"/>
          <w:szCs w:val="18"/>
          <w:color w:val="auto"/>
        </w:rPr>
        <w:t>Such Guarantor has, independently and without reliance upon any Secured Party and based on such documents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as it has deemed appropriate, made its own credit analysis and decision to enter into this Agreement and each other Loan Document to which it is or is to be a party, and such Guarantor has established adequate means of obtaining from each other Loan Party on a continuing basis information pertaining to, and is now and on a continuing basis will be completely familiar with, the business, condition (financial or otherwise), operations, performance, properties and prospects of such other Loan Party.</w:t>
      </w:r>
    </w:p>
    <w:p>
      <w:pPr>
        <w:spacing w:after="0" w:line="3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COVENANTS</w:t>
      </w:r>
    </w:p>
    <w:p>
      <w:pPr>
        <w:spacing w:after="0" w:line="159" w:lineRule="exact"/>
        <w:rPr>
          <w:sz w:val="20"/>
          <w:szCs w:val="20"/>
          <w:color w:val="auto"/>
        </w:rPr>
      </w:pPr>
    </w:p>
    <w:p>
      <w:pPr>
        <w:jc w:val="both"/>
        <w:ind w:firstLine="456"/>
        <w:spacing w:after="0" w:line="310" w:lineRule="auto"/>
        <w:rPr>
          <w:sz w:val="20"/>
          <w:szCs w:val="20"/>
          <w:color w:val="auto"/>
        </w:rPr>
      </w:pPr>
      <w:r>
        <w:rPr>
          <w:rFonts w:ascii="Arial" w:cs="Arial" w:eastAsia="Arial" w:hAnsi="Arial"/>
          <w:sz w:val="16"/>
          <w:szCs w:val="16"/>
          <w:b w:val="1"/>
          <w:bCs w:val="1"/>
          <w:color w:val="auto"/>
        </w:rPr>
        <w:t xml:space="preserve">4.1 Performance of Loan Documents. </w:t>
      </w:r>
      <w:r>
        <w:rPr>
          <w:rFonts w:ascii="Arial" w:cs="Arial" w:eastAsia="Arial" w:hAnsi="Arial"/>
          <w:sz w:val="16"/>
          <w:szCs w:val="16"/>
          <w:color w:val="auto"/>
        </w:rPr>
        <w:t>Each Guarantor covenants and agrees that until the Termination Date, such Guarantor will perform and observe,</w:t>
      </w:r>
      <w:r>
        <w:rPr>
          <w:rFonts w:ascii="Arial" w:cs="Arial" w:eastAsia="Arial" w:hAnsi="Arial"/>
          <w:sz w:val="16"/>
          <w:szCs w:val="16"/>
          <w:b w:val="1"/>
          <w:bCs w:val="1"/>
          <w:color w:val="auto"/>
        </w:rPr>
        <w:t xml:space="preserve"> </w:t>
      </w:r>
      <w:r>
        <w:rPr>
          <w:rFonts w:ascii="Arial" w:cs="Arial" w:eastAsia="Arial" w:hAnsi="Arial"/>
          <w:sz w:val="16"/>
          <w:szCs w:val="16"/>
          <w:color w:val="auto"/>
        </w:rPr>
        <w:t>and cause each of its Subsidiaries to perform and observe, all of the terms, covenants and agreements set forth in the Loan Documents on its or their part to be performed or observed or that the Borrower has agreed to cause such Guarantor or such Subsidiaries to perform or observe.</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 PROVISIONS</w:t>
      </w:r>
    </w:p>
    <w:p>
      <w:pPr>
        <w:spacing w:after="0" w:line="159" w:lineRule="exact"/>
        <w:rPr>
          <w:sz w:val="20"/>
          <w:szCs w:val="20"/>
          <w:color w:val="auto"/>
        </w:rPr>
      </w:pPr>
    </w:p>
    <w:p>
      <w:pPr>
        <w:jc w:val="both"/>
        <w:ind w:right="20" w:firstLine="456"/>
        <w:spacing w:after="0" w:line="275" w:lineRule="auto"/>
        <w:rPr>
          <w:sz w:val="20"/>
          <w:szCs w:val="20"/>
          <w:color w:val="auto"/>
        </w:rPr>
      </w:pPr>
      <w:r>
        <w:rPr>
          <w:rFonts w:ascii="Arial" w:cs="Arial" w:eastAsia="Arial" w:hAnsi="Arial"/>
          <w:sz w:val="18"/>
          <w:szCs w:val="18"/>
          <w:b w:val="1"/>
          <w:bCs w:val="1"/>
          <w:color w:val="auto"/>
        </w:rPr>
        <w:t xml:space="preserve">5.1 Loan Document. </w:t>
      </w:r>
      <w:r>
        <w:rPr>
          <w:rFonts w:ascii="Arial" w:cs="Arial" w:eastAsia="Arial" w:hAnsi="Arial"/>
          <w:sz w:val="18"/>
          <w:szCs w:val="18"/>
          <w:color w:val="auto"/>
        </w:rPr>
        <w:t>This Agreement is a Loan Document executed pursuant to the Credit Agreement and shall (unless otherwise expressly indicated</w:t>
      </w:r>
      <w:r>
        <w:rPr>
          <w:rFonts w:ascii="Arial" w:cs="Arial" w:eastAsia="Arial" w:hAnsi="Arial"/>
          <w:sz w:val="18"/>
          <w:szCs w:val="18"/>
          <w:b w:val="1"/>
          <w:bCs w:val="1"/>
          <w:color w:val="auto"/>
        </w:rPr>
        <w:t xml:space="preserve"> </w:t>
      </w:r>
      <w:r>
        <w:rPr>
          <w:rFonts w:ascii="Arial" w:cs="Arial" w:eastAsia="Arial" w:hAnsi="Arial"/>
          <w:sz w:val="18"/>
          <w:szCs w:val="18"/>
          <w:color w:val="auto"/>
        </w:rPr>
        <w:t>herein) be construed, administered and applied in accordance with the terms and provisions thereof.</w:t>
      </w:r>
    </w:p>
    <w:p>
      <w:pPr>
        <w:spacing w:after="0" w:line="120"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 xml:space="preserve">5.2 No Waiver; Remedies. </w:t>
      </w:r>
      <w:r>
        <w:rPr>
          <w:rFonts w:ascii="Arial" w:cs="Arial" w:eastAsia="Arial" w:hAnsi="Arial"/>
          <w:sz w:val="18"/>
          <w:szCs w:val="18"/>
          <w:color w:val="auto"/>
        </w:rPr>
        <w:t>No failure on the part of any Secured Party to exercise, and no delay in exercising, any right hereunder shall operate as a</w:t>
      </w:r>
      <w:r>
        <w:rPr>
          <w:rFonts w:ascii="Arial" w:cs="Arial" w:eastAsia="Arial" w:hAnsi="Arial"/>
          <w:sz w:val="18"/>
          <w:szCs w:val="18"/>
          <w:b w:val="1"/>
          <w:bCs w:val="1"/>
          <w:color w:val="auto"/>
        </w:rPr>
        <w:t xml:space="preserve"> </w:t>
      </w:r>
      <w:r>
        <w:rPr>
          <w:rFonts w:ascii="Arial" w:cs="Arial" w:eastAsia="Arial" w:hAnsi="Arial"/>
          <w:sz w:val="18"/>
          <w:szCs w:val="18"/>
          <w:color w:val="auto"/>
        </w:rPr>
        <w:t>waiver thereof; nor shall any single or partial exercise of any right hereunder preclude any other or further exercise thereof or the exercise of any other right. The remedies herein provided are cumulative and not exclusive of any remedies provided by the Law.</w:t>
      </w:r>
    </w:p>
    <w:p>
      <w:pPr>
        <w:spacing w:after="0" w:line="132"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b w:val="1"/>
          <w:bCs w:val="1"/>
          <w:color w:val="auto"/>
        </w:rPr>
        <w:t xml:space="preserve">5.3 Right of Setoff. </w:t>
      </w:r>
      <w:r>
        <w:rPr>
          <w:rFonts w:ascii="Arial" w:cs="Arial" w:eastAsia="Arial" w:hAnsi="Arial"/>
          <w:sz w:val="16"/>
          <w:szCs w:val="16"/>
          <w:color w:val="auto"/>
        </w:rPr>
        <w:t>If an Event of Default shall have occurred and be continuing, each Secured Party and each of their respective Affiliates is hereby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authorized at any time and from time to time, to the fullest extent permitted by applicable Law, to setoff and apply any and all deposits (general or special, time or demand, provisional or final) at any time held and other obligations (in whatever currency) at any time owing by, such Secured Party or any such Affiliate to or for the credit or the account of any Guarantor against any and all of the Obligations of such Guarantor now or hereafter existing under this Agreement or any other Loan Documents to such Secured Party, irrespective of whether or not such Secured Party shall have made any demand under this Agreement or any other Loan Document and although such Obligations of such Guarantor may be contingent or unmatured or are owed to a branch or office of such Secured Party different from the branch or office holding such deposit or obligated on such indebtedness. The rights of each Secured Party and their respective Affiliates under this Section are in addition to other rights and remedies (including other rights of setoff) that such Secured Party or their respective Affiliates may have. Each Secured Party agrees to notify such Guarantor and the Administrative Agent promptly after any such setoff and application; </w:t>
      </w:r>
      <w:r>
        <w:rPr>
          <w:rFonts w:ascii="Arial" w:cs="Arial" w:eastAsia="Arial" w:hAnsi="Arial"/>
          <w:sz w:val="16"/>
          <w:szCs w:val="16"/>
          <w:u w:val="single" w:color="auto"/>
          <w:color w:val="auto"/>
        </w:rPr>
        <w:t>provided</w:t>
      </w:r>
      <w:r>
        <w:rPr>
          <w:rFonts w:ascii="Arial" w:cs="Arial" w:eastAsia="Arial" w:hAnsi="Arial"/>
          <w:sz w:val="16"/>
          <w:szCs w:val="16"/>
          <w:color w:val="auto"/>
        </w:rPr>
        <w:t>, that the failure to give such notice shall not affect the validity of such setoff and application.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234" w:name="page235"/>
    <w:bookmarkEnd w:id="234"/>
    <w:p>
      <w:pPr>
        <w:jc w:val="both"/>
        <w:ind w:firstLine="456"/>
        <w:spacing w:after="0" w:line="28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5.4 Indemnification. </w:t>
      </w:r>
      <w:r>
        <w:rPr>
          <w:rFonts w:ascii="Arial" w:cs="Arial" w:eastAsia="Arial" w:hAnsi="Arial"/>
          <w:sz w:val="16"/>
          <w:szCs w:val="16"/>
          <w:color w:val="auto"/>
        </w:rPr>
        <w:t>(a) Without limitation on any other Obligations of any Guarantor or remedies of the Secured Parties under this Agreement, each</w:t>
      </w:r>
      <w:r>
        <w:rPr>
          <w:rFonts w:ascii="Arial" w:cs="Arial" w:eastAsia="Arial" w:hAnsi="Arial"/>
          <w:sz w:val="16"/>
          <w:szCs w:val="16"/>
          <w:b w:val="1"/>
          <w:bCs w:val="1"/>
          <w:color w:val="auto"/>
        </w:rPr>
        <w:t xml:space="preserve"> </w:t>
      </w:r>
      <w:r>
        <w:rPr>
          <w:rFonts w:ascii="Arial" w:cs="Arial" w:eastAsia="Arial" w:hAnsi="Arial"/>
          <w:sz w:val="16"/>
          <w:szCs w:val="16"/>
          <w:color w:val="auto"/>
        </w:rPr>
        <w:t>Guarantor shall indemnify the Administrative Agent (and any sub-agent thereof), each other Secured Party, and each Related Party of any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against, and hold each Indemnitee harmless from, any and all losses, claims, damages, liabilities and related expenses (including the reasonable fees, charges and disbursements of any counsel for any Indemnitee;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as long as no Default exists, the Guarantors shall engage and pay for defense counsel that is reasonably acceptable to the Administrative Agent in connection with claims brought by third parties and the other Secured Parties may engage separate counsel under such circumstances at their own expense (it being understood that upon the occurrence of an Event of Default, all counsel shall be at the cost and expense of Guarantors), incurred by any Indemnitee or asserted against any Indemnitee by any third party or by the Borrower or any other Loan Party arising out of, in connection with, or as a result of any failure of any Guaranteed Obligations to be the legal, valid and binding obligations of any Loan Party enforceable against such Loan Party in accordance with their terms;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(y) result from a claim brought by the Loan Party against an Indemnitee for breach in bad faith of such Indemnitee’s obligations hereunder or under any other Loan Document, if such other Loan Party has obtained a final and nonappealable judgment in its favor on such claim as determined by a court of competent jurisdiction.</w:t>
      </w:r>
    </w:p>
    <w:p>
      <w:pPr>
        <w:spacing w:after="0" w:line="127" w:lineRule="exact"/>
        <w:rPr>
          <w:sz w:val="20"/>
          <w:szCs w:val="20"/>
          <w:color w:val="auto"/>
        </w:rPr>
      </w:pPr>
    </w:p>
    <w:p>
      <w:pPr>
        <w:jc w:val="both"/>
        <w:ind w:firstLine="921"/>
        <w:spacing w:after="0" w:line="255" w:lineRule="auto"/>
        <w:tabs>
          <w:tab w:leader="none" w:pos="1166" w:val="left"/>
        </w:tabs>
        <w:numPr>
          <w:ilvl w:val="0"/>
          <w:numId w:val="258"/>
        </w:numPr>
        <w:rPr>
          <w:rFonts w:ascii="Arial" w:cs="Arial" w:eastAsia="Arial" w:hAnsi="Arial"/>
          <w:sz w:val="18"/>
          <w:szCs w:val="18"/>
          <w:color w:val="auto"/>
        </w:rPr>
      </w:pPr>
      <w:r>
        <w:rPr>
          <w:rFonts w:ascii="Arial" w:cs="Arial" w:eastAsia="Arial" w:hAnsi="Arial"/>
          <w:sz w:val="18"/>
          <w:szCs w:val="18"/>
          <w:color w:val="auto"/>
        </w:rPr>
        <w:t>Each Guarantor hereby also agrees that none of the Indemnitees shall have any liability (whether direct or indirect, in contract, tort or otherwise) to any of the Guarantors or any of their respective Affiliates, directors, officers, employees, counsel, agents and attorneys-in-fact, and each Guarantor hereby agrees not to assert any claim against any Indemnitee on any theory of liability, for special, indirect, consequential or punitive damages (as opposed to direct or actual damages) arising out of or otherwise relating to the Loans, the actual or proposed use of the proceeds of the Credit Extensions, the Loan Documents or any of the transactions contemplated by the Loan Documents.</w:t>
      </w:r>
    </w:p>
    <w:p>
      <w:pPr>
        <w:spacing w:after="0" w:line="142" w:lineRule="exact"/>
        <w:rPr>
          <w:rFonts w:ascii="Arial" w:cs="Arial" w:eastAsia="Arial" w:hAnsi="Arial"/>
          <w:sz w:val="18"/>
          <w:szCs w:val="18"/>
          <w:color w:val="auto"/>
        </w:rPr>
      </w:pPr>
    </w:p>
    <w:p>
      <w:pPr>
        <w:ind w:left="1160" w:hanging="239"/>
        <w:spacing w:after="0"/>
        <w:tabs>
          <w:tab w:leader="none" w:pos="11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 xml:space="preserve">All amounts due under this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shall be payable not later than ten Business Days after demand therefor.</w:t>
      </w:r>
    </w:p>
    <w:p>
      <w:pPr>
        <w:spacing w:after="0" w:line="171" w:lineRule="exact"/>
        <w:rPr>
          <w:rFonts w:ascii="Arial" w:cs="Arial" w:eastAsia="Arial" w:hAnsi="Arial"/>
          <w:sz w:val="18"/>
          <w:szCs w:val="18"/>
          <w:color w:val="auto"/>
        </w:rPr>
      </w:pPr>
    </w:p>
    <w:p>
      <w:pPr>
        <w:jc w:val="both"/>
        <w:ind w:firstLine="921"/>
        <w:spacing w:after="0" w:line="306" w:lineRule="auto"/>
        <w:tabs>
          <w:tab w:leader="none" w:pos="1163" w:val="left"/>
        </w:tabs>
        <w:numPr>
          <w:ilvl w:val="0"/>
          <w:numId w:val="258"/>
        </w:numPr>
        <w:rPr>
          <w:rFonts w:ascii="Arial" w:cs="Arial" w:eastAsia="Arial" w:hAnsi="Arial"/>
          <w:sz w:val="16"/>
          <w:szCs w:val="16"/>
          <w:color w:val="auto"/>
        </w:rPr>
      </w:pPr>
      <w:r>
        <w:rPr>
          <w:rFonts w:ascii="Arial" w:cs="Arial" w:eastAsia="Arial" w:hAnsi="Arial"/>
          <w:sz w:val="16"/>
          <w:szCs w:val="16"/>
          <w:color w:val="auto"/>
        </w:rPr>
        <w:t xml:space="preserve">Without prejudice to the survival of any of the other agreements of any Guarantor under this Agreement or any of the other Loan Documents, the agreements and obligations of each Guarantor contained in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(with respect to enforcement expenses), the last sentence of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shall survive the payment in full of the Guaranteed Obligations and all of the other amounts payable under this Agreement.</w:t>
      </w:r>
    </w:p>
    <w:p>
      <w:pPr>
        <w:spacing w:after="0" w:line="101"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 xml:space="preserve">5.5 Continuing Guaranty. </w:t>
      </w:r>
      <w:r>
        <w:rPr>
          <w:rFonts w:ascii="Arial" w:cs="Arial" w:eastAsia="Arial" w:hAnsi="Arial"/>
          <w:sz w:val="18"/>
          <w:szCs w:val="18"/>
          <w:color w:val="auto"/>
        </w:rPr>
        <w:t>This Agreement is a continuing agreement and shall: (a) remain in full force and effect until the Termination Date, (b) be</w:t>
      </w:r>
      <w:r>
        <w:rPr>
          <w:rFonts w:ascii="Arial" w:cs="Arial" w:eastAsia="Arial" w:hAnsi="Arial"/>
          <w:sz w:val="18"/>
          <w:szCs w:val="18"/>
          <w:b w:val="1"/>
          <w:bCs w:val="1"/>
          <w:color w:val="auto"/>
        </w:rPr>
        <w:t xml:space="preserve"> </w:t>
      </w:r>
      <w:r>
        <w:rPr>
          <w:rFonts w:ascii="Arial" w:cs="Arial" w:eastAsia="Arial" w:hAnsi="Arial"/>
          <w:sz w:val="18"/>
          <w:szCs w:val="18"/>
          <w:color w:val="auto"/>
        </w:rPr>
        <w:t>binding upon each Guarantor, its successors and assigns and (c) inure to the benefit of and be enforceable by the Secured Parties and their successors, transferees and assigns.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235" w:name="page236"/>
    <w:bookmarkEnd w:id="235"/>
    <w:p>
      <w:pPr>
        <w:jc w:val="both"/>
        <w:ind w:firstLine="456"/>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5.6 Amendments, etc.; Additional Guarantors; Successors and Assigns. </w:t>
      </w:r>
      <w:r>
        <w:rPr>
          <w:rFonts w:ascii="Arial" w:cs="Arial" w:eastAsia="Arial" w:hAnsi="Arial"/>
          <w:sz w:val="18"/>
          <w:szCs w:val="18"/>
          <w:color w:val="auto"/>
        </w:rPr>
        <w:t>(a) No amendment to or waiver of any provision of this Agreement nor consent</w:t>
      </w:r>
      <w:r>
        <w:rPr>
          <w:rFonts w:ascii="Arial" w:cs="Arial" w:eastAsia="Arial" w:hAnsi="Arial"/>
          <w:sz w:val="18"/>
          <w:szCs w:val="18"/>
          <w:b w:val="1"/>
          <w:bCs w:val="1"/>
          <w:color w:val="auto"/>
        </w:rPr>
        <w:t xml:space="preserve"> </w:t>
      </w:r>
      <w:r>
        <w:rPr>
          <w:rFonts w:ascii="Arial" w:cs="Arial" w:eastAsia="Arial" w:hAnsi="Arial"/>
          <w:sz w:val="18"/>
          <w:szCs w:val="18"/>
          <w:color w:val="auto"/>
        </w:rPr>
        <w:t>to any departure by any Guarantor herefrom, shall in any event be effective unless the same shall be in writing and signed by the Administrative Agent and, with respect to any such amendment, by the Guarantors, and then such waiver or consent shall be effective only in the specific instance and for the specific purpose for which given.</w:t>
      </w:r>
    </w:p>
    <w:p>
      <w:pPr>
        <w:spacing w:after="0" w:line="142" w:lineRule="exact"/>
        <w:rPr>
          <w:sz w:val="20"/>
          <w:szCs w:val="20"/>
          <w:color w:val="auto"/>
        </w:rPr>
      </w:pPr>
    </w:p>
    <w:p>
      <w:pPr>
        <w:jc w:val="both"/>
        <w:ind w:firstLine="921"/>
        <w:spacing w:after="0" w:line="259" w:lineRule="auto"/>
        <w:tabs>
          <w:tab w:leader="none" w:pos="1178" w:val="left"/>
        </w:tabs>
        <w:numPr>
          <w:ilvl w:val="0"/>
          <w:numId w:val="259"/>
        </w:numPr>
        <w:rPr>
          <w:rFonts w:ascii="Arial" w:cs="Arial" w:eastAsia="Arial" w:hAnsi="Arial"/>
          <w:sz w:val="18"/>
          <w:szCs w:val="18"/>
          <w:color w:val="auto"/>
        </w:rPr>
      </w:pPr>
      <w:r>
        <w:rPr>
          <w:rFonts w:ascii="Arial" w:cs="Arial" w:eastAsia="Arial" w:hAnsi="Arial"/>
          <w:sz w:val="18"/>
          <w:szCs w:val="18"/>
          <w:color w:val="auto"/>
        </w:rPr>
        <w:t>Upon the execution and delivery by any Person of a Joinder Agreement in substantially the form of Exhibit G to the Credit Agreement, such Person shall be referred to as an “</w:t>
      </w:r>
      <w:r>
        <w:rPr>
          <w:rFonts w:ascii="Arial" w:cs="Arial" w:eastAsia="Arial" w:hAnsi="Arial"/>
          <w:sz w:val="18"/>
          <w:szCs w:val="18"/>
          <w:u w:val="single" w:color="auto"/>
          <w:color w:val="auto"/>
        </w:rPr>
        <w:t>Additional Guarantor</w:t>
      </w:r>
      <w:r>
        <w:rPr>
          <w:rFonts w:ascii="Arial" w:cs="Arial" w:eastAsia="Arial" w:hAnsi="Arial"/>
          <w:sz w:val="18"/>
          <w:szCs w:val="18"/>
          <w:color w:val="auto"/>
        </w:rPr>
        <w:t>” and shall be and become a Guarantor, and each reference in this Agreement to “Guarantor” shall also mean and be a reference to such Additional Guarantor.</w:t>
      </w:r>
    </w:p>
    <w:p>
      <w:pPr>
        <w:spacing w:after="0" w:line="140" w:lineRule="exact"/>
        <w:rPr>
          <w:rFonts w:ascii="Arial" w:cs="Arial" w:eastAsia="Arial" w:hAnsi="Arial"/>
          <w:sz w:val="18"/>
          <w:szCs w:val="18"/>
          <w:color w:val="auto"/>
        </w:rPr>
      </w:pPr>
    </w:p>
    <w:p>
      <w:pPr>
        <w:jc w:val="both"/>
        <w:ind w:right="20" w:firstLine="921"/>
        <w:spacing w:after="0" w:line="259" w:lineRule="auto"/>
        <w:tabs>
          <w:tab w:leader="none" w:pos="1195" w:val="left"/>
        </w:tabs>
        <w:numPr>
          <w:ilvl w:val="0"/>
          <w:numId w:val="259"/>
        </w:numPr>
        <w:rPr>
          <w:rFonts w:ascii="Arial" w:cs="Arial" w:eastAsia="Arial" w:hAnsi="Arial"/>
          <w:sz w:val="18"/>
          <w:szCs w:val="18"/>
          <w:color w:val="auto"/>
        </w:rPr>
      </w:pPr>
      <w:r>
        <w:rPr>
          <w:rFonts w:ascii="Arial" w:cs="Arial" w:eastAsia="Arial" w:hAnsi="Arial"/>
          <w:sz w:val="18"/>
          <w:szCs w:val="18"/>
          <w:color w:val="auto"/>
        </w:rPr>
        <w:t xml:space="preserve">This Agreement shall be binding upon each Guarantor and its successors, transferees and assigns and shall inure to the benefit of the Administrative Agent and each other Secured Party and their respective successors, transferees and assigns;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Guarantor may assign its obligations hereunder without the prior written consent of the Administrative Agent.</w:t>
      </w:r>
    </w:p>
    <w:p>
      <w:pPr>
        <w:spacing w:after="0" w:line="134" w:lineRule="exact"/>
        <w:rPr>
          <w:sz w:val="20"/>
          <w:szCs w:val="20"/>
          <w:color w:val="auto"/>
        </w:rPr>
      </w:pPr>
    </w:p>
    <w:p>
      <w:pPr>
        <w:jc w:val="both"/>
        <w:ind w:firstLine="456"/>
        <w:spacing w:after="0" w:line="258" w:lineRule="auto"/>
        <w:rPr>
          <w:sz w:val="20"/>
          <w:szCs w:val="20"/>
          <w:color w:val="auto"/>
        </w:rPr>
      </w:pPr>
      <w:r>
        <w:rPr>
          <w:rFonts w:ascii="Arial" w:cs="Arial" w:eastAsia="Arial" w:hAnsi="Arial"/>
          <w:sz w:val="18"/>
          <w:szCs w:val="18"/>
          <w:b w:val="1"/>
          <w:bCs w:val="1"/>
          <w:color w:val="auto"/>
        </w:rPr>
        <w:t xml:space="preserve">5.7 Addresses for Notices. </w:t>
      </w:r>
      <w:r>
        <w:rPr>
          <w:rFonts w:ascii="Arial" w:cs="Arial" w:eastAsia="Arial" w:hAnsi="Arial"/>
          <w:sz w:val="18"/>
          <w:szCs w:val="18"/>
          <w:color w:val="auto"/>
        </w:rPr>
        <w:t>All notices and other communications provided for hereunder shall be in writing and mailed, delivered or transmitted by</w:t>
      </w:r>
      <w:r>
        <w:rPr>
          <w:rFonts w:ascii="Arial" w:cs="Arial" w:eastAsia="Arial" w:hAnsi="Arial"/>
          <w:sz w:val="18"/>
          <w:szCs w:val="18"/>
          <w:b w:val="1"/>
          <w:bCs w:val="1"/>
          <w:color w:val="auto"/>
        </w:rPr>
        <w:t xml:space="preserve"> </w:t>
      </w:r>
      <w:r>
        <w:rPr>
          <w:rFonts w:ascii="Arial" w:cs="Arial" w:eastAsia="Arial" w:hAnsi="Arial"/>
          <w:sz w:val="18"/>
          <w:szCs w:val="18"/>
          <w:color w:val="auto"/>
        </w:rPr>
        <w:t>telecopier to each party hereto at the address set forth in Section 10.02 of the Credit Agreement (with any notice to a Guarantor being delivered to such Guarantor in care of the Borrower). All such notices and other communications shall be deemed to be given or made at the times provided in Section 10.02 of the Credit Agreement.</w:t>
      </w:r>
    </w:p>
    <w:p>
      <w:pPr>
        <w:spacing w:after="0" w:line="136" w:lineRule="exact"/>
        <w:rPr>
          <w:sz w:val="20"/>
          <w:szCs w:val="20"/>
          <w:color w:val="auto"/>
        </w:rPr>
      </w:pPr>
    </w:p>
    <w:p>
      <w:pPr>
        <w:jc w:val="both"/>
        <w:ind w:firstLine="456"/>
        <w:spacing w:after="0" w:line="275" w:lineRule="auto"/>
        <w:rPr>
          <w:sz w:val="20"/>
          <w:szCs w:val="20"/>
          <w:color w:val="auto"/>
        </w:rPr>
      </w:pPr>
      <w:r>
        <w:rPr>
          <w:rFonts w:ascii="Arial" w:cs="Arial" w:eastAsia="Arial" w:hAnsi="Arial"/>
          <w:sz w:val="18"/>
          <w:szCs w:val="18"/>
          <w:b w:val="1"/>
          <w:bCs w:val="1"/>
          <w:color w:val="auto"/>
        </w:rPr>
        <w:t xml:space="preserve">5.8 Section Captions. </w:t>
      </w:r>
      <w:r>
        <w:rPr>
          <w:rFonts w:ascii="Arial" w:cs="Arial" w:eastAsia="Arial" w:hAnsi="Arial"/>
          <w:sz w:val="18"/>
          <w:szCs w:val="18"/>
          <w:color w:val="auto"/>
        </w:rPr>
        <w:t>Section captions used in this Agreement are for convenience of reference only, and shall not affect the construction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2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b w:val="1"/>
          <w:bCs w:val="1"/>
          <w:color w:val="auto"/>
        </w:rPr>
        <w:t xml:space="preserve">5.9 Severability. </w:t>
      </w:r>
      <w:r>
        <w:rPr>
          <w:rFonts w:ascii="Arial" w:cs="Arial" w:eastAsia="Arial" w:hAnsi="Arial"/>
          <w:sz w:val="18"/>
          <w:szCs w:val="18"/>
          <w:color w:val="auto"/>
        </w:rPr>
        <w:t>If any provision of this Agreement is held to be illegal, invalid or unenforceable, (a) the legality, validity and enforceability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remaining provisions of this Agreement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39" w:lineRule="exact"/>
        <w:rPr>
          <w:sz w:val="20"/>
          <w:szCs w:val="20"/>
          <w:color w:val="auto"/>
        </w:rPr>
      </w:pPr>
    </w:p>
    <w:p>
      <w:pPr>
        <w:jc w:val="both"/>
        <w:ind w:right="20" w:firstLine="456"/>
        <w:spacing w:after="0" w:line="275" w:lineRule="auto"/>
        <w:rPr>
          <w:sz w:val="20"/>
          <w:szCs w:val="20"/>
          <w:color w:val="auto"/>
        </w:rPr>
      </w:pPr>
      <w:r>
        <w:rPr>
          <w:rFonts w:ascii="Arial" w:cs="Arial" w:eastAsia="Arial" w:hAnsi="Arial"/>
          <w:sz w:val="18"/>
          <w:szCs w:val="18"/>
          <w:b w:val="1"/>
          <w:bCs w:val="1"/>
          <w:color w:val="auto"/>
        </w:rPr>
        <w:t xml:space="preserve">5.10 Counterparts. </w:t>
      </w:r>
      <w:r>
        <w:rPr>
          <w:rFonts w:ascii="Arial" w:cs="Arial" w:eastAsia="Arial" w:hAnsi="Arial"/>
          <w:sz w:val="18"/>
          <w:szCs w:val="18"/>
          <w:color w:val="auto"/>
        </w:rPr>
        <w:t>This Agreement may be executed in counterparts (and by different parties hereto in different counterparts), each of which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an original, but all of which when taken together shall constitute a single contract.</w:t>
      </w:r>
    </w:p>
    <w:p>
      <w:pPr>
        <w:spacing w:after="0" w:line="120" w:lineRule="exact"/>
        <w:rPr>
          <w:sz w:val="20"/>
          <w:szCs w:val="20"/>
          <w:color w:val="auto"/>
        </w:rPr>
      </w:pPr>
    </w:p>
    <w:p>
      <w:pPr>
        <w:jc w:val="both"/>
        <w:ind w:firstLine="456"/>
        <w:spacing w:after="0" w:line="275" w:lineRule="auto"/>
        <w:rPr>
          <w:sz w:val="20"/>
          <w:szCs w:val="20"/>
          <w:color w:val="auto"/>
        </w:rPr>
      </w:pPr>
      <w:r>
        <w:rPr>
          <w:rFonts w:ascii="Arial" w:cs="Arial" w:eastAsia="Arial" w:hAnsi="Arial"/>
          <w:sz w:val="18"/>
          <w:szCs w:val="18"/>
          <w:b w:val="1"/>
          <w:bCs w:val="1"/>
          <w:color w:val="auto"/>
        </w:rPr>
        <w:t>5.11 Governing Law, Etc. (a) THIS AGREEMENT SHALL BE GOVERNED BY AND CONSTRUED IN ACCORDANCE WITH THE LAWS OF THE STATE OF NEW YORK.</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236" w:name="page237"/>
    <w:bookmarkEnd w:id="236"/>
    <w:p>
      <w:pPr>
        <w:jc w:val="both"/>
        <w:ind w:firstLine="921"/>
        <w:spacing w:after="0" w:line="252" w:lineRule="auto"/>
        <w:tabs>
          <w:tab w:leader="none" w:pos="1212"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GUARANTOR IRREVOCABLY AND UNCONDITIONALLY SUBMITS, FOR ITSELF AND ITS PROPERTY, TO THE NONEXCLUSIVE JURISDICTION OF THE COURTS OF THE STATE OF NEW YORK SITTING IN NEW YORK COUNTY AND OF THE UNITED STATES DISTRICT COURT OF THE SOUTHERN DISTRICT OF NEW YORK, AND ANY APPELLATE COURT FROM ANY THEREOF, IN ANY ACTION OR PROCEEDING ARISING OUT OF OR RELATING TO THIS AGREEMENT OR ANY OTHER LOAN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OR ANY OTHER SECURED PARTY MAY OTHERWISE HAVE TO BRING ANY ACTION OR PROCEEDING RELATING TO THIS AGREEMENT OR ANY OTHER LOAN DOCUMENT AGAINST ANY GUARANTOR OR ITS PROPERTIES IN THE COURTS OF ANY JURISDICTION.</w:t>
      </w:r>
    </w:p>
    <w:p>
      <w:pPr>
        <w:spacing w:after="0" w:line="145" w:lineRule="exact"/>
        <w:rPr>
          <w:rFonts w:ascii="Arial" w:cs="Arial" w:eastAsia="Arial" w:hAnsi="Arial"/>
          <w:sz w:val="18"/>
          <w:szCs w:val="18"/>
          <w:b w:val="1"/>
          <w:bCs w:val="1"/>
          <w:color w:val="auto"/>
        </w:rPr>
      </w:pPr>
    </w:p>
    <w:p>
      <w:pPr>
        <w:jc w:val="both"/>
        <w:ind w:firstLine="921"/>
        <w:spacing w:after="0" w:line="255" w:lineRule="auto"/>
        <w:tabs>
          <w:tab w:leader="none" w:pos="1188"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EACH GUARANTOR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39" w:lineRule="exact"/>
        <w:rPr>
          <w:rFonts w:ascii="Arial" w:cs="Arial" w:eastAsia="Arial" w:hAnsi="Arial"/>
          <w:sz w:val="18"/>
          <w:szCs w:val="18"/>
          <w:b w:val="1"/>
          <w:bCs w:val="1"/>
          <w:color w:val="auto"/>
        </w:rPr>
      </w:pPr>
    </w:p>
    <w:p>
      <w:pPr>
        <w:jc w:val="both"/>
        <w:ind w:firstLine="921"/>
        <w:spacing w:after="0" w:line="262" w:lineRule="auto"/>
        <w:tabs>
          <w:tab w:leader="none" w:pos="1171"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EACH PARTY HERETO IRREVOCABLY CONSENTS TO SERVICE OF PROCESS IN THE MANNER PROVIDED FOR NOTICES IN </w:t>
      </w:r>
      <w:r>
        <w:rPr>
          <w:rFonts w:ascii="Arial" w:cs="Arial" w:eastAsia="Arial" w:hAnsi="Arial"/>
          <w:sz w:val="18"/>
          <w:szCs w:val="18"/>
          <w:b w:val="1"/>
          <w:bCs w:val="1"/>
          <w:u w:val="single" w:color="auto"/>
          <w:color w:val="auto"/>
        </w:rPr>
        <w:t>SECTION 5.7</w:t>
      </w:r>
      <w:r>
        <w:rPr>
          <w:rFonts w:ascii="Arial" w:cs="Arial" w:eastAsia="Arial" w:hAnsi="Arial"/>
          <w:sz w:val="18"/>
          <w:szCs w:val="18"/>
          <w:b w:val="1"/>
          <w:bCs w:val="1"/>
          <w:color w:val="auto"/>
        </w:rPr>
        <w:t>. NOTHING IN THIS AGREEMENT WILL AFFECT THE RIGHT OF ANY PARTY HERETO TO SERVE PROCESS IN ANY OTHER MANNER PERMITTED BY APPLICABLE LAW.</w:t>
      </w:r>
    </w:p>
    <w:p>
      <w:pPr>
        <w:spacing w:after="0" w:line="132" w:lineRule="exact"/>
        <w:rPr>
          <w:sz w:val="20"/>
          <w:szCs w:val="20"/>
          <w:color w:val="auto"/>
        </w:rPr>
      </w:pPr>
    </w:p>
    <w:p>
      <w:pPr>
        <w:jc w:val="both"/>
        <w:ind w:firstLine="456"/>
        <w:spacing w:after="0" w:line="285" w:lineRule="auto"/>
        <w:rPr>
          <w:sz w:val="20"/>
          <w:szCs w:val="20"/>
          <w:color w:val="auto"/>
        </w:rPr>
      </w:pPr>
      <w:r>
        <w:rPr>
          <w:rFonts w:ascii="Arial" w:cs="Arial" w:eastAsia="Arial" w:hAnsi="Arial"/>
          <w:sz w:val="16"/>
          <w:szCs w:val="16"/>
          <w:b w:val="1"/>
          <w:bCs w:val="1"/>
          <w:color w:val="auto"/>
        </w:rPr>
        <w:t>5.12 Right to Trial by Jury.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w:t>
      </w:r>
    </w:p>
    <w:p>
      <w:pPr>
        <w:spacing w:after="0" w:line="3" w:lineRule="exact"/>
        <w:rPr>
          <w:sz w:val="20"/>
          <w:szCs w:val="20"/>
          <w:color w:val="auto"/>
        </w:rPr>
      </w:pPr>
    </w:p>
    <w:p>
      <w:pPr>
        <w:ind w:left="5560" w:right="4960" w:hanging="5552"/>
        <w:spacing w:after="0" w:line="433" w:lineRule="auto"/>
        <w:tabs>
          <w:tab w:leader="none" w:pos="288"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CERTIFIES THAT NO REPRESENTATIVE, AGENT OR ATTORNEY OF ANY </w:t>
      </w: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237" w:name="page238"/>
    <w:bookmarkEnd w:id="237"/>
    <w:p>
      <w:pPr>
        <w:jc w:val="both"/>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36" w:lineRule="exact"/>
        <w:rPr>
          <w:sz w:val="20"/>
          <w:szCs w:val="20"/>
          <w:color w:val="auto"/>
        </w:rPr>
      </w:pPr>
    </w:p>
    <w:p>
      <w:pPr>
        <w:jc w:val="both"/>
        <w:ind w:firstLine="456"/>
        <w:spacing w:after="0" w:line="258" w:lineRule="auto"/>
        <w:rPr>
          <w:sz w:val="20"/>
          <w:szCs w:val="20"/>
          <w:color w:val="auto"/>
        </w:rPr>
      </w:pPr>
      <w:r>
        <w:rPr>
          <w:rFonts w:ascii="Arial" w:cs="Arial" w:eastAsia="Arial" w:hAnsi="Arial"/>
          <w:sz w:val="18"/>
          <w:szCs w:val="18"/>
          <w:b w:val="1"/>
          <w:bCs w:val="1"/>
          <w:color w:val="auto"/>
        </w:rPr>
        <w:t>5.13 Entire Agreement. THIS AGREEMENT AND THE OTHER LOAN DOCUMENTS REPRESENT THE FINAL AGREEMENT AMONG THE PARTIES AND MAY NOT BE CONTRADICTED BY EVIDENCE OF PRIOR, CONTEMPORANEOUS, OR SUBSEQUENT ORAL AGREEMENTS OF THE PARTIES OR BY PRIOR OR CONTEMPORANEONS WRITTEN AGREEMENTS. THERE ARE NO UNWRITTEN ORAL AGREEMENTS AMONG THE PARTIES.</w:t>
      </w:r>
    </w:p>
    <w:p>
      <w:pPr>
        <w:spacing w:after="0" w:line="136" w:lineRule="exact"/>
        <w:rPr>
          <w:sz w:val="20"/>
          <w:szCs w:val="20"/>
          <w:color w:val="auto"/>
        </w:rPr>
      </w:pPr>
    </w:p>
    <w:p>
      <w:pPr>
        <w:jc w:val="both"/>
        <w:ind w:firstLine="456"/>
        <w:spacing w:after="0" w:line="258" w:lineRule="auto"/>
        <w:rPr>
          <w:sz w:val="20"/>
          <w:szCs w:val="20"/>
          <w:color w:val="auto"/>
        </w:rPr>
      </w:pPr>
      <w:r>
        <w:rPr>
          <w:rFonts w:ascii="Arial" w:cs="Arial" w:eastAsia="Arial" w:hAnsi="Arial"/>
          <w:sz w:val="18"/>
          <w:szCs w:val="18"/>
          <w:b w:val="1"/>
          <w:bCs w:val="1"/>
          <w:color w:val="auto"/>
        </w:rPr>
        <w:t xml:space="preserve">5.14 Release of Guarantor. </w:t>
      </w:r>
      <w:r>
        <w:rPr>
          <w:rFonts w:ascii="Arial" w:cs="Arial" w:eastAsia="Arial" w:hAnsi="Arial"/>
          <w:sz w:val="18"/>
          <w:szCs w:val="18"/>
          <w:color w:val="auto"/>
        </w:rPr>
        <w:t>Upon any Disposition of all of the outstanding Equity Interests of any Guarantor (whether direct or indirect) permitted by</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7.05 of the Credit Agreement, the Administrative Agent will, pursuant to Section 9.10 of the Credit Agreement, at the Borrower’s expense and without any representations, warranties or recourse of any kind whatsoever, execute and deliver to the Borrower such documents as the Borrower shall reasonably request to evidence the release of such Guarantor from its obligations hereunder.</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5.15 Amendment and Restatement.</w:t>
      </w:r>
    </w:p>
    <w:p>
      <w:pPr>
        <w:spacing w:after="0" w:line="96" w:lineRule="exact"/>
        <w:rPr>
          <w:sz w:val="20"/>
          <w:szCs w:val="20"/>
          <w:color w:val="auto"/>
        </w:rPr>
      </w:pPr>
    </w:p>
    <w:p>
      <w:pPr>
        <w:jc w:val="both"/>
        <w:ind w:firstLine="921"/>
        <w:spacing w:after="0" w:line="255" w:lineRule="auto"/>
        <w:tabs>
          <w:tab w:leader="none" w:pos="1164"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Guarantors and the Administrative Agent on behalf of the Secured Parties hereby agree that upon the effectiveness of this Agreement, the terms and provisions of the Existing Guaranty Agreement which in any manner govern or evidence the obligations arising hereunder, the rights and interests of the Secured Parties and any terms, conditions or matters related to any thereof, shall be and hereby are amended and restated in their entirety by the terms, conditions and provisions of this Agreement, and the terms and provisions of the Existing Guaranty Agreement, except as otherwise expressly provided herein, shall be superseded by this Agreement.</w:t>
      </w:r>
    </w:p>
    <w:p>
      <w:pPr>
        <w:spacing w:after="0" w:line="142" w:lineRule="exact"/>
        <w:rPr>
          <w:rFonts w:ascii="Arial" w:cs="Arial" w:eastAsia="Arial" w:hAnsi="Arial"/>
          <w:sz w:val="18"/>
          <w:szCs w:val="18"/>
          <w:color w:val="auto"/>
        </w:rPr>
      </w:pPr>
    </w:p>
    <w:p>
      <w:pPr>
        <w:jc w:val="both"/>
        <w:ind w:firstLine="921"/>
        <w:spacing w:after="0" w:line="291" w:lineRule="auto"/>
        <w:tabs>
          <w:tab w:leader="none" w:pos="1163" w:val="left"/>
        </w:tabs>
        <w:numPr>
          <w:ilvl w:val="0"/>
          <w:numId w:val="262"/>
        </w:numPr>
        <w:rPr>
          <w:rFonts w:ascii="Arial" w:cs="Arial" w:eastAsia="Arial" w:hAnsi="Arial"/>
          <w:sz w:val="16"/>
          <w:szCs w:val="16"/>
          <w:color w:val="auto"/>
        </w:rPr>
      </w:pPr>
      <w:r>
        <w:rPr>
          <w:rFonts w:ascii="Arial" w:cs="Arial" w:eastAsia="Arial" w:hAnsi="Arial"/>
          <w:sz w:val="16"/>
          <w:szCs w:val="16"/>
          <w:color w:val="auto"/>
        </w:rPr>
        <w:t xml:space="preserve">Notwithstanding this amendment and restatement of the Existing Guaranty Agreement, including anything in this </w:t>
      </w:r>
      <w:r>
        <w:rPr>
          <w:rFonts w:ascii="Arial" w:cs="Arial" w:eastAsia="Arial" w:hAnsi="Arial"/>
          <w:sz w:val="16"/>
          <w:szCs w:val="16"/>
          <w:u w:val="single" w:color="auto"/>
          <w:color w:val="auto"/>
        </w:rPr>
        <w:t>Section 5.15</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Section 5.15(c)</w:t>
      </w:r>
      <w:r>
        <w:rPr>
          <w:rFonts w:ascii="Arial" w:cs="Arial" w:eastAsia="Arial" w:hAnsi="Arial"/>
          <w:sz w:val="16"/>
          <w:szCs w:val="16"/>
          <w:color w:val="auto"/>
        </w:rPr>
        <w:t xml:space="preserve"> below, (i) all of the indebtedness, liabilities and obligations owing by the Guarantors under the Existing Guaranty Agreement shall continue as obligations hereunder and thereunder and shall be and remain secured by this Agreement, (ii) the Existing Guaranty shall continue hereunder, and (iii) this Agreement is given as a substitution of, and not as a payment of the indebtedness, liabilities and obligations of the Guarantors under the Existing Guaranty Agreement and neither the execution and delivery of this Agreement nor the consummation of any other transaction contemplated hereunder is intended to constitute a novation of the Existing Guaranty Agreement or the Existing Guaranty created thereunder.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238" w:name="page239"/>
    <w:bookmarkEnd w:id="238"/>
    <w:p>
      <w:pPr>
        <w:ind w:firstLine="921"/>
        <w:spacing w:after="0" w:line="268" w:lineRule="auto"/>
        <w:tabs>
          <w:tab w:leader="none" w:pos="1179" w:val="left"/>
        </w:tabs>
        <w:numPr>
          <w:ilvl w:val="0"/>
          <w:numId w:val="2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Effective as of the Closing Date, the Administrative Agent, on behalf of the Secured Parties, hereby unconditionally releases the Excluded Subsidiary Guarantors from the Existing Guaranty.</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239" w:name="page240"/>
    <w:bookmarkEnd w:id="239"/>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each Guarantor has caused this Agreement to be duly executed and delivered by its officer thereunto duly authorized as of the date first above written.</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INTEGRA LIFESCIENCES HOLDINGS CORPORATION</w:t>
      </w:r>
      <w:r>
        <w:rPr>
          <w:rFonts w:ascii="Arial" w:cs="Arial" w:eastAsia="Arial" w:hAnsi="Arial"/>
          <w:sz w:val="16"/>
          <w:szCs w:val="16"/>
          <w:color w:val="auto"/>
        </w:rPr>
        <w:t>,</w:t>
      </w:r>
    </w:p>
    <w:p>
      <w:pPr>
        <w:spacing w:after="0" w:line="44"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a Delaware corporation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INTEGRA LIFESCIENCES CORPORATION</w:t>
      </w:r>
      <w:r>
        <w:rPr>
          <w:rFonts w:ascii="Arial" w:cs="Arial" w:eastAsia="Arial" w:hAnsi="Arial"/>
          <w:sz w:val="18"/>
          <w:szCs w:val="18"/>
          <w:color w:val="auto"/>
        </w:rPr>
        <w:t>,</w:t>
      </w:r>
    </w:p>
    <w:p>
      <w:pPr>
        <w:spacing w:after="0" w:line="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a Delaware corporation</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John B. Henneman, III</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6"/>
          <w:szCs w:val="16"/>
          <w:color w:val="auto"/>
        </w:rPr>
        <w:t>Title:</w:t>
        <w:tab/>
        <w:t>Executive Vice President, Finance and Administration</w:t>
      </w:r>
    </w:p>
    <w:p>
      <w:pPr>
        <w:spacing w:after="0" w:line="3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&amp; Chief Financial Officer</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ENDOSOLUTIONS, INC</w:t>
      </w:r>
      <w:r>
        <w:rPr>
          <w:rFonts w:ascii="Arial" w:cs="Arial" w:eastAsia="Arial" w:hAnsi="Arial"/>
          <w:sz w:val="18"/>
          <w:szCs w:val="18"/>
          <w:color w:val="auto"/>
        </w:rPr>
        <w:t>., a Delaware corporation</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INTEGRA LUXTEC, INC.</w:t>
      </w:r>
      <w:r>
        <w:rPr>
          <w:rFonts w:ascii="Arial" w:cs="Arial" w:eastAsia="Arial" w:hAnsi="Arial"/>
          <w:sz w:val="18"/>
          <w:szCs w:val="18"/>
          <w:color w:val="auto"/>
        </w:rPr>
        <w:t>, a Massachusetts corporation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INTEGRA NEUROSCIENCES (INTERNATIONAL), INC.</w:t>
      </w:r>
      <w:r>
        <w:rPr>
          <w:rFonts w:ascii="Arial" w:cs="Arial" w:eastAsia="Arial" w:hAnsi="Arial"/>
          <w:sz w:val="16"/>
          <w:szCs w:val="16"/>
          <w:color w:val="auto"/>
        </w:rPr>
        <w:t>,</w:t>
      </w:r>
    </w:p>
    <w:p>
      <w:pPr>
        <w:spacing w:after="0" w:line="32"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a Delaware corporation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INTEGRA RADIONICS, INC</w:t>
      </w:r>
      <w:r>
        <w:rPr>
          <w:rFonts w:ascii="Arial" w:cs="Arial" w:eastAsia="Arial" w:hAnsi="Arial"/>
          <w:sz w:val="18"/>
          <w:szCs w:val="18"/>
          <w:color w:val="auto"/>
        </w:rPr>
        <w:t>., a Delaware corporation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ISOTIS ORTHOBIOLOGICS, INC</w:t>
      </w:r>
      <w:r>
        <w:rPr>
          <w:rFonts w:ascii="Arial" w:cs="Arial" w:eastAsia="Arial" w:hAnsi="Arial"/>
          <w:sz w:val="18"/>
          <w:szCs w:val="18"/>
          <w:color w:val="auto"/>
        </w:rPr>
        <w:t>., a Washington</w:t>
      </w:r>
    </w:p>
    <w:p>
      <w:pPr>
        <w:spacing w:after="0" w:line="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corporation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 xml:space="preserve">J. JAMNER SURGICAL INSTRUMENTS, INC., </w:t>
      </w:r>
      <w:r>
        <w:rPr>
          <w:rFonts w:ascii="Arial" w:cs="Arial" w:eastAsia="Arial" w:hAnsi="Arial"/>
          <w:sz w:val="18"/>
          <w:szCs w:val="18"/>
          <w:color w:val="auto"/>
        </w:rPr>
        <w:t>a Delaware</w:t>
      </w:r>
    </w:p>
    <w:p>
      <w:pPr>
        <w:spacing w:after="0" w:line="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corporation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MILTEX, INC.</w:t>
      </w:r>
      <w:r>
        <w:rPr>
          <w:rFonts w:ascii="Arial" w:cs="Arial" w:eastAsia="Arial" w:hAnsi="Arial"/>
          <w:sz w:val="18"/>
          <w:szCs w:val="18"/>
          <w:color w:val="auto"/>
        </w:rPr>
        <w:t>, a Delaware corporation</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John B. Henneman, III</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Vice President and Treasurer</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MINNESOTA SCIENTIFIC, INC</w:t>
      </w:r>
      <w:r>
        <w:rPr>
          <w:rFonts w:ascii="Arial" w:cs="Arial" w:eastAsia="Arial" w:hAnsi="Arial"/>
          <w:sz w:val="16"/>
          <w:szCs w:val="16"/>
          <w:color w:val="auto"/>
        </w:rPr>
        <w:t>., a Minnesota corporation</w:t>
      </w: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John B. Henneman, III</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Vice President and Chief Financial Officer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Subsidiary Guaranty Agreement</w:t>
      </w:r>
    </w:p>
    <w:p>
      <w:pPr>
        <w:sectPr>
          <w:pgSz w:w="11900" w:h="16838" w:orient="portrait"/>
          <w:cols w:equalWidth="0" w:num="1">
            <w:col w:w="11420"/>
          </w:cols>
          <w:pgMar w:left="240" w:top="280" w:right="239" w:bottom="1440" w:gutter="0" w:footer="0" w:header="0"/>
        </w:sectPr>
      </w:pPr>
    </w:p>
    <w:bookmarkStart w:id="240" w:name="page241"/>
    <w:bookmarkEnd w:id="240"/>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THEKEN SPINE, LLC, </w:t>
      </w:r>
      <w:r>
        <w:rPr>
          <w:rFonts w:ascii="Arial" w:cs="Arial" w:eastAsia="Arial" w:hAnsi="Arial"/>
          <w:sz w:val="16"/>
          <w:szCs w:val="16"/>
          <w:color w:val="auto"/>
        </w:rPr>
        <w:t>an Ohio limited liability company</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b w:val="1"/>
          <w:bCs w:val="1"/>
          <w:color w:val="auto"/>
        </w:rPr>
        <w:t>INTEGRA LIFESCIENCES CORPORATION,</w:t>
      </w:r>
      <w:r>
        <w:rPr>
          <w:rFonts w:ascii="Arial" w:cs="Arial" w:eastAsia="Arial" w:hAnsi="Arial"/>
          <w:sz w:val="16"/>
          <w:szCs w:val="16"/>
          <w:color w:val="auto"/>
        </w:rPr>
        <w:t xml:space="preserve"> its sole</w:t>
      </w:r>
    </w:p>
    <w:p>
      <w:pPr>
        <w:spacing w:after="0" w:line="4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member</w:t>
      </w:r>
    </w:p>
    <w:p>
      <w:pPr>
        <w:spacing w:after="0" w:line="24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4002405</wp:posOffset>
            </wp:positionH>
            <wp:positionV relativeFrom="paragraph">
              <wp:posOffset>-5715</wp:posOffset>
            </wp:positionV>
            <wp:extent cx="248729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ind w:left="6000"/>
        <w:spacing w:after="0"/>
        <w:rPr>
          <w:sz w:val="20"/>
          <w:szCs w:val="20"/>
          <w:color w:val="auto"/>
        </w:rPr>
      </w:pPr>
      <w:r>
        <w:rPr>
          <w:rFonts w:ascii="Arial" w:cs="Arial" w:eastAsia="Arial" w:hAnsi="Arial"/>
          <w:sz w:val="18"/>
          <w:szCs w:val="18"/>
          <w:color w:val="auto"/>
        </w:rPr>
        <w:t>Name:  John B. Henneman, III</w:t>
      </w:r>
    </w:p>
    <w:p>
      <w:pPr>
        <w:spacing w:after="0" w:line="9"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Executive Vice President, Finance and</w:t>
      </w:r>
    </w:p>
    <w:p>
      <w:pPr>
        <w:spacing w:after="0" w:line="9"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Administration &amp; Chief Financial Officer</w:t>
      </w:r>
    </w:p>
    <w:p>
      <w:pPr>
        <w:spacing w:after="0" w:line="165"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Form of Subsidiary Guaranty Agreement</w:t>
      </w:r>
    </w:p>
    <w:p>
      <w:pPr>
        <w:sectPr>
          <w:pgSz w:w="11900" w:h="16838" w:orient="portrait"/>
          <w:cols w:equalWidth="0" w:num="1">
            <w:col w:w="10060"/>
          </w:cols>
          <w:pgMar w:left="1440" w:top="274" w:right="399" w:bottom="1440" w:gutter="0" w:footer="0" w:header="0"/>
        </w:sectPr>
      </w:pPr>
    </w:p>
    <w:bookmarkStart w:id="241" w:name="page242"/>
    <w:bookmarkEnd w:id="241"/>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ACKNOWLEDGED AND ACCEPTED</w:t>
      </w:r>
      <w:r>
        <w:rPr>
          <w:rFonts w:ascii="Arial" w:cs="Arial" w:eastAsia="Arial" w:hAnsi="Arial"/>
          <w:sz w:val="18"/>
          <w:szCs w:val="18"/>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AMERICA, N.A.,</w:t>
      </w:r>
    </w:p>
    <w:p>
      <w:pPr>
        <w:spacing w:after="0" w:line="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as Administrative Agent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jc w:val="right"/>
        <w:ind w:right="3059"/>
        <w:spacing w:after="0"/>
        <w:rPr>
          <w:sz w:val="20"/>
          <w:szCs w:val="20"/>
          <w:color w:val="auto"/>
        </w:rPr>
      </w:pPr>
      <w:r>
        <w:rPr>
          <w:rFonts w:ascii="Arial" w:cs="Arial" w:eastAsia="Arial" w:hAnsi="Arial"/>
          <w:sz w:val="18"/>
          <w:szCs w:val="18"/>
          <w:color w:val="auto"/>
        </w:rPr>
        <w:t>Form of Subsidiary Guaranty Agreement</w:t>
      </w:r>
    </w:p>
    <w:p>
      <w:pPr>
        <w:sectPr>
          <w:pgSz w:w="11900" w:h="16838" w:orient="portrait"/>
          <w:cols w:equalWidth="0" w:num="1">
            <w:col w:w="10219"/>
          </w:cols>
          <w:pgMar w:left="240" w:top="280" w:right="1440" w:bottom="1440" w:gutter="0" w:footer="0" w:header="0"/>
        </w:sectPr>
      </w:pPr>
    </w:p>
    <w:bookmarkStart w:id="242" w:name="page243"/>
    <w:bookmarkEnd w:id="242"/>
    <w:tbl>
      <w:tblPr>
        <w:tblLayout w:type="fixed"/>
        <w:tblInd w:w="460" w:type="dxa"/>
        <w:tblCellMar>
          <w:top w:w="0" w:type="dxa"/>
          <w:left w:w="0" w:type="dxa"/>
          <w:bottom w:w="0" w:type="dxa"/>
          <w:right w:w="0" w:type="dxa"/>
        </w:tblCellMar>
      </w:tblPr>
      <w:tr>
        <w:trPr>
          <w:trHeight w:val="222"/>
        </w:trPr>
        <w:tc>
          <w:tcPr>
            <w:tcW w:w="2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EXHIBIT G</w:t>
            </w:r>
          </w:p>
        </w:tc>
      </w:tr>
      <w:tr>
        <w:trPr>
          <w:trHeight w:val="378"/>
        </w:trPr>
        <w:tc>
          <w:tcPr>
            <w:tcW w:w="2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980" w:type="dxa"/>
            <w:vAlign w:val="bottom"/>
            <w:gridSpan w:val="2"/>
          </w:tcPr>
          <w:p>
            <w:pPr>
              <w:ind w:left="340"/>
              <w:spacing w:after="0"/>
              <w:rPr>
                <w:sz w:val="20"/>
                <w:szCs w:val="20"/>
                <w:color w:val="auto"/>
              </w:rPr>
            </w:pPr>
            <w:r>
              <w:rPr>
                <w:rFonts w:ascii="Arial" w:cs="Arial" w:eastAsia="Arial" w:hAnsi="Arial"/>
                <w:sz w:val="18"/>
                <w:szCs w:val="18"/>
                <w:b w:val="1"/>
                <w:bCs w:val="1"/>
                <w:color w:val="auto"/>
              </w:rPr>
              <w:t>FORM OF JOINDER AGREEMENT</w:t>
            </w: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40"/>
        </w:trPr>
        <w:tc>
          <w:tcPr>
            <w:tcW w:w="4960" w:type="dxa"/>
            <w:vAlign w:val="bottom"/>
            <w:gridSpan w:val="3"/>
          </w:tcPr>
          <w:p>
            <w:pPr>
              <w:spacing w:after="0"/>
              <w:rPr>
                <w:sz w:val="20"/>
                <w:szCs w:val="20"/>
                <w:color w:val="auto"/>
              </w:rPr>
            </w:pPr>
            <w:r>
              <w:rPr>
                <w:rFonts w:ascii="Arial" w:cs="Arial" w:eastAsia="Arial" w:hAnsi="Arial"/>
                <w:sz w:val="18"/>
                <w:szCs w:val="18"/>
                <w:color w:val="auto"/>
              </w:rPr>
              <w:t>This JOINDER AGREEMENT (this “Agreement”), dated as of</w:t>
            </w:r>
          </w:p>
        </w:tc>
        <w:tc>
          <w:tcPr>
            <w:tcW w:w="2500" w:type="dxa"/>
            <w:vAlign w:val="bottom"/>
          </w:tcPr>
          <w:p>
            <w:pPr>
              <w:ind w:left="480"/>
              <w:spacing w:after="0"/>
              <w:rPr>
                <w:sz w:val="20"/>
                <w:szCs w:val="20"/>
                <w:color w:val="auto"/>
              </w:rPr>
            </w:pPr>
            <w:r>
              <w:rPr>
                <w:rFonts w:ascii="Arial" w:cs="Arial" w:eastAsia="Arial" w:hAnsi="Arial"/>
                <w:sz w:val="18"/>
                <w:szCs w:val="18"/>
                <w:color w:val="auto"/>
              </w:rPr>
              <w:t>, is by and between</w:t>
            </w:r>
          </w:p>
        </w:tc>
        <w:tc>
          <w:tcPr>
            <w:tcW w:w="1500" w:type="dxa"/>
            <w:vAlign w:val="bottom"/>
          </w:tcPr>
          <w:p>
            <w:pPr>
              <w:ind w:left="660"/>
              <w:spacing w:after="0"/>
              <w:rPr>
                <w:sz w:val="20"/>
                <w:szCs w:val="20"/>
                <w:color w:val="auto"/>
              </w:rPr>
            </w:pPr>
            <w:r>
              <w:rPr>
                <w:rFonts w:ascii="Arial" w:cs="Arial" w:eastAsia="Arial" w:hAnsi="Arial"/>
                <w:sz w:val="18"/>
                <w:szCs w:val="18"/>
                <w:color w:val="auto"/>
              </w:rPr>
              <w:t>, a</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(the “Subsidiary”),</w:t>
            </w:r>
          </w:p>
        </w:tc>
      </w:tr>
      <w:tr>
        <w:trPr>
          <w:trHeight w:val="20"/>
        </w:trPr>
        <w:tc>
          <w:tcPr>
            <w:tcW w:w="27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both"/>
        <w:spacing w:after="0" w:line="298" w:lineRule="auto"/>
        <w:rPr>
          <w:sz w:val="20"/>
          <w:szCs w:val="20"/>
          <w:color w:val="auto"/>
        </w:rPr>
      </w:pPr>
      <w:r>
        <w:rPr>
          <w:rFonts w:ascii="Arial" w:cs="Arial" w:eastAsia="Arial" w:hAnsi="Arial"/>
          <w:sz w:val="16"/>
          <w:szCs w:val="16"/>
          <w:color w:val="auto"/>
        </w:rPr>
        <w:t>and Bank of America, N.A., in its capacity as Administrative Agent under that certain Second Amended and Restated Credit Agreement, dated as of June 8, 2011 (as amended, restated, extended, supplemented or otherwise modified in writing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Integra LifeSciences Holdings Corporation, a Delaware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the Lenders from time to time party thereto and Bank of America, N.A., as Administrative Agent, Swing Line Lender and L/C Issuer. Capitalized terms used but not defined herein shall have the meanings given to them in the Credit Agreement.</w:t>
      </w:r>
    </w:p>
    <w:p>
      <w:pPr>
        <w:spacing w:after="0" w:line="11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Borrower is required by Section 6.11 of the Credit Agreement to cause each Person that becomes a direct or indirect subsidiary of a Loan Party to execute and deliver a Joinder Agreement in the form hereof.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Accordingly, the applicable Subsidiary hereby agrees as follows with the Administrative Agent, for the benefit of the Lenders:</w:t>
      </w:r>
    </w:p>
    <w:p>
      <w:pPr>
        <w:spacing w:after="0" w:line="3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JOINDERS</w:t>
      </w:r>
    </w:p>
    <w:p>
      <w:pPr>
        <w:spacing w:after="0" w:line="159"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b w:val="1"/>
          <w:bCs w:val="1"/>
          <w:color w:val="auto"/>
        </w:rPr>
        <w:t>1.1 Subsidiary Guaranty</w:t>
      </w:r>
      <w:r>
        <w:rPr>
          <w:rFonts w:ascii="Arial" w:cs="Arial" w:eastAsia="Arial" w:hAnsi="Arial"/>
          <w:sz w:val="16"/>
          <w:szCs w:val="16"/>
          <w:color w:val="auto"/>
        </w:rPr>
        <w:t>. The Subsidiary hereby (a) acknowledges, agrees and confirms that, by its execution of this Agreement, the Subsidiary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to be a party to the Subsidiary Guaranty and a “Guarantor” (as such term is defined in the Subsidiary Guaranty) for all purposes of the Credit Agreement and the Subsidiary Guaranty, and shall have all of the obligations of a Guarantor thereunder as if it had executed the Subsidiary Guaranty, (b) jointly and severally together with the other Guarantors thereunder, guarantees to each Lender and the Administrative Agent, as provided in the Subsidiary Guaranty, the prompt payment and performance of the Guaranteed Obligations (as defined in the Subsidiary Guaranty) in full when due (whether at stated maturity, as a mandatory prepayment, by acceleration or otherwise) strictly in accordance with the terms thereof, and (c) makes each representation and warranty set forth in Article III of the Subsidiary Guaranty as to itself to the same extent as each other Guarantor thereunder and hereby agrees to be bound as a Guarantor by all of the terms and provisions of the Subsidiary Guaranty to the same extent as all other Guarantors thereunder.</w:t>
      </w:r>
    </w:p>
    <w:p>
      <w:pPr>
        <w:spacing w:after="0" w:line="112"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b w:val="1"/>
          <w:bCs w:val="1"/>
          <w:color w:val="auto"/>
        </w:rPr>
        <w:t>1.2. Security Agreement</w:t>
      </w:r>
      <w:r>
        <w:rPr>
          <w:rFonts w:ascii="Arial" w:cs="Arial" w:eastAsia="Arial" w:hAnsi="Arial"/>
          <w:sz w:val="18"/>
          <w:szCs w:val="18"/>
          <w:color w:val="auto"/>
        </w:rPr>
        <w:t>. The Subsidiary hereby (a) acknowledges, agrees and confirms that, by its execution of this Agreement, the Subsidiary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be a party to the Security Agreement, and a “Grantor” (as such term is defined in the Security Agreement) for all purposes of the Credit Agreement and the Security Agreement, and shall have all the obligations of a Grantor thereunder as if it had executed the Security Agreement, (b) assigns and pledges to the Administrative Agent for its benefit and the ratable benefit of the Secured Parties, and hereby grants to the Administrative Agent for its benefit and the ratable benefit of the Secured Parties, as collateral for the Secured Obligations (as such term is defined in the Security Agreement), a pledge and assignment of, and a security interest in, all of the right, title and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Joinder Agreement</w:t>
      </w:r>
    </w:p>
    <w:p>
      <w:pPr>
        <w:sectPr>
          <w:pgSz w:w="11900" w:h="16838" w:orient="portrait"/>
          <w:cols w:equalWidth="0" w:num="1">
            <w:col w:w="11420"/>
          </w:cols>
          <w:pgMar w:left="240" w:top="280" w:right="239" w:bottom="1440" w:gutter="0" w:footer="0" w:header="0"/>
        </w:sectPr>
      </w:pPr>
    </w:p>
    <w:bookmarkStart w:id="243" w:name="page244"/>
    <w:bookmarkEnd w:id="243"/>
    <w:p>
      <w:pPr>
        <w:jc w:val="both"/>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interest of the undersigned in and to its Collateral, whether now owned or hereafter acquired, subject to all of the terms and provisions of the Security Agreement, as if such Collateral of the undersigned had been subject to the Security Agreement on the date of its original execution, (c) attaches hereto supplements to Schedules I and II to the Security Agreement, and certifies that such supplements have been prepared by the Subsidiary in substantially the form of the Schedules to the Security Agreement and are accurate and complete as of the date first above written, and (d) makes each representation and warranty set forth in Article III of the Security Agreement as to itself and as to its Collateral to the same extent as each other Grantor and hereby agrees to be bound as a Grantor by all of the terms and provisions of the Security Agreement to the same extent as all other Grantors.</w:t>
      </w:r>
    </w:p>
    <w:p>
      <w:pPr>
        <w:spacing w:after="0" w:line="114"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b w:val="1"/>
          <w:bCs w:val="1"/>
          <w:color w:val="auto"/>
        </w:rPr>
        <w:t xml:space="preserve">1.3. Pledge Agreement. </w:t>
      </w:r>
      <w:r>
        <w:rPr>
          <w:rFonts w:ascii="Arial" w:cs="Arial" w:eastAsia="Arial" w:hAnsi="Arial"/>
          <w:sz w:val="16"/>
          <w:szCs w:val="16"/>
          <w:color w:val="auto"/>
        </w:rPr>
        <w:t>The Subsidiary hereby (a) acknowledges, agrees and confirms that, by its execution of this Agreement, the Subsidiary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to be a party to the Pledge Agreement, and a “Pledgor” (as such term is defined in the Pledge Agreement) for all purposes of the Pledge Agreement and shall have all the obligations of a Pledgor thereunder as if it had executed the Pledge Agreement, (b) assigns and pledges to the Administrative Agent for its benefit and the ratable benefit of the Secured Parties, and hereby grants to the Administrative Agent for its benefit and the ratable benefit of the Secured Parties, as collateral for the Secured Obligations (as such term is defined in the Pledge Agreement), a pledge and assignment of, and a security interest in, all of the right, title and interest of the undersigned in and to its Collateral, whether now owned or hereafter acquired, subject to all of the terms and provisions of the Pledge Agreement, as if such Collateral of the undersigned had been subject to the Pledge Agreement on the date of its original execution, (c) attaches hereto a supplement to Schedule I to the Pledge Agreement, and certifies that such supplement has been prepared by the Subsidiary in substantially the form of Schedule I to the Pledge Agreement and is accurate and complete as of the date first above written, and (d) makes each representation and warranty set forth in Article III of the Pledge Agreement as to itself and as to its Collateral to the same extent as each other Pledgor and hereby agrees to be bound as a Pledgor by all of the terms and provisions of the Pledge Agreement to the same extent as all other Pledgors.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Subsidiary hereby represents and warrants that:</w:t>
      </w:r>
    </w:p>
    <w:p>
      <w:pPr>
        <w:spacing w:after="0" w:line="171" w:lineRule="exact"/>
        <w:rPr>
          <w:sz w:val="20"/>
          <w:szCs w:val="20"/>
          <w:color w:val="auto"/>
        </w:rPr>
      </w:pPr>
    </w:p>
    <w:p>
      <w:pPr>
        <w:ind w:firstLine="464"/>
        <w:spacing w:after="0" w:line="268" w:lineRule="auto"/>
        <w:tabs>
          <w:tab w:leader="none" w:pos="727"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Subsidiary and constitutes a legal, valid and binding obligation of the Subsidiary, enforceable against the Subsidiary in accordance with its terms; and</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No Default has occurred and is continuing on the date hereof.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G-2</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Joinder Agreement</w:t>
      </w:r>
    </w:p>
    <w:p>
      <w:pPr>
        <w:sectPr>
          <w:pgSz w:w="11900" w:h="16838" w:orient="portrait"/>
          <w:cols w:equalWidth="0" w:num="1">
            <w:col w:w="11420"/>
          </w:cols>
          <w:pgMar w:left="240" w:top="280" w:right="239" w:bottom="1440" w:gutter="0" w:footer="0" w:header="0"/>
        </w:sectPr>
      </w:pPr>
    </w:p>
    <w:bookmarkStart w:id="244" w:name="page245"/>
    <w:bookmarkEnd w:id="24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EFFECTIVENESS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Agreement shall become effective on the date when the last of the following conditions shall have been satisfied:</w:t>
      </w:r>
    </w:p>
    <w:p>
      <w:pPr>
        <w:spacing w:after="0" w:line="171" w:lineRule="exact"/>
        <w:rPr>
          <w:sz w:val="20"/>
          <w:szCs w:val="20"/>
          <w:color w:val="auto"/>
        </w:rPr>
      </w:pPr>
    </w:p>
    <w:p>
      <w:pPr>
        <w:ind w:firstLine="464"/>
        <w:spacing w:after="0" w:line="268" w:lineRule="auto"/>
        <w:tabs>
          <w:tab w:leader="none" w:pos="725"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Administrative Agent shall have received the following (in each case in form and substance satisfactory to the Administrative Agent, in its reasonable discretion):</w:t>
      </w:r>
    </w:p>
    <w:p>
      <w:pPr>
        <w:spacing w:after="0" w:line="50" w:lineRule="exact"/>
        <w:rPr>
          <w:rFonts w:ascii="Arial" w:cs="Arial" w:eastAsia="Arial" w:hAnsi="Arial"/>
          <w:sz w:val="18"/>
          <w:szCs w:val="18"/>
          <w:color w:val="auto"/>
        </w:rPr>
      </w:pPr>
    </w:p>
    <w:p>
      <w:pPr>
        <w:ind w:left="1120" w:hanging="217"/>
        <w:spacing w:after="0"/>
        <w:tabs>
          <w:tab w:leader="none" w:pos="112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duly executed counterparts of this Agreement;</w:t>
      </w:r>
    </w:p>
    <w:p>
      <w:pPr>
        <w:spacing w:after="0" w:line="90" w:lineRule="exact"/>
        <w:rPr>
          <w:rFonts w:ascii="Arial" w:cs="Arial" w:eastAsia="Arial" w:hAnsi="Arial"/>
          <w:sz w:val="18"/>
          <w:szCs w:val="18"/>
          <w:color w:val="auto"/>
        </w:rPr>
      </w:pPr>
    </w:p>
    <w:p>
      <w:pPr>
        <w:jc w:val="both"/>
        <w:ind w:left="460" w:firstLine="443"/>
        <w:spacing w:after="0" w:line="306" w:lineRule="auto"/>
        <w:tabs>
          <w:tab w:leader="none" w:pos="1168" w:val="left"/>
        </w:tabs>
        <w:numPr>
          <w:ilvl w:val="1"/>
          <w:numId w:val="265"/>
        </w:numPr>
        <w:rPr>
          <w:rFonts w:ascii="Arial" w:cs="Arial" w:eastAsia="Arial" w:hAnsi="Arial"/>
          <w:sz w:val="16"/>
          <w:szCs w:val="16"/>
          <w:color w:val="auto"/>
        </w:rPr>
      </w:pPr>
      <w:r>
        <w:rPr>
          <w:rFonts w:ascii="Arial" w:cs="Arial" w:eastAsia="Arial" w:hAnsi="Arial"/>
          <w:sz w:val="16"/>
          <w:szCs w:val="16"/>
          <w:color w:val="auto"/>
        </w:rPr>
        <w:t>such certificates of resolutions or other action, incumbency certificates and/or other certificates of duly authorized officers of the Subsidiary as the Administrative Agent may reasonably require evidencing the identity, authority and capacity of each duly authorized officer authorized to act on behalf of the Subsidiary in connection with this Agreement and the other Loan Documents to which the Subsidiary is a party;</w:t>
      </w:r>
    </w:p>
    <w:p>
      <w:pPr>
        <w:spacing w:after="0" w:line="25" w:lineRule="exact"/>
        <w:rPr>
          <w:rFonts w:ascii="Arial" w:cs="Arial" w:eastAsia="Arial" w:hAnsi="Arial"/>
          <w:sz w:val="16"/>
          <w:szCs w:val="16"/>
          <w:color w:val="auto"/>
        </w:rPr>
      </w:pPr>
    </w:p>
    <w:p>
      <w:pPr>
        <w:jc w:val="both"/>
        <w:ind w:left="460" w:firstLine="443"/>
        <w:spacing w:after="0" w:line="255" w:lineRule="auto"/>
        <w:tabs>
          <w:tab w:leader="none" w:pos="1228" w:val="left"/>
        </w:tabs>
        <w:numPr>
          <w:ilvl w:val="1"/>
          <w:numId w:val="265"/>
        </w:numPr>
        <w:rPr>
          <w:rFonts w:ascii="Arial" w:cs="Arial" w:eastAsia="Arial" w:hAnsi="Arial"/>
          <w:sz w:val="18"/>
          <w:szCs w:val="18"/>
          <w:color w:val="auto"/>
        </w:rPr>
      </w:pPr>
      <w:r>
        <w:rPr>
          <w:rFonts w:ascii="Arial" w:cs="Arial" w:eastAsia="Arial" w:hAnsi="Arial"/>
          <w:sz w:val="18"/>
          <w:szCs w:val="18"/>
          <w:color w:val="auto"/>
        </w:rPr>
        <w:t>such documents and certifications as the Administrative Agent may reasonably require to evidence that the Subsidiary is duly organized or formed, validly existing, in good standing and qualified to engage in business in each jurisdiction where its ownership, lease or operation of properties or the conduct of its business requires such qualification, except to the extent that failure to do so could not reasonably be expected to have a Material Adverse Effect, including, certified copies of its Organization Documents, certificates of good standing and/or qualification to engage in business and tax clearance certificates;</w:t>
      </w:r>
    </w:p>
    <w:p>
      <w:pPr>
        <w:spacing w:after="0" w:line="61" w:lineRule="exact"/>
        <w:rPr>
          <w:rFonts w:ascii="Arial" w:cs="Arial" w:eastAsia="Arial" w:hAnsi="Arial"/>
          <w:sz w:val="18"/>
          <w:szCs w:val="18"/>
          <w:color w:val="auto"/>
        </w:rPr>
      </w:pPr>
    </w:p>
    <w:p>
      <w:pPr>
        <w:ind w:left="460" w:firstLine="443"/>
        <w:spacing w:after="0" w:line="332" w:lineRule="auto"/>
        <w:tabs>
          <w:tab w:leader="none" w:pos="1237" w:val="left"/>
        </w:tabs>
        <w:numPr>
          <w:ilvl w:val="1"/>
          <w:numId w:val="265"/>
        </w:numPr>
        <w:rPr>
          <w:rFonts w:ascii="Arial" w:cs="Arial" w:eastAsia="Arial" w:hAnsi="Arial"/>
          <w:sz w:val="16"/>
          <w:szCs w:val="16"/>
          <w:color w:val="auto"/>
        </w:rPr>
      </w:pPr>
      <w:r>
        <w:rPr>
          <w:rFonts w:ascii="Arial" w:cs="Arial" w:eastAsia="Arial" w:hAnsi="Arial"/>
          <w:sz w:val="16"/>
          <w:szCs w:val="16"/>
          <w:color w:val="auto"/>
        </w:rPr>
        <w:t>favorable opinions of counsel for the Subsidiary, addressed to the Administrative Agent and each Lender, reasonably acceptable to the Administrative Agent and including, among other things, opinions regarding the enforceability of the security interests created thereby;</w:t>
      </w:r>
    </w:p>
    <w:p>
      <w:pPr>
        <w:spacing w:after="0" w:line="4" w:lineRule="exact"/>
        <w:rPr>
          <w:rFonts w:ascii="Arial" w:cs="Arial" w:eastAsia="Arial" w:hAnsi="Arial"/>
          <w:sz w:val="16"/>
          <w:szCs w:val="16"/>
          <w:color w:val="auto"/>
        </w:rPr>
      </w:pPr>
    </w:p>
    <w:p>
      <w:pPr>
        <w:jc w:val="both"/>
        <w:ind w:left="460" w:firstLine="443"/>
        <w:spacing w:after="0" w:line="298" w:lineRule="auto"/>
        <w:tabs>
          <w:tab w:leader="none" w:pos="1163" w:val="left"/>
        </w:tabs>
        <w:numPr>
          <w:ilvl w:val="1"/>
          <w:numId w:val="265"/>
        </w:numPr>
        <w:rPr>
          <w:rFonts w:ascii="Arial" w:cs="Arial" w:eastAsia="Arial" w:hAnsi="Arial"/>
          <w:sz w:val="16"/>
          <w:szCs w:val="16"/>
          <w:color w:val="auto"/>
        </w:rPr>
      </w:pPr>
      <w:r>
        <w:rPr>
          <w:rFonts w:ascii="Arial" w:cs="Arial" w:eastAsia="Arial" w:hAnsi="Arial"/>
          <w:sz w:val="16"/>
          <w:szCs w:val="16"/>
          <w:color w:val="auto"/>
        </w:rPr>
        <w:t>a certificate of a duly authorized officer of the Subsidiary either (A) attaching copies of all consents, licenses and approvals of Governmental Authorities, shareholders and other Persons required in connection with the execution, delivery and performance by the Subsidiary and the validity against the Subsidiary of the Loan Documents to which it is a party (including the pledge of the Subsidiary’s Capital Stock) and such consents, licenses and approvals shall be in full force and effect, or (B) stating that no such consents, licenses or approvals are so required;</w:t>
      </w:r>
    </w:p>
    <w:p>
      <w:pPr>
        <w:spacing w:after="0" w:line="31" w:lineRule="exact"/>
        <w:rPr>
          <w:rFonts w:ascii="Arial" w:cs="Arial" w:eastAsia="Arial" w:hAnsi="Arial"/>
          <w:sz w:val="16"/>
          <w:szCs w:val="16"/>
          <w:color w:val="auto"/>
        </w:rPr>
      </w:pPr>
    </w:p>
    <w:p>
      <w:pPr>
        <w:ind w:left="1200" w:hanging="297"/>
        <w:spacing w:after="0"/>
        <w:tabs>
          <w:tab w:leader="none" w:pos="120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intentionally deleted;</w:t>
      </w:r>
    </w:p>
    <w:p>
      <w:pPr>
        <w:spacing w:after="0" w:line="90" w:lineRule="exact"/>
        <w:rPr>
          <w:rFonts w:ascii="Arial" w:cs="Arial" w:eastAsia="Arial" w:hAnsi="Arial"/>
          <w:sz w:val="18"/>
          <w:szCs w:val="18"/>
          <w:color w:val="auto"/>
        </w:rPr>
      </w:pPr>
    </w:p>
    <w:p>
      <w:pPr>
        <w:jc w:val="both"/>
        <w:ind w:left="460" w:firstLine="443"/>
        <w:spacing w:after="0" w:line="259" w:lineRule="auto"/>
        <w:tabs>
          <w:tab w:leader="none" w:pos="1263" w:val="left"/>
        </w:tabs>
        <w:numPr>
          <w:ilvl w:val="1"/>
          <w:numId w:val="265"/>
        </w:numPr>
        <w:rPr>
          <w:rFonts w:ascii="Arial" w:cs="Arial" w:eastAsia="Arial" w:hAnsi="Arial"/>
          <w:sz w:val="18"/>
          <w:szCs w:val="18"/>
          <w:color w:val="auto"/>
        </w:rPr>
      </w:pPr>
      <w:r>
        <w:rPr>
          <w:rFonts w:ascii="Arial" w:cs="Arial" w:eastAsia="Arial" w:hAnsi="Arial"/>
          <w:sz w:val="18"/>
          <w:szCs w:val="18"/>
          <w:color w:val="auto"/>
        </w:rPr>
        <w:t>original certificates evidencing all of the issued and outstanding shares of Capital Stock or other equity or other ownership interests, if any, required to be pledged by the Subsidiary pursuant to the terms of the Pledge Agreement, which certificates shall be accompanied by undated stock powers duly executed in blank by each relevant pledgor in favor of the Administrative Agent;</w:t>
      </w:r>
    </w:p>
    <w:p>
      <w:pPr>
        <w:spacing w:after="0" w:line="59" w:lineRule="exact"/>
        <w:rPr>
          <w:rFonts w:ascii="Arial" w:cs="Arial" w:eastAsia="Arial" w:hAnsi="Arial"/>
          <w:sz w:val="18"/>
          <w:szCs w:val="18"/>
          <w:color w:val="auto"/>
        </w:rPr>
      </w:pPr>
    </w:p>
    <w:p>
      <w:pPr>
        <w:ind w:left="460" w:right="20" w:firstLine="443"/>
        <w:spacing w:after="0" w:line="268" w:lineRule="auto"/>
        <w:tabs>
          <w:tab w:leader="none" w:pos="1296"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the original Intercompany Notes required to be pledged by the Subsidiary pursuant to the terms of the Pledge Agreement, if any, duly endorsed in blank by the Subsidiary in favor of the Administrative Agent;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Joinder Agreement</w:t>
      </w:r>
    </w:p>
    <w:p>
      <w:pPr>
        <w:sectPr>
          <w:pgSz w:w="11900" w:h="16838" w:orient="portrait"/>
          <w:cols w:equalWidth="0" w:num="1">
            <w:col w:w="11420"/>
          </w:cols>
          <w:pgMar w:left="240" w:top="274" w:right="239" w:bottom="1440" w:gutter="0" w:footer="0" w:header="0"/>
        </w:sectPr>
      </w:pPr>
    </w:p>
    <w:bookmarkStart w:id="245" w:name="page246"/>
    <w:bookmarkEnd w:id="245"/>
    <w:p>
      <w:pPr>
        <w:jc w:val="both"/>
        <w:ind w:left="460" w:firstLine="443"/>
        <w:spacing w:after="0" w:line="291" w:lineRule="auto"/>
        <w:tabs>
          <w:tab w:leader="none" w:pos="1208" w:val="left"/>
        </w:tabs>
        <w:numPr>
          <w:ilvl w:val="1"/>
          <w:numId w:val="26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certified copies of Uniform Commercial Code Requests for Information or Copies (Form UCC-11) or similar search reports certified by a party acceptable to the Administrative Agent, dated a date reasonably near (but prior to) the date hereof, listing all effective UCC financing statements, tax liens and judgment liens which name the Subsidiary as the debtor, and which are filed in the jurisdictions in which the Subsidiary is organized or has its principal place of business, together with copies of such financing statements (none of which (other than financing statements filed pursuant to the terms hereof in favor of the Administrative Agent, if such Form UCC-11 or search report, as the case may be, is current enough to list such financing statements) shall cover any of the Collateral) except to the extent permitted by Section 7.01 of the Credit Agreement;</w:t>
      </w:r>
    </w:p>
    <w:p>
      <w:pPr>
        <w:spacing w:after="0" w:line="39" w:lineRule="exact"/>
        <w:rPr>
          <w:rFonts w:ascii="Arial" w:cs="Arial" w:eastAsia="Arial" w:hAnsi="Arial"/>
          <w:sz w:val="16"/>
          <w:szCs w:val="16"/>
          <w:color w:val="auto"/>
        </w:rPr>
      </w:pPr>
    </w:p>
    <w:p>
      <w:pPr>
        <w:jc w:val="both"/>
        <w:ind w:left="460" w:firstLine="443"/>
        <w:spacing w:after="0" w:line="298" w:lineRule="auto"/>
        <w:tabs>
          <w:tab w:leader="none" w:pos="1180" w:val="left"/>
        </w:tabs>
        <w:numPr>
          <w:ilvl w:val="1"/>
          <w:numId w:val="266"/>
        </w:numPr>
        <w:rPr>
          <w:rFonts w:ascii="Arial" w:cs="Arial" w:eastAsia="Arial" w:hAnsi="Arial"/>
          <w:sz w:val="16"/>
          <w:szCs w:val="16"/>
          <w:color w:val="auto"/>
        </w:rPr>
      </w:pPr>
      <w:r>
        <w:rPr>
          <w:rFonts w:ascii="Arial" w:cs="Arial" w:eastAsia="Arial" w:hAnsi="Arial"/>
          <w:sz w:val="16"/>
          <w:szCs w:val="16"/>
          <w:color w:val="auto"/>
        </w:rPr>
        <w:t>acknowledgment copies of UCC financing statements (or delivery in proper form for filing) naming the Subsidiary as the debtor and the Administrative Agent as the secured party, and which such UCC financing statements have been filed, or have been delivered for filing under the UCC of all jurisdictions as may be necessary or, in the opinion of the Administrative Agent, desirable to perfect the first priority security interest (subject to Liens permitted by Section 7.01 of the Credit Agreement) of the Administrative Agent pursuant to the Security Agreement;</w:t>
      </w:r>
    </w:p>
    <w:p>
      <w:pPr>
        <w:spacing w:after="0" w:line="31" w:lineRule="exact"/>
        <w:rPr>
          <w:rFonts w:ascii="Arial" w:cs="Arial" w:eastAsia="Arial" w:hAnsi="Arial"/>
          <w:sz w:val="16"/>
          <w:szCs w:val="16"/>
          <w:color w:val="auto"/>
        </w:rPr>
      </w:pPr>
    </w:p>
    <w:p>
      <w:pPr>
        <w:jc w:val="both"/>
        <w:ind w:left="460" w:firstLine="443"/>
        <w:spacing w:after="0" w:line="306" w:lineRule="auto"/>
        <w:tabs>
          <w:tab w:leader="none" w:pos="1196" w:val="left"/>
        </w:tabs>
        <w:numPr>
          <w:ilvl w:val="1"/>
          <w:numId w:val="266"/>
        </w:numPr>
        <w:rPr>
          <w:rFonts w:ascii="Arial" w:cs="Arial" w:eastAsia="Arial" w:hAnsi="Arial"/>
          <w:sz w:val="16"/>
          <w:szCs w:val="16"/>
          <w:color w:val="auto"/>
        </w:rPr>
      </w:pPr>
      <w:r>
        <w:rPr>
          <w:rFonts w:ascii="Arial" w:cs="Arial" w:eastAsia="Arial" w:hAnsi="Arial"/>
          <w:sz w:val="16"/>
          <w:szCs w:val="16"/>
          <w:color w:val="auto"/>
        </w:rPr>
        <w:t>evidence that all other action that the Administrative Agent may deem necessary or desirable in order to perfect and protect the first priority liens and security interests created under the Collateral Documents (subject to the Liens permitted by Section 7.01 of the Credit Agreement) has been taken (including, without limitation, receipt of duly executed payoff letters and UCC-3 termination statements);</w:t>
      </w:r>
    </w:p>
    <w:p>
      <w:pPr>
        <w:spacing w:after="0" w:line="25" w:lineRule="exact"/>
        <w:rPr>
          <w:rFonts w:ascii="Arial" w:cs="Arial" w:eastAsia="Arial" w:hAnsi="Arial"/>
          <w:sz w:val="16"/>
          <w:szCs w:val="16"/>
          <w:color w:val="auto"/>
        </w:rPr>
      </w:pPr>
    </w:p>
    <w:p>
      <w:pPr>
        <w:ind w:left="1240" w:hanging="337"/>
        <w:spacing w:after="0"/>
        <w:tabs>
          <w:tab w:leader="none" w:pos="124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Certified copies of all Material Contracts of the Subsidiary</w:t>
      </w:r>
    </w:p>
    <w:p>
      <w:pPr>
        <w:spacing w:after="0" w:line="90" w:lineRule="exact"/>
        <w:rPr>
          <w:rFonts w:ascii="Arial" w:cs="Arial" w:eastAsia="Arial" w:hAnsi="Arial"/>
          <w:sz w:val="18"/>
          <w:szCs w:val="18"/>
          <w:color w:val="auto"/>
        </w:rPr>
      </w:pPr>
    </w:p>
    <w:p>
      <w:pPr>
        <w:ind w:left="460" w:firstLine="443"/>
        <w:spacing w:after="0" w:line="268" w:lineRule="auto"/>
        <w:tabs>
          <w:tab w:leader="none" w:pos="1298" w:val="left"/>
        </w:tabs>
        <w:numPr>
          <w:ilvl w:val="1"/>
          <w:numId w:val="266"/>
        </w:numPr>
        <w:rPr>
          <w:rFonts w:ascii="Arial" w:cs="Arial" w:eastAsia="Arial" w:hAnsi="Arial"/>
          <w:sz w:val="18"/>
          <w:szCs w:val="18"/>
          <w:color w:val="auto"/>
        </w:rPr>
      </w:pPr>
      <w:r>
        <w:rPr>
          <w:rFonts w:ascii="Arial" w:cs="Arial" w:eastAsia="Arial" w:hAnsi="Arial"/>
          <w:sz w:val="18"/>
          <w:szCs w:val="18"/>
          <w:color w:val="auto"/>
        </w:rPr>
        <w:t xml:space="preserve">evidence of appointment of Corporation Service Company as agent for service of process in accordance with </w:t>
      </w:r>
      <w:r>
        <w:rPr>
          <w:rFonts w:ascii="Arial" w:cs="Arial" w:eastAsia="Arial" w:hAnsi="Arial"/>
          <w:sz w:val="18"/>
          <w:szCs w:val="18"/>
          <w:u w:val="single" w:color="auto"/>
          <w:color w:val="auto"/>
        </w:rPr>
        <w:t>Section 5.12(b)</w:t>
      </w:r>
      <w:r>
        <w:rPr>
          <w:rFonts w:ascii="Arial" w:cs="Arial" w:eastAsia="Arial" w:hAnsi="Arial"/>
          <w:sz w:val="18"/>
          <w:szCs w:val="18"/>
          <w:color w:val="auto"/>
        </w:rPr>
        <w:t xml:space="preserve"> of the Subsidiary Guaranty; and</w:t>
      </w:r>
    </w:p>
    <w:p>
      <w:pPr>
        <w:spacing w:after="0" w:line="50" w:lineRule="exact"/>
        <w:rPr>
          <w:rFonts w:ascii="Arial" w:cs="Arial" w:eastAsia="Arial" w:hAnsi="Arial"/>
          <w:sz w:val="18"/>
          <w:szCs w:val="18"/>
          <w:color w:val="auto"/>
        </w:rPr>
      </w:pPr>
    </w:p>
    <w:p>
      <w:pPr>
        <w:ind w:left="460" w:firstLine="443"/>
        <w:spacing w:after="0" w:line="268" w:lineRule="auto"/>
        <w:tabs>
          <w:tab w:leader="none" w:pos="1301" w:val="left"/>
        </w:tabs>
        <w:numPr>
          <w:ilvl w:val="1"/>
          <w:numId w:val="266"/>
        </w:numPr>
        <w:rPr>
          <w:rFonts w:ascii="Arial" w:cs="Arial" w:eastAsia="Arial" w:hAnsi="Arial"/>
          <w:sz w:val="18"/>
          <w:szCs w:val="18"/>
          <w:color w:val="auto"/>
        </w:rPr>
      </w:pPr>
      <w:r>
        <w:rPr>
          <w:rFonts w:ascii="Arial" w:cs="Arial" w:eastAsia="Arial" w:hAnsi="Arial"/>
          <w:sz w:val="18"/>
          <w:szCs w:val="18"/>
          <w:color w:val="auto"/>
        </w:rPr>
        <w:t>such other assurances, certificates, documents, consents and waivers, estoppel certificates, or opinions as the Administrative Agent, the L/C Issuer or the Required Lenders reasonably may require.</w:t>
      </w:r>
    </w:p>
    <w:p>
      <w:pPr>
        <w:spacing w:after="0" w:line="131" w:lineRule="exact"/>
        <w:rPr>
          <w:rFonts w:ascii="Arial" w:cs="Arial" w:eastAsia="Arial" w:hAnsi="Arial"/>
          <w:sz w:val="18"/>
          <w:szCs w:val="18"/>
          <w:color w:val="auto"/>
        </w:rPr>
      </w:pPr>
    </w:p>
    <w:p>
      <w:pPr>
        <w:ind w:firstLine="464"/>
        <w:spacing w:after="0" w:line="332" w:lineRule="auto"/>
        <w:tabs>
          <w:tab w:leader="none" w:pos="707" w:val="left"/>
        </w:tabs>
        <w:numPr>
          <w:ilvl w:val="0"/>
          <w:numId w:val="267"/>
        </w:numPr>
        <w:rPr>
          <w:rFonts w:ascii="Arial" w:cs="Arial" w:eastAsia="Arial" w:hAnsi="Arial"/>
          <w:sz w:val="16"/>
          <w:szCs w:val="16"/>
          <w:color w:val="auto"/>
        </w:rPr>
      </w:pPr>
      <w:r>
        <w:rPr>
          <w:rFonts w:ascii="Arial" w:cs="Arial" w:eastAsia="Arial" w:hAnsi="Arial"/>
          <w:sz w:val="16"/>
          <w:szCs w:val="16"/>
          <w:color w:val="auto"/>
        </w:rPr>
        <w:t>No Default or Event of Default shall have occurred and be continuing at the time of the execution and delivery hereof or would occur immediately after giving effect to the execution and delivery of this Agreement and the performance by the Subsidiary of its obligations hereunder.</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159" w:lineRule="exact"/>
        <w:rPr>
          <w:sz w:val="20"/>
          <w:szCs w:val="20"/>
          <w:color w:val="auto"/>
        </w:rPr>
      </w:pPr>
    </w:p>
    <w:p>
      <w:pPr>
        <w:jc w:val="both"/>
        <w:ind w:firstLine="456"/>
        <w:spacing w:after="0" w:line="258" w:lineRule="auto"/>
        <w:rPr>
          <w:sz w:val="20"/>
          <w:szCs w:val="20"/>
          <w:color w:val="auto"/>
        </w:rPr>
      </w:pPr>
      <w:r>
        <w:rPr>
          <w:rFonts w:ascii="Arial" w:cs="Arial" w:eastAsia="Arial" w:hAnsi="Arial"/>
          <w:sz w:val="18"/>
          <w:szCs w:val="18"/>
          <w:b w:val="1"/>
          <w:bCs w:val="1"/>
          <w:color w:val="auto"/>
        </w:rPr>
        <w:t xml:space="preserve">4.1. Integration; Confirmation. </w:t>
      </w:r>
      <w:r>
        <w:rPr>
          <w:rFonts w:ascii="Arial" w:cs="Arial" w:eastAsia="Arial" w:hAnsi="Arial"/>
          <w:sz w:val="18"/>
          <w:szCs w:val="18"/>
          <w:color w:val="auto"/>
        </w:rPr>
        <w:t>On and after the date hereof, each of the Subsidiary Guaranty, the Security Agreement, the Pledge Agreement,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 Schedules thereto shall be supplemented as expressly set forth herein; all other terms and provisions of each of the Subsidiary Guaranty, the Security Agreement, the Pledge Agreement, the other Loan Documents and the respective Schedules thereto shall continue in full force and effect and unchanged and are hereby confirmed in all respects.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G-4</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Joinder Agreement</w:t>
      </w:r>
    </w:p>
    <w:p>
      <w:pPr>
        <w:sectPr>
          <w:pgSz w:w="11900" w:h="16838" w:orient="portrait"/>
          <w:cols w:equalWidth="0" w:num="1">
            <w:col w:w="11420"/>
          </w:cols>
          <w:pgMar w:left="240" w:top="280" w:right="239" w:bottom="1440" w:gutter="0" w:footer="0" w:header="0"/>
        </w:sectPr>
      </w:pPr>
    </w:p>
    <w:bookmarkStart w:id="246" w:name="page247"/>
    <w:bookmarkEnd w:id="246"/>
    <w:p>
      <w:pPr>
        <w:jc w:val="both"/>
        <w:ind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4.2. Loan Document. </w:t>
      </w:r>
      <w:r>
        <w:rPr>
          <w:rFonts w:ascii="Arial" w:cs="Arial" w:eastAsia="Arial" w:hAnsi="Arial"/>
          <w:sz w:val="18"/>
          <w:szCs w:val="18"/>
          <w:color w:val="auto"/>
        </w:rPr>
        <w:t>This Agreement is a Loan Document executed pursuant to the Credit Agreement and shall (unless otherwise expressly indicated</w:t>
      </w:r>
      <w:r>
        <w:rPr>
          <w:rFonts w:ascii="Arial" w:cs="Arial" w:eastAsia="Arial" w:hAnsi="Arial"/>
          <w:sz w:val="18"/>
          <w:szCs w:val="18"/>
          <w:b w:val="1"/>
          <w:bCs w:val="1"/>
          <w:color w:val="auto"/>
        </w:rPr>
        <w:t xml:space="preserve"> </w:t>
      </w:r>
      <w:r>
        <w:rPr>
          <w:rFonts w:ascii="Arial" w:cs="Arial" w:eastAsia="Arial" w:hAnsi="Arial"/>
          <w:sz w:val="18"/>
          <w:szCs w:val="18"/>
          <w:color w:val="auto"/>
        </w:rPr>
        <w:t>herein) be construed, administered and applied in accordance with the terms and provisions thereof.</w:t>
      </w:r>
    </w:p>
    <w:p>
      <w:pPr>
        <w:spacing w:after="0" w:line="120" w:lineRule="exact"/>
        <w:rPr>
          <w:sz w:val="20"/>
          <w:szCs w:val="20"/>
          <w:color w:val="auto"/>
        </w:rPr>
      </w:pPr>
    </w:p>
    <w:p>
      <w:pPr>
        <w:jc w:val="both"/>
        <w:ind w:firstLine="456"/>
        <w:spacing w:after="0" w:line="258" w:lineRule="auto"/>
        <w:rPr>
          <w:sz w:val="20"/>
          <w:szCs w:val="20"/>
          <w:color w:val="auto"/>
        </w:rPr>
      </w:pPr>
      <w:r>
        <w:rPr>
          <w:rFonts w:ascii="Arial" w:cs="Arial" w:eastAsia="Arial" w:hAnsi="Arial"/>
          <w:sz w:val="18"/>
          <w:szCs w:val="18"/>
          <w:b w:val="1"/>
          <w:bCs w:val="1"/>
          <w:color w:val="auto"/>
        </w:rPr>
        <w:t xml:space="preserve">4.3. Expenses. </w:t>
      </w:r>
      <w:r>
        <w:rPr>
          <w:rFonts w:ascii="Arial" w:cs="Arial" w:eastAsia="Arial" w:hAnsi="Arial"/>
          <w:sz w:val="18"/>
          <w:szCs w:val="18"/>
          <w:color w:val="auto"/>
        </w:rPr>
        <w:t>The Subsidiary agrees to pay (a) all reasonable out-of-pocket expenses of the Administrative Agent, including all reasonable fees, charges</w:t>
      </w:r>
      <w:r>
        <w:rPr>
          <w:rFonts w:ascii="Arial" w:cs="Arial" w:eastAsia="Arial" w:hAnsi="Arial"/>
          <w:sz w:val="18"/>
          <w:szCs w:val="18"/>
          <w:b w:val="1"/>
          <w:bCs w:val="1"/>
          <w:color w:val="auto"/>
        </w:rPr>
        <w:t xml:space="preserve"> </w:t>
      </w:r>
      <w:r>
        <w:rPr>
          <w:rFonts w:ascii="Arial" w:cs="Arial" w:eastAsia="Arial" w:hAnsi="Arial"/>
          <w:sz w:val="18"/>
          <w:szCs w:val="18"/>
          <w:color w:val="auto"/>
        </w:rPr>
        <w:t>and disbursements of counsel for the Administrative Agent, in connection with the preparation, execution and delivery of this Agreement or any document or agreement contemplated hereby and (b) all taxes which the Administrative Agent or any Secured Party may be required to pay by reason of the security interests granted in the Collateral (including any applicable transfer taxes).</w:t>
      </w:r>
    </w:p>
    <w:p>
      <w:pPr>
        <w:spacing w:after="0" w:line="136" w:lineRule="exact"/>
        <w:rPr>
          <w:sz w:val="20"/>
          <w:szCs w:val="20"/>
          <w:color w:val="auto"/>
        </w:rPr>
      </w:pPr>
    </w:p>
    <w:p>
      <w:pPr>
        <w:jc w:val="both"/>
        <w:ind w:firstLine="456"/>
        <w:spacing w:after="0" w:line="258" w:lineRule="auto"/>
        <w:rPr>
          <w:sz w:val="20"/>
          <w:szCs w:val="20"/>
          <w:color w:val="auto"/>
        </w:rPr>
      </w:pPr>
      <w:r>
        <w:rPr>
          <w:rFonts w:ascii="Arial" w:cs="Arial" w:eastAsia="Arial" w:hAnsi="Arial"/>
          <w:sz w:val="18"/>
          <w:szCs w:val="18"/>
          <w:b w:val="1"/>
          <w:bCs w:val="1"/>
          <w:color w:val="auto"/>
        </w:rPr>
        <w:t xml:space="preserve">4.4. Addresses for Notices. </w:t>
      </w:r>
      <w:r>
        <w:rPr>
          <w:rFonts w:ascii="Arial" w:cs="Arial" w:eastAsia="Arial" w:hAnsi="Arial"/>
          <w:sz w:val="18"/>
          <w:szCs w:val="18"/>
          <w:color w:val="auto"/>
        </w:rPr>
        <w:t>All notices and other communications provided for hereunder shall be in writing and mailed, delivered or transmitted by</w:t>
      </w:r>
      <w:r>
        <w:rPr>
          <w:rFonts w:ascii="Arial" w:cs="Arial" w:eastAsia="Arial" w:hAnsi="Arial"/>
          <w:sz w:val="18"/>
          <w:szCs w:val="18"/>
          <w:b w:val="1"/>
          <w:bCs w:val="1"/>
          <w:color w:val="auto"/>
        </w:rPr>
        <w:t xml:space="preserve"> </w:t>
      </w:r>
      <w:r>
        <w:rPr>
          <w:rFonts w:ascii="Arial" w:cs="Arial" w:eastAsia="Arial" w:hAnsi="Arial"/>
          <w:sz w:val="18"/>
          <w:szCs w:val="18"/>
          <w:color w:val="auto"/>
        </w:rPr>
        <w:t>telecopier to each party hereto at the address set forth in Section 10.02 of the Credit Agreement (with any notice to the Subsidiary being delivered to the Subsidiary in care of the Borrower). All such notices and other communications shall be deemed to be given or made at the times provided in Section 10.02 of the Credit Agreement.</w:t>
      </w:r>
    </w:p>
    <w:p>
      <w:pPr>
        <w:spacing w:after="0" w:line="136" w:lineRule="exact"/>
        <w:rPr>
          <w:sz w:val="20"/>
          <w:szCs w:val="20"/>
          <w:color w:val="auto"/>
        </w:rPr>
      </w:pPr>
    </w:p>
    <w:p>
      <w:pPr>
        <w:jc w:val="both"/>
        <w:ind w:firstLine="456"/>
        <w:spacing w:after="0" w:line="275" w:lineRule="auto"/>
        <w:rPr>
          <w:sz w:val="20"/>
          <w:szCs w:val="20"/>
          <w:color w:val="auto"/>
        </w:rPr>
      </w:pPr>
      <w:r>
        <w:rPr>
          <w:rFonts w:ascii="Arial" w:cs="Arial" w:eastAsia="Arial" w:hAnsi="Arial"/>
          <w:sz w:val="18"/>
          <w:szCs w:val="18"/>
          <w:b w:val="1"/>
          <w:bCs w:val="1"/>
          <w:color w:val="auto"/>
        </w:rPr>
        <w:t xml:space="preserve">4.5. Section Captions. </w:t>
      </w:r>
      <w:r>
        <w:rPr>
          <w:rFonts w:ascii="Arial" w:cs="Arial" w:eastAsia="Arial" w:hAnsi="Arial"/>
          <w:sz w:val="18"/>
          <w:szCs w:val="18"/>
          <w:color w:val="auto"/>
        </w:rPr>
        <w:t>Section captions used in this Agreement are for convenience of reference only, and shall not affect the construction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2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b w:val="1"/>
          <w:bCs w:val="1"/>
          <w:color w:val="auto"/>
        </w:rPr>
        <w:t xml:space="preserve">4.6. Severability. </w:t>
      </w:r>
      <w:r>
        <w:rPr>
          <w:rFonts w:ascii="Arial" w:cs="Arial" w:eastAsia="Arial" w:hAnsi="Arial"/>
          <w:sz w:val="18"/>
          <w:szCs w:val="18"/>
          <w:color w:val="auto"/>
        </w:rPr>
        <w:t>If any provision of this Agreement is held to be illegal, invalid or unenforceable, (a) the legality, validity and enforceability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remaining provisions of this Agreement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39" w:lineRule="exact"/>
        <w:rPr>
          <w:sz w:val="20"/>
          <w:szCs w:val="20"/>
          <w:color w:val="auto"/>
        </w:rPr>
      </w:pPr>
    </w:p>
    <w:p>
      <w:pPr>
        <w:jc w:val="both"/>
        <w:ind w:firstLine="456"/>
        <w:spacing w:after="0" w:line="275" w:lineRule="auto"/>
        <w:rPr>
          <w:sz w:val="20"/>
          <w:szCs w:val="20"/>
          <w:color w:val="auto"/>
        </w:rPr>
      </w:pPr>
      <w:r>
        <w:rPr>
          <w:rFonts w:ascii="Arial" w:cs="Arial" w:eastAsia="Arial" w:hAnsi="Arial"/>
          <w:sz w:val="18"/>
          <w:szCs w:val="18"/>
          <w:b w:val="1"/>
          <w:bCs w:val="1"/>
          <w:color w:val="auto"/>
        </w:rPr>
        <w:t xml:space="preserve">4.7. Counterparts. </w:t>
      </w:r>
      <w:r>
        <w:rPr>
          <w:rFonts w:ascii="Arial" w:cs="Arial" w:eastAsia="Arial" w:hAnsi="Arial"/>
          <w:sz w:val="18"/>
          <w:szCs w:val="18"/>
          <w:color w:val="auto"/>
        </w:rPr>
        <w:t>This Agreement may be executed in counterparts (and by different parties hereto in different counterparts), each of which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an original, but all of which when taken together shall constitute a single contract.</w:t>
      </w:r>
    </w:p>
    <w:p>
      <w:pPr>
        <w:spacing w:after="0" w:line="120" w:lineRule="exact"/>
        <w:rPr>
          <w:sz w:val="20"/>
          <w:szCs w:val="20"/>
          <w:color w:val="auto"/>
        </w:rPr>
      </w:pPr>
    </w:p>
    <w:p>
      <w:pPr>
        <w:jc w:val="both"/>
        <w:ind w:firstLine="456"/>
        <w:spacing w:after="0" w:line="275" w:lineRule="auto"/>
        <w:rPr>
          <w:sz w:val="20"/>
          <w:szCs w:val="20"/>
          <w:color w:val="auto"/>
        </w:rPr>
      </w:pPr>
      <w:r>
        <w:rPr>
          <w:rFonts w:ascii="Arial" w:cs="Arial" w:eastAsia="Arial" w:hAnsi="Arial"/>
          <w:sz w:val="18"/>
          <w:szCs w:val="18"/>
          <w:b w:val="1"/>
          <w:bCs w:val="1"/>
          <w:color w:val="auto"/>
        </w:rPr>
        <w:t xml:space="preserve">4.8. GOVERNING LAW. </w:t>
      </w:r>
      <w:r>
        <w:rPr>
          <w:rFonts w:ascii="Arial" w:cs="Arial" w:eastAsia="Arial" w:hAnsi="Arial"/>
          <w:sz w:val="18"/>
          <w:szCs w:val="18"/>
          <w:color w:val="auto"/>
        </w:rPr>
        <w:t>THIS AGREEMENT SHALL BE GOVERNED BY AND CONSTRUED IN ACCORDANCE WITH THE LAWS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STATE OF NEW YORK.</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G-5</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Joinder Agreement</w:t>
      </w:r>
    </w:p>
    <w:p>
      <w:pPr>
        <w:sectPr>
          <w:pgSz w:w="11900" w:h="16838" w:orient="portrait"/>
          <w:cols w:equalWidth="0" w:num="1">
            <w:col w:w="11420"/>
          </w:cols>
          <w:pgMar w:left="240" w:top="274" w:right="239" w:bottom="1440" w:gutter="0" w:footer="0" w:header="0"/>
        </w:sectPr>
      </w:pPr>
    </w:p>
    <w:bookmarkStart w:id="247" w:name="page248"/>
    <w:bookmarkEnd w:id="247"/>
    <w:p>
      <w:pPr>
        <w:ind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Subsidiary has caused this Agreement to be duly executed by its authorized officers, and the Administrative Agent, for the benefit of the Lenders, has caused the same to be accepted by its authorized officer, as of the day and year first above written.</w:t>
      </w:r>
    </w:p>
    <w:p>
      <w:pPr>
        <w:spacing w:after="0" w:line="12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[SUBSIDIARY]</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Acknowledged and accepted:</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BANK OF AMERICA, N.A.,</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Administrative Agent</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G-6</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Joinder Agreement</w:t>
      </w:r>
    </w:p>
    <w:p>
      <w:pPr>
        <w:sectPr>
          <w:pgSz w:w="11900" w:h="16838" w:orient="portrait"/>
          <w:cols w:equalWidth="0" w:num="1">
            <w:col w:w="11420"/>
          </w:cols>
          <w:pgMar w:left="240" w:top="280" w:right="239" w:bottom="1440" w:gutter="0" w:footer="0" w:header="0"/>
        </w:sectPr>
      </w:pPr>
    </w:p>
    <w:bookmarkStart w:id="248" w:name="page249"/>
    <w:bookmarkEnd w:id="248"/>
    <w:p>
      <w:pPr>
        <w:jc w:val="center"/>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[ATTACH SUPPLEMENTS TO SCHEDULES I AND II TO SECURITY AGREEMENT]</w:t>
      </w:r>
    </w:p>
    <w:p>
      <w:pPr>
        <w:sectPr>
          <w:pgSz w:w="11900" w:h="16838" w:orient="portrait"/>
          <w:cols w:equalWidth="0" w:num="1">
            <w:col w:w="9019"/>
          </w:cols>
          <w:pgMar w:left="1440" w:top="280" w:right="1440" w:bottom="1440" w:gutter="0" w:footer="0" w:header="0"/>
        </w:sectPr>
      </w:pP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G-7</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Form of Joinder Agreement</w:t>
      </w:r>
    </w:p>
    <w:p>
      <w:pPr>
        <w:sectPr>
          <w:pgSz w:w="11900" w:h="16838" w:orient="portrait"/>
          <w:cols w:equalWidth="0" w:num="1">
            <w:col w:w="9019"/>
          </w:cols>
          <w:pgMar w:left="1440" w:top="280" w:right="1440" w:bottom="1440" w:gutter="0" w:footer="0" w:header="0"/>
          <w:type w:val="continuous"/>
        </w:sectPr>
      </w:pPr>
    </w:p>
    <w:bookmarkStart w:id="249" w:name="page250"/>
    <w:bookmarkEnd w:id="249"/>
    <w:p>
      <w:pPr>
        <w:jc w:val="center"/>
        <w:ind w:right="-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 SUPPLEMENTS TO SCHEDULE I TO PLEDGE AGREEMENT]</w:t>
      </w:r>
    </w:p>
    <w:p>
      <w:pPr>
        <w:sectPr>
          <w:pgSz w:w="11900" w:h="16838" w:orient="portrait"/>
          <w:cols w:equalWidth="0" w:num="1">
            <w:col w:w="9019"/>
          </w:cols>
          <w:pgMar w:left="1440" w:top="28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G-8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Form of Joinder Agreement</w:t>
      </w:r>
    </w:p>
    <w:p>
      <w:pPr>
        <w:sectPr>
          <w:pgSz w:w="11900" w:h="16838" w:orient="portrait"/>
          <w:cols w:equalWidth="0" w:num="1">
            <w:col w:w="9019"/>
          </w:cols>
          <w:pgMar w:left="1440" w:top="280" w:right="1440" w:bottom="1440" w:gutter="0" w:footer="0" w:header="0"/>
          <w:type w:val="continuous"/>
        </w:sectPr>
      </w:pPr>
    </w:p>
    <w:bookmarkStart w:id="250" w:name="page251"/>
    <w:bookmarkEnd w:id="250"/>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H</w:t>
      </w:r>
    </w:p>
    <w:p>
      <w:pPr>
        <w:spacing w:after="0" w:line="165"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FORM OF OPINION</w:t>
      </w:r>
    </w:p>
    <w:p>
      <w:pPr>
        <w:spacing w:after="0" w:line="177" w:lineRule="exact"/>
        <w:rPr>
          <w:sz w:val="20"/>
          <w:szCs w:val="20"/>
          <w:color w:val="auto"/>
        </w:rPr>
      </w:pPr>
    </w:p>
    <w:p>
      <w:pPr>
        <w:ind w:left="2680"/>
        <w:spacing w:after="0"/>
        <w:rPr>
          <w:sz w:val="20"/>
          <w:szCs w:val="20"/>
          <w:color w:val="auto"/>
        </w:rPr>
      </w:pPr>
      <w:r>
        <w:rPr>
          <w:rFonts w:ascii="Arial" w:cs="Arial" w:eastAsia="Arial" w:hAnsi="Arial"/>
          <w:sz w:val="18"/>
          <w:szCs w:val="18"/>
          <w:i w:val="1"/>
          <w:iCs w:val="1"/>
          <w:color w:val="auto"/>
        </w:rPr>
        <w:t>Opinions shall be in form and substance reasonably</w:t>
      </w:r>
    </w:p>
    <w:p>
      <w:pPr>
        <w:spacing w:after="0" w:line="15" w:lineRule="exact"/>
        <w:rPr>
          <w:sz w:val="20"/>
          <w:szCs w:val="20"/>
          <w:color w:val="auto"/>
        </w:rPr>
      </w:pPr>
    </w:p>
    <w:p>
      <w:pPr>
        <w:ind w:left="2240"/>
        <w:spacing w:after="0"/>
        <w:rPr>
          <w:sz w:val="20"/>
          <w:szCs w:val="20"/>
          <w:color w:val="auto"/>
        </w:rPr>
      </w:pPr>
      <w:r>
        <w:rPr>
          <w:rFonts w:ascii="Arial" w:cs="Arial" w:eastAsia="Arial" w:hAnsi="Arial"/>
          <w:sz w:val="18"/>
          <w:szCs w:val="18"/>
          <w:i w:val="1"/>
          <w:iCs w:val="1"/>
          <w:color w:val="auto"/>
        </w:rPr>
        <w:t>satisfactory to the Administrative Agent and the Secured Parties.</w:t>
      </w:r>
    </w:p>
    <w:p>
      <w:pPr>
        <w:spacing w:after="0" w:line="15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H-1</w:t>
      </w:r>
    </w:p>
    <w:p>
      <w:pPr>
        <w:spacing w:after="0" w:line="1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Form of Opinion</w:t>
      </w:r>
    </w:p>
    <w:p>
      <w:pPr>
        <w:sectPr>
          <w:pgSz w:w="11900" w:h="16838" w:orient="portrait"/>
          <w:cols w:equalWidth="0" w:num="1">
            <w:col w:w="10220"/>
          </w:cols>
          <w:pgMar w:left="1440" w:top="280" w:right="239" w:bottom="1440" w:gutter="0" w:footer="0" w:header="0"/>
        </w:sectPr>
      </w:pPr>
    </w:p>
    <w:bookmarkStart w:id="251" w:name="page252"/>
    <w:bookmarkEnd w:id="251"/>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PLEDGE AGREEMENT</w:t>
      </w:r>
    </w:p>
    <w:p>
      <w:pPr>
        <w:spacing w:after="0" w:line="159" w:lineRule="exact"/>
        <w:rPr>
          <w:sz w:val="20"/>
          <w:szCs w:val="20"/>
          <w:color w:val="auto"/>
        </w:rPr>
      </w:pPr>
    </w:p>
    <w:p>
      <w:pPr>
        <w:jc w:val="both"/>
        <w:ind w:firstLine="456"/>
        <w:spacing w:after="0" w:line="293"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b w:val="1"/>
          <w:bCs w:val="1"/>
          <w:color w:val="auto"/>
        </w:rPr>
        <w:t>AMENDED AND RESTATED PLEDGE AGREEMENT</w:t>
      </w:r>
      <w:r>
        <w:rPr>
          <w:rFonts w:ascii="Arial" w:cs="Arial" w:eastAsia="Arial" w:hAnsi="Arial"/>
          <w:sz w:val="16"/>
          <w:szCs w:val="16"/>
          <w:color w:val="auto"/>
        </w:rPr>
        <w:t>, dated as of August 10, 2010 (as amended, restated, amended and restated, supplemented or modified from time to time, this “</w:t>
      </w:r>
      <w:r>
        <w:rPr>
          <w:rFonts w:ascii="Arial" w:cs="Arial" w:eastAsia="Arial" w:hAnsi="Arial"/>
          <w:sz w:val="16"/>
          <w:szCs w:val="16"/>
          <w:u w:val="single" w:color="auto"/>
          <w:color w:val="auto"/>
        </w:rPr>
        <w:t>Agreement</w:t>
      </w:r>
      <w:r>
        <w:rPr>
          <w:rFonts w:ascii="Arial" w:cs="Arial" w:eastAsia="Arial" w:hAnsi="Arial"/>
          <w:sz w:val="16"/>
          <w:szCs w:val="16"/>
          <w:color w:val="auto"/>
        </w:rPr>
        <w:t xml:space="preserve">”), is made by </w:t>
      </w:r>
      <w:r>
        <w:rPr>
          <w:rFonts w:ascii="Arial" w:cs="Arial" w:eastAsia="Arial" w:hAnsi="Arial"/>
          <w:sz w:val="16"/>
          <w:szCs w:val="16"/>
          <w:b w:val="1"/>
          <w:bCs w:val="1"/>
          <w:color w:val="auto"/>
        </w:rPr>
        <w:t>INTEGRA LIFESCIENCES HOLDINGS CORPORATION</w:t>
      </w:r>
      <w:r>
        <w:rPr>
          <w:rFonts w:ascii="Arial" w:cs="Arial" w:eastAsia="Arial" w:hAnsi="Arial"/>
          <w:sz w:val="16"/>
          <w:szCs w:val="16"/>
          <w:color w:val="auto"/>
        </w:rPr>
        <w:t>, a Delaware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xml:space="preserve">”), and each of the other Persons (such capitalized term and all other capitalized terms not otherwise defined herein to have the meanings provided for in </w:t>
      </w:r>
      <w:r>
        <w:rPr>
          <w:rFonts w:ascii="Arial" w:cs="Arial" w:eastAsia="Arial" w:hAnsi="Arial"/>
          <w:sz w:val="16"/>
          <w:szCs w:val="16"/>
          <w:u w:val="single" w:color="auto"/>
          <w:color w:val="auto"/>
        </w:rPr>
        <w:t>Article I</w:t>
      </w:r>
      <w:r>
        <w:rPr>
          <w:rFonts w:ascii="Arial" w:cs="Arial" w:eastAsia="Arial" w:hAnsi="Arial"/>
          <w:sz w:val="16"/>
          <w:szCs w:val="16"/>
          <w:color w:val="auto"/>
        </w:rPr>
        <w:t xml:space="preserve">) listed on the signature pages hereof (such other Persons, together with the Additional Pledgors (as defined in </w:t>
      </w:r>
      <w:r>
        <w:rPr>
          <w:rFonts w:ascii="Arial" w:cs="Arial" w:eastAsia="Arial" w:hAnsi="Arial"/>
          <w:sz w:val="16"/>
          <w:szCs w:val="16"/>
          <w:u w:val="single" w:color="auto"/>
          <w:color w:val="auto"/>
        </w:rPr>
        <w:t>Section 7.2(b)</w:t>
      </w:r>
      <w:r>
        <w:rPr>
          <w:rFonts w:ascii="Arial" w:cs="Arial" w:eastAsia="Arial" w:hAnsi="Arial"/>
          <w:sz w:val="16"/>
          <w:szCs w:val="16"/>
          <w:color w:val="auto"/>
        </w:rPr>
        <w:t>), and the Borrower, are collectively referred to as the “</w:t>
      </w:r>
      <w:r>
        <w:rPr>
          <w:rFonts w:ascii="Arial" w:cs="Arial" w:eastAsia="Arial" w:hAnsi="Arial"/>
          <w:sz w:val="16"/>
          <w:szCs w:val="16"/>
          <w:u w:val="single" w:color="auto"/>
          <w:color w:val="auto"/>
        </w:rPr>
        <w:t>Pledgors</w:t>
      </w:r>
      <w:r>
        <w:rPr>
          <w:rFonts w:ascii="Arial" w:cs="Arial" w:eastAsia="Arial" w:hAnsi="Arial"/>
          <w:sz w:val="16"/>
          <w:szCs w:val="16"/>
          <w:color w:val="auto"/>
        </w:rPr>
        <w:t>” and individually as a “</w:t>
      </w:r>
      <w:r>
        <w:rPr>
          <w:rFonts w:ascii="Arial" w:cs="Arial" w:eastAsia="Arial" w:hAnsi="Arial"/>
          <w:sz w:val="16"/>
          <w:szCs w:val="16"/>
          <w:u w:val="single" w:color="auto"/>
          <w:color w:val="auto"/>
        </w:rPr>
        <w:t>Pledgor</w:t>
      </w:r>
      <w:r>
        <w:rPr>
          <w:rFonts w:ascii="Arial" w:cs="Arial" w:eastAsia="Arial" w:hAnsi="Arial"/>
          <w:sz w:val="16"/>
          <w:szCs w:val="16"/>
          <w:color w:val="auto"/>
        </w:rPr>
        <w:t xml:space="preserve">”), in favor of </w:t>
      </w:r>
      <w:r>
        <w:rPr>
          <w:rFonts w:ascii="Arial" w:cs="Arial" w:eastAsia="Arial" w:hAnsi="Arial"/>
          <w:sz w:val="16"/>
          <w:szCs w:val="16"/>
          <w:b w:val="1"/>
          <w:bCs w:val="1"/>
          <w:color w:val="auto"/>
        </w:rPr>
        <w:t>BANK OF AMERICA, N.A.</w:t>
      </w:r>
      <w:r>
        <w:rPr>
          <w:rFonts w:ascii="Arial" w:cs="Arial" w:eastAsia="Arial" w:hAnsi="Arial"/>
          <w:sz w:val="16"/>
          <w:szCs w:val="16"/>
          <w:color w:val="auto"/>
        </w:rPr>
        <w:t>, as administrative and collateral agent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for each of the Secured Parties.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171" w:lineRule="exact"/>
        <w:rPr>
          <w:sz w:val="20"/>
          <w:szCs w:val="20"/>
          <w:color w:val="auto"/>
        </w:rPr>
      </w:pPr>
    </w:p>
    <w:p>
      <w:pPr>
        <w:jc w:val="both"/>
        <w:ind w:firstLine="456"/>
        <w:spacing w:after="0" w:line="310"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Pledgors have entered into that certain Pledge Agreement dated as of December 22, 2005 (as amended, supplemented or modified from</w:t>
      </w:r>
      <w:r>
        <w:rPr>
          <w:rFonts w:ascii="Arial" w:cs="Arial" w:eastAsia="Arial" w:hAnsi="Arial"/>
          <w:sz w:val="16"/>
          <w:szCs w:val="16"/>
          <w:b w:val="1"/>
          <w:bCs w:val="1"/>
          <w:color w:val="auto"/>
        </w:rPr>
        <w:t xml:space="preserve"> </w:t>
      </w:r>
      <w:r>
        <w:rPr>
          <w:rFonts w:ascii="Arial" w:cs="Arial" w:eastAsia="Arial" w:hAnsi="Arial"/>
          <w:sz w:val="16"/>
          <w:szCs w:val="16"/>
          <w:color w:val="auto"/>
        </w:rPr>
        <w:t>time to time prior to the date hereof, the “</w:t>
      </w:r>
      <w:r>
        <w:rPr>
          <w:rFonts w:ascii="Arial" w:cs="Arial" w:eastAsia="Arial" w:hAnsi="Arial"/>
          <w:sz w:val="16"/>
          <w:szCs w:val="16"/>
          <w:u w:val="single" w:color="auto"/>
          <w:color w:val="auto"/>
        </w:rPr>
        <w:t>Existing Pledge Agreement</w:t>
      </w:r>
      <w:r>
        <w:rPr>
          <w:rFonts w:ascii="Arial" w:cs="Arial" w:eastAsia="Arial" w:hAnsi="Arial"/>
          <w:sz w:val="16"/>
          <w:szCs w:val="16"/>
          <w:color w:val="auto"/>
        </w:rPr>
        <w:t>”), pursuant to which the Pledgors granted to the Secured Parties a security interest (the “</w:t>
      </w:r>
      <w:r>
        <w:rPr>
          <w:rFonts w:ascii="Arial" w:cs="Arial" w:eastAsia="Arial" w:hAnsi="Arial"/>
          <w:sz w:val="16"/>
          <w:szCs w:val="16"/>
          <w:u w:val="single" w:color="auto"/>
          <w:color w:val="auto"/>
        </w:rPr>
        <w:t>Existing Security Interest</w:t>
      </w:r>
      <w:r>
        <w:rPr>
          <w:rFonts w:ascii="Arial" w:cs="Arial" w:eastAsia="Arial" w:hAnsi="Arial"/>
          <w:sz w:val="16"/>
          <w:szCs w:val="16"/>
          <w:color w:val="auto"/>
        </w:rPr>
        <w:t>”) in all right, title or interest in or to any and all of certain assets and properties of the Debtor as more specifically set forth therein; and</w:t>
      </w:r>
    </w:p>
    <w:p>
      <w:pPr>
        <w:spacing w:after="0" w:line="97" w:lineRule="exact"/>
        <w:rPr>
          <w:sz w:val="20"/>
          <w:szCs w:val="20"/>
          <w:color w:val="auto"/>
        </w:rPr>
      </w:pPr>
    </w:p>
    <w:p>
      <w:pPr>
        <w:jc w:val="both"/>
        <w:ind w:firstLine="456"/>
        <w:spacing w:after="0" w:line="301"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pursuant to that certain Amended and Restated Credit Agreement, dated as of the date hereof (as amended, restated, amended and restated,</w:t>
      </w:r>
      <w:r>
        <w:rPr>
          <w:rFonts w:ascii="Arial" w:cs="Arial" w:eastAsia="Arial" w:hAnsi="Arial"/>
          <w:sz w:val="16"/>
          <w:szCs w:val="16"/>
          <w:b w:val="1"/>
          <w:bCs w:val="1"/>
          <w:color w:val="auto"/>
        </w:rPr>
        <w:t xml:space="preserve"> </w:t>
      </w:r>
      <w:r>
        <w:rPr>
          <w:rFonts w:ascii="Arial" w:cs="Arial" w:eastAsia="Arial" w:hAnsi="Arial"/>
          <w:sz w:val="16"/>
          <w:szCs w:val="16"/>
          <w:color w:val="auto"/>
        </w:rPr>
        <w:t>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the Borrower, the various financial institutions as are, or may from time to time become, parties thereto and the Administrative Agent, the L/C Issuer and Swing Line Lender, the Secured Parties have agreed to continue to make Credit Extensions and other financial accommodations available to or for the benefit of the Pledgors;</w:t>
      </w:r>
    </w:p>
    <w:p>
      <w:pPr>
        <w:spacing w:after="0" w:line="103" w:lineRule="exact"/>
        <w:rPr>
          <w:sz w:val="20"/>
          <w:szCs w:val="20"/>
          <w:color w:val="auto"/>
        </w:rPr>
      </w:pPr>
    </w:p>
    <w:p>
      <w:pPr>
        <w:jc w:val="both"/>
        <w:ind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a condition precedent to the making of the initial Credit Extension under the Credit Agreement, each Pledgor is required to execute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 this Agreement; and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each Pledgor has duly authorized the execution, delivery and performance of this Agreement;</w:t>
      </w:r>
    </w:p>
    <w:p>
      <w:pPr>
        <w:sectPr>
          <w:pgSz w:w="11900" w:h="16838" w:orient="portrait"/>
          <w:cols w:equalWidth="0" w:num="1">
            <w:col w:w="11420"/>
          </w:cols>
          <w:pgMar w:left="240" w:top="280" w:right="239" w:bottom="1440" w:gutter="0" w:footer="0" w:header="0"/>
        </w:sectPr>
      </w:pPr>
    </w:p>
    <w:bookmarkStart w:id="252" w:name="page253"/>
    <w:bookmarkEnd w:id="252"/>
    <w:p>
      <w:pPr>
        <w:jc w:val="both"/>
        <w:ind w:firstLine="456"/>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NOW THEREFORE</w:t>
      </w:r>
      <w:r>
        <w:rPr>
          <w:rFonts w:ascii="Arial" w:cs="Arial" w:eastAsia="Arial" w:hAnsi="Arial"/>
          <w:sz w:val="18"/>
          <w:szCs w:val="18"/>
          <w:color w:val="auto"/>
        </w:rPr>
        <w:t>, for good and valuable consideration, the receipt and sufficiency of which are hereby acknowledged, and in order to induce the</w:t>
      </w:r>
      <w:r>
        <w:rPr>
          <w:rFonts w:ascii="Arial" w:cs="Arial" w:eastAsia="Arial" w:hAnsi="Arial"/>
          <w:sz w:val="18"/>
          <w:szCs w:val="18"/>
          <w:b w:val="1"/>
          <w:bCs w:val="1"/>
          <w:color w:val="auto"/>
        </w:rPr>
        <w:t xml:space="preserve"> </w:t>
      </w:r>
      <w:r>
        <w:rPr>
          <w:rFonts w:ascii="Arial" w:cs="Arial" w:eastAsia="Arial" w:hAnsi="Arial"/>
          <w:sz w:val="18"/>
          <w:szCs w:val="18"/>
          <w:color w:val="auto"/>
        </w:rPr>
        <w:t>Lenders to make Credit Extensions (including the initial Credit Extension) to the Borrower pursuant to the Credit Agreement, each Pledgor agrees, for the benefit of each Secured Party, as follows: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159" w:lineRule="exact"/>
        <w:rPr>
          <w:sz w:val="20"/>
          <w:szCs w:val="20"/>
          <w:color w:val="auto"/>
        </w:rPr>
      </w:pPr>
    </w:p>
    <w:p>
      <w:pPr>
        <w:jc w:val="both"/>
        <w:ind w:firstLine="456"/>
        <w:spacing w:after="0" w:line="275"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b w:val="1"/>
          <w:bCs w:val="1"/>
          <w:color w:val="auto"/>
        </w:rPr>
        <w:t>Definitions</w:t>
      </w:r>
      <w:r>
        <w:rPr>
          <w:rFonts w:ascii="Arial" w:cs="Arial" w:eastAsia="Arial" w:hAnsi="Arial"/>
          <w:sz w:val="18"/>
          <w:szCs w:val="18"/>
          <w:color w:val="auto"/>
        </w:rPr>
        <w:t>. The following terms (whether or not underscored) when used in this Agreement, including its preamble and recitals, shall have the following meanings (such definitions to be equally applicable to the singular and plural forms thereof):</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Pledgors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7.2(b)</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second recital</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17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Distributions</w:t>
      </w:r>
      <w:r>
        <w:rPr>
          <w:rFonts w:ascii="Arial" w:cs="Arial" w:eastAsia="Arial" w:hAnsi="Arial"/>
          <w:sz w:val="16"/>
          <w:szCs w:val="16"/>
          <w:color w:val="auto"/>
        </w:rPr>
        <w:t>” means all Equity Interest dividends, other dividends, including liquidating dividends, Equity Interests resulting from (or in connection with the exercise of) splits, reclassifications, warrants, options, non-cash dividends and all other distributions (whether similar or dissimilar to the foregoing) on or with respect to any Pledged Equity Interests or other Equity Interests constituting Collateral, but shall not include Dividends.</w:t>
      </w:r>
    </w:p>
    <w:p>
      <w:pPr>
        <w:spacing w:after="0" w:line="10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Dividends</w:t>
      </w:r>
      <w:r>
        <w:rPr>
          <w:rFonts w:ascii="Arial" w:cs="Arial" w:eastAsia="Arial" w:hAnsi="Arial"/>
          <w:sz w:val="18"/>
          <w:szCs w:val="18"/>
          <w:color w:val="auto"/>
        </w:rPr>
        <w:t>” means cash dividends and cash distributions with respect to any Pledged Equity Interests made in the ordinary course of business and not as a liquidating dividend.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 Subsidiary that is organized under the laws of a political subdivision of the United States.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is defined in the Credit Agreement.</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Subsidiary Collateral</w:t>
      </w:r>
      <w:r>
        <w:rPr>
          <w:rFonts w:ascii="Arial" w:cs="Arial" w:eastAsia="Arial" w:hAnsi="Arial"/>
          <w:sz w:val="18"/>
          <w:szCs w:val="18"/>
          <w:color w:val="auto"/>
        </w:rPr>
        <w:t>” means all Collateral (as defined in the Existing Pledge Agreement) in which the Administrative Agent, on behalf of the Secured Parties, was granted a security interest by a Pledgor under the Existing Pledge Agreement that is an Excluded Subsidiary other than a Pledged Excluded Subsidiary as of the Closing Date under the Credit Agreement.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Pledge Agreement</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first recital</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Security Interest</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first recital</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 Subsidiary that is not organized under the laws of a political subdivision of the United States.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6.5</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w:t>
      </w:r>
      <w:r>
        <w:rPr>
          <w:rFonts w:ascii="Arial" w:cs="Arial" w:eastAsia="Arial" w:hAnsi="Arial"/>
          <w:sz w:val="18"/>
          <w:szCs w:val="18"/>
          <w:color w:val="auto"/>
        </w:rPr>
        <w:t>” is defined in the Credit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20"/>
          </w:cols>
          <w:pgMar w:left="240" w:top="274" w:right="239" w:bottom="1440" w:gutter="0" w:footer="0" w:header="0"/>
        </w:sectPr>
      </w:pPr>
    </w:p>
    <w:bookmarkStart w:id="253" w:name="page254"/>
    <w:bookmarkEnd w:id="253"/>
    <w:p>
      <w:pPr>
        <w:ind w:right="2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LLC Agreement</w:t>
      </w:r>
      <w:r>
        <w:rPr>
          <w:rFonts w:ascii="Arial" w:cs="Arial" w:eastAsia="Arial" w:hAnsi="Arial"/>
          <w:sz w:val="16"/>
          <w:szCs w:val="16"/>
          <w:color w:val="auto"/>
        </w:rPr>
        <w:t>” means the limited liability company agreement, operating agreement and other organizational document of a Securities Issuer which is a limited liability company, as the same may be amended, restated, amended and restated, supplemented or otherwise modified from time to time.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Agreement</w:t>
      </w:r>
      <w:r>
        <w:rPr>
          <w:rFonts w:ascii="Arial" w:cs="Arial" w:eastAsia="Arial" w:hAnsi="Arial"/>
          <w:sz w:val="18"/>
          <w:szCs w:val="18"/>
          <w:color w:val="auto"/>
        </w:rPr>
        <w:t>” means the partnership agreement and other organizational document of a Securities Issuer which is a partnership, as the same way be amended, restated, amended and restated, supplemented or otherwise modified from time to time.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is defined in the Credit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Equity Interests</w:t>
      </w:r>
      <w:r>
        <w:rPr>
          <w:rFonts w:ascii="Arial" w:cs="Arial" w:eastAsia="Arial" w:hAnsi="Arial"/>
          <w:sz w:val="18"/>
          <w:szCs w:val="18"/>
          <w:color w:val="auto"/>
        </w:rPr>
        <w:t>” means all Pledged Shares, Pledged Partnership Interests and Pledged Membership Interests.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Membership Interests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2.1(c)</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Notes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The form of the original Pledged Notes hereunder is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Partnership Interests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2.1(c)</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Shares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Pledgor</w:t>
      </w:r>
      <w:r>
        <w:rPr>
          <w:rFonts w:ascii="Arial" w:cs="Arial" w:eastAsia="Arial" w:hAnsi="Arial"/>
          <w:sz w:val="18"/>
          <w:szCs w:val="18"/>
          <w:color w:val="auto"/>
        </w:rPr>
        <w:t>” and “</w:t>
      </w:r>
      <w:r>
        <w:rPr>
          <w:rFonts w:ascii="Arial" w:cs="Arial" w:eastAsia="Arial" w:hAnsi="Arial"/>
          <w:sz w:val="18"/>
          <w:szCs w:val="18"/>
          <w:u w:val="single" w:color="auto"/>
          <w:color w:val="auto"/>
        </w:rPr>
        <w:t>Pledgors</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Proceeds</w:t>
      </w:r>
      <w:r>
        <w:rPr>
          <w:rFonts w:ascii="Arial" w:cs="Arial" w:eastAsia="Arial" w:hAnsi="Arial"/>
          <w:sz w:val="18"/>
          <w:szCs w:val="18"/>
          <w:color w:val="auto"/>
        </w:rPr>
        <w:t>” is defined in the Security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w:t>
      </w:r>
      <w:r>
        <w:rPr>
          <w:rFonts w:ascii="Arial" w:cs="Arial" w:eastAsia="Arial" w:hAnsi="Arial"/>
          <w:sz w:val="18"/>
          <w:szCs w:val="18"/>
          <w:color w:val="auto"/>
        </w:rPr>
        <w:t>” is defined in the Credit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Obligations</w:t>
      </w:r>
      <w:r>
        <w:rPr>
          <w:rFonts w:ascii="Arial" w:cs="Arial" w:eastAsia="Arial" w:hAnsi="Arial"/>
          <w:sz w:val="18"/>
          <w:szCs w:val="18"/>
          <w:color w:val="auto"/>
        </w:rPr>
        <w:t>” is defined in the Security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Party</w:t>
      </w:r>
      <w:r>
        <w:rPr>
          <w:rFonts w:ascii="Arial" w:cs="Arial" w:eastAsia="Arial" w:hAnsi="Arial"/>
          <w:sz w:val="18"/>
          <w:szCs w:val="18"/>
          <w:color w:val="auto"/>
        </w:rPr>
        <w:t>” is defined in the Credit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6.2</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Issuer</w:t>
      </w:r>
      <w:r>
        <w:rPr>
          <w:rFonts w:ascii="Arial" w:cs="Arial" w:eastAsia="Arial" w:hAnsi="Arial"/>
          <w:sz w:val="18"/>
          <w:szCs w:val="18"/>
          <w:color w:val="auto"/>
        </w:rPr>
        <w:t xml:space="preserve">” means any Person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(as such Schedule may be supplemented from time to time pursuant to </w:t>
      </w:r>
      <w:r>
        <w:rPr>
          <w:rFonts w:ascii="Arial" w:cs="Arial" w:eastAsia="Arial" w:hAnsi="Arial"/>
          <w:sz w:val="18"/>
          <w:szCs w:val="18"/>
          <w:u w:val="single" w:color="auto"/>
          <w:color w:val="auto"/>
        </w:rPr>
        <w:t>Section 4.1(b)</w:t>
      </w:r>
      <w:r>
        <w:rPr>
          <w:rFonts w:ascii="Arial" w:cs="Arial" w:eastAsia="Arial" w:hAnsi="Arial"/>
          <w:sz w:val="18"/>
          <w:szCs w:val="18"/>
          <w:color w:val="auto"/>
        </w:rPr>
        <w:t xml:space="preserve"> hereto) that has issued or may issue a Pledged Equity Interest or a Pledged Note.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is defined in the Security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is defined in the Credit Agreement.</w:t>
      </w:r>
    </w:p>
    <w:p>
      <w:pPr>
        <w:spacing w:after="0" w:line="165"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b w:val="1"/>
          <w:bCs w:val="1"/>
          <w:color w:val="auto"/>
        </w:rPr>
        <w:t>Credit Agreement Definitions</w:t>
      </w:r>
      <w:r>
        <w:rPr>
          <w:rFonts w:ascii="Arial" w:cs="Arial" w:eastAsia="Arial" w:hAnsi="Arial"/>
          <w:sz w:val="18"/>
          <w:szCs w:val="18"/>
          <w:color w:val="auto"/>
        </w:rPr>
        <w:t>. Unless otherwise defined herein or the context otherwise requires, terms used in this Agreement, including its preamble and recitals, have the meanings provided in the Credit Agreement.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20"/>
          </w:cols>
          <w:pgMar w:left="240" w:top="280" w:right="239" w:bottom="1440" w:gutter="0" w:footer="0" w:header="0"/>
        </w:sectPr>
      </w:pPr>
    </w:p>
    <w:bookmarkStart w:id="254" w:name="page255"/>
    <w:bookmarkEnd w:id="254"/>
    <w:p>
      <w:pPr>
        <w:jc w:val="both"/>
        <w:ind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1.3 </w:t>
      </w:r>
      <w:r>
        <w:rPr>
          <w:rFonts w:ascii="Arial" w:cs="Arial" w:eastAsia="Arial" w:hAnsi="Arial"/>
          <w:sz w:val="18"/>
          <w:szCs w:val="18"/>
          <w:b w:val="1"/>
          <w:bCs w:val="1"/>
          <w:color w:val="auto"/>
        </w:rPr>
        <w:t>UCC Definitions</w:t>
      </w:r>
      <w:r>
        <w:rPr>
          <w:rFonts w:ascii="Arial" w:cs="Arial" w:eastAsia="Arial" w:hAnsi="Arial"/>
          <w:sz w:val="18"/>
          <w:szCs w:val="18"/>
          <w:color w:val="auto"/>
        </w:rPr>
        <w:t>. Unless otherwise defined herein or the context otherwise requires, terms for which meanings are provided in the UCC are used in this Agreement, including its preamble and recitals, with such meanings.</w:t>
      </w:r>
    </w:p>
    <w:p>
      <w:pPr>
        <w:spacing w:after="0" w:line="120" w:lineRule="exact"/>
        <w:rPr>
          <w:sz w:val="20"/>
          <w:szCs w:val="20"/>
          <w:color w:val="auto"/>
        </w:rPr>
      </w:pPr>
    </w:p>
    <w:p>
      <w:pPr>
        <w:jc w:val="both"/>
        <w:ind w:firstLine="456"/>
        <w:spacing w:after="0" w:line="275"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b w:val="1"/>
          <w:bCs w:val="1"/>
          <w:color w:val="auto"/>
        </w:rPr>
        <w:t>Other Interpretive Provisions</w:t>
      </w:r>
      <w:r>
        <w:rPr>
          <w:rFonts w:ascii="Arial" w:cs="Arial" w:eastAsia="Arial" w:hAnsi="Arial"/>
          <w:sz w:val="18"/>
          <w:szCs w:val="18"/>
          <w:color w:val="auto"/>
        </w:rPr>
        <w:t>. The rules of construction in Sections 1.02 to 1.06 of the Credit Agreement shall be equally applicable to this Agreement.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PLEDGE</w:t>
      </w:r>
    </w:p>
    <w:p>
      <w:pPr>
        <w:spacing w:after="0" w:line="159" w:lineRule="exact"/>
        <w:rPr>
          <w:sz w:val="20"/>
          <w:szCs w:val="20"/>
          <w:color w:val="auto"/>
        </w:rPr>
      </w:pPr>
    </w:p>
    <w:p>
      <w:pPr>
        <w:jc w:val="both"/>
        <w:ind w:firstLine="456"/>
        <w:spacing w:after="0" w:line="258"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b w:val="1"/>
          <w:bCs w:val="1"/>
          <w:color w:val="auto"/>
        </w:rPr>
        <w:t>Grant of Security Interest</w:t>
      </w:r>
      <w:r>
        <w:rPr>
          <w:rFonts w:ascii="Arial" w:cs="Arial" w:eastAsia="Arial" w:hAnsi="Arial"/>
          <w:sz w:val="18"/>
          <w:szCs w:val="18"/>
          <w:color w:val="auto"/>
        </w:rPr>
        <w:t>. Each Pledgor hereby pledges, assigns, charges, mortgages, delivers, and transfers to the Administrative Agent the ratable benefit of each of the Secured Parties, and hereby grants to the Administrative Agent, for the ratable benefit of the Secured Parties, a continuing security interest in all of its right, title and interest in and to the following property of such Pledgor, whether now or hereafter existing or acquired (collectively, the “</w:t>
      </w:r>
      <w:r>
        <w:rPr>
          <w:rFonts w:ascii="Arial" w:cs="Arial" w:eastAsia="Arial" w:hAnsi="Arial"/>
          <w:sz w:val="18"/>
          <w:szCs w:val="18"/>
          <w:u w:val="single" w:color="auto"/>
          <w:color w:val="auto"/>
        </w:rPr>
        <w:t>Collateral</w:t>
      </w:r>
      <w:r>
        <w:rPr>
          <w:rFonts w:ascii="Arial" w:cs="Arial" w:eastAsia="Arial" w:hAnsi="Arial"/>
          <w:sz w:val="18"/>
          <w:szCs w:val="18"/>
          <w:color w:val="auto"/>
        </w:rPr>
        <w:t>”):</w:t>
      </w:r>
    </w:p>
    <w:p>
      <w:pPr>
        <w:spacing w:after="0" w:line="142" w:lineRule="exact"/>
        <w:rPr>
          <w:sz w:val="20"/>
          <w:szCs w:val="20"/>
          <w:color w:val="auto"/>
        </w:rPr>
      </w:pPr>
    </w:p>
    <w:p>
      <w:pPr>
        <w:jc w:val="both"/>
        <w:ind w:firstLine="921"/>
        <w:spacing w:after="0" w:line="323" w:lineRule="auto"/>
        <w:tabs>
          <w:tab w:leader="none" w:pos="1152" w:val="left"/>
        </w:tabs>
        <w:numPr>
          <w:ilvl w:val="0"/>
          <w:numId w:val="268"/>
        </w:numPr>
        <w:rPr>
          <w:rFonts w:ascii="Arial" w:cs="Arial" w:eastAsia="Arial" w:hAnsi="Arial"/>
          <w:sz w:val="15"/>
          <w:szCs w:val="15"/>
          <w:color w:val="auto"/>
        </w:rPr>
      </w:pPr>
      <w:r>
        <w:rPr>
          <w:rFonts w:ascii="Arial" w:cs="Arial" w:eastAsia="Arial" w:hAnsi="Arial"/>
          <w:sz w:val="15"/>
          <w:szCs w:val="15"/>
          <w:color w:val="auto"/>
        </w:rPr>
        <w:t xml:space="preserve">all promissory notes of each Securities Issuer identified in </w:t>
      </w:r>
      <w:r>
        <w:rPr>
          <w:rFonts w:ascii="Arial" w:cs="Arial" w:eastAsia="Arial" w:hAnsi="Arial"/>
          <w:sz w:val="15"/>
          <w:szCs w:val="15"/>
          <w:u w:val="single" w:color="auto"/>
          <w:color w:val="auto"/>
        </w:rPr>
        <w:t>Item A</w:t>
      </w:r>
      <w:r>
        <w:rPr>
          <w:rFonts w:ascii="Arial" w:cs="Arial" w:eastAsia="Arial" w:hAnsi="Arial"/>
          <w:sz w:val="15"/>
          <w:szCs w:val="15"/>
          <w:color w:val="auto"/>
        </w:rPr>
        <w:t xml:space="preserve"> of </w:t>
      </w:r>
      <w:r>
        <w:rPr>
          <w:rFonts w:ascii="Arial" w:cs="Arial" w:eastAsia="Arial" w:hAnsi="Arial"/>
          <w:sz w:val="15"/>
          <w:szCs w:val="15"/>
          <w:u w:val="single" w:color="auto"/>
          <w:color w:val="auto"/>
        </w:rPr>
        <w:t>Schedule I</w:t>
      </w:r>
      <w:r>
        <w:rPr>
          <w:rFonts w:ascii="Arial" w:cs="Arial" w:eastAsia="Arial" w:hAnsi="Arial"/>
          <w:sz w:val="15"/>
          <w:szCs w:val="15"/>
          <w:color w:val="auto"/>
        </w:rPr>
        <w:t xml:space="preserve"> hereto (as such Schedule may be supplemented from time to time pursuant to </w:t>
      </w:r>
      <w:r>
        <w:rPr>
          <w:rFonts w:ascii="Arial" w:cs="Arial" w:eastAsia="Arial" w:hAnsi="Arial"/>
          <w:sz w:val="15"/>
          <w:szCs w:val="15"/>
          <w:u w:val="single" w:color="auto"/>
          <w:color w:val="auto"/>
        </w:rPr>
        <w:t>Section 4.1(b)</w:t>
      </w:r>
      <w:r>
        <w:rPr>
          <w:rFonts w:ascii="Arial" w:cs="Arial" w:eastAsia="Arial" w:hAnsi="Arial"/>
          <w:sz w:val="15"/>
          <w:szCs w:val="15"/>
          <w:color w:val="auto"/>
        </w:rPr>
        <w:t>) opposite the name of such Pledgor and all other promissory notes of any such Securities Issuer issued from time to time to such Pledgor, as such promissory notes are amended, modified, supplemented, restated or otherwise modified from time to time and together with any promissory note of any Securities Issuer taken in extension or renewal thereof or substitution therefor (such promissory notes being referred to herein as the “</w:t>
      </w:r>
      <w:r>
        <w:rPr>
          <w:rFonts w:ascii="Arial" w:cs="Arial" w:eastAsia="Arial" w:hAnsi="Arial"/>
          <w:sz w:val="15"/>
          <w:szCs w:val="15"/>
          <w:u w:val="single" w:color="auto"/>
          <w:color w:val="auto"/>
        </w:rPr>
        <w:t>Pledged Notes</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jc w:val="both"/>
        <w:ind w:firstLine="921"/>
        <w:spacing w:after="0" w:line="298" w:lineRule="auto"/>
        <w:tabs>
          <w:tab w:leader="none" w:pos="1162" w:val="left"/>
        </w:tabs>
        <w:numPr>
          <w:ilvl w:val="0"/>
          <w:numId w:val="268"/>
        </w:numPr>
        <w:rPr>
          <w:rFonts w:ascii="Arial" w:cs="Arial" w:eastAsia="Arial" w:hAnsi="Arial"/>
          <w:sz w:val="16"/>
          <w:szCs w:val="16"/>
          <w:color w:val="auto"/>
        </w:rPr>
      </w:pPr>
      <w:r>
        <w:rPr>
          <w:rFonts w:ascii="Arial" w:cs="Arial" w:eastAsia="Arial" w:hAnsi="Arial"/>
          <w:sz w:val="16"/>
          <w:szCs w:val="16"/>
          <w:color w:val="auto"/>
        </w:rPr>
        <w:t xml:space="preserve">all issued and outstanding shares of capital stock of each Securities Issuer which is a corporation (or similar type of issuer) identified in </w:t>
      </w:r>
      <w:r>
        <w:rPr>
          <w:rFonts w:ascii="Arial" w:cs="Arial" w:eastAsia="Arial" w:hAnsi="Arial"/>
          <w:sz w:val="16"/>
          <w:szCs w:val="16"/>
          <w:u w:val="single" w:color="auto"/>
          <w:color w:val="auto"/>
        </w:rPr>
        <w:t>Item 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(as such Schedule may be supplemented from time to time pursuant to </w:t>
      </w:r>
      <w:r>
        <w:rPr>
          <w:rFonts w:ascii="Arial" w:cs="Arial" w:eastAsia="Arial" w:hAnsi="Arial"/>
          <w:sz w:val="16"/>
          <w:szCs w:val="16"/>
          <w:u w:val="single" w:color="auto"/>
          <w:color w:val="auto"/>
        </w:rPr>
        <w:t>Section 4.1(b)</w:t>
      </w:r>
      <w:r>
        <w:rPr>
          <w:rFonts w:ascii="Arial" w:cs="Arial" w:eastAsia="Arial" w:hAnsi="Arial"/>
          <w:sz w:val="16"/>
          <w:szCs w:val="16"/>
          <w:color w:val="auto"/>
        </w:rPr>
        <w:t>) opposite the name of such Pledgor and all additional shares of capital stock of any such Securities Issuer from time to time acquired by such Pledgor in any manner, and the certificates representing such shares of capital stock (such shares of capital stock being referred to herein as the “</w:t>
      </w:r>
      <w:r>
        <w:rPr>
          <w:rFonts w:ascii="Arial" w:cs="Arial" w:eastAsia="Arial" w:hAnsi="Arial"/>
          <w:sz w:val="16"/>
          <w:szCs w:val="16"/>
          <w:u w:val="single" w:color="auto"/>
          <w:color w:val="auto"/>
        </w:rPr>
        <w:t>Pledged Shares</w:t>
      </w:r>
      <w:r>
        <w:rPr>
          <w:rFonts w:ascii="Arial" w:cs="Arial" w:eastAsia="Arial" w:hAnsi="Arial"/>
          <w:sz w:val="16"/>
          <w:szCs w:val="16"/>
          <w:color w:val="auto"/>
        </w:rPr>
        <w:t>”);</w:t>
      </w:r>
    </w:p>
    <w:p>
      <w:pPr>
        <w:spacing w:after="0" w:line="112" w:lineRule="exact"/>
        <w:rPr>
          <w:rFonts w:ascii="Arial" w:cs="Arial" w:eastAsia="Arial" w:hAnsi="Arial"/>
          <w:sz w:val="16"/>
          <w:szCs w:val="16"/>
          <w:color w:val="auto"/>
        </w:rPr>
      </w:pPr>
    </w:p>
    <w:p>
      <w:pPr>
        <w:jc w:val="both"/>
        <w:ind w:firstLine="921"/>
        <w:spacing w:after="0" w:line="288" w:lineRule="auto"/>
        <w:tabs>
          <w:tab w:leader="none" w:pos="1163" w:val="left"/>
        </w:tabs>
        <w:numPr>
          <w:ilvl w:val="0"/>
          <w:numId w:val="268"/>
        </w:numPr>
        <w:rPr>
          <w:rFonts w:ascii="Arial" w:cs="Arial" w:eastAsia="Arial" w:hAnsi="Arial"/>
          <w:sz w:val="16"/>
          <w:szCs w:val="16"/>
          <w:color w:val="auto"/>
        </w:rPr>
      </w:pPr>
      <w:r>
        <w:rPr>
          <w:rFonts w:ascii="Arial" w:cs="Arial" w:eastAsia="Arial" w:hAnsi="Arial"/>
          <w:sz w:val="16"/>
          <w:szCs w:val="16"/>
          <w:color w:val="auto"/>
        </w:rPr>
        <w:t xml:space="preserve">all Equity Interests of each Securities Issuer which is a limited liability company or partnership identified in </w:t>
      </w:r>
      <w:r>
        <w:rPr>
          <w:rFonts w:ascii="Arial" w:cs="Arial" w:eastAsia="Arial" w:hAnsi="Arial"/>
          <w:sz w:val="16"/>
          <w:szCs w:val="16"/>
          <w:u w:val="single" w:color="auto"/>
          <w:color w:val="auto"/>
        </w:rPr>
        <w:t>Item 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Item D</w:t>
      </w:r>
      <w:r>
        <w:rPr>
          <w:rFonts w:ascii="Arial" w:cs="Arial" w:eastAsia="Arial" w:hAnsi="Arial"/>
          <w:sz w:val="16"/>
          <w:szCs w:val="16"/>
          <w:color w:val="auto"/>
        </w:rPr>
        <w:t xml:space="preserve">, respectively, of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(as such Schedule may be supplemented from time to time pursuant to </w:t>
      </w:r>
      <w:r>
        <w:rPr>
          <w:rFonts w:ascii="Arial" w:cs="Arial" w:eastAsia="Arial" w:hAnsi="Arial"/>
          <w:sz w:val="16"/>
          <w:szCs w:val="16"/>
          <w:u w:val="single" w:color="auto"/>
          <w:color w:val="auto"/>
        </w:rPr>
        <w:t>Section 4.1(b)</w:t>
      </w:r>
      <w:r>
        <w:rPr>
          <w:rFonts w:ascii="Arial" w:cs="Arial" w:eastAsia="Arial" w:hAnsi="Arial"/>
          <w:sz w:val="16"/>
          <w:szCs w:val="16"/>
          <w:color w:val="auto"/>
        </w:rPr>
        <w:t>) opposite the name of such Pledgor and all additional Equity Interests of any such Securities Issuer from time to time acquired by such Pledgor in any manner, including, in each case, (i) the LLC Agreement or Partnership Agreement, as the case may be, of such Securities Issuer, (ii) all rights (but not obligations) of such Pledgor as a member or partner thereof, as the case may be, and all rights to receive Dividends and Distributions from time to time received, receivable, or otherwise distributed thereunder, (iii) all claims of such Pledgor for damages arising out of or for breach of or default under such LLC Agreement or Partnership Agreement, (iv) the right of such Pledgor to terminate such LLC Agreement or Partnership Agreement, to perform and exercise consensual or voting rights thereunder, and to compel performance and otherwise exercise all remedies thereunder, (v) all rights of such Pledgor, whether as a member or partner thereof, as the case may be, to all property and assets of such Securities Issuer (whether real property, inventory,</w:t>
      </w:r>
    </w:p>
    <w:p>
      <w:pPr>
        <w:spacing w:after="0" w:line="106" w:lineRule="exact"/>
        <w:rPr>
          <w:rFonts w:ascii="Arial" w:cs="Arial" w:eastAsia="Arial" w:hAnsi="Arial"/>
          <w:sz w:val="16"/>
          <w:szCs w:val="16"/>
          <w:color w:val="auto"/>
        </w:rPr>
      </w:pPr>
    </w:p>
    <w:p>
      <w:pPr>
        <w:ind w:left="5680" w:hanging="112"/>
        <w:spacing w:after="0"/>
        <w:tabs>
          <w:tab w:leader="none" w:pos="5680" w:val="left"/>
        </w:tabs>
        <w:numPr>
          <w:ilvl w:val="1"/>
          <w:numId w:val="268"/>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420"/>
          </w:cols>
          <w:pgMar w:left="240" w:top="274" w:right="239" w:bottom="1440" w:gutter="0" w:footer="0" w:header="0"/>
        </w:sectPr>
      </w:pPr>
    </w:p>
    <w:bookmarkStart w:id="255" w:name="page256"/>
    <w:bookmarkEnd w:id="255"/>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equipment, accounts, general intangibles, securities, instruments, chattel paper, documents, choses in action, financial assets, or otherwise) and (vi) all certificates or instruments, if any, evidencing such Equity Interests (such Equity Interests being referred to herein, in the case of membership interests, as the “</w:t>
      </w:r>
      <w:r>
        <w:rPr>
          <w:rFonts w:ascii="Arial" w:cs="Arial" w:eastAsia="Arial" w:hAnsi="Arial"/>
          <w:sz w:val="18"/>
          <w:szCs w:val="18"/>
          <w:u w:val="single" w:color="auto"/>
          <w:color w:val="auto"/>
        </w:rPr>
        <w:t>Pledged</w:t>
      </w:r>
      <w:r>
        <w:rPr>
          <w:rFonts w:ascii="Arial" w:cs="Arial" w:eastAsia="Arial" w:hAnsi="Arial"/>
          <w:sz w:val="18"/>
          <w:szCs w:val="18"/>
          <w:color w:val="auto"/>
        </w:rPr>
        <w:t xml:space="preserve"> </w:t>
      </w:r>
      <w:r>
        <w:rPr>
          <w:rFonts w:ascii="Arial" w:cs="Arial" w:eastAsia="Arial" w:hAnsi="Arial"/>
          <w:sz w:val="18"/>
          <w:szCs w:val="18"/>
          <w:u w:val="single" w:color="auto"/>
          <w:color w:val="auto"/>
        </w:rPr>
        <w:t>Membership Interests</w:t>
      </w:r>
      <w:r>
        <w:rPr>
          <w:rFonts w:ascii="Arial" w:cs="Arial" w:eastAsia="Arial" w:hAnsi="Arial"/>
          <w:sz w:val="18"/>
          <w:szCs w:val="18"/>
          <w:color w:val="auto"/>
        </w:rPr>
        <w:t>” and, in the case of partnership interests, as the “</w:t>
      </w:r>
      <w:r>
        <w:rPr>
          <w:rFonts w:ascii="Arial" w:cs="Arial" w:eastAsia="Arial" w:hAnsi="Arial"/>
          <w:sz w:val="18"/>
          <w:szCs w:val="18"/>
          <w:u w:val="single" w:color="auto"/>
          <w:color w:val="auto"/>
        </w:rPr>
        <w:t>Pledged Partnership Interests</w:t>
      </w:r>
      <w:r>
        <w:rPr>
          <w:rFonts w:ascii="Arial" w:cs="Arial" w:eastAsia="Arial" w:hAnsi="Arial"/>
          <w:sz w:val="18"/>
          <w:szCs w:val="18"/>
          <w:color w:val="auto"/>
        </w:rPr>
        <w:t>”);</w:t>
      </w:r>
    </w:p>
    <w:p>
      <w:pPr>
        <w:spacing w:after="0" w:line="140" w:lineRule="exact"/>
        <w:rPr>
          <w:sz w:val="20"/>
          <w:szCs w:val="20"/>
          <w:color w:val="auto"/>
        </w:rPr>
      </w:pPr>
    </w:p>
    <w:p>
      <w:pPr>
        <w:ind w:left="1200" w:hanging="279"/>
        <w:spacing w:after="0"/>
        <w:tabs>
          <w:tab w:leader="none" w:pos="1200" w:val="left"/>
        </w:tabs>
        <w:numPr>
          <w:ilvl w:val="1"/>
          <w:numId w:val="269"/>
        </w:numPr>
        <w:rPr>
          <w:rFonts w:ascii="Arial" w:cs="Arial" w:eastAsia="Arial" w:hAnsi="Arial"/>
          <w:sz w:val="16"/>
          <w:szCs w:val="16"/>
          <w:color w:val="auto"/>
        </w:rPr>
      </w:pPr>
      <w:r>
        <w:rPr>
          <w:rFonts w:ascii="Arial" w:cs="Arial" w:eastAsia="Arial" w:hAnsi="Arial"/>
          <w:sz w:val="16"/>
          <w:szCs w:val="16"/>
          <w:color w:val="auto"/>
        </w:rPr>
        <w:t xml:space="preserve">all Dividends, Distributions, principal, interest, and other payments and rights with respect to any of the items listed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and</w:t>
      </w:r>
    </w:p>
    <w:p>
      <w:pPr>
        <w:spacing w:after="0" w:line="38" w:lineRule="exact"/>
        <w:rPr>
          <w:rFonts w:ascii="Arial" w:cs="Arial" w:eastAsia="Arial" w:hAnsi="Arial"/>
          <w:sz w:val="16"/>
          <w:szCs w:val="16"/>
          <w:color w:val="auto"/>
        </w:rPr>
      </w:pPr>
    </w:p>
    <w:p>
      <w:pPr>
        <w:ind w:left="240" w:hanging="232"/>
        <w:spacing w:after="0"/>
        <w:tabs>
          <w:tab w:leader="none" w:pos="240" w:val="left"/>
        </w:tabs>
        <w:numPr>
          <w:ilvl w:val="0"/>
          <w:numId w:val="270"/>
        </w:numPr>
        <w:rPr>
          <w:rFonts w:ascii="Arial" w:cs="Arial" w:eastAsia="Arial" w:hAnsi="Arial"/>
          <w:sz w:val="18"/>
          <w:szCs w:val="18"/>
          <w:u w:val="single" w:color="auto"/>
          <w:color w:val="auto"/>
        </w:rPr>
      </w:pPr>
      <w:r>
        <w:rPr>
          <w:rFonts w:ascii="Arial" w:cs="Arial" w:eastAsia="Arial" w:hAnsi="Arial"/>
          <w:sz w:val="18"/>
          <w:szCs w:val="18"/>
          <w:color w:val="auto"/>
        </w:rPr>
        <w:t>above; and</w:t>
      </w:r>
    </w:p>
    <w:p>
      <w:pPr>
        <w:spacing w:after="0" w:line="164" w:lineRule="exact"/>
        <w:rPr>
          <w:rFonts w:ascii="Arial" w:cs="Arial" w:eastAsia="Arial" w:hAnsi="Arial"/>
          <w:sz w:val="18"/>
          <w:szCs w:val="18"/>
          <w:u w:val="single" w:color="auto"/>
          <w:color w:val="auto"/>
        </w:rPr>
      </w:pPr>
    </w:p>
    <w:p>
      <w:pPr>
        <w:ind w:left="1160" w:hanging="239"/>
        <w:spacing w:after="0"/>
        <w:tabs>
          <w:tab w:leader="none" w:pos="116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all Proceeds of any and all of the foregoing Collateral.</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Notwithstanding the foregoing, no Minority Equity Interests nor Equity Interests in Excluded Subsidiaries (other than Pledged Excluded Subsidiaries (as defined in the Security Agreement), if any) shall constitute Collateral.</w:t>
      </w:r>
    </w:p>
    <w:p>
      <w:pPr>
        <w:spacing w:after="0" w:line="126" w:lineRule="exact"/>
        <w:rPr>
          <w:sz w:val="20"/>
          <w:szCs w:val="20"/>
          <w:color w:val="auto"/>
        </w:rPr>
      </w:pPr>
    </w:p>
    <w:p>
      <w:pPr>
        <w:jc w:val="both"/>
        <w:ind w:firstLine="456"/>
        <w:spacing w:after="0" w:line="275"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b w:val="1"/>
          <w:bCs w:val="1"/>
          <w:color w:val="auto"/>
        </w:rPr>
        <w:t>Security for Secured Obligations</w:t>
      </w:r>
      <w:r>
        <w:rPr>
          <w:rFonts w:ascii="Arial" w:cs="Arial" w:eastAsia="Arial" w:hAnsi="Arial"/>
          <w:sz w:val="18"/>
          <w:szCs w:val="18"/>
          <w:color w:val="auto"/>
        </w:rPr>
        <w:t>. The Collateral of each Pledgor under this Agreement secures the prompt payment in full of all Secured Obligations of such Pledgor under the Loan Documents.</w:t>
      </w:r>
    </w:p>
    <w:p>
      <w:pPr>
        <w:spacing w:after="0" w:line="120" w:lineRule="exact"/>
        <w:rPr>
          <w:sz w:val="20"/>
          <w:szCs w:val="20"/>
          <w:color w:val="auto"/>
        </w:rPr>
      </w:pPr>
    </w:p>
    <w:p>
      <w:pPr>
        <w:jc w:val="both"/>
        <w:ind w:firstLine="456"/>
        <w:spacing w:after="0" w:line="310"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b w:val="1"/>
          <w:bCs w:val="1"/>
          <w:color w:val="auto"/>
        </w:rPr>
        <w:t>Delivery of Collateral</w:t>
      </w:r>
      <w:r>
        <w:rPr>
          <w:rFonts w:ascii="Arial" w:cs="Arial" w:eastAsia="Arial" w:hAnsi="Arial"/>
          <w:sz w:val="16"/>
          <w:szCs w:val="16"/>
          <w:color w:val="auto"/>
        </w:rPr>
        <w:t>. All certificates or instruments, if any, representing or evidencing any Collateral, including all Pledged Equity Interests and all Pledged Notes, shall be delivered to and held by or on behalf of the Administrative Agent pursuant hereto, shall be in suitable form for transfer by delivery, and shall be accompanied by all necessary instruments of transfer or assignment, duly executed in blank.</w:t>
      </w:r>
    </w:p>
    <w:p>
      <w:pPr>
        <w:spacing w:after="0" w:line="97"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b w:val="1"/>
          <w:bCs w:val="1"/>
          <w:color w:val="auto"/>
        </w:rPr>
        <w:t>Dividends on Pledged Equity Interests and Payments on Pledged Notes</w:t>
      </w:r>
      <w:r>
        <w:rPr>
          <w:rFonts w:ascii="Arial" w:cs="Arial" w:eastAsia="Arial" w:hAnsi="Arial"/>
          <w:sz w:val="18"/>
          <w:szCs w:val="18"/>
          <w:color w:val="auto"/>
        </w:rPr>
        <w:t>. So long as no Event of Default has occurred and is continuing, any Dividend or payment in respect of any Pledged Note may be paid directly to the applicable Pledgor. If any Event of Default has occurred and is continuing, then any such Dividend or payment shall be paid directly to the Administrative Agent.</w:t>
      </w:r>
    </w:p>
    <w:p>
      <w:pPr>
        <w:spacing w:after="0" w:line="132" w:lineRule="exact"/>
        <w:rPr>
          <w:sz w:val="20"/>
          <w:szCs w:val="20"/>
          <w:color w:val="auto"/>
        </w:rPr>
      </w:pPr>
    </w:p>
    <w:p>
      <w:pPr>
        <w:jc w:val="both"/>
        <w:ind w:firstLine="456"/>
        <w:spacing w:after="0" w:line="293"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b w:val="1"/>
          <w:bCs w:val="1"/>
          <w:color w:val="auto"/>
        </w:rPr>
        <w:t>Continuing Security Interest; Transfer of Credit Extensions</w:t>
      </w:r>
      <w:r>
        <w:rPr>
          <w:rFonts w:ascii="Arial" w:cs="Arial" w:eastAsia="Arial" w:hAnsi="Arial"/>
          <w:sz w:val="16"/>
          <w:szCs w:val="16"/>
          <w:color w:val="auto"/>
        </w:rPr>
        <w:t>. This Agreement shall create a continuing security interest in the Collateral and shall remain in full force and effect until the Termination Date, be binding upon each Pledgor and its successors, transferees and assigns, and inure, together with the rights and remedies of the Administrative Agent hereunder, to the benefit of the Administrative Agent and each other Secured Party. Without limiting the generality of the foregoing, any Secured Party may assign or otherwise transfer (in whole or in part) any Credit Extension held by it to any other Person, and such other Person shall thereupon become vested with all the rights and benefits in respect thereof granted to such Secured Party under any Loan Document (including this Agreement) or otherwise, subject, however, to any contrary provisions in such assignment or transfer.</w:t>
      </w:r>
    </w:p>
    <w:p>
      <w:pPr>
        <w:spacing w:after="0" w:line="111" w:lineRule="exact"/>
        <w:rPr>
          <w:sz w:val="20"/>
          <w:szCs w:val="20"/>
          <w:color w:val="auto"/>
        </w:rPr>
      </w:pPr>
    </w:p>
    <w:p>
      <w:pPr>
        <w:jc w:val="both"/>
        <w:ind w:firstLine="456"/>
        <w:spacing w:after="0" w:line="339" w:lineRule="auto"/>
        <w:rPr>
          <w:sz w:val="20"/>
          <w:szCs w:val="20"/>
          <w:color w:val="auto"/>
        </w:rPr>
      </w:pPr>
      <w:r>
        <w:rPr>
          <w:rFonts w:ascii="Arial" w:cs="Arial" w:eastAsia="Arial" w:hAnsi="Arial"/>
          <w:sz w:val="16"/>
          <w:szCs w:val="16"/>
          <w:color w:val="auto"/>
        </w:rPr>
        <w:t xml:space="preserve">SECTION 2.6 </w:t>
      </w:r>
      <w:r>
        <w:rPr>
          <w:rFonts w:ascii="Arial" w:cs="Arial" w:eastAsia="Arial" w:hAnsi="Arial"/>
          <w:sz w:val="16"/>
          <w:szCs w:val="16"/>
          <w:b w:val="1"/>
          <w:bCs w:val="1"/>
          <w:color w:val="auto"/>
        </w:rPr>
        <w:t>Security Interest Absolute</w:t>
      </w:r>
      <w:r>
        <w:rPr>
          <w:rFonts w:ascii="Arial" w:cs="Arial" w:eastAsia="Arial" w:hAnsi="Arial"/>
          <w:sz w:val="16"/>
          <w:szCs w:val="16"/>
          <w:color w:val="auto"/>
        </w:rPr>
        <w:t>. All rights of the Administrative Agent and the security interests granted to the Administrative Agent hereunder, and all obligations of each Pledgor hereunder, shall be, absolute and unconditional, irrespective of any of the following conditions, occurrences or events:</w:t>
      </w:r>
    </w:p>
    <w:p>
      <w:pPr>
        <w:spacing w:after="0" w:line="8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any lack of validity or enforceability of any Loan Document;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420"/>
          </w:cols>
          <w:pgMar w:left="240" w:top="280" w:right="239" w:bottom="1440" w:gutter="0" w:footer="0" w:header="0"/>
        </w:sectPr>
      </w:pPr>
    </w:p>
    <w:bookmarkStart w:id="256" w:name="page257"/>
    <w:bookmarkEnd w:id="256"/>
    <w:p>
      <w:pPr>
        <w:jc w:val="both"/>
        <w:ind w:firstLine="921"/>
        <w:spacing w:after="0" w:line="259" w:lineRule="auto"/>
        <w:tabs>
          <w:tab w:leader="none" w:pos="1165" w:val="left"/>
        </w:tabs>
        <w:numPr>
          <w:ilvl w:val="0"/>
          <w:numId w:val="2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failure of any Secured Party to assert any claim or demand or to enforce any right or remedy against any Loan Party, the Borrower, any other Pledgor or any other Person under the provisions of any Loan Document, or otherwise or to exercise any right or remedy against any other guarantor of, or collateral securing, any Secured Obligation;</w:t>
      </w:r>
    </w:p>
    <w:p>
      <w:pPr>
        <w:spacing w:after="0" w:line="140" w:lineRule="exact"/>
        <w:rPr>
          <w:rFonts w:ascii="Arial" w:cs="Arial" w:eastAsia="Arial" w:hAnsi="Arial"/>
          <w:sz w:val="18"/>
          <w:szCs w:val="18"/>
          <w:color w:val="auto"/>
        </w:rPr>
      </w:pPr>
    </w:p>
    <w:p>
      <w:pPr>
        <w:jc w:val="both"/>
        <w:ind w:firstLine="921"/>
        <w:spacing w:after="0" w:line="259" w:lineRule="auto"/>
        <w:tabs>
          <w:tab w:leader="none" w:pos="1167"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any change in the time, manner or place of payment of, or in any other term of, all or any of the Secured Obligations or any other extension, compromise or renewal of any Secured Obligation, including any increase in the Secured Obligations resulting from the extension of additional credit to any Pledgor or otherwise;</w:t>
      </w:r>
    </w:p>
    <w:p>
      <w:pPr>
        <w:spacing w:after="0" w:line="140" w:lineRule="exact"/>
        <w:rPr>
          <w:rFonts w:ascii="Arial" w:cs="Arial" w:eastAsia="Arial" w:hAnsi="Arial"/>
          <w:sz w:val="18"/>
          <w:szCs w:val="18"/>
          <w:color w:val="auto"/>
        </w:rPr>
      </w:pPr>
    </w:p>
    <w:p>
      <w:pPr>
        <w:jc w:val="both"/>
        <w:ind w:firstLine="921"/>
        <w:spacing w:after="0" w:line="256" w:lineRule="auto"/>
        <w:tabs>
          <w:tab w:leader="none" w:pos="1166"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any reduction, limitation, impairment or termination of any Secured Obligation for any reason, including any claim of waiver, release, surrender, alteration or compromise, and shall not be subject to (and each Pledgor hereby waives any right to or claim of) any defense or setoff, counterclaim, recoupment or termination whatsoever by reason of the invalidity, illegality, non-genuineness, irregularity, compromise, unenforceability of, or any other event or occurrence affecting, any Secured Obligation or otherwise;</w:t>
      </w:r>
    </w:p>
    <w:p>
      <w:pPr>
        <w:spacing w:after="0" w:line="143" w:lineRule="exact"/>
        <w:rPr>
          <w:rFonts w:ascii="Arial" w:cs="Arial" w:eastAsia="Arial" w:hAnsi="Arial"/>
          <w:sz w:val="18"/>
          <w:szCs w:val="18"/>
          <w:color w:val="auto"/>
        </w:rPr>
      </w:pPr>
    </w:p>
    <w:p>
      <w:pPr>
        <w:ind w:left="1160" w:hanging="239"/>
        <w:spacing w:after="0"/>
        <w:tabs>
          <w:tab w:leader="none" w:pos="1160" w:val="left"/>
        </w:tabs>
        <w:numPr>
          <w:ilvl w:val="0"/>
          <w:numId w:val="271"/>
        </w:numPr>
        <w:rPr>
          <w:rFonts w:ascii="Arial" w:cs="Arial" w:eastAsia="Arial" w:hAnsi="Arial"/>
          <w:sz w:val="16"/>
          <w:szCs w:val="16"/>
          <w:color w:val="auto"/>
        </w:rPr>
      </w:pPr>
      <w:r>
        <w:rPr>
          <w:rFonts w:ascii="Arial" w:cs="Arial" w:eastAsia="Arial" w:hAnsi="Arial"/>
          <w:sz w:val="16"/>
          <w:szCs w:val="16"/>
          <w:color w:val="auto"/>
        </w:rPr>
        <w:t>any amendment to, rescission, waiver, or other modification of, or any consent to departure from, any of the terms of any Loan Document;</w:t>
      </w:r>
    </w:p>
    <w:p>
      <w:pPr>
        <w:spacing w:after="0" w:line="194" w:lineRule="exact"/>
        <w:rPr>
          <w:rFonts w:ascii="Arial" w:cs="Arial" w:eastAsia="Arial" w:hAnsi="Arial"/>
          <w:sz w:val="16"/>
          <w:szCs w:val="16"/>
          <w:color w:val="auto"/>
        </w:rPr>
      </w:pPr>
    </w:p>
    <w:p>
      <w:pPr>
        <w:ind w:right="20" w:firstLine="921"/>
        <w:spacing w:after="0" w:line="268" w:lineRule="auto"/>
        <w:tabs>
          <w:tab w:leader="none" w:pos="1134"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any addition, exchange, release, surrender or non-perfection of any collateral (including the Collateral), or any amendment to or waiver or release of or addition to or consent to departure from any guaranty, for any of the Secured Obligations; or</w:t>
      </w:r>
    </w:p>
    <w:p>
      <w:pPr>
        <w:spacing w:after="0" w:line="131" w:lineRule="exact"/>
        <w:rPr>
          <w:rFonts w:ascii="Arial" w:cs="Arial" w:eastAsia="Arial" w:hAnsi="Arial"/>
          <w:sz w:val="18"/>
          <w:szCs w:val="18"/>
          <w:color w:val="auto"/>
        </w:rPr>
      </w:pPr>
    </w:p>
    <w:p>
      <w:pPr>
        <w:ind w:firstLine="921"/>
        <w:spacing w:after="0" w:line="268" w:lineRule="auto"/>
        <w:tabs>
          <w:tab w:leader="none" w:pos="119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any other circumstances which might otherwise constitute a defense available to, or a legal or equitable discharge of, any Loan Party, the Borrower, any other Pledgor or otherwise.</w:t>
      </w:r>
    </w:p>
    <w:p>
      <w:pPr>
        <w:spacing w:after="0" w:line="126" w:lineRule="exact"/>
        <w:rPr>
          <w:sz w:val="20"/>
          <w:szCs w:val="20"/>
          <w:color w:val="auto"/>
        </w:rPr>
      </w:pPr>
    </w:p>
    <w:p>
      <w:pPr>
        <w:jc w:val="both"/>
        <w:ind w:firstLine="456"/>
        <w:spacing w:after="0" w:line="296" w:lineRule="auto"/>
        <w:rPr>
          <w:sz w:val="20"/>
          <w:szCs w:val="20"/>
          <w:color w:val="auto"/>
        </w:rPr>
      </w:pPr>
      <w:r>
        <w:rPr>
          <w:rFonts w:ascii="Arial" w:cs="Arial" w:eastAsia="Arial" w:hAnsi="Arial"/>
          <w:sz w:val="16"/>
          <w:szCs w:val="16"/>
          <w:color w:val="auto"/>
        </w:rPr>
        <w:t xml:space="preserve">SECTION 2.7 </w:t>
      </w:r>
      <w:r>
        <w:rPr>
          <w:rFonts w:ascii="Arial" w:cs="Arial" w:eastAsia="Arial" w:hAnsi="Arial"/>
          <w:sz w:val="16"/>
          <w:szCs w:val="16"/>
          <w:b w:val="1"/>
          <w:bCs w:val="1"/>
          <w:color w:val="auto"/>
        </w:rPr>
        <w:t>Pledgors Remain Liable</w:t>
      </w:r>
      <w:r>
        <w:rPr>
          <w:rFonts w:ascii="Arial" w:cs="Arial" w:eastAsia="Arial" w:hAnsi="Arial"/>
          <w:sz w:val="16"/>
          <w:szCs w:val="16"/>
          <w:color w:val="auto"/>
        </w:rPr>
        <w:t>. Anything herein to the contrary notwithstanding (a) the exercise by the Administrative Agent of any of its rights hereunder shall not release any Pledgor from any of its duties or obligations under any contracts or agreements included in the Collateral and (b) neither the Administrative Agent nor any other Secured Party shall have any obligation or liability under any such contracts or agreements included in the Collateral by reason of this Agreement, nor shall the Administrative Agent or any other Secured Party be obligated to perform any of the obligations or duties of any Pledgor thereunder or to take any action to collect or enforce any claim for payment assigned hereunder.</w:t>
      </w:r>
    </w:p>
    <w:p>
      <w:pPr>
        <w:spacing w:after="0" w:line="108" w:lineRule="exact"/>
        <w:rPr>
          <w:sz w:val="20"/>
          <w:szCs w:val="20"/>
          <w:color w:val="auto"/>
        </w:rPr>
      </w:pPr>
    </w:p>
    <w:p>
      <w:pPr>
        <w:jc w:val="both"/>
        <w:ind w:firstLine="456"/>
        <w:spacing w:after="0" w:line="293" w:lineRule="auto"/>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b w:val="1"/>
          <w:bCs w:val="1"/>
          <w:color w:val="auto"/>
        </w:rPr>
        <w:t>Subrogation</w:t>
      </w:r>
      <w:r>
        <w:rPr>
          <w:rFonts w:ascii="Arial" w:cs="Arial" w:eastAsia="Arial" w:hAnsi="Arial"/>
          <w:sz w:val="16"/>
          <w:szCs w:val="16"/>
          <w:color w:val="auto"/>
        </w:rPr>
        <w:t>. Until the Termination Date, no Pledgor shall exercise any claim or other rights which it may now or hereafter acquire against any other Pledgor that arises from the existence, payment, performance or enforcement of such Pledgor’s obligations under this Agreement, including any right of subrogation, reimbursement, exoneration or indemnification, any right to participate in any claim or remedy against any other Pledgor or any collateral which the Administrative Agent now has or hereafter acquires, whether or not such claim, remedy or right arises in equity or under contract, statute or common law, including the right to take or receive from any other Pledgor, directly or indirectly, in cash or other property or by setoff or in any manner, payment or security on account of such claim or other rights. If any amount shall be paid to any Pledgor in violation of the preceding sentence, such amount shall be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420"/>
          </w:cols>
          <w:pgMar w:left="240" w:top="280" w:right="239" w:bottom="1440" w:gutter="0" w:footer="0" w:header="0"/>
        </w:sectPr>
      </w:pPr>
    </w:p>
    <w:bookmarkStart w:id="257" w:name="page258"/>
    <w:bookmarkEnd w:id="257"/>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deemed to have been paid for the benefit of the Secured Parties, and shall forthwith be paid to the Administrative Agent to be credited and applied upon the Secured Obligations, whether matured or unmatured. Each Pledgor acknowledges that it will receive direct and indirect benefits for the financing arrangements contemplated by the Loan Documents and that the agreement set forth in this Section is knowingly made in contemplation of such benefits.</w:t>
      </w:r>
    </w:p>
    <w:p>
      <w:pPr>
        <w:spacing w:after="0" w:line="101"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 xml:space="preserve">SECTION 2.9 </w:t>
      </w:r>
      <w:r>
        <w:rPr>
          <w:rFonts w:ascii="Arial" w:cs="Arial" w:eastAsia="Arial" w:hAnsi="Arial"/>
          <w:sz w:val="16"/>
          <w:szCs w:val="16"/>
          <w:b w:val="1"/>
          <w:bCs w:val="1"/>
          <w:color w:val="auto"/>
        </w:rPr>
        <w:t>Release; Termination</w:t>
      </w:r>
      <w:r>
        <w:rPr>
          <w:rFonts w:ascii="Arial" w:cs="Arial" w:eastAsia="Arial" w:hAnsi="Arial"/>
          <w:sz w:val="16"/>
          <w:szCs w:val="16"/>
          <w:color w:val="auto"/>
        </w:rPr>
        <w:t xml:space="preserve">. (a) Upon any sale, transfer or other disposition (direct or indirect) of any item of Collateral of any Pledgor in accordance with </w:t>
      </w:r>
      <w:r>
        <w:rPr>
          <w:rFonts w:ascii="Arial" w:cs="Arial" w:eastAsia="Arial" w:hAnsi="Arial"/>
          <w:sz w:val="16"/>
          <w:szCs w:val="16"/>
          <w:u w:val="single" w:color="auto"/>
          <w:color w:val="auto"/>
        </w:rPr>
        <w:t>Section 7.05</w:t>
      </w:r>
      <w:r>
        <w:rPr>
          <w:rFonts w:ascii="Arial" w:cs="Arial" w:eastAsia="Arial" w:hAnsi="Arial"/>
          <w:sz w:val="16"/>
          <w:szCs w:val="16"/>
          <w:color w:val="auto"/>
        </w:rPr>
        <w:t xml:space="preserve"> of the Credit Agreement, the Administrative Agent will, at such Pledgor’s expense and without any representations, warranties or recourse of any kind whatsoever, execute and deliver to such Pledgor such documents as such Pledgor shall reasonably request to evidence the release of such item of Collateral from the pledge, assignment and security interest granted 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at the time of such request and such release no Event of Default shall have occurred and be continuing, and (ii) such Pledgor shall have delivered to the Administrative Agent, at least five Business Days prior to the date of the proposed release, a written request for release describing the item of Collateral and the terms of the sale, lease, transfer or other disposition in reasonable detail, including, without limitation, the price thereof and any expenses in connection therewith, together with a form of release for execution by the Administrative Agent (which release shall be in form and substance satisfactory to the Administrative Agent) and a certificate of such Pledgor to the effect that the transaction is in compliance with the Loan Documents and as to such other matters as the Administrative Agent (or the Required Lenders through the Administrative Agent) may reasonably request.</w:t>
      </w:r>
    </w:p>
    <w:p>
      <w:pPr>
        <w:spacing w:after="0" w:line="121" w:lineRule="exact"/>
        <w:rPr>
          <w:sz w:val="20"/>
          <w:szCs w:val="20"/>
          <w:color w:val="auto"/>
        </w:rPr>
      </w:pPr>
    </w:p>
    <w:p>
      <w:pPr>
        <w:jc w:val="both"/>
        <w:ind w:firstLine="921"/>
        <w:spacing w:after="0" w:line="298" w:lineRule="auto"/>
        <w:tabs>
          <w:tab w:leader="none" w:pos="1163" w:val="left"/>
        </w:tabs>
        <w:numPr>
          <w:ilvl w:val="0"/>
          <w:numId w:val="272"/>
        </w:numPr>
        <w:rPr>
          <w:rFonts w:ascii="Arial" w:cs="Arial" w:eastAsia="Arial" w:hAnsi="Arial"/>
          <w:sz w:val="16"/>
          <w:szCs w:val="16"/>
          <w:color w:val="auto"/>
        </w:rPr>
      </w:pPr>
      <w:r>
        <w:rPr>
          <w:rFonts w:ascii="Arial" w:cs="Arial" w:eastAsia="Arial" w:hAnsi="Arial"/>
          <w:sz w:val="16"/>
          <w:szCs w:val="16"/>
          <w:color w:val="auto"/>
        </w:rPr>
        <w:t>Upon the Termination Date, the pledge, assignment and security interest granted hereby shall terminate and all rights to the Collateral shall revert to the applicable Pledgor. Upon any such termination, the Administrative Agent will, at the applicable Pledgor’s expense and without any representations, warranties or recourse of any kind whatsoever, execute and deliver to such Pledgor such documents as such Pledgor shall reasonably request to evidence such termination and deliver to such Pledgor all certificates and instruments representing or evidencing the Collateral then held by the Administrative Agent.</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w:t>
      </w:r>
    </w:p>
    <w:p>
      <w:pPr>
        <w:spacing w:after="0" w:line="16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Each Pledgor represents and warrants unto each Secured Party, as at the date of each pledge and delivery hereunder (including each pledge and delivery of a Pledged Equity Interest and each pledge and delivery of a Pledged Note) by such Pledgor to the Administrative Agent of any Collateral, as set forth in this Article.</w:t>
      </w:r>
    </w:p>
    <w:p>
      <w:pPr>
        <w:spacing w:after="0" w:line="134" w:lineRule="exact"/>
        <w:rPr>
          <w:sz w:val="20"/>
          <w:szCs w:val="20"/>
          <w:color w:val="auto"/>
        </w:rPr>
      </w:pPr>
    </w:p>
    <w:p>
      <w:pPr>
        <w:jc w:val="both"/>
        <w:ind w:firstLine="456"/>
        <w:spacing w:after="0" w:line="275"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b w:val="1"/>
          <w:bCs w:val="1"/>
          <w:color w:val="auto"/>
        </w:rPr>
        <w:t>Ownership; No Liens, etc</w:t>
      </w:r>
      <w:r>
        <w:rPr>
          <w:rFonts w:ascii="Arial" w:cs="Arial" w:eastAsia="Arial" w:hAnsi="Arial"/>
          <w:sz w:val="18"/>
          <w:szCs w:val="18"/>
          <w:color w:val="auto"/>
        </w:rPr>
        <w:t xml:space="preserve">. (a)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accurately identifies as of the date hereof and as of each date such Schedule is supplemented pursuant to </w:t>
      </w:r>
      <w:r>
        <w:rPr>
          <w:rFonts w:ascii="Arial" w:cs="Arial" w:eastAsia="Arial" w:hAnsi="Arial"/>
          <w:sz w:val="18"/>
          <w:szCs w:val="18"/>
          <w:u w:val="single" w:color="auto"/>
          <w:color w:val="auto"/>
        </w:rPr>
        <w:t>Section 4.1(b)</w:t>
      </w:r>
      <w:r>
        <w:rPr>
          <w:rFonts w:ascii="Arial" w:cs="Arial" w:eastAsia="Arial" w:hAnsi="Arial"/>
          <w:sz w:val="18"/>
          <w:szCs w:val="18"/>
          <w:color w:val="auto"/>
        </w:rPr>
        <w:t xml:space="preserve"> hereof each of the following:</w:t>
      </w:r>
    </w:p>
    <w:p>
      <w:pPr>
        <w:spacing w:after="0" w:line="126" w:lineRule="exact"/>
        <w:rPr>
          <w:sz w:val="20"/>
          <w:szCs w:val="20"/>
          <w:color w:val="auto"/>
        </w:rPr>
      </w:pPr>
    </w:p>
    <w:p>
      <w:pPr>
        <w:ind w:firstLine="1492"/>
        <w:spacing w:after="0" w:line="268" w:lineRule="auto"/>
        <w:tabs>
          <w:tab w:leader="none" w:pos="170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all shares of capital stock, membership interests, general and limited partnership interests and other Equity Interests in any Person (other than an Excluded Subsidiary that is not a Pledged Excluded Subsidiary) owned by such Pledgor; and</w:t>
      </w:r>
    </w:p>
    <w:p>
      <w:pPr>
        <w:spacing w:after="0" w:line="118" w:lineRule="exact"/>
        <w:rPr>
          <w:rFonts w:ascii="Arial" w:cs="Arial" w:eastAsia="Arial" w:hAnsi="Arial"/>
          <w:sz w:val="18"/>
          <w:szCs w:val="18"/>
          <w:color w:val="auto"/>
        </w:rPr>
      </w:pPr>
    </w:p>
    <w:p>
      <w:pPr>
        <w:ind w:left="5680" w:hanging="112"/>
        <w:spacing w:after="0"/>
        <w:tabs>
          <w:tab w:leader="none" w:pos="568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1420"/>
          </w:cols>
          <w:pgMar w:left="240" w:top="280" w:right="239" w:bottom="1440" w:gutter="0" w:footer="0" w:header="0"/>
        </w:sectPr>
      </w:pPr>
    </w:p>
    <w:bookmarkStart w:id="258" w:name="page259"/>
    <w:bookmarkEnd w:id="258"/>
    <w:p>
      <w:pPr>
        <w:ind w:right="20" w:firstLine="1492"/>
        <w:spacing w:after="0" w:line="268" w:lineRule="auto"/>
        <w:tabs>
          <w:tab w:leader="none" w:pos="1747" w:val="left"/>
        </w:tabs>
        <w:numPr>
          <w:ilvl w:val="1"/>
          <w:numId w:val="2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promissory notes (including Intercompany Notes) and debt securities of any other Person owned by such Pledgor and all outstanding loans and advances for borrowed money made by such Pledgor to any other Person.</w:t>
      </w:r>
    </w:p>
    <w:p>
      <w:pPr>
        <w:spacing w:after="0" w:line="131" w:lineRule="exact"/>
        <w:rPr>
          <w:rFonts w:ascii="Arial" w:cs="Arial" w:eastAsia="Arial" w:hAnsi="Arial"/>
          <w:sz w:val="18"/>
          <w:szCs w:val="18"/>
          <w:color w:val="auto"/>
        </w:rPr>
      </w:pPr>
    </w:p>
    <w:p>
      <w:pPr>
        <w:ind w:right="20" w:firstLine="921"/>
        <w:spacing w:after="0" w:line="332" w:lineRule="auto"/>
        <w:tabs>
          <w:tab w:leader="none" w:pos="1175" w:val="left"/>
        </w:tabs>
        <w:numPr>
          <w:ilvl w:val="0"/>
          <w:numId w:val="275"/>
        </w:numPr>
        <w:rPr>
          <w:rFonts w:ascii="Arial" w:cs="Arial" w:eastAsia="Arial" w:hAnsi="Arial"/>
          <w:sz w:val="16"/>
          <w:szCs w:val="16"/>
          <w:color w:val="auto"/>
        </w:rPr>
      </w:pPr>
      <w:r>
        <w:rPr>
          <w:rFonts w:ascii="Arial" w:cs="Arial" w:eastAsia="Arial" w:hAnsi="Arial"/>
          <w:sz w:val="16"/>
          <w:szCs w:val="16"/>
          <w:color w:val="auto"/>
        </w:rPr>
        <w:t>Such Pledgor is the legal and beneficial owner of, and has good and marketable title to (and has full right and authority to pledge and assign) such Collateral, free and clear of all Liens, except for this security interest granted pursuant hereto in favor of the Administrative Agent.</w:t>
      </w:r>
    </w:p>
    <w:p>
      <w:pPr>
        <w:spacing w:after="0" w:line="79"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b w:val="1"/>
          <w:bCs w:val="1"/>
          <w:color w:val="auto"/>
        </w:rPr>
        <w:t>Valid Security Interest</w:t>
      </w:r>
      <w:r>
        <w:rPr>
          <w:rFonts w:ascii="Arial" w:cs="Arial" w:eastAsia="Arial" w:hAnsi="Arial"/>
          <w:sz w:val="18"/>
          <w:szCs w:val="18"/>
          <w:color w:val="auto"/>
        </w:rPr>
        <w:t>. The delivery of such Collateral to the Administrative Agent is effective to create a valid, perfected, first priority security interest in such Collateral and all Proceeds thereof, subject to no other Liens, securing the payment of the Secured Obligations. No filing or other action will be necessary to perfect or protect such security interest.</w:t>
      </w:r>
    </w:p>
    <w:p>
      <w:pPr>
        <w:spacing w:after="0" w:line="132" w:lineRule="exact"/>
        <w:rPr>
          <w:sz w:val="20"/>
          <w:szCs w:val="20"/>
          <w:color w:val="auto"/>
        </w:rPr>
      </w:pPr>
    </w:p>
    <w:p>
      <w:pPr>
        <w:jc w:val="both"/>
        <w:ind w:firstLine="456"/>
        <w:spacing w:after="0" w:line="275"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b w:val="1"/>
          <w:bCs w:val="1"/>
          <w:color w:val="auto"/>
        </w:rPr>
        <w:t>As to Pledged Notes</w:t>
      </w:r>
      <w:r>
        <w:rPr>
          <w:rFonts w:ascii="Arial" w:cs="Arial" w:eastAsia="Arial" w:hAnsi="Arial"/>
          <w:sz w:val="18"/>
          <w:szCs w:val="18"/>
          <w:color w:val="auto"/>
        </w:rPr>
        <w:t>. Each Pledged Note has been duly authorized, executed, endorsed, issued and delivered, and is the legal, valid and binding obligation of the relevant Securities Issuer thereof, and is not in default.</w:t>
      </w:r>
    </w:p>
    <w:p>
      <w:pPr>
        <w:spacing w:after="0" w:line="120" w:lineRule="exact"/>
        <w:rPr>
          <w:sz w:val="20"/>
          <w:szCs w:val="20"/>
          <w:color w:val="auto"/>
        </w:rPr>
      </w:pPr>
    </w:p>
    <w:p>
      <w:pPr>
        <w:jc w:val="both"/>
        <w:ind w:firstLine="456"/>
        <w:spacing w:after="0" w:line="301" w:lineRule="auto"/>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b w:val="1"/>
          <w:bCs w:val="1"/>
          <w:color w:val="auto"/>
        </w:rPr>
        <w:t>As to Pledged Shares</w:t>
      </w:r>
      <w:r>
        <w:rPr>
          <w:rFonts w:ascii="Arial" w:cs="Arial" w:eastAsia="Arial" w:hAnsi="Arial"/>
          <w:sz w:val="16"/>
          <w:szCs w:val="16"/>
          <w:color w:val="auto"/>
        </w:rPr>
        <w:t>. In the case of any Pledged Share constituting such Collateral, all of such Pledged Shares are duly authorized and validly issued, fully paid, and non-assessable, and constitute 100% of the issued and outstanding voting capital stock and 100% of the non-voting shares of capital stock of each Securities Issuer thereof (or 100% of such lesser percentage as is permitted to be hereafter acquired pursuant to the terms of the Credit Agreement). The Pledgors have no Subsidiaries other than those set forth on Schedule 5.08 of the Credit Agreement.</w:t>
      </w:r>
    </w:p>
    <w:p>
      <w:pPr>
        <w:spacing w:after="0" w:line="103" w:lineRule="exact"/>
        <w:rPr>
          <w:sz w:val="20"/>
          <w:szCs w:val="20"/>
          <w:color w:val="auto"/>
        </w:rPr>
      </w:pPr>
    </w:p>
    <w:p>
      <w:pPr>
        <w:jc w:val="both"/>
        <w:ind w:firstLine="456"/>
        <w:spacing w:after="0" w:line="310" w:lineRule="auto"/>
        <w:rPr>
          <w:sz w:val="20"/>
          <w:szCs w:val="20"/>
          <w:color w:val="auto"/>
        </w:rPr>
      </w:pPr>
      <w:r>
        <w:rPr>
          <w:rFonts w:ascii="Arial" w:cs="Arial" w:eastAsia="Arial" w:hAnsi="Arial"/>
          <w:sz w:val="16"/>
          <w:szCs w:val="16"/>
          <w:color w:val="auto"/>
        </w:rPr>
        <w:t xml:space="preserve">SECTION 3.5 </w:t>
      </w:r>
      <w:r>
        <w:rPr>
          <w:rFonts w:ascii="Arial" w:cs="Arial" w:eastAsia="Arial" w:hAnsi="Arial"/>
          <w:sz w:val="16"/>
          <w:szCs w:val="16"/>
          <w:b w:val="1"/>
          <w:bCs w:val="1"/>
          <w:color w:val="auto"/>
        </w:rPr>
        <w:t>As to Pledged Membership Interests and Pledged Partnership Interests, etc</w:t>
      </w:r>
      <w:r>
        <w:rPr>
          <w:rFonts w:ascii="Arial" w:cs="Arial" w:eastAsia="Arial" w:hAnsi="Arial"/>
          <w:sz w:val="16"/>
          <w:szCs w:val="16"/>
          <w:color w:val="auto"/>
        </w:rPr>
        <w:t>. (a) In the case of any Pledged Membership Interests and Pledged Partnership Interests constituting a part of the Collateral, all of such Pledged Equity Interests are duly authorized and validly issued, fully paid, and non-assessable, and constitute all of the issued and outstanding Equity Interests held by such Pledgor in the applicable Securities Issuer.</w:t>
      </w:r>
    </w:p>
    <w:p>
      <w:pPr>
        <w:spacing w:after="0" w:line="103" w:lineRule="exact"/>
        <w:rPr>
          <w:sz w:val="20"/>
          <w:szCs w:val="20"/>
          <w:color w:val="auto"/>
        </w:rPr>
      </w:pPr>
    </w:p>
    <w:p>
      <w:pPr>
        <w:jc w:val="both"/>
        <w:ind w:firstLine="921"/>
        <w:spacing w:after="0" w:line="256" w:lineRule="auto"/>
        <w:tabs>
          <w:tab w:leader="none" w:pos="1163" w:val="left"/>
        </w:tabs>
        <w:numPr>
          <w:ilvl w:val="0"/>
          <w:numId w:val="276"/>
        </w:numPr>
        <w:rPr>
          <w:rFonts w:ascii="Arial" w:cs="Arial" w:eastAsia="Arial" w:hAnsi="Arial"/>
          <w:sz w:val="18"/>
          <w:szCs w:val="18"/>
          <w:color w:val="auto"/>
        </w:rPr>
      </w:pPr>
      <w:r>
        <w:rPr>
          <w:rFonts w:ascii="Arial" w:cs="Arial" w:eastAsia="Arial" w:hAnsi="Arial"/>
          <w:sz w:val="18"/>
          <w:szCs w:val="18"/>
          <w:color w:val="auto"/>
        </w:rPr>
        <w:t>Each LLC Agreement and Partnership Agreement to which such Pledgor is a party, true and complete copies of which have been furnished to the Administrative Agent, has been duly authorized, executed, and delivered by such Pledgor, has not been amended or otherwise modified except as permitted by the Credit Agreement, is in full force and effect, and is binding upon and enforceable against such Pledgor in accordance with its terms. There exists no default under any such LLC Agreement or Partnership Agreement by such Pledgor.</w:t>
      </w:r>
    </w:p>
    <w:p>
      <w:pPr>
        <w:spacing w:after="0" w:line="143" w:lineRule="exact"/>
        <w:rPr>
          <w:rFonts w:ascii="Arial" w:cs="Arial" w:eastAsia="Arial" w:hAnsi="Arial"/>
          <w:sz w:val="18"/>
          <w:szCs w:val="18"/>
          <w:color w:val="auto"/>
        </w:rPr>
      </w:pPr>
    </w:p>
    <w:p>
      <w:pPr>
        <w:jc w:val="both"/>
        <w:ind w:firstLine="921"/>
        <w:spacing w:after="0" w:line="259" w:lineRule="auto"/>
        <w:tabs>
          <w:tab w:leader="none" w:pos="1154" w:val="left"/>
        </w:tabs>
        <w:numPr>
          <w:ilvl w:val="0"/>
          <w:numId w:val="276"/>
        </w:numPr>
        <w:rPr>
          <w:rFonts w:ascii="Arial" w:cs="Arial" w:eastAsia="Arial" w:hAnsi="Arial"/>
          <w:sz w:val="18"/>
          <w:szCs w:val="18"/>
          <w:color w:val="auto"/>
        </w:rPr>
      </w:pPr>
      <w:r>
        <w:rPr>
          <w:rFonts w:ascii="Arial" w:cs="Arial" w:eastAsia="Arial" w:hAnsi="Arial"/>
          <w:sz w:val="18"/>
          <w:szCs w:val="18"/>
          <w:color w:val="auto"/>
        </w:rPr>
        <w:t>Each such LLC Agreement and Partnership Agreement, as the case may be, expressly provides that the Pledged Membership Interests or Pledged Partnership Interests, as the case may be, are not “securities” governed by Article 8 of applicable Uniform Commercial Code (or, if they are, Pledgors have delivered certificates representing such interest).</w:t>
      </w:r>
    </w:p>
    <w:p>
      <w:pPr>
        <w:spacing w:after="0" w:line="140" w:lineRule="exact"/>
        <w:rPr>
          <w:rFonts w:ascii="Arial" w:cs="Arial" w:eastAsia="Arial" w:hAnsi="Arial"/>
          <w:sz w:val="18"/>
          <w:szCs w:val="18"/>
          <w:color w:val="auto"/>
        </w:rPr>
      </w:pPr>
    </w:p>
    <w:p>
      <w:pPr>
        <w:ind w:firstLine="921"/>
        <w:spacing w:after="0" w:line="268" w:lineRule="auto"/>
        <w:tabs>
          <w:tab w:leader="none" w:pos="119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 xml:space="preserve">Such Pledgor’s Equity Interest in the applicable Securities Issuer is set forth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as supplemented from time pursuant to </w:t>
      </w:r>
      <w:r>
        <w:rPr>
          <w:rFonts w:ascii="Arial" w:cs="Arial" w:eastAsia="Arial" w:hAnsi="Arial"/>
          <w:sz w:val="18"/>
          <w:szCs w:val="18"/>
          <w:u w:val="single" w:color="auto"/>
          <w:color w:val="auto"/>
        </w:rPr>
        <w:t>Section 4.1(b)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Schedule I</w:t>
      </w:r>
      <w:r>
        <w:rPr>
          <w:rFonts w:ascii="Arial" w:cs="Arial" w:eastAsia="Arial" w:hAnsi="Arial"/>
          <w:sz w:val="18"/>
          <w:szCs w:val="18"/>
          <w:color w:val="auto"/>
        </w:rPr>
        <w:t>, as so supplemented, accurately reflects whether such Equity Interest is in certificated form.</w:t>
      </w:r>
    </w:p>
    <w:p>
      <w:pPr>
        <w:spacing w:after="0" w:line="118" w:lineRule="exact"/>
        <w:rPr>
          <w:rFonts w:ascii="Arial" w:cs="Arial" w:eastAsia="Arial" w:hAnsi="Arial"/>
          <w:sz w:val="18"/>
          <w:szCs w:val="18"/>
          <w:color w:val="auto"/>
        </w:rPr>
      </w:pPr>
    </w:p>
    <w:p>
      <w:pPr>
        <w:ind w:left="5680" w:hanging="112"/>
        <w:spacing w:after="0"/>
        <w:tabs>
          <w:tab w:leader="none" w:pos="568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1420"/>
          </w:cols>
          <w:pgMar w:left="240" w:top="280" w:right="239" w:bottom="1440" w:gutter="0" w:footer="0" w:header="0"/>
        </w:sectPr>
      </w:pPr>
    </w:p>
    <w:bookmarkStart w:id="259" w:name="page260"/>
    <w:bookmarkEnd w:id="259"/>
    <w:p>
      <w:pPr>
        <w:jc w:val="both"/>
        <w:ind w:firstLine="921"/>
        <w:spacing w:after="0" w:line="306" w:lineRule="auto"/>
        <w:tabs>
          <w:tab w:leader="none" w:pos="1170" w:val="left"/>
        </w:tabs>
        <w:numPr>
          <w:ilvl w:val="0"/>
          <w:numId w:val="27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Pledgor had and has the power and legal capacity to execute and carry out the provisions of all such LLC Agreements and Partnership Agreements, as the case may be, to which it is a party. Such Pledgor has substantially performed all of its obligations to date under all such LLC Agreements and Partnership Agreements, as the case may be, and has not received notice of the failure of any other party thereto to perform its obligations thereunder.</w:t>
      </w:r>
    </w:p>
    <w:p>
      <w:pPr>
        <w:spacing w:after="0" w:line="106" w:lineRule="exact"/>
        <w:rPr>
          <w:rFonts w:ascii="Arial" w:cs="Arial" w:eastAsia="Arial" w:hAnsi="Arial"/>
          <w:sz w:val="16"/>
          <w:szCs w:val="16"/>
          <w:color w:val="auto"/>
        </w:rPr>
      </w:pPr>
    </w:p>
    <w:p>
      <w:pPr>
        <w:ind w:left="1140" w:hanging="219"/>
        <w:spacing w:after="0"/>
        <w:tabs>
          <w:tab w:leader="none" w:pos="114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 xml:space="preserve">The state of organization of each Securities Issuer is as set forth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w:t>
      </w:r>
    </w:p>
    <w:p>
      <w:pPr>
        <w:spacing w:after="0" w:line="165"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b w:val="1"/>
          <w:bCs w:val="1"/>
          <w:color w:val="auto"/>
        </w:rPr>
        <w:t>Authorization, Approval, etc</w:t>
      </w:r>
      <w:r>
        <w:rPr>
          <w:rFonts w:ascii="Arial" w:cs="Arial" w:eastAsia="Arial" w:hAnsi="Arial"/>
          <w:sz w:val="18"/>
          <w:szCs w:val="18"/>
          <w:color w:val="auto"/>
        </w:rPr>
        <w:t>. No authorization, approval, or other action by, and no notice to or filing with, any Governmental Authority or any other Person is required (except those which have been obtained) either:</w:t>
      </w:r>
    </w:p>
    <w:p>
      <w:pPr>
        <w:spacing w:after="0" w:line="126" w:lineRule="exact"/>
        <w:rPr>
          <w:sz w:val="20"/>
          <w:szCs w:val="20"/>
          <w:color w:val="auto"/>
        </w:rPr>
      </w:pPr>
    </w:p>
    <w:p>
      <w:pPr>
        <w:ind w:left="1160" w:hanging="239"/>
        <w:spacing w:after="0"/>
        <w:tabs>
          <w:tab w:leader="none" w:pos="116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for the pledge by such Pledgor of any Collateral pursuant to this Agreement or for the execution, delivery, and performance of this Agreement by</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such Pledgor; or</w:t>
      </w:r>
    </w:p>
    <w:p>
      <w:pPr>
        <w:spacing w:after="0" w:line="164" w:lineRule="exact"/>
        <w:rPr>
          <w:rFonts w:ascii="Arial" w:cs="Arial" w:eastAsia="Arial" w:hAnsi="Arial"/>
          <w:sz w:val="16"/>
          <w:szCs w:val="16"/>
          <w:color w:val="auto"/>
        </w:rPr>
      </w:pPr>
    </w:p>
    <w:p>
      <w:pPr>
        <w:jc w:val="both"/>
        <w:ind w:firstLine="921"/>
        <w:spacing w:after="0" w:line="259" w:lineRule="auto"/>
        <w:tabs>
          <w:tab w:leader="none" w:pos="1186" w:val="left"/>
        </w:tabs>
        <w:numPr>
          <w:ilvl w:val="0"/>
          <w:numId w:val="278"/>
        </w:numPr>
        <w:rPr>
          <w:rFonts w:ascii="Arial" w:cs="Arial" w:eastAsia="Arial" w:hAnsi="Arial"/>
          <w:sz w:val="18"/>
          <w:szCs w:val="18"/>
          <w:color w:val="auto"/>
        </w:rPr>
      </w:pPr>
      <w:r>
        <w:rPr>
          <w:rFonts w:ascii="Arial" w:cs="Arial" w:eastAsia="Arial" w:hAnsi="Arial"/>
          <w:sz w:val="18"/>
          <w:szCs w:val="18"/>
          <w:color w:val="auto"/>
        </w:rPr>
        <w:t>for the exercise by the Administrative Agent of the voting or other rights provided for in this Agreement or the remedies in respect of the Collateral pursuant to this Agreement, except, with respect to the Pledged Equity Interests, as may be required in connection with a disposition of such Pledged Equity Interests by Laws affecting the offering and sale of securities generally.</w:t>
      </w:r>
    </w:p>
    <w:p>
      <w:pPr>
        <w:spacing w:after="0" w:line="134"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b w:val="1"/>
          <w:bCs w:val="1"/>
          <w:color w:val="auto"/>
        </w:rPr>
        <w:t>Excluded Subsidiaries</w:t>
      </w:r>
      <w:r>
        <w:rPr>
          <w:rFonts w:ascii="Arial" w:cs="Arial" w:eastAsia="Arial" w:hAnsi="Arial"/>
          <w:sz w:val="18"/>
          <w:szCs w:val="18"/>
          <w:color w:val="auto"/>
        </w:rPr>
        <w:t>. At all times during the Term of this Agreement, all Excluded Subsidiaries shall be direct or indirect Subsidiaries of a Subsidiary Guarantor. All Collateral in each Excluded Subsidiary that is a Domestic Subsidiary and that (a) directly owns at least a majority of the Equity Interests in any Foreign Subsidiary or (b) owns any IP Rights that could reasonably be expected to be material to the exercise by the Secured Parties of all or any material portion of their respective rights and remedies under the Loan Documents, including, without limitation, the Disposition of any of the “Collateral” (as defined in the Credit Agreement), has been, or will be no later than the date required under the Credit Agreement, pledged to the Administrative Agent, for the benefit of the Secured Parties, in accordance herewith.</w:t>
      </w:r>
    </w:p>
    <w:p>
      <w:pPr>
        <w:spacing w:after="0" w:line="139" w:lineRule="exact"/>
        <w:rPr>
          <w:sz w:val="20"/>
          <w:szCs w:val="20"/>
          <w:color w:val="auto"/>
        </w:rPr>
      </w:pPr>
    </w:p>
    <w:p>
      <w:pPr>
        <w:jc w:val="both"/>
        <w:ind w:right="20" w:firstLine="456"/>
        <w:spacing w:after="0" w:line="339" w:lineRule="auto"/>
        <w:rPr>
          <w:sz w:val="20"/>
          <w:szCs w:val="20"/>
          <w:color w:val="auto"/>
        </w:rPr>
      </w:pPr>
      <w:r>
        <w:rPr>
          <w:rFonts w:ascii="Arial" w:cs="Arial" w:eastAsia="Arial" w:hAnsi="Arial"/>
          <w:sz w:val="16"/>
          <w:szCs w:val="16"/>
          <w:color w:val="auto"/>
        </w:rPr>
        <w:t xml:space="preserve">SECTION 3.8 </w:t>
      </w:r>
      <w:r>
        <w:rPr>
          <w:rFonts w:ascii="Arial" w:cs="Arial" w:eastAsia="Arial" w:hAnsi="Arial"/>
          <w:sz w:val="16"/>
          <w:szCs w:val="16"/>
          <w:b w:val="1"/>
          <w:bCs w:val="1"/>
          <w:color w:val="auto"/>
        </w:rPr>
        <w:t>Loan Documents</w:t>
      </w:r>
      <w:r>
        <w:rPr>
          <w:rFonts w:ascii="Arial" w:cs="Arial" w:eastAsia="Arial" w:hAnsi="Arial"/>
          <w:sz w:val="16"/>
          <w:szCs w:val="16"/>
          <w:color w:val="auto"/>
        </w:rPr>
        <w:t>. Each Pledgor makes each representation and warranty made in each of the Loan Documents by the Parent or the Borrower or any other Loan Party with respect to such Pledgor as if such representation and warranty were expressly set forth herein.</w:t>
      </w:r>
    </w:p>
    <w:p>
      <w:pPr>
        <w:spacing w:after="0" w:line="24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ARTICLE IV</w:t>
      </w:r>
    </w:p>
    <w:p>
      <w:pPr>
        <w:spacing w:after="0" w:line="1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COVENANTS</w:t>
      </w:r>
    </w:p>
    <w:p>
      <w:pPr>
        <w:spacing w:after="0" w:line="165"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Each Pledgor covenants and agrees that, until the Termination Date, such Pledgor will, unless the Administrative Agent with the consent of the Required Lenders shall otherwise agree in writing, perform the obligations set forth in this Section.</w:t>
      </w:r>
    </w:p>
    <w:p>
      <w:pPr>
        <w:spacing w:after="0" w:line="126" w:lineRule="exact"/>
        <w:rPr>
          <w:sz w:val="20"/>
          <w:szCs w:val="20"/>
          <w:color w:val="auto"/>
        </w:rPr>
      </w:pPr>
    </w:p>
    <w:p>
      <w:pPr>
        <w:jc w:val="both"/>
        <w:ind w:right="20" w:firstLine="456"/>
        <w:spacing w:after="0" w:line="275"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b w:val="1"/>
          <w:bCs w:val="1"/>
          <w:color w:val="auto"/>
        </w:rPr>
        <w:t>Protect Collateral; Further Assurances, etc</w:t>
      </w:r>
      <w:r>
        <w:rPr>
          <w:rFonts w:ascii="Arial" w:cs="Arial" w:eastAsia="Arial" w:hAnsi="Arial"/>
          <w:sz w:val="18"/>
          <w:szCs w:val="18"/>
          <w:color w:val="auto"/>
        </w:rPr>
        <w:t>. (a) No Pledgor will create or suffer to exist any Lien on the Collateral (except a Lien in favor of the Administrative Agent and Permitted Liens). Each Pledgor will warrant and defend the right and title herein granted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420"/>
          </w:cols>
          <w:pgMar w:left="240" w:top="280" w:right="239" w:bottom="1440" w:gutter="0" w:footer="0" w:header="0"/>
        </w:sectPr>
      </w:pPr>
    </w:p>
    <w:bookmarkStart w:id="260" w:name="page261"/>
    <w:bookmarkEnd w:id="260"/>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unto the Administrative Agent in and to the Collateral (and all right, title, and interest represented by the Collateral) against the claims and demands of all Persons whomsoever except the holders of Permitted Liens.</w:t>
      </w:r>
    </w:p>
    <w:p>
      <w:pPr>
        <w:spacing w:after="0" w:line="132" w:lineRule="exact"/>
        <w:rPr>
          <w:sz w:val="20"/>
          <w:szCs w:val="20"/>
          <w:color w:val="auto"/>
        </w:rPr>
      </w:pPr>
    </w:p>
    <w:p>
      <w:pPr>
        <w:jc w:val="both"/>
        <w:ind w:firstLine="921"/>
        <w:spacing w:after="0" w:line="288" w:lineRule="auto"/>
        <w:tabs>
          <w:tab w:leader="none" w:pos="1166" w:val="left"/>
        </w:tabs>
        <w:numPr>
          <w:ilvl w:val="0"/>
          <w:numId w:val="279"/>
        </w:numPr>
        <w:rPr>
          <w:rFonts w:ascii="Arial" w:cs="Arial" w:eastAsia="Arial" w:hAnsi="Arial"/>
          <w:sz w:val="16"/>
          <w:szCs w:val="16"/>
          <w:color w:val="auto"/>
        </w:rPr>
      </w:pPr>
      <w:r>
        <w:rPr>
          <w:rFonts w:ascii="Arial" w:cs="Arial" w:eastAsia="Arial" w:hAnsi="Arial"/>
          <w:sz w:val="16"/>
          <w:szCs w:val="16"/>
          <w:color w:val="auto"/>
        </w:rPr>
        <w:t xml:space="preserve">Promptly following any Investment made by any Pledgor in any other Person (other than an Excluded Subsidiary that is not a Pledged Excluded Subsidiary and other than Minority Equity Interests) after the date hereof which is not described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and, in any case, not later than the next date thereafter on which the Borrower is required to deliver a Compliance Certificate pursuant to </w:t>
      </w:r>
      <w:r>
        <w:rPr>
          <w:rFonts w:ascii="Arial" w:cs="Arial" w:eastAsia="Arial" w:hAnsi="Arial"/>
          <w:sz w:val="16"/>
          <w:szCs w:val="16"/>
          <w:u w:val="single" w:color="auto"/>
          <w:color w:val="auto"/>
        </w:rPr>
        <w:t>Section 6.02(b)</w:t>
      </w:r>
      <w:r>
        <w:rPr>
          <w:rFonts w:ascii="Arial" w:cs="Arial" w:eastAsia="Arial" w:hAnsi="Arial"/>
          <w:sz w:val="16"/>
          <w:szCs w:val="16"/>
          <w:color w:val="auto"/>
        </w:rPr>
        <w:t xml:space="preserve"> of the Credit Agreement, the Borrower, on behalf of such Pledgor, shall deliver a supplement to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which supplement shall accurately describe such Investment, together with a certificate of a Responsible Officer certifying that, as of the date thereof and after giving effect to the supplement to such schedule delivered therewith, the representations and warranties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hereof are true and correct. Following receipt by any Pledgor of any promissory note or certificate evidencing any such Investment made by any Pledgor in any such Person which has not been delivered by such Pledgor to the Administrative Agent in pledge hereunder, such Pledgor shall deliver such promissory note or other certificate to the Administrative Agent, indorsed and accompanied by instruments of transfer or assignment as contemplated by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hereof.</w:t>
      </w:r>
    </w:p>
    <w:p>
      <w:pPr>
        <w:spacing w:after="0" w:line="119" w:lineRule="exact"/>
        <w:rPr>
          <w:rFonts w:ascii="Arial" w:cs="Arial" w:eastAsia="Arial" w:hAnsi="Arial"/>
          <w:sz w:val="16"/>
          <w:szCs w:val="16"/>
          <w:color w:val="auto"/>
        </w:rPr>
      </w:pPr>
    </w:p>
    <w:p>
      <w:pPr>
        <w:jc w:val="both"/>
        <w:ind w:firstLine="921"/>
        <w:spacing w:after="0" w:line="256" w:lineRule="auto"/>
        <w:tabs>
          <w:tab w:leader="none" w:pos="11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Each Pledgor agrees that at any time, and from time to time, at the expense of such Pledgor, such Pledgor will promptly execute and deliver all further instruments, and take all further action, that may be necessary, or that the Administrative Agent may reasonably request, in order to perfect and protect any security interest granted or purported to be granted hereby or to enable the Administrative Agent to exercise and enforce its rights and remedies hereunder with respect to any Collateral.</w:t>
      </w:r>
    </w:p>
    <w:p>
      <w:pPr>
        <w:spacing w:after="0" w:line="143" w:lineRule="exact"/>
        <w:rPr>
          <w:rFonts w:ascii="Arial" w:cs="Arial" w:eastAsia="Arial" w:hAnsi="Arial"/>
          <w:sz w:val="18"/>
          <w:szCs w:val="18"/>
          <w:color w:val="auto"/>
        </w:rPr>
      </w:pPr>
    </w:p>
    <w:p>
      <w:pPr>
        <w:ind w:firstLine="921"/>
        <w:spacing w:after="0" w:line="268" w:lineRule="auto"/>
        <w:tabs>
          <w:tab w:leader="none" w:pos="1173" w:val="left"/>
        </w:tabs>
        <w:numPr>
          <w:ilvl w:val="0"/>
          <w:numId w:val="279"/>
        </w:numPr>
        <w:rPr>
          <w:rFonts w:ascii="Arial" w:cs="Arial" w:eastAsia="Arial" w:hAnsi="Arial"/>
          <w:sz w:val="18"/>
          <w:szCs w:val="18"/>
          <w:color w:val="auto"/>
        </w:rPr>
      </w:pPr>
      <w:r>
        <w:rPr>
          <w:rFonts w:ascii="Arial" w:cs="Arial" w:eastAsia="Arial" w:hAnsi="Arial"/>
          <w:sz w:val="18"/>
          <w:szCs w:val="18"/>
          <w:color w:val="auto"/>
        </w:rPr>
        <w:t>Each Pledgor will not permit any Securities Issuer of any Pledged Equity Interests pledged by such Pledgor hereunder to issue any certificated Equity Interest unless the same.</w:t>
      </w:r>
    </w:p>
    <w:p>
      <w:pPr>
        <w:spacing w:after="0" w:line="126"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b w:val="1"/>
          <w:bCs w:val="1"/>
          <w:color w:val="auto"/>
        </w:rPr>
        <w:t>Powers, Control, etc</w:t>
      </w:r>
      <w:r>
        <w:rPr>
          <w:rFonts w:ascii="Arial" w:cs="Arial" w:eastAsia="Arial" w:hAnsi="Arial"/>
          <w:sz w:val="18"/>
          <w:szCs w:val="18"/>
          <w:color w:val="auto"/>
        </w:rPr>
        <w:t>. (a) Each Pledgor agrees that all certificated Pledged Equity Interests (and all other certificated Equity Interests constituting Collateral) delivered by such Pledgor pursuant to this Agreement will be accompanied by duly executed undated blank powers, or other equivalent instruments of transfer reasonably acceptable to the Administrative Agent.</w:t>
      </w:r>
    </w:p>
    <w:p>
      <w:pPr>
        <w:spacing w:after="0" w:line="138" w:lineRule="exact"/>
        <w:rPr>
          <w:sz w:val="20"/>
          <w:szCs w:val="20"/>
          <w:color w:val="auto"/>
        </w:rPr>
      </w:pPr>
    </w:p>
    <w:p>
      <w:pPr>
        <w:jc w:val="both"/>
        <w:ind w:firstLine="921"/>
        <w:spacing w:after="0" w:line="286" w:lineRule="auto"/>
        <w:tabs>
          <w:tab w:leader="none" w:pos="1170" w:val="left"/>
        </w:tabs>
        <w:numPr>
          <w:ilvl w:val="1"/>
          <w:numId w:val="280"/>
        </w:numPr>
        <w:rPr>
          <w:rFonts w:ascii="Arial" w:cs="Arial" w:eastAsia="Arial" w:hAnsi="Arial"/>
          <w:sz w:val="16"/>
          <w:szCs w:val="16"/>
          <w:color w:val="auto"/>
        </w:rPr>
      </w:pPr>
      <w:r>
        <w:rPr>
          <w:rFonts w:ascii="Arial" w:cs="Arial" w:eastAsia="Arial" w:hAnsi="Arial"/>
          <w:sz w:val="16"/>
          <w:szCs w:val="16"/>
          <w:color w:val="auto"/>
        </w:rPr>
        <w:t>With respect to any Pledged Equity Interests in which any Pledgor has any right, title or interest and that constitutes an uncertificated security, such Pledgor will cause the applicable Securities Issuer either (i) to register the Administrative Agent as the registered owner of such Pledged Equity Interest or</w:t>
      </w:r>
    </w:p>
    <w:p>
      <w:pPr>
        <w:jc w:val="both"/>
        <w:ind w:firstLine="8"/>
        <w:spacing w:after="0" w:line="295" w:lineRule="auto"/>
        <w:tabs>
          <w:tab w:leader="none" w:pos="274" w:val="left"/>
        </w:tabs>
        <w:numPr>
          <w:ilvl w:val="0"/>
          <w:numId w:val="281"/>
        </w:numPr>
        <w:rPr>
          <w:rFonts w:ascii="Arial" w:cs="Arial" w:eastAsia="Arial" w:hAnsi="Arial"/>
          <w:sz w:val="16"/>
          <w:szCs w:val="16"/>
          <w:color w:val="auto"/>
        </w:rPr>
      </w:pPr>
      <w:r>
        <w:rPr>
          <w:rFonts w:ascii="Arial" w:cs="Arial" w:eastAsia="Arial" w:hAnsi="Arial"/>
          <w:sz w:val="16"/>
          <w:szCs w:val="16"/>
          <w:color w:val="auto"/>
        </w:rPr>
        <w:t>to deliver a written acknowledgement and agreement to the Administrative Agent (A) to acknowledge the security interest of the Administrative Agent in such Pledged Equity Interest granted hereunder, (B) to confirm that such Securities Issuer has marked the company register for such Pledged Equity Interest or other applicable records to reflect such security interest of the Administrative Agent, (C) to confirm to the Administrative Agent that it has not received notice of any other Lien in such Pledged Equity Interest (and has not agreed to accept instructions from any other Person in respect of such Pledged Equity</w:t>
      </w:r>
    </w:p>
    <w:p>
      <w:pPr>
        <w:spacing w:after="0" w:line="101" w:lineRule="exact"/>
        <w:rPr>
          <w:rFonts w:ascii="Arial" w:cs="Arial" w:eastAsia="Arial" w:hAnsi="Arial"/>
          <w:sz w:val="16"/>
          <w:szCs w:val="16"/>
          <w:color w:val="auto"/>
        </w:rPr>
      </w:pPr>
    </w:p>
    <w:p>
      <w:pPr>
        <w:ind w:left="5620" w:hanging="96"/>
        <w:spacing w:after="0"/>
        <w:tabs>
          <w:tab w:leader="none" w:pos="5620" w:val="left"/>
        </w:tabs>
        <w:numPr>
          <w:ilvl w:val="2"/>
          <w:numId w:val="281"/>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1420"/>
          </w:cols>
          <w:pgMar w:left="240" w:top="280" w:right="239" w:bottom="1440" w:gutter="0" w:footer="0" w:header="0"/>
        </w:sectPr>
      </w:pPr>
    </w:p>
    <w:bookmarkStart w:id="261" w:name="page262"/>
    <w:bookmarkEnd w:id="261"/>
    <w:p>
      <w:pPr>
        <w:jc w:val="both"/>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Interest and will not accept or execute any instructions to transfer ownership of such Pledged Equity Interest unless consented to in writing by the Administrative Agent) and (D) to agree with such Pledgor and the Administrative Agent that, after the occurrence and during the continuation of an Event of Default, such Securities Issuer will comply with instructions with respect to such Pledged Equity Interest originated by the Administrative Agent without further consent of such Pledgor, such acknowledgement and agreement to be in form and substance reasonably satisfactory to the Administrative Agent.</w:t>
      </w:r>
    </w:p>
    <w:p>
      <w:pPr>
        <w:spacing w:after="0" w:line="113" w:lineRule="exact"/>
        <w:rPr>
          <w:sz w:val="20"/>
          <w:szCs w:val="20"/>
          <w:color w:val="auto"/>
        </w:rPr>
      </w:pPr>
    </w:p>
    <w:p>
      <w:pPr>
        <w:ind w:left="1180" w:hanging="259"/>
        <w:spacing w:after="0"/>
        <w:tabs>
          <w:tab w:leader="none" w:pos="1180" w:val="left"/>
        </w:tabs>
        <w:numPr>
          <w:ilvl w:val="1"/>
          <w:numId w:val="282"/>
        </w:numPr>
        <w:rPr>
          <w:rFonts w:ascii="Arial" w:cs="Arial" w:eastAsia="Arial" w:hAnsi="Arial"/>
          <w:sz w:val="16"/>
          <w:szCs w:val="16"/>
          <w:color w:val="auto"/>
        </w:rPr>
      </w:pPr>
      <w:r>
        <w:rPr>
          <w:rFonts w:ascii="Arial" w:cs="Arial" w:eastAsia="Arial" w:hAnsi="Arial"/>
          <w:sz w:val="16"/>
          <w:szCs w:val="16"/>
          <w:color w:val="auto"/>
        </w:rPr>
        <w:t>Each Pledgor which is the Securities Issuer of any Pledged Equity Interests in which any other Pledgor has any right, title, or interest, hereby</w:t>
      </w:r>
    </w:p>
    <w:p>
      <w:pPr>
        <w:spacing w:after="0" w:line="38" w:lineRule="exact"/>
        <w:rPr>
          <w:rFonts w:ascii="Arial" w:cs="Arial" w:eastAsia="Arial" w:hAnsi="Arial"/>
          <w:sz w:val="16"/>
          <w:szCs w:val="16"/>
          <w:color w:val="auto"/>
        </w:rPr>
      </w:pPr>
    </w:p>
    <w:p>
      <w:pPr>
        <w:jc w:val="both"/>
        <w:ind w:firstLine="8"/>
        <w:spacing w:after="0" w:line="281" w:lineRule="auto"/>
        <w:tabs>
          <w:tab w:leader="none" w:pos="216" w:val="left"/>
        </w:tabs>
        <w:numPr>
          <w:ilvl w:val="0"/>
          <w:numId w:val="283"/>
        </w:numPr>
        <w:rPr>
          <w:rFonts w:ascii="Arial" w:cs="Arial" w:eastAsia="Arial" w:hAnsi="Arial"/>
          <w:sz w:val="16"/>
          <w:szCs w:val="16"/>
          <w:color w:val="auto"/>
        </w:rPr>
      </w:pPr>
      <w:r>
        <w:rPr>
          <w:rFonts w:ascii="Arial" w:cs="Arial" w:eastAsia="Arial" w:hAnsi="Arial"/>
          <w:sz w:val="16"/>
          <w:szCs w:val="16"/>
          <w:color w:val="auto"/>
        </w:rPr>
        <w:t>acknowledges the security interest of the Administrative Agent in such Pledged Equity Interests granted by such other Pledgor hereunder, (ii) confirms that it has marked its register for such Pledged Equity Interests or other applicable company records to reflect such security interest of the Administrative Agent,</w:t>
      </w:r>
    </w:p>
    <w:p>
      <w:pPr>
        <w:spacing w:after="0" w:line="1" w:lineRule="exact"/>
        <w:rPr>
          <w:rFonts w:ascii="Arial" w:cs="Arial" w:eastAsia="Arial" w:hAnsi="Arial"/>
          <w:sz w:val="16"/>
          <w:szCs w:val="16"/>
          <w:color w:val="auto"/>
        </w:rPr>
      </w:pPr>
    </w:p>
    <w:p>
      <w:pPr>
        <w:jc w:val="both"/>
        <w:ind w:firstLine="8"/>
        <w:spacing w:after="0" w:line="287" w:lineRule="auto"/>
        <w:tabs>
          <w:tab w:leader="none" w:pos="310" w:val="left"/>
        </w:tabs>
        <w:numPr>
          <w:ilvl w:val="0"/>
          <w:numId w:val="284"/>
        </w:numPr>
        <w:rPr>
          <w:rFonts w:ascii="Arial" w:cs="Arial" w:eastAsia="Arial" w:hAnsi="Arial"/>
          <w:sz w:val="16"/>
          <w:szCs w:val="16"/>
          <w:color w:val="auto"/>
        </w:rPr>
      </w:pPr>
      <w:r>
        <w:rPr>
          <w:rFonts w:ascii="Arial" w:cs="Arial" w:eastAsia="Arial" w:hAnsi="Arial"/>
          <w:sz w:val="16"/>
          <w:szCs w:val="16"/>
          <w:color w:val="auto"/>
        </w:rPr>
        <w:t>confirms that it has not received notice of any other Lien in such Pledged Equity Interests (and has not agreed to accept instructions from any other person in respect of such Pledged Equity Interests and will not accept or execute any instructions to transfer ownership of such Pledged Equity Interest unless consented to in writing by the Administrative Agent), (iv) agrees that it will comply with the instructions with respect to such Pledged Equity Interests originated by the Administrative Agent without further consent of such other Pledgor and (v) unless the Partnership Agreement or LLC Agreement, as the case may be, of any such Pledgor already so provides on the date such Pledgor becomes a party to this Agreement, agrees to promptly prepare, execute and deliver to each of its partners or members, as the case may be, any amendment or supplement to such Partnership Agreement or LLC Agreement, as the case may be, as may be necessary to expressly provide that the Equity Interests of such Pledgor are not “securities” governed by Article 8 of the applicable Uniform Commercial Code (or if such Equity Interests are such securities, Pledgor shall deliver certificates therefore) (and each Pledgor which is a partner or member of such Pledgor shall promptly execute and deliver such amendment).</w:t>
      </w:r>
    </w:p>
    <w:p>
      <w:pPr>
        <w:spacing w:after="0" w:line="120" w:lineRule="exact"/>
        <w:rPr>
          <w:rFonts w:ascii="Arial" w:cs="Arial" w:eastAsia="Arial" w:hAnsi="Arial"/>
          <w:sz w:val="16"/>
          <w:szCs w:val="16"/>
          <w:color w:val="auto"/>
        </w:rPr>
      </w:pPr>
    </w:p>
    <w:p>
      <w:pPr>
        <w:jc w:val="both"/>
        <w:ind w:firstLine="921"/>
        <w:spacing w:after="0" w:line="298" w:lineRule="auto"/>
        <w:tabs>
          <w:tab w:leader="none" w:pos="1171" w:val="left"/>
        </w:tabs>
        <w:numPr>
          <w:ilvl w:val="1"/>
          <w:numId w:val="284"/>
        </w:numPr>
        <w:rPr>
          <w:rFonts w:ascii="Arial" w:cs="Arial" w:eastAsia="Arial" w:hAnsi="Arial"/>
          <w:sz w:val="16"/>
          <w:szCs w:val="16"/>
          <w:color w:val="auto"/>
        </w:rPr>
      </w:pPr>
      <w:r>
        <w:rPr>
          <w:rFonts w:ascii="Arial" w:cs="Arial" w:eastAsia="Arial" w:hAnsi="Arial"/>
          <w:sz w:val="16"/>
          <w:szCs w:val="16"/>
          <w:color w:val="auto"/>
        </w:rPr>
        <w:t>Each Pledgor will, from time to time upon the request of the Administrative Agent, promptly deliver to the Administrative Agent such powers, instruments, and similar documents, satisfactory in form and substance to the Administrative Agent, with respect to the Collateral as the Administrative Agent may reasonably request and will, from time to time upon the request of the Administrative Agent after the occurrence of any Event of Default, promptly transfer any Pledged Equity Interests or other Equity Interests constituting Collateral into the name of any nominee designated by the Administrative Agent.</w:t>
      </w:r>
    </w:p>
    <w:p>
      <w:pPr>
        <w:spacing w:after="0" w:line="107" w:lineRule="exact"/>
        <w:rPr>
          <w:sz w:val="20"/>
          <w:szCs w:val="20"/>
          <w:color w:val="auto"/>
        </w:rPr>
      </w:pPr>
    </w:p>
    <w:p>
      <w:pPr>
        <w:jc w:val="both"/>
        <w:ind w:firstLine="456"/>
        <w:spacing w:after="0" w:line="301"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b w:val="1"/>
          <w:bCs w:val="1"/>
          <w:color w:val="auto"/>
        </w:rPr>
        <w:t>Continuous Pledge</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2.9</w:t>
      </w:r>
      <w:r>
        <w:rPr>
          <w:rFonts w:ascii="Arial" w:cs="Arial" w:eastAsia="Arial" w:hAnsi="Arial"/>
          <w:sz w:val="16"/>
          <w:szCs w:val="16"/>
          <w:color w:val="auto"/>
        </w:rPr>
        <w:t>, each Pledgor will, at all times, keep pledged to the Administrative Agent pursuant hereto all Pledged Equity Interests and all other Equity Interests constituting Collateral, all Dividends and Distributions with respect thereto, all Pledged Notes, all interest, principal and other proceeds received by the Administrative Agent with respect to the Pledged Notes, and all other Collateral and other securities, instruments, proceeds, and rights from time to time received by or distributable to such Pledgor in respect of any Collateral.</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420"/>
          </w:cols>
          <w:pgMar w:left="240" w:top="280" w:right="239" w:bottom="1440" w:gutter="0" w:footer="0" w:header="0"/>
        </w:sectPr>
      </w:pPr>
    </w:p>
    <w:bookmarkStart w:id="262" w:name="page263"/>
    <w:bookmarkEnd w:id="26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4.4 </w:t>
      </w:r>
      <w:r>
        <w:rPr>
          <w:rFonts w:ascii="Arial" w:cs="Arial" w:eastAsia="Arial" w:hAnsi="Arial"/>
          <w:sz w:val="18"/>
          <w:szCs w:val="18"/>
          <w:b w:val="1"/>
          <w:bCs w:val="1"/>
          <w:color w:val="auto"/>
        </w:rPr>
        <w:t>Voting Rights; Dividends, etc</w:t>
      </w:r>
      <w:r>
        <w:rPr>
          <w:rFonts w:ascii="Arial" w:cs="Arial" w:eastAsia="Arial" w:hAnsi="Arial"/>
          <w:sz w:val="18"/>
          <w:szCs w:val="18"/>
          <w:color w:val="auto"/>
        </w:rPr>
        <w:t>. Each Pledgor agrees:</w:t>
      </w:r>
    </w:p>
    <w:p>
      <w:pPr>
        <w:spacing w:after="0" w:line="177" w:lineRule="exact"/>
        <w:rPr>
          <w:sz w:val="20"/>
          <w:szCs w:val="20"/>
          <w:color w:val="auto"/>
        </w:rPr>
      </w:pPr>
    </w:p>
    <w:p>
      <w:pPr>
        <w:jc w:val="both"/>
        <w:ind w:firstLine="921"/>
        <w:spacing w:after="0" w:line="256" w:lineRule="auto"/>
        <w:tabs>
          <w:tab w:leader="none" w:pos="1153" w:val="left"/>
        </w:tabs>
        <w:numPr>
          <w:ilvl w:val="0"/>
          <w:numId w:val="285"/>
        </w:numPr>
        <w:rPr>
          <w:rFonts w:ascii="Arial" w:cs="Arial" w:eastAsia="Arial" w:hAnsi="Arial"/>
          <w:sz w:val="18"/>
          <w:szCs w:val="18"/>
          <w:color w:val="auto"/>
        </w:rPr>
      </w:pPr>
      <w:r>
        <w:rPr>
          <w:rFonts w:ascii="Arial" w:cs="Arial" w:eastAsia="Arial" w:hAnsi="Arial"/>
          <w:sz w:val="18"/>
          <w:szCs w:val="18"/>
          <w:color w:val="auto"/>
        </w:rPr>
        <w:t xml:space="preserve">after any Event of Default shall have occurred and be continuing, promptly upon receipt thereof by such Pledgor and without any request therefor by the Administrative Agent, to deliver (properly indorsed where required hereby or requested by the Administrative Agent) to the Administrative Agent all Dividends, Distributions, interest, principal, other cash payments, and proceeds of the Collateral, all of which shall be held by the Administrative Agent as additional Collateral for use in accordance with </w:t>
      </w:r>
      <w:r>
        <w:rPr>
          <w:rFonts w:ascii="Arial" w:cs="Arial" w:eastAsia="Arial" w:hAnsi="Arial"/>
          <w:sz w:val="18"/>
          <w:szCs w:val="18"/>
          <w:u w:val="single" w:color="auto"/>
          <w:color w:val="auto"/>
        </w:rPr>
        <w:t>Section 6.4</w:t>
      </w:r>
      <w:r>
        <w:rPr>
          <w:rFonts w:ascii="Arial" w:cs="Arial" w:eastAsia="Arial" w:hAnsi="Arial"/>
          <w:sz w:val="18"/>
          <w:szCs w:val="18"/>
          <w:color w:val="auto"/>
        </w:rPr>
        <w:t>; and</w:t>
      </w:r>
    </w:p>
    <w:p>
      <w:pPr>
        <w:spacing w:after="0" w:line="143" w:lineRule="exact"/>
        <w:rPr>
          <w:rFonts w:ascii="Arial" w:cs="Arial" w:eastAsia="Arial" w:hAnsi="Arial"/>
          <w:sz w:val="18"/>
          <w:szCs w:val="18"/>
          <w:color w:val="auto"/>
        </w:rPr>
      </w:pPr>
    </w:p>
    <w:p>
      <w:pPr>
        <w:ind w:firstLine="921"/>
        <w:spacing w:after="0" w:line="268" w:lineRule="auto"/>
        <w:tabs>
          <w:tab w:leader="none" w:pos="1171"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after any Event of Default shall have occurred and be continuing and the Administrative Agent has notified such Pledgor of the Administrative Agent’s intention to exercise its voting power under this clause:</w:t>
      </w:r>
    </w:p>
    <w:p>
      <w:pPr>
        <w:spacing w:after="0" w:line="131" w:lineRule="exact"/>
        <w:rPr>
          <w:rFonts w:ascii="Arial" w:cs="Arial" w:eastAsia="Arial" w:hAnsi="Arial"/>
          <w:sz w:val="18"/>
          <w:szCs w:val="18"/>
          <w:color w:val="auto"/>
        </w:rPr>
      </w:pPr>
    </w:p>
    <w:p>
      <w:pPr>
        <w:jc w:val="both"/>
        <w:ind w:firstLine="1492"/>
        <w:spacing w:after="0" w:line="306" w:lineRule="auto"/>
        <w:tabs>
          <w:tab w:leader="none" w:pos="1705" w:val="left"/>
        </w:tabs>
        <w:numPr>
          <w:ilvl w:val="1"/>
          <w:numId w:val="285"/>
        </w:numPr>
        <w:rPr>
          <w:rFonts w:ascii="Arial" w:cs="Arial" w:eastAsia="Arial" w:hAnsi="Arial"/>
          <w:sz w:val="16"/>
          <w:szCs w:val="16"/>
          <w:color w:val="auto"/>
        </w:rPr>
      </w:pPr>
      <w:r>
        <w:rPr>
          <w:rFonts w:ascii="Arial" w:cs="Arial" w:eastAsia="Arial" w:hAnsi="Arial"/>
          <w:sz w:val="16"/>
          <w:szCs w:val="16"/>
          <w:color w:val="auto"/>
        </w:rPr>
        <w:t>the Administrative Agent may exercise (to the exclusion of such Pledgor) the voting power and all other incidental rights of ownership with respect to any Pledged Equity Interests or other Equity Interests constituting Collateral and such Pledgor hereby grants the Administrative Agent an irrevocable proxy, exercisable under such circumstances, to vote the Pledged Equity Interests and such other Collateral; and</w:t>
      </w:r>
    </w:p>
    <w:p>
      <w:pPr>
        <w:spacing w:after="0" w:line="106" w:lineRule="exact"/>
        <w:rPr>
          <w:rFonts w:ascii="Arial" w:cs="Arial" w:eastAsia="Arial" w:hAnsi="Arial"/>
          <w:sz w:val="16"/>
          <w:szCs w:val="16"/>
          <w:color w:val="auto"/>
        </w:rPr>
      </w:pPr>
    </w:p>
    <w:p>
      <w:pPr>
        <w:ind w:right="20" w:firstLine="1492"/>
        <w:spacing w:after="0" w:line="268" w:lineRule="auto"/>
        <w:tabs>
          <w:tab w:leader="none" w:pos="1757" w:val="left"/>
        </w:tabs>
        <w:numPr>
          <w:ilvl w:val="1"/>
          <w:numId w:val="285"/>
        </w:numPr>
        <w:rPr>
          <w:rFonts w:ascii="Arial" w:cs="Arial" w:eastAsia="Arial" w:hAnsi="Arial"/>
          <w:sz w:val="18"/>
          <w:szCs w:val="18"/>
          <w:color w:val="auto"/>
        </w:rPr>
      </w:pPr>
      <w:r>
        <w:rPr>
          <w:rFonts w:ascii="Arial" w:cs="Arial" w:eastAsia="Arial" w:hAnsi="Arial"/>
          <w:sz w:val="18"/>
          <w:szCs w:val="18"/>
          <w:color w:val="auto"/>
        </w:rPr>
        <w:t>such Pledgor shall promptly deliver to the Administrative Agent such additional proxies and other documents as may be necessary to allow the Administrative Agent to exercise such voting power.</w:t>
      </w:r>
    </w:p>
    <w:p>
      <w:pPr>
        <w:spacing w:after="0" w:line="13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All Dividends, Distributions, interest, principal, cash payments, and proceeds which may at any time and from time to time be held by any Pledgor but which such Pledgor is then obligated to deliver to the Administrative Agent, shall, until delivery to the Administrative Agent, be held by each Pledgor separate and apart from its other property in trust for the Administrative Agent. The Administrative Agent agrees that until an Event of Default shall have occurred and be continuing and the Administrative Agent shall have given the notice referred to in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above, each Pledgor shall have the exclusive voting power with respect to any Equity Interests constituting Collateral and the Administrative Agent shall, upon the written request of each Pledgor, promptly deliver such proxies and other documents, if any, as shall be reasonably requested by each Pledgor which are necessary to allow such Pledgor to exercise voting power with respect to any such Equity Interests constituting Collateral;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vote shall be cast, or consent, waiver, or ratification given, or action taken or any action not taken by the Pledgor that would impair any Collateral or violate any provision of the Credit Agreement or any other Loan Document (including this Agreement).</w:t>
      </w:r>
    </w:p>
    <w:p>
      <w:pPr>
        <w:spacing w:after="0" w:line="114" w:lineRule="exact"/>
        <w:rPr>
          <w:sz w:val="20"/>
          <w:szCs w:val="20"/>
          <w:color w:val="auto"/>
        </w:rPr>
      </w:pPr>
    </w:p>
    <w:p>
      <w:pPr>
        <w:jc w:val="both"/>
        <w:ind w:firstLine="456"/>
        <w:spacing w:after="0" w:line="275"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b w:val="1"/>
          <w:bCs w:val="1"/>
          <w:color w:val="auto"/>
        </w:rPr>
        <w:t>As to LLC Agreements and Partnership Agreements</w:t>
      </w:r>
      <w:r>
        <w:rPr>
          <w:rFonts w:ascii="Arial" w:cs="Arial" w:eastAsia="Arial" w:hAnsi="Arial"/>
          <w:sz w:val="18"/>
          <w:szCs w:val="18"/>
          <w:color w:val="auto"/>
        </w:rPr>
        <w:t>. (a) Each Pledgor of a Pledged Membership Interest and/or Pledged Partnership Interests shall at its own expense:</w:t>
      </w:r>
    </w:p>
    <w:p>
      <w:pPr>
        <w:spacing w:after="0" w:line="126" w:lineRule="exact"/>
        <w:rPr>
          <w:sz w:val="20"/>
          <w:szCs w:val="20"/>
          <w:color w:val="auto"/>
        </w:rPr>
      </w:pPr>
    </w:p>
    <w:p>
      <w:pPr>
        <w:jc w:val="both"/>
        <w:ind w:firstLine="1492"/>
        <w:spacing w:after="0" w:line="255" w:lineRule="auto"/>
        <w:tabs>
          <w:tab w:leader="none" w:pos="1698" w:val="left"/>
        </w:tabs>
        <w:numPr>
          <w:ilvl w:val="0"/>
          <w:numId w:val="286"/>
        </w:numPr>
        <w:rPr>
          <w:rFonts w:ascii="Arial" w:cs="Arial" w:eastAsia="Arial" w:hAnsi="Arial"/>
          <w:sz w:val="18"/>
          <w:szCs w:val="18"/>
          <w:color w:val="auto"/>
        </w:rPr>
      </w:pPr>
      <w:r>
        <w:rPr>
          <w:rFonts w:ascii="Arial" w:cs="Arial" w:eastAsia="Arial" w:hAnsi="Arial"/>
          <w:sz w:val="18"/>
          <w:szCs w:val="18"/>
          <w:color w:val="auto"/>
        </w:rPr>
        <w:t>perform and observe all the terms and provisions of each LLC Agreement and/or Partnership Agreement, as the case may be, to which it is a party and each other contract and agreement included in all the Collateral to be performed or observed by it, maintain such LLC Agreement and/or Partnership Agreement, as the case may be, and each such other contract and agreement in full force and effect, enforce such LLC Agreement and/or Partnership Agreement, as the case may be, and each such other contract and agreement in accordance with its terms, and take all such action to such end as may from time to time be reasonably be requested by the Administrative Agent; and</w:t>
      </w:r>
    </w:p>
    <w:p>
      <w:pPr>
        <w:spacing w:after="0" w:line="129" w:lineRule="exact"/>
        <w:rPr>
          <w:rFonts w:ascii="Arial" w:cs="Arial" w:eastAsia="Arial" w:hAnsi="Arial"/>
          <w:sz w:val="18"/>
          <w:szCs w:val="18"/>
          <w:color w:val="auto"/>
        </w:rPr>
      </w:pPr>
    </w:p>
    <w:p>
      <w:pPr>
        <w:ind w:left="5620" w:hanging="96"/>
        <w:spacing w:after="0"/>
        <w:tabs>
          <w:tab w:leader="none" w:pos="562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1420"/>
          </w:cols>
          <w:pgMar w:left="240" w:top="274" w:right="239" w:bottom="1440" w:gutter="0" w:footer="0" w:header="0"/>
        </w:sectPr>
      </w:pPr>
    </w:p>
    <w:bookmarkStart w:id="263" w:name="page264"/>
    <w:bookmarkEnd w:id="263"/>
    <w:p>
      <w:pPr>
        <w:jc w:val="both"/>
        <w:ind w:firstLine="1492"/>
        <w:spacing w:after="0" w:line="291" w:lineRule="auto"/>
        <w:tabs>
          <w:tab w:leader="none" w:pos="1750" w:val="left"/>
        </w:tabs>
        <w:numPr>
          <w:ilvl w:val="1"/>
          <w:numId w:val="28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furnish to the Administrative Agent promptly upon receipt thereof copies of all material notices, requests and other documents received by such Pledgor under or pursuant to such LLC Agreement and/or Partnership Agreement, as the case may be, and any other contract or agreement included in the Collateral to which it is a party, and from time to time (A) furnish to the Administrative Agent such information and reports regarding the Collateral as the Administrative Agent may reasonably request, and (B) upon the reasonable request of the Administrative Agent, make to any other party to such LLC Agreement and/or Partnership Agreement, as the case may be, or any such other contract or agreement such demands and requests for information and reports or for action as such Pledgor is entitled to make thereunder.</w:t>
      </w:r>
    </w:p>
    <w:p>
      <w:pPr>
        <w:spacing w:after="0" w:line="120" w:lineRule="exact"/>
        <w:rPr>
          <w:rFonts w:ascii="Arial" w:cs="Arial" w:eastAsia="Arial" w:hAnsi="Arial"/>
          <w:sz w:val="16"/>
          <w:szCs w:val="16"/>
          <w:color w:val="auto"/>
        </w:rPr>
      </w:pPr>
    </w:p>
    <w:p>
      <w:pPr>
        <w:ind w:firstLine="921"/>
        <w:spacing w:after="0" w:line="268" w:lineRule="auto"/>
        <w:tabs>
          <w:tab w:leader="none" w:pos="1163" w:val="left"/>
        </w:tabs>
        <w:numPr>
          <w:ilvl w:val="0"/>
          <w:numId w:val="288"/>
        </w:numPr>
        <w:rPr>
          <w:rFonts w:ascii="Arial" w:cs="Arial" w:eastAsia="Arial" w:hAnsi="Arial"/>
          <w:sz w:val="18"/>
          <w:szCs w:val="18"/>
          <w:color w:val="auto"/>
        </w:rPr>
      </w:pPr>
      <w:r>
        <w:rPr>
          <w:rFonts w:ascii="Arial" w:cs="Arial" w:eastAsia="Arial" w:hAnsi="Arial"/>
          <w:sz w:val="18"/>
          <w:szCs w:val="18"/>
          <w:color w:val="auto"/>
        </w:rPr>
        <w:t>No Pledgor of a Pledged Membership Interest and/or Pledged Partnership Interest, as the case may be, shall, except as otherwise permitted by the Credit Agreement:</w:t>
      </w:r>
    </w:p>
    <w:p>
      <w:pPr>
        <w:spacing w:after="0" w:line="131" w:lineRule="exact"/>
        <w:rPr>
          <w:rFonts w:ascii="Arial" w:cs="Arial" w:eastAsia="Arial" w:hAnsi="Arial"/>
          <w:sz w:val="18"/>
          <w:szCs w:val="18"/>
          <w:color w:val="auto"/>
        </w:rPr>
      </w:pPr>
    </w:p>
    <w:p>
      <w:pPr>
        <w:ind w:firstLine="1492"/>
        <w:spacing w:after="0" w:line="268" w:lineRule="auto"/>
        <w:tabs>
          <w:tab w:leader="none" w:pos="1697" w:val="left"/>
        </w:tabs>
        <w:numPr>
          <w:ilvl w:val="1"/>
          <w:numId w:val="288"/>
        </w:numPr>
        <w:rPr>
          <w:rFonts w:ascii="Arial" w:cs="Arial" w:eastAsia="Arial" w:hAnsi="Arial"/>
          <w:sz w:val="18"/>
          <w:szCs w:val="18"/>
          <w:color w:val="auto"/>
        </w:rPr>
      </w:pPr>
      <w:r>
        <w:rPr>
          <w:rFonts w:ascii="Arial" w:cs="Arial" w:eastAsia="Arial" w:hAnsi="Arial"/>
          <w:sz w:val="18"/>
          <w:szCs w:val="18"/>
          <w:color w:val="auto"/>
        </w:rPr>
        <w:t>cancel or terminate any LLC Agreement, Partnership Agreement or any other contract or agreement included in the Collateral to which it is a party or consent to or accept any cancellation or termination thereof;</w:t>
      </w:r>
    </w:p>
    <w:p>
      <w:pPr>
        <w:spacing w:after="0" w:line="132" w:lineRule="exact"/>
        <w:rPr>
          <w:sz w:val="20"/>
          <w:szCs w:val="20"/>
          <w:color w:val="auto"/>
        </w:rPr>
      </w:pPr>
    </w:p>
    <w:p>
      <w:pPr>
        <w:ind w:firstLine="1492"/>
        <w:spacing w:after="0" w:line="268" w:lineRule="auto"/>
        <w:tabs>
          <w:tab w:leader="none" w:pos="1755"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amend or otherwise modify any such LLC Agreement, Partnership Agreement or any such contract or agreement or give any consent, waiver, or approval thereunder;</w:t>
      </w:r>
    </w:p>
    <w:p>
      <w:pPr>
        <w:spacing w:after="0" w:line="131" w:lineRule="exact"/>
        <w:rPr>
          <w:rFonts w:ascii="Arial" w:cs="Arial" w:eastAsia="Arial" w:hAnsi="Arial"/>
          <w:sz w:val="18"/>
          <w:szCs w:val="18"/>
          <w:color w:val="auto"/>
        </w:rPr>
      </w:pPr>
    </w:p>
    <w:p>
      <w:pPr>
        <w:ind w:left="1800" w:hanging="308"/>
        <w:spacing w:after="0"/>
        <w:tabs>
          <w:tab w:leader="none" w:pos="180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waive any default under or breach of any such LLC Agreement, Partnership Agreement or any such other contract or agreement; or</w:t>
      </w:r>
    </w:p>
    <w:p>
      <w:pPr>
        <w:spacing w:after="0" w:line="194" w:lineRule="exact"/>
        <w:rPr>
          <w:rFonts w:ascii="Arial" w:cs="Arial" w:eastAsia="Arial" w:hAnsi="Arial"/>
          <w:sz w:val="16"/>
          <w:szCs w:val="16"/>
          <w:color w:val="auto"/>
        </w:rPr>
      </w:pPr>
    </w:p>
    <w:p>
      <w:pPr>
        <w:ind w:firstLine="1492"/>
        <w:spacing w:after="0" w:line="268" w:lineRule="auto"/>
        <w:tabs>
          <w:tab w:leader="none" w:pos="1787"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take any other action in connection with any such LLC Agreement or any such other contract or agreement that would impair the value of the interest or rights of such Pledgor thereunder or that would impair the interest or rights of the Administrative Agent.</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b w:val="1"/>
          <w:bCs w:val="1"/>
          <w:color w:val="auto"/>
        </w:rPr>
        <w:t>As to Pledged Notes</w:t>
      </w:r>
      <w:r>
        <w:rPr>
          <w:rFonts w:ascii="Arial" w:cs="Arial" w:eastAsia="Arial" w:hAnsi="Arial"/>
          <w:sz w:val="18"/>
          <w:szCs w:val="18"/>
          <w:color w:val="auto"/>
        </w:rPr>
        <w:t>. Each Pledgor will not, without the prior written consent of the Administrative Agent:</w:t>
      </w:r>
    </w:p>
    <w:p>
      <w:pPr>
        <w:spacing w:after="0" w:line="177" w:lineRule="exact"/>
        <w:rPr>
          <w:sz w:val="20"/>
          <w:szCs w:val="20"/>
          <w:color w:val="auto"/>
        </w:rPr>
      </w:pPr>
    </w:p>
    <w:p>
      <w:pPr>
        <w:ind w:firstLine="921"/>
        <w:spacing w:after="0" w:line="332" w:lineRule="auto"/>
        <w:tabs>
          <w:tab w:leader="none" w:pos="1152" w:val="left"/>
        </w:tabs>
        <w:numPr>
          <w:ilvl w:val="0"/>
          <w:numId w:val="290"/>
        </w:numPr>
        <w:rPr>
          <w:rFonts w:ascii="Arial" w:cs="Arial" w:eastAsia="Arial" w:hAnsi="Arial"/>
          <w:sz w:val="16"/>
          <w:szCs w:val="16"/>
          <w:color w:val="auto"/>
        </w:rPr>
      </w:pPr>
      <w:r>
        <w:rPr>
          <w:rFonts w:ascii="Arial" w:cs="Arial" w:eastAsia="Arial" w:hAnsi="Arial"/>
          <w:sz w:val="16"/>
          <w:szCs w:val="16"/>
          <w:color w:val="auto"/>
        </w:rPr>
        <w:t>enter into any agreement amending, supplementing, or waiving any provision of any Pledged Note (including any underlying instrument pursuant to which such Pledged Note is issued) or compromising or releasing or extending the time for payment of any obligation of the maker thereof; or</w:t>
      </w:r>
    </w:p>
    <w:p>
      <w:pPr>
        <w:spacing w:after="0" w:line="85" w:lineRule="exact"/>
        <w:rPr>
          <w:rFonts w:ascii="Arial" w:cs="Arial" w:eastAsia="Arial" w:hAnsi="Arial"/>
          <w:sz w:val="16"/>
          <w:szCs w:val="16"/>
          <w:color w:val="auto"/>
        </w:rPr>
      </w:pPr>
    </w:p>
    <w:p>
      <w:pPr>
        <w:ind w:firstLine="921"/>
        <w:spacing w:after="0" w:line="268" w:lineRule="auto"/>
        <w:tabs>
          <w:tab w:leader="none" w:pos="1166"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take or omit to take any action the taking or the omission of which could result in any impairment or alteration of any obligation of the maker of any Pledged Note or other instrument constituting Collateral.</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ADMINISTRATIVE AGENT</w:t>
      </w:r>
    </w:p>
    <w:p>
      <w:pPr>
        <w:spacing w:after="0" w:line="159"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b w:val="1"/>
          <w:bCs w:val="1"/>
          <w:color w:val="auto"/>
        </w:rPr>
        <w:t>Appointment as Attorney-in-Fact</w:t>
      </w:r>
      <w:r>
        <w:rPr>
          <w:rFonts w:ascii="Arial" w:cs="Arial" w:eastAsia="Arial" w:hAnsi="Arial"/>
          <w:sz w:val="18"/>
          <w:szCs w:val="18"/>
          <w:color w:val="auto"/>
        </w:rPr>
        <w:t>. Each Pledgor hereby irrevocably constitutes and appoints the Administrative Agent and any officer or agent thereof, with full power of substitution, as its true and lawful attorney-in-fact with full irrevocable power and authority in the place and stead of such Pledgor and in the name of such Pledgor or in its own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420"/>
          </w:cols>
          <w:pgMar w:left="240" w:top="280" w:right="239" w:bottom="1440" w:gutter="0" w:footer="0" w:header="0"/>
        </w:sectPr>
      </w:pPr>
    </w:p>
    <w:bookmarkStart w:id="264" w:name="page265"/>
    <w:bookmarkEnd w:id="264"/>
    <w:p>
      <w:pPr>
        <w:jc w:val="both"/>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name, for the purpose of carrying out the terms of this Agreement, to take, upon the occurrence and during the continuation of any Event of Default, any and all appropriate action and to execute any and all documents and instruments that may be necessary or desirable to accomplish the purposes of this Agreement. Without limiting the generality of the foregoing (and in addition to the powers and rights granted to the Administrative Agent pursuant to Article V of the Security Agreement), each Pledgor hereby gives the Administrative Agent the power and right, on behalf of such Pledgor, without notice to or assent by such Pledgor, to do any or all of the following upon the occurrence and during the continuation of an Event of Default:</w:t>
      </w:r>
    </w:p>
    <w:p>
      <w:pPr>
        <w:spacing w:after="0" w:line="116" w:lineRule="exact"/>
        <w:rPr>
          <w:sz w:val="20"/>
          <w:szCs w:val="20"/>
          <w:color w:val="auto"/>
        </w:rPr>
      </w:pPr>
    </w:p>
    <w:p>
      <w:pPr>
        <w:jc w:val="both"/>
        <w:ind w:firstLine="921"/>
        <w:spacing w:after="0" w:line="256" w:lineRule="auto"/>
        <w:tabs>
          <w:tab w:leader="none" w:pos="1161" w:val="left"/>
        </w:tabs>
        <w:numPr>
          <w:ilvl w:val="0"/>
          <w:numId w:val="291"/>
        </w:numPr>
        <w:rPr>
          <w:rFonts w:ascii="Arial" w:cs="Arial" w:eastAsia="Arial" w:hAnsi="Arial"/>
          <w:sz w:val="18"/>
          <w:szCs w:val="18"/>
          <w:color w:val="auto"/>
        </w:rPr>
      </w:pPr>
      <w:r>
        <w:rPr>
          <w:rFonts w:ascii="Arial" w:cs="Arial" w:eastAsia="Arial" w:hAnsi="Arial"/>
          <w:sz w:val="18"/>
          <w:szCs w:val="18"/>
          <w:color w:val="auto"/>
        </w:rPr>
        <w:t>in the name of such Pledgor or its own name, or otherwise, take possession of and indorse and collect any checks, drafts, notes, acceptances or other instruments for the payment of moneys due under or in respect of any Collateral and file any claim or take any other action or proceeding in any court of law or equity or otherwise deemed appropriate by the Administrative Agent for the purpose of collecting any and all such moneys due under or in respect of any Collateral whenever payable; and</w:t>
      </w:r>
    </w:p>
    <w:p>
      <w:pPr>
        <w:spacing w:after="0" w:line="143" w:lineRule="exact"/>
        <w:rPr>
          <w:rFonts w:ascii="Arial" w:cs="Arial" w:eastAsia="Arial" w:hAnsi="Arial"/>
          <w:sz w:val="18"/>
          <w:szCs w:val="18"/>
          <w:color w:val="auto"/>
        </w:rPr>
      </w:pPr>
    </w:p>
    <w:p>
      <w:pPr>
        <w:jc w:val="both"/>
        <w:ind w:firstLine="921"/>
        <w:spacing w:after="0" w:line="286" w:lineRule="auto"/>
        <w:tabs>
          <w:tab w:leader="none" w:pos="1168" w:val="left"/>
        </w:tabs>
        <w:numPr>
          <w:ilvl w:val="0"/>
          <w:numId w:val="291"/>
        </w:numPr>
        <w:rPr>
          <w:rFonts w:ascii="Arial" w:cs="Arial" w:eastAsia="Arial" w:hAnsi="Arial"/>
          <w:sz w:val="16"/>
          <w:szCs w:val="16"/>
          <w:color w:val="auto"/>
        </w:rPr>
      </w:pPr>
      <w:r>
        <w:rPr>
          <w:rFonts w:ascii="Arial" w:cs="Arial" w:eastAsia="Arial" w:hAnsi="Arial"/>
          <w:sz w:val="16"/>
          <w:szCs w:val="16"/>
          <w:color w:val="auto"/>
        </w:rPr>
        <w:t>(i) direct any party liable for any payment under any of the Collateral to make payment of any and all moneys due or to become due thereunder directly to the Administrative Agent or as the Administrative Agent shall direct; (ii) ask or demand for, collect, and receive payment of and give receipt for, any and all moneys, claims and other amounts due or to become due at any time in respect of or arising out of any Collateral; (iii) receive, collect, sign and indorse any drafts or other instruments, documents and chattel paper in connection with any of the Collateral; (iv) commence and prosecute any suits, actions or proceedings at Law or in equity in any court of competent jurisdiction to collect the Collateral or any portion thereof and to enforce any other right in respect of any Collateral; (v) defend any suit, action or proceeding brought against such Pledgor with respect to any Collateral; (vi) settle, compromise or adjust any such suit, action or proceeding and, in connection therewith, give such discharges or releases as the Administrative Agent may deem appropriate; and (vii) generally, sell, transfer, pledge and make any agreement with respect to or otherwise deal with any of the Collateral as fully and completely as though the Administrative Agent were the absolute owner thereof for all purposes, and do, at the Administrative Agent’s option and such Pledgor’s expense, at any time, or from time to time, all acts and things that the Administrative Agent deems necessary to protect, preserve or realize upon the Collateral and the Secured Parties’ security interests therein and to effect the intent of this Agreement, all as fully and effectively as such Pledgor might do.</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Each Pledgor hereby acknowledges, consents and agrees that the power of attorney granted pursuant to this Section is irrevocable and coupled with an interest.</w:t>
      </w:r>
    </w:p>
    <w:p>
      <w:pPr>
        <w:spacing w:after="0" w:line="188" w:lineRule="exact"/>
        <w:rPr>
          <w:sz w:val="20"/>
          <w:szCs w:val="20"/>
          <w:color w:val="auto"/>
        </w:rPr>
      </w:pPr>
    </w:p>
    <w:p>
      <w:pPr>
        <w:jc w:val="both"/>
        <w:ind w:right="20" w:firstLine="456"/>
        <w:spacing w:after="0" w:line="262"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b w:val="1"/>
          <w:bCs w:val="1"/>
          <w:color w:val="auto"/>
        </w:rPr>
        <w:t>Administrative Agent May Perform</w:t>
      </w:r>
      <w:r>
        <w:rPr>
          <w:rFonts w:ascii="Arial" w:cs="Arial" w:eastAsia="Arial" w:hAnsi="Arial"/>
          <w:sz w:val="18"/>
          <w:szCs w:val="18"/>
          <w:color w:val="auto"/>
        </w:rPr>
        <w:t xml:space="preserve">. If any Pledgor fails to perform any agreement contained herein, the Administrative Agent may itself perform, or cause performance of, such agreement upon notice and expiration of the applicable cure period, and the reasonable expenses of the Administrative Agent incurred in connection therewith shall be payable by such Pledgor pursuant to </w:t>
      </w:r>
      <w:r>
        <w:rPr>
          <w:rFonts w:ascii="Arial" w:cs="Arial" w:eastAsia="Arial" w:hAnsi="Arial"/>
          <w:sz w:val="18"/>
          <w:szCs w:val="18"/>
          <w:u w:val="single" w:color="auto"/>
          <w:color w:val="auto"/>
        </w:rPr>
        <w:t>Section 6.5</w:t>
      </w:r>
      <w:r>
        <w:rPr>
          <w:rFonts w:ascii="Arial" w:cs="Arial" w:eastAsia="Arial" w:hAnsi="Arial"/>
          <w:sz w:val="18"/>
          <w:szCs w:val="18"/>
          <w:color w:val="auto"/>
        </w:rPr>
        <w:t>.</w:t>
      </w:r>
    </w:p>
    <w:p>
      <w:pPr>
        <w:spacing w:after="0" w:line="132" w:lineRule="exact"/>
        <w:rPr>
          <w:sz w:val="20"/>
          <w:szCs w:val="20"/>
          <w:color w:val="auto"/>
        </w:rPr>
      </w:pPr>
    </w:p>
    <w:p>
      <w:pPr>
        <w:jc w:val="both"/>
        <w:ind w:firstLine="456"/>
        <w:spacing w:after="0" w:line="275"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b w:val="1"/>
          <w:bCs w:val="1"/>
          <w:color w:val="auto"/>
        </w:rPr>
        <w:t>Administrative Agent Has No Duty</w:t>
      </w:r>
      <w:r>
        <w:rPr>
          <w:rFonts w:ascii="Arial" w:cs="Arial" w:eastAsia="Arial" w:hAnsi="Arial"/>
          <w:sz w:val="18"/>
          <w:szCs w:val="18"/>
          <w:color w:val="auto"/>
        </w:rPr>
        <w:t xml:space="preserve">. (a) In addition to, and not in limitation of, </w:t>
      </w:r>
      <w:r>
        <w:rPr>
          <w:rFonts w:ascii="Arial" w:cs="Arial" w:eastAsia="Arial" w:hAnsi="Arial"/>
          <w:sz w:val="18"/>
          <w:szCs w:val="18"/>
          <w:u w:val="single" w:color="auto"/>
          <w:color w:val="auto"/>
        </w:rPr>
        <w:t>Section 2.7</w:t>
      </w:r>
      <w:r>
        <w:rPr>
          <w:rFonts w:ascii="Arial" w:cs="Arial" w:eastAsia="Arial" w:hAnsi="Arial"/>
          <w:sz w:val="18"/>
          <w:szCs w:val="18"/>
          <w:color w:val="auto"/>
        </w:rPr>
        <w:t>, the powers conferred on the Administrative Agent hereunder are solely to protect its interest (on behalf of the Secured Parties) in the Collateral and shall not impose any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420"/>
          </w:cols>
          <w:pgMar w:left="240" w:top="280" w:right="239" w:bottom="1440" w:gutter="0" w:footer="0" w:header="0"/>
        </w:sectPr>
      </w:pPr>
    </w:p>
    <w:bookmarkStart w:id="265" w:name="page266"/>
    <w:bookmarkEnd w:id="265"/>
    <w:p>
      <w:pPr>
        <w:jc w:val="both"/>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duty on it to exercise any such powers. Neither the Administrative Agent nor any of its officers, directors, employees or agents shall be liable for failure to demand, collect or realize upon any of the Collateral or for any delay in doing so or shall be under any obligation to sell or otherwise dispose of any Collateral upon the request of any Pledgor or any other Person or to take any other action whatsoever with regard to the Collateral or any part thereof (including the taking of any necessary steps to preserve rights against prior parties or any other rights pertaining to any Collateral). Neither the Administrative Agent nor any of its officers, directors, employees or agents shall be responsible to any Pledgor for any act or failure to act hereunder, except for their own gross negligence or willful misconduct.</w:t>
      </w:r>
    </w:p>
    <w:p>
      <w:pPr>
        <w:spacing w:after="0" w:line="144" w:lineRule="exact"/>
        <w:rPr>
          <w:sz w:val="20"/>
          <w:szCs w:val="20"/>
          <w:color w:val="auto"/>
        </w:rPr>
      </w:pPr>
    </w:p>
    <w:p>
      <w:pPr>
        <w:jc w:val="both"/>
        <w:ind w:firstLine="921"/>
        <w:spacing w:after="0" w:line="306" w:lineRule="auto"/>
        <w:tabs>
          <w:tab w:leader="none" w:pos="1172" w:val="left"/>
        </w:tabs>
        <w:numPr>
          <w:ilvl w:val="0"/>
          <w:numId w:val="292"/>
        </w:numPr>
        <w:rPr>
          <w:rFonts w:ascii="Arial" w:cs="Arial" w:eastAsia="Arial" w:hAnsi="Arial"/>
          <w:sz w:val="16"/>
          <w:szCs w:val="16"/>
          <w:color w:val="auto"/>
        </w:rPr>
      </w:pPr>
      <w:r>
        <w:rPr>
          <w:rFonts w:ascii="Arial" w:cs="Arial" w:eastAsia="Arial" w:hAnsi="Arial"/>
          <w:sz w:val="16"/>
          <w:szCs w:val="16"/>
          <w:color w:val="auto"/>
        </w:rPr>
        <w:t>Each Pledgor assumes all responsibility and liability arising from or relating to the use, sale or other disposition of the Collateral. The Secured Obligations shall not be affected by any failure of the Administrative Agent to take any steps to perfect the pledge and security interest granted hereunder or to collect or realize upon the Collateral, nor shall loss or damage to the Collateral release any Pledgor from any of its Secured Obligations.</w:t>
      </w:r>
    </w:p>
    <w:p>
      <w:pPr>
        <w:spacing w:after="0" w:line="26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ARTICLE VI</w:t>
      </w:r>
    </w:p>
    <w:p>
      <w:pPr>
        <w:spacing w:after="0" w:line="1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REMEDIES</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b w:val="1"/>
          <w:bCs w:val="1"/>
          <w:color w:val="auto"/>
        </w:rPr>
        <w:t>Certain Remedies</w:t>
      </w:r>
      <w:r>
        <w:rPr>
          <w:rFonts w:ascii="Arial" w:cs="Arial" w:eastAsia="Arial" w:hAnsi="Arial"/>
          <w:sz w:val="18"/>
          <w:szCs w:val="18"/>
          <w:color w:val="auto"/>
        </w:rPr>
        <w:t>. If any Event of Default shall have occurred and be continuing:</w:t>
      </w:r>
    </w:p>
    <w:p>
      <w:pPr>
        <w:spacing w:after="0" w:line="177" w:lineRule="exact"/>
        <w:rPr>
          <w:sz w:val="20"/>
          <w:szCs w:val="20"/>
          <w:color w:val="auto"/>
        </w:rPr>
      </w:pPr>
    </w:p>
    <w:p>
      <w:pPr>
        <w:jc w:val="both"/>
        <w:ind w:firstLine="921"/>
        <w:spacing w:after="0" w:line="286" w:lineRule="auto"/>
        <w:tabs>
          <w:tab w:leader="none" w:pos="1169" w:val="left"/>
        </w:tabs>
        <w:numPr>
          <w:ilvl w:val="0"/>
          <w:numId w:val="293"/>
        </w:numPr>
        <w:rPr>
          <w:rFonts w:ascii="Arial" w:cs="Arial" w:eastAsia="Arial" w:hAnsi="Arial"/>
          <w:sz w:val="16"/>
          <w:szCs w:val="16"/>
          <w:color w:val="auto"/>
        </w:rPr>
      </w:pPr>
      <w:r>
        <w:rPr>
          <w:rFonts w:ascii="Arial" w:cs="Arial" w:eastAsia="Arial" w:hAnsi="Arial"/>
          <w:sz w:val="16"/>
          <w:szCs w:val="16"/>
          <w:color w:val="auto"/>
        </w:rPr>
        <w:t>The Administrative Agent may exercise in respect of the Collateral, in addition to other rights and remedies provided for herein or otherwise available to it, all the rights and remedies of a secured party on default under the UCC and also may, without demand of performance or other demand, presentment, protest, advertisement or notice of any kind (except any notice required by applicable Law referred to below) to or upon any Pledgor or any other Person (all and each of which demands, defenses, advertisements and notices are hereby waived), sell, lease, assign, give option or options to purchase, or otherwise dispose of and deliver the Collateral or any part thereof (or contract to do any of the foregoing) in one or more parcels at public or private sale, at any of the Administrative Agent’s offices or elsewhere, for cash, on credit or for future delivery, and upon such other terms as the Administrative Agent may deem commercially reasonable. Each Pledgor agrees that, to the extent notice of sale shall be required by applicable Law, at least ten (10) days’ prior notice to such Pledgor of the time and place of any public sale or the time after which any private sale is to be made shall constitute reasonable notification. The Administrative Agent shall not be obligated to make any sale of Collateral regardless of notice of sale having been given. The Administrative Agent may adjourn any public or private sale from time to time by announcement at the time and place fixed therefor, and such sale may, without further notice, be made at the time and place to which it was so adjourned.</w:t>
      </w:r>
    </w:p>
    <w:p>
      <w:pPr>
        <w:spacing w:after="0" w:line="127" w:lineRule="exact"/>
        <w:rPr>
          <w:rFonts w:ascii="Arial" w:cs="Arial" w:eastAsia="Arial" w:hAnsi="Arial"/>
          <w:sz w:val="16"/>
          <w:szCs w:val="16"/>
          <w:color w:val="auto"/>
        </w:rPr>
      </w:pPr>
    </w:p>
    <w:p>
      <w:pPr>
        <w:ind w:left="1160" w:hanging="239"/>
        <w:spacing w:after="0"/>
        <w:tabs>
          <w:tab w:leader="none" w:pos="116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Administrative Agent may:</w:t>
      </w:r>
    </w:p>
    <w:p>
      <w:pPr>
        <w:spacing w:after="0" w:line="171" w:lineRule="exact"/>
        <w:rPr>
          <w:rFonts w:ascii="Arial" w:cs="Arial" w:eastAsia="Arial" w:hAnsi="Arial"/>
          <w:sz w:val="18"/>
          <w:szCs w:val="18"/>
          <w:color w:val="auto"/>
        </w:rPr>
      </w:pPr>
    </w:p>
    <w:p>
      <w:pPr>
        <w:ind w:firstLine="1492"/>
        <w:spacing w:after="0" w:line="268" w:lineRule="auto"/>
        <w:tabs>
          <w:tab w:leader="none" w:pos="1706" w:val="left"/>
        </w:tabs>
        <w:numPr>
          <w:ilvl w:val="1"/>
          <w:numId w:val="293"/>
        </w:numPr>
        <w:rPr>
          <w:rFonts w:ascii="Arial" w:cs="Arial" w:eastAsia="Arial" w:hAnsi="Arial"/>
          <w:sz w:val="18"/>
          <w:szCs w:val="18"/>
          <w:color w:val="auto"/>
        </w:rPr>
      </w:pPr>
      <w:r>
        <w:rPr>
          <w:rFonts w:ascii="Arial" w:cs="Arial" w:eastAsia="Arial" w:hAnsi="Arial"/>
          <w:sz w:val="18"/>
          <w:szCs w:val="18"/>
          <w:color w:val="auto"/>
        </w:rPr>
        <w:t>transfer all or any part of the Collateral into the name of the Administrative Agent or its nominee, with or without disclosing that such Collateral is subject to the lien and security interest hereunder;</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2"/>
          <w:numId w:val="293"/>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1420"/>
          </w:cols>
          <w:pgMar w:left="240" w:top="280" w:right="239" w:bottom="1440" w:gutter="0" w:footer="0" w:header="0"/>
        </w:sectPr>
      </w:pPr>
    </w:p>
    <w:bookmarkStart w:id="266" w:name="page267"/>
    <w:bookmarkEnd w:id="266"/>
    <w:p>
      <w:pPr>
        <w:ind w:left="15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(ii) notify the parties obligated on any of the Collateral to make payment to the Administrative Agent of any amount due or to become due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thereunder;</w:t>
      </w:r>
    </w:p>
    <w:p>
      <w:pPr>
        <w:spacing w:after="0" w:line="165" w:lineRule="exact"/>
        <w:rPr>
          <w:sz w:val="20"/>
          <w:szCs w:val="20"/>
          <w:color w:val="auto"/>
        </w:rPr>
      </w:pPr>
    </w:p>
    <w:p>
      <w:pPr>
        <w:ind w:firstLine="1492"/>
        <w:spacing w:after="0" w:line="332" w:lineRule="auto"/>
        <w:tabs>
          <w:tab w:leader="none" w:pos="1792" w:val="left"/>
        </w:tabs>
        <w:numPr>
          <w:ilvl w:val="0"/>
          <w:numId w:val="294"/>
        </w:numPr>
        <w:rPr>
          <w:rFonts w:ascii="Arial" w:cs="Arial" w:eastAsia="Arial" w:hAnsi="Arial"/>
          <w:sz w:val="16"/>
          <w:szCs w:val="16"/>
          <w:color w:val="auto"/>
        </w:rPr>
      </w:pPr>
      <w:r>
        <w:rPr>
          <w:rFonts w:ascii="Arial" w:cs="Arial" w:eastAsia="Arial" w:hAnsi="Arial"/>
          <w:sz w:val="16"/>
          <w:szCs w:val="16"/>
          <w:color w:val="auto"/>
        </w:rPr>
        <w:t>enforce collection of any of the Collateral by suit or otherwise, and surrender, release or exchange all or any part thereof, or compromise or extend or renew for any period (whether or not longer than the original period) any obligations of any nature of any party with respect thereto;</w:t>
      </w:r>
    </w:p>
    <w:p>
      <w:pPr>
        <w:spacing w:after="0" w:line="85" w:lineRule="exact"/>
        <w:rPr>
          <w:rFonts w:ascii="Arial" w:cs="Arial" w:eastAsia="Arial" w:hAnsi="Arial"/>
          <w:sz w:val="16"/>
          <w:szCs w:val="16"/>
          <w:color w:val="auto"/>
        </w:rPr>
      </w:pPr>
    </w:p>
    <w:p>
      <w:pPr>
        <w:ind w:left="1780" w:hanging="288"/>
        <w:spacing w:after="0"/>
        <w:tabs>
          <w:tab w:leader="none" w:pos="17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indorse any checks, drafts, or other writings in each Pledgor’s name to allow collection of the Collateral;</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take control of any proceeds of the Collateral;</w:t>
      </w:r>
    </w:p>
    <w:p>
      <w:pPr>
        <w:spacing w:after="0" w:line="171" w:lineRule="exact"/>
        <w:rPr>
          <w:rFonts w:ascii="Arial" w:cs="Arial" w:eastAsia="Arial" w:hAnsi="Arial"/>
          <w:sz w:val="18"/>
          <w:szCs w:val="18"/>
          <w:color w:val="auto"/>
        </w:rPr>
      </w:pPr>
    </w:p>
    <w:p>
      <w:pPr>
        <w:ind w:firstLine="1492"/>
        <w:spacing w:after="0" w:line="268" w:lineRule="auto"/>
        <w:tabs>
          <w:tab w:leader="none" w:pos="1784" w:val="left"/>
        </w:tabs>
        <w:numPr>
          <w:ilvl w:val="0"/>
          <w:numId w:val="294"/>
        </w:numPr>
        <w:rPr>
          <w:rFonts w:ascii="Arial" w:cs="Arial" w:eastAsia="Arial" w:hAnsi="Arial"/>
          <w:sz w:val="18"/>
          <w:szCs w:val="18"/>
          <w:color w:val="auto"/>
        </w:rPr>
      </w:pPr>
      <w:r>
        <w:rPr>
          <w:rFonts w:ascii="Arial" w:cs="Arial" w:eastAsia="Arial" w:hAnsi="Arial"/>
          <w:sz w:val="18"/>
          <w:szCs w:val="18"/>
          <w:color w:val="auto"/>
        </w:rPr>
        <w:t>execute (in the name, place and stead of each Pledgor) indorsements, assignments, stock powers and other instruments of conveyance or transfer with respect to all or any of the Collateral; and</w:t>
      </w:r>
    </w:p>
    <w:p>
      <w:pPr>
        <w:spacing w:after="0" w:line="131" w:lineRule="exact"/>
        <w:rPr>
          <w:rFonts w:ascii="Arial" w:cs="Arial" w:eastAsia="Arial" w:hAnsi="Arial"/>
          <w:sz w:val="18"/>
          <w:szCs w:val="18"/>
          <w:color w:val="auto"/>
        </w:rPr>
      </w:pPr>
    </w:p>
    <w:p>
      <w:pPr>
        <w:jc w:val="both"/>
        <w:ind w:firstLine="1492"/>
        <w:spacing w:after="0" w:line="256" w:lineRule="auto"/>
        <w:tabs>
          <w:tab w:leader="none" w:pos="1833" w:val="left"/>
        </w:tabs>
        <w:numPr>
          <w:ilvl w:val="0"/>
          <w:numId w:val="294"/>
        </w:numPr>
        <w:rPr>
          <w:rFonts w:ascii="Arial" w:cs="Arial" w:eastAsia="Arial" w:hAnsi="Arial"/>
          <w:sz w:val="18"/>
          <w:szCs w:val="18"/>
          <w:color w:val="auto"/>
        </w:rPr>
      </w:pPr>
      <w:r>
        <w:rPr>
          <w:rFonts w:ascii="Arial" w:cs="Arial" w:eastAsia="Arial" w:hAnsi="Arial"/>
          <w:sz w:val="18"/>
          <w:szCs w:val="18"/>
          <w:color w:val="auto"/>
        </w:rPr>
        <w:t>enforce compliance with, and take any and all actions with respect to, a LLC Agreement or Partnership Agreement, as the case may be, to the full extent as though the Administrative Agent were the absolute owner of the Pledged Membership Interests, Pledged Partnership Interests and other Collateral, including the right to receive all distributions and other payments that are made pursuant to such LLC Agreement or Partnership Agreement, as the case may be.</w:t>
      </w:r>
    </w:p>
    <w:p>
      <w:pPr>
        <w:spacing w:after="0" w:line="143" w:lineRule="exact"/>
        <w:rPr>
          <w:sz w:val="20"/>
          <w:szCs w:val="20"/>
          <w:color w:val="auto"/>
        </w:rPr>
      </w:pPr>
    </w:p>
    <w:p>
      <w:pPr>
        <w:jc w:val="both"/>
        <w:ind w:firstLine="456"/>
        <w:spacing w:after="0" w:line="285" w:lineRule="auto"/>
        <w:rPr>
          <w:sz w:val="20"/>
          <w:szCs w:val="20"/>
          <w:color w:val="auto"/>
        </w:rPr>
      </w:pPr>
      <w:r>
        <w:rPr>
          <w:rFonts w:ascii="Arial" w:cs="Arial" w:eastAsia="Arial" w:hAnsi="Arial"/>
          <w:sz w:val="16"/>
          <w:szCs w:val="16"/>
          <w:color w:val="auto"/>
        </w:rPr>
        <w:t>The Administrative Agent shall give the Pledgors ten (10) days’ written notice (which each Pledgor agrees is reasonable notice within the meaning of Section 9-612 of the UCC) of the Administrative Agent’s intention to make any sale of Collateral. Such notice, in the case of a public sale, shall state the time and place for such sale and, in the case of a sale at a broker’s board or on a securities exchange, shall state the board or exchange at which such sale is to be made and the day on which the Collateral, or portion thereof, will first be offered for sale at such board or exchange. Any such public sale shall be held at such time or time within ordinary business hours and at such place or places as the Administrative Agent may fix and state in the notice (if any) of such sale. At any such sale, the Collateral, or portion thereof, to be sold may be sold in one lot as an entirety or in separate parcels, as the Administrative Agent may (in its sole and absolute discretion) determine. The Administrative Agent shall not be obligated to make any sale of any Collateral if it shall determine not to do so, regardless of the fact that notice of sale of such Collateral shall have been given. The Administrative Agent may, without notice or publication adjourn any public or private sale or cause the same to be adjourned from time to time by announcement at the time and place fixed for sale, and such sale may, without further notice, be made at the time and place to which the same was so adjourned. In case any sale of all or any part of the Collateral is made on credit or for future delivery, the Collateral so sold may be retained by the Administrative Agent until the sale price is paid by the purchase or purchasers thereof, but the Administrative Agent shall not incur any liability in case any such purchaser or purchasers shall fail to take up and pay for the Collateral so sold and, in case of any such failure, such Collateral may be sold again upon like notice. At any public (or, to the extent permitted by Law, private) sale made pursuant to this Section, the Administrative Agent (for the Secured Parties) may bid for or purchase, free (to the extent permitted by Law) from any right of</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420"/>
          </w:cols>
          <w:pgMar w:left="240" w:top="280" w:right="239" w:bottom="1440" w:gutter="0" w:footer="0" w:header="0"/>
        </w:sectPr>
      </w:pPr>
    </w:p>
    <w:bookmarkStart w:id="267" w:name="page268"/>
    <w:bookmarkEnd w:id="267"/>
    <w:p>
      <w:pPr>
        <w:jc w:val="both"/>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redemption, stay, valuation or appraisal on the part of any Pledgor (all said rights being also hereby waived and released to the extent permitted by Law), the Collateral or any part thereof offered for sale and may make payment on account thereof by using any claim then due and payable to such Secured Party from any Pledgor as a credit against the purchase price, and the Administrative Agent (for such Secured Party) may upon compliance with the terms of sale, hold, retain and dispose of such property without further accountability to any Pledgor therefor.</w:t>
      </w:r>
    </w:p>
    <w:p>
      <w:pPr>
        <w:spacing w:after="0" w:line="107" w:lineRule="exact"/>
        <w:rPr>
          <w:sz w:val="20"/>
          <w:szCs w:val="20"/>
          <w:color w:val="auto"/>
        </w:rPr>
      </w:pPr>
    </w:p>
    <w:p>
      <w:pPr>
        <w:jc w:val="both"/>
        <w:ind w:firstLine="456"/>
        <w:spacing w:after="0" w:line="275"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b w:val="1"/>
          <w:bCs w:val="1"/>
          <w:color w:val="auto"/>
        </w:rPr>
        <w:t>Securities Laws</w:t>
      </w:r>
      <w:r>
        <w:rPr>
          <w:rFonts w:ascii="Arial" w:cs="Arial" w:eastAsia="Arial" w:hAnsi="Arial"/>
          <w:sz w:val="18"/>
          <w:szCs w:val="18"/>
          <w:color w:val="auto"/>
        </w:rPr>
        <w:t xml:space="preserve">. If the Administrative Agent shall determine to exercise its right to sell all or any of the Collateral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each Pledgor agrees that, upon request of the Administrative Agent, such Pledgor will, at its own expense:</w:t>
      </w:r>
    </w:p>
    <w:p>
      <w:pPr>
        <w:spacing w:after="0" w:line="126" w:lineRule="exact"/>
        <w:rPr>
          <w:sz w:val="20"/>
          <w:szCs w:val="20"/>
          <w:color w:val="auto"/>
        </w:rPr>
      </w:pPr>
    </w:p>
    <w:p>
      <w:pPr>
        <w:jc w:val="both"/>
        <w:ind w:firstLine="921"/>
        <w:spacing w:after="0" w:line="314" w:lineRule="auto"/>
        <w:tabs>
          <w:tab w:leader="none" w:pos="1158" w:val="left"/>
        </w:tabs>
        <w:numPr>
          <w:ilvl w:val="0"/>
          <w:numId w:val="295"/>
        </w:numPr>
        <w:rPr>
          <w:rFonts w:ascii="Arial" w:cs="Arial" w:eastAsia="Arial" w:hAnsi="Arial"/>
          <w:sz w:val="15"/>
          <w:szCs w:val="15"/>
          <w:color w:val="auto"/>
        </w:rPr>
      </w:pPr>
      <w:r>
        <w:rPr>
          <w:rFonts w:ascii="Arial" w:cs="Arial" w:eastAsia="Arial" w:hAnsi="Arial"/>
          <w:sz w:val="15"/>
          <w:szCs w:val="15"/>
          <w:color w:val="auto"/>
        </w:rPr>
        <w:t>execute and deliver, and cause each issuer of the Collateral contemplated to be sold and the directors and officers thereof to execute and deliver, all such instruments and documents, and do or cause to be done all such other acts and things, as may be necessary or, in the opinion of the Administrative Agent, advisable to register such Collateral under the provisions of the Securities Act of 1933, as from time to time amended (the “</w:t>
      </w:r>
      <w:r>
        <w:rPr>
          <w:rFonts w:ascii="Arial" w:cs="Arial" w:eastAsia="Arial" w:hAnsi="Arial"/>
          <w:sz w:val="15"/>
          <w:szCs w:val="15"/>
          <w:u w:val="single" w:color="auto"/>
          <w:color w:val="auto"/>
        </w:rPr>
        <w:t>Securities Act</w:t>
      </w:r>
      <w:r>
        <w:rPr>
          <w:rFonts w:ascii="Arial" w:cs="Arial" w:eastAsia="Arial" w:hAnsi="Arial"/>
          <w:sz w:val="15"/>
          <w:szCs w:val="15"/>
          <w:color w:val="auto"/>
        </w:rPr>
        <w:t>”), and to cause the registration statement relating thereto to become effective and to remain effective for such period as prospectuses are required by Law to be furnished, and to make all amendments and supplements thereto and to the related prospectus which, in the opinion of the Administrative Agent, are necessary or advisable, all in conformity with the requirements of the Securities Act and the rules and regulations of the Securities and Exchange Commission applicable thereto;</w:t>
      </w:r>
    </w:p>
    <w:p>
      <w:pPr>
        <w:spacing w:after="0" w:line="104" w:lineRule="exact"/>
        <w:rPr>
          <w:rFonts w:ascii="Arial" w:cs="Arial" w:eastAsia="Arial" w:hAnsi="Arial"/>
          <w:sz w:val="15"/>
          <w:szCs w:val="15"/>
          <w:color w:val="auto"/>
        </w:rPr>
      </w:pPr>
    </w:p>
    <w:p>
      <w:pPr>
        <w:ind w:firstLine="921"/>
        <w:spacing w:after="0" w:line="268" w:lineRule="auto"/>
        <w:tabs>
          <w:tab w:leader="none" w:pos="1167" w:val="left"/>
        </w:tabs>
        <w:numPr>
          <w:ilvl w:val="0"/>
          <w:numId w:val="295"/>
        </w:numPr>
        <w:rPr>
          <w:rFonts w:ascii="Arial" w:cs="Arial" w:eastAsia="Arial" w:hAnsi="Arial"/>
          <w:sz w:val="18"/>
          <w:szCs w:val="18"/>
          <w:color w:val="auto"/>
        </w:rPr>
      </w:pPr>
      <w:r>
        <w:rPr>
          <w:rFonts w:ascii="Arial" w:cs="Arial" w:eastAsia="Arial" w:hAnsi="Arial"/>
          <w:sz w:val="18"/>
          <w:szCs w:val="18"/>
          <w:color w:val="auto"/>
        </w:rPr>
        <w:t>use its best efforts to qualify the Collateral under the state securities or “Blue Sky” Laws and to obtain all necessary governmental approvals for the sale of the Collateral, as requested by the Administrative Agent;</w:t>
      </w:r>
    </w:p>
    <w:p>
      <w:pPr>
        <w:spacing w:after="0" w:line="131" w:lineRule="exact"/>
        <w:rPr>
          <w:rFonts w:ascii="Arial" w:cs="Arial" w:eastAsia="Arial" w:hAnsi="Arial"/>
          <w:sz w:val="18"/>
          <w:szCs w:val="18"/>
          <w:color w:val="auto"/>
        </w:rPr>
      </w:pPr>
    </w:p>
    <w:p>
      <w:pPr>
        <w:ind w:right="20" w:firstLine="921"/>
        <w:spacing w:after="0" w:line="268" w:lineRule="auto"/>
        <w:tabs>
          <w:tab w:leader="none" w:pos="1163" w:val="left"/>
        </w:tabs>
        <w:numPr>
          <w:ilvl w:val="0"/>
          <w:numId w:val="295"/>
        </w:numPr>
        <w:rPr>
          <w:rFonts w:ascii="Arial" w:cs="Arial" w:eastAsia="Arial" w:hAnsi="Arial"/>
          <w:sz w:val="18"/>
          <w:szCs w:val="18"/>
          <w:color w:val="auto"/>
        </w:rPr>
      </w:pPr>
      <w:r>
        <w:rPr>
          <w:rFonts w:ascii="Arial" w:cs="Arial" w:eastAsia="Arial" w:hAnsi="Arial"/>
          <w:sz w:val="18"/>
          <w:szCs w:val="18"/>
          <w:color w:val="auto"/>
        </w:rPr>
        <w:t>cause each such issuer to make available to its security holders, as soon as practicable, an earnings statement that will satisfy the provisions of Section 11(a) of the Securities Act; and</w:t>
      </w:r>
    </w:p>
    <w:p>
      <w:pPr>
        <w:spacing w:after="0" w:line="131" w:lineRule="exact"/>
        <w:rPr>
          <w:rFonts w:ascii="Arial" w:cs="Arial" w:eastAsia="Arial" w:hAnsi="Arial"/>
          <w:sz w:val="18"/>
          <w:szCs w:val="18"/>
          <w:color w:val="auto"/>
        </w:rPr>
      </w:pPr>
    </w:p>
    <w:p>
      <w:pPr>
        <w:ind w:firstLine="921"/>
        <w:spacing w:after="0" w:line="268" w:lineRule="auto"/>
        <w:tabs>
          <w:tab w:leader="none" w:pos="1162" w:val="left"/>
        </w:tabs>
        <w:numPr>
          <w:ilvl w:val="0"/>
          <w:numId w:val="295"/>
        </w:numPr>
        <w:rPr>
          <w:rFonts w:ascii="Arial" w:cs="Arial" w:eastAsia="Arial" w:hAnsi="Arial"/>
          <w:sz w:val="18"/>
          <w:szCs w:val="18"/>
          <w:color w:val="auto"/>
        </w:rPr>
      </w:pPr>
      <w:r>
        <w:rPr>
          <w:rFonts w:ascii="Arial" w:cs="Arial" w:eastAsia="Arial" w:hAnsi="Arial"/>
          <w:sz w:val="18"/>
          <w:szCs w:val="18"/>
          <w:color w:val="auto"/>
        </w:rPr>
        <w:t>do or cause to be done all such other acts and things as may be necessary to make such sale of the Collateral or any part thereof valid and binding and in compliance with applicable Law.</w:t>
      </w:r>
    </w:p>
    <w:p>
      <w:pPr>
        <w:spacing w:after="0" w:line="132"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 xml:space="preserve">Each Pledgor further acknowledges the impossibility of ascertaining the amount of damages that would be suffered by the Administrative Agent or the Secured Parties by reason of the failure by such Pledgor to perform any of the covenants contained in this </w:t>
      </w:r>
      <w:r>
        <w:rPr>
          <w:rFonts w:ascii="Arial" w:cs="Arial" w:eastAsia="Arial" w:hAnsi="Arial"/>
          <w:sz w:val="15"/>
          <w:szCs w:val="15"/>
          <w:u w:val="single" w:color="auto"/>
          <w:color w:val="auto"/>
        </w:rPr>
        <w:t>Section 6.2</w:t>
      </w:r>
      <w:r>
        <w:rPr>
          <w:rFonts w:ascii="Arial" w:cs="Arial" w:eastAsia="Arial" w:hAnsi="Arial"/>
          <w:sz w:val="15"/>
          <w:szCs w:val="15"/>
          <w:color w:val="auto"/>
        </w:rPr>
        <w:t xml:space="preserve"> and, consequently, to the extent permitted under applicable Law, agrees that, if such Pledgor shall fail to perform any of such covenants, it shall pay, as liquidated damages and not as a penalty, an amount equal to the value (as determined by the Administrative Agent) of the Collateral on the date the Administrative Agent shall demand compliance with this </w:t>
      </w:r>
      <w:r>
        <w:rPr>
          <w:rFonts w:ascii="Arial" w:cs="Arial" w:eastAsia="Arial" w:hAnsi="Arial"/>
          <w:sz w:val="15"/>
          <w:szCs w:val="15"/>
          <w:u w:val="single" w:color="auto"/>
          <w:color w:val="auto"/>
        </w:rPr>
        <w:t>Section 6.2</w:t>
      </w:r>
      <w:r>
        <w:rPr>
          <w:rFonts w:ascii="Arial" w:cs="Arial" w:eastAsia="Arial" w:hAnsi="Arial"/>
          <w:sz w:val="15"/>
          <w:szCs w:val="15"/>
          <w:color w:val="auto"/>
        </w:rPr>
        <w:t>.</w:t>
      </w:r>
    </w:p>
    <w:p>
      <w:pPr>
        <w:spacing w:after="0" w:line="92" w:lineRule="exact"/>
        <w:rPr>
          <w:sz w:val="20"/>
          <w:szCs w:val="20"/>
          <w:color w:val="auto"/>
        </w:rPr>
      </w:pPr>
    </w:p>
    <w:p>
      <w:pPr>
        <w:jc w:val="both"/>
        <w:ind w:right="20" w:firstLine="456"/>
        <w:spacing w:after="0" w:line="262"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b w:val="1"/>
          <w:bCs w:val="1"/>
          <w:color w:val="auto"/>
        </w:rPr>
        <w:t>Compliance with Restrictions</w:t>
      </w:r>
      <w:r>
        <w:rPr>
          <w:rFonts w:ascii="Arial" w:cs="Arial" w:eastAsia="Arial" w:hAnsi="Arial"/>
          <w:sz w:val="18"/>
          <w:szCs w:val="18"/>
          <w:color w:val="auto"/>
        </w:rPr>
        <w:t>. Each Pledgor agrees that in any sale of any of the Collateral whenever an Event of Default shall have occurred and be continuing, the Administrative Agent is hereby authorized to comply with any limitation or restriction in connection with such sale as it may be advised by counsel is necessary in order to avoid any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420"/>
          </w:cols>
          <w:pgMar w:left="240" w:top="280" w:right="239" w:bottom="1440" w:gutter="0" w:footer="0" w:header="0"/>
        </w:sectPr>
      </w:pPr>
    </w:p>
    <w:bookmarkStart w:id="268" w:name="page269"/>
    <w:bookmarkEnd w:id="268"/>
    <w:p>
      <w:pPr>
        <w:jc w:val="both"/>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violation of applicable Law (including compliance with such procedures as may restrict the number of prospective bidders and purchasers, require that such prospective bidders and purchasers have certain qualifications, and restrict such prospective bidders and purchasers to persons who will represent and agree that they are purchasing for their own account for investment and not with a view to the distribution or resale of such Collateral), or in order to obtain any required approval of the sale or of the purchaser by any Governmental Authority or official, and each Pledgor further agrees that such compliance shall not result in such sale being considered or deemed not to have been made in a commercially reasonable manner, nor shall the Administrative Agent be liable nor accountable to any Pledgor for any discount allowed by reason of the fact that such Collateral is sold in compliance with any such limitation or restriction.</w:t>
      </w:r>
    </w:p>
    <w:p>
      <w:pPr>
        <w:spacing w:after="0" w:line="114" w:lineRule="exact"/>
        <w:rPr>
          <w:sz w:val="20"/>
          <w:szCs w:val="20"/>
          <w:color w:val="auto"/>
        </w:rPr>
      </w:pPr>
    </w:p>
    <w:p>
      <w:pPr>
        <w:jc w:val="both"/>
        <w:ind w:firstLine="456"/>
        <w:spacing w:after="0" w:line="293" w:lineRule="auto"/>
        <w:rPr>
          <w:sz w:val="20"/>
          <w:szCs w:val="20"/>
          <w:color w:val="auto"/>
        </w:rPr>
      </w:pPr>
      <w:r>
        <w:rPr>
          <w:rFonts w:ascii="Arial" w:cs="Arial" w:eastAsia="Arial" w:hAnsi="Arial"/>
          <w:sz w:val="16"/>
          <w:szCs w:val="16"/>
          <w:color w:val="auto"/>
        </w:rPr>
        <w:t>SECTION 6.4</w:t>
      </w:r>
      <w:r>
        <w:rPr>
          <w:rFonts w:ascii="Arial" w:cs="Arial" w:eastAsia="Arial" w:hAnsi="Arial"/>
          <w:sz w:val="16"/>
          <w:szCs w:val="16"/>
          <w:b w:val="1"/>
          <w:bCs w:val="1"/>
          <w:color w:val="auto"/>
        </w:rPr>
        <w:t>Application of Proceeds</w:t>
      </w:r>
      <w:r>
        <w:rPr>
          <w:rFonts w:ascii="Arial" w:cs="Arial" w:eastAsia="Arial" w:hAnsi="Arial"/>
          <w:sz w:val="16"/>
          <w:szCs w:val="16"/>
          <w:color w:val="auto"/>
        </w:rPr>
        <w:t xml:space="preserve">. All cash proceeds received by the Administrative Agent in respect of any sale of, collection from, or other realization upon, all or any part of the Collateral shall be applied (after payment of any amounts payable to the Administrative Agent pursuant to Section 6.2 of the Security Agreement and </w:t>
      </w:r>
      <w:r>
        <w:rPr>
          <w:rFonts w:ascii="Arial" w:cs="Arial" w:eastAsia="Arial" w:hAnsi="Arial"/>
          <w:sz w:val="16"/>
          <w:szCs w:val="16"/>
          <w:u w:val="single" w:color="auto"/>
          <w:color w:val="auto"/>
        </w:rPr>
        <w:t>Section 6.5</w:t>
      </w:r>
      <w:r>
        <w:rPr>
          <w:rFonts w:ascii="Arial" w:cs="Arial" w:eastAsia="Arial" w:hAnsi="Arial"/>
          <w:sz w:val="16"/>
          <w:szCs w:val="16"/>
          <w:color w:val="auto"/>
        </w:rPr>
        <w:t xml:space="preserve"> below) in whole or in part by the Administrative Agent for the ratable benefit of the Secured Parties against all or any part of the Secured Obligations in accordance with Section 8.03 of the Credit Agreement. Any surplus of such cash or cash proceeds held by the Administrative Agent and remaining after payment in full in cash of all the Secured Obligations and the termination of this Agreement as provided in </w:t>
      </w:r>
      <w:r>
        <w:rPr>
          <w:rFonts w:ascii="Arial" w:cs="Arial" w:eastAsia="Arial" w:hAnsi="Arial"/>
          <w:sz w:val="16"/>
          <w:szCs w:val="16"/>
          <w:u w:val="single" w:color="auto"/>
          <w:color w:val="auto"/>
        </w:rPr>
        <w:t>Section 2.9(b)</w:t>
      </w:r>
      <w:r>
        <w:rPr>
          <w:rFonts w:ascii="Arial" w:cs="Arial" w:eastAsia="Arial" w:hAnsi="Arial"/>
          <w:sz w:val="16"/>
          <w:szCs w:val="16"/>
          <w:color w:val="auto"/>
        </w:rPr>
        <w:t xml:space="preserve"> hereof, shall be paid over to the applicable Pledgor or to whomsoever may be lawfully entitled to receive such surplus.</w:t>
      </w:r>
    </w:p>
    <w:p>
      <w:pPr>
        <w:spacing w:after="0" w:line="111"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SECTION 6.5</w:t>
      </w:r>
      <w:r>
        <w:rPr>
          <w:rFonts w:ascii="Arial" w:cs="Arial" w:eastAsia="Arial" w:hAnsi="Arial"/>
          <w:sz w:val="16"/>
          <w:szCs w:val="16"/>
          <w:b w:val="1"/>
          <w:bCs w:val="1"/>
          <w:color w:val="auto"/>
        </w:rPr>
        <w:t>Indemnity and Expenses</w:t>
      </w:r>
      <w:r>
        <w:rPr>
          <w:rFonts w:ascii="Arial" w:cs="Arial" w:eastAsia="Arial" w:hAnsi="Arial"/>
          <w:sz w:val="16"/>
          <w:szCs w:val="16"/>
          <w:color w:val="auto"/>
        </w:rPr>
        <w:t>. Each Pledgor agrees to jointly and severally indemnify the Administrative Agent (and any sub-agent thereof), each other Secured Party, and each Related Party of any of the foregoing Person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against, and hold each such Indemnitee harmless from, any and all losses, claims, damages, liabilities or related, reasonable, out-of-pocket expenses (including the reasonable fees, charges and disbursements of any counsel for any Indemnitee);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as long as no Default exists Pledgors shall engage and pay for defense counsel that is reasonably acceptable to the Secured Parties in connection with claims brought by third parties and Secured Parties may engage separate counsel under such circumstances at their own expense (it being understood that upon the occurrence of an Event of Default, all counsel shall be at the cost and expense of Pledgors), incurred by any Indemnitee or asserted against any Indemnitee by any third party or by any Borrower or other Loan Party arising out of, in connection with, this Agreement and the other Loan Documents (including enforcement of this Agreement and the other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such losses, claims, damages, liabilities and related expenses (x) are determined by a court of competent jurisdiction by final and nonappealable judgment to have resulted from the gross negligence or willful misconduct of such Indemnitee or (y) result from a claim brought by the Loan Party against an Indemnitee for intentional breach of such Indemnitee’s obligations hereunder or under any other Loan Document, if such other Loan Party has obtained a final and nonappealable judgment in its favor on such claim as determined by a court of competent jurisdiction. Each Pledgor will, upon demand, pay to the Administrative Agent the amount of any and all reasonable expenses, including its reasonable counsel fees, charges and disbursements, and the reasonable fees and disbursements of any experts and agents, which the Administrative Agent may incur, subject to the foregoing limitations, in connection with the following:</w:t>
      </w:r>
    </w:p>
    <w:p>
      <w:pPr>
        <w:spacing w:after="0" w:line="121" w:lineRule="exact"/>
        <w:rPr>
          <w:sz w:val="20"/>
          <w:szCs w:val="20"/>
          <w:color w:val="auto"/>
        </w:rPr>
      </w:pPr>
    </w:p>
    <w:p>
      <w:pPr>
        <w:ind w:left="1160" w:hanging="239"/>
        <w:spacing w:after="0"/>
        <w:tabs>
          <w:tab w:leader="none" w:pos="11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administration of this Agreement and the other Loan Documents;</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18 -</w:t>
      </w:r>
    </w:p>
    <w:p>
      <w:pPr>
        <w:sectPr>
          <w:pgSz w:w="11900" w:h="16838" w:orient="portrait"/>
          <w:cols w:equalWidth="0" w:num="1">
            <w:col w:w="11420"/>
          </w:cols>
          <w:pgMar w:left="240" w:top="280" w:right="239" w:bottom="1440" w:gutter="0" w:footer="0" w:header="0"/>
        </w:sectPr>
      </w:pPr>
    </w:p>
    <w:bookmarkStart w:id="269" w:name="page270"/>
    <w:bookmarkEnd w:id="269"/>
    <w:p>
      <w:pPr>
        <w:ind w:left="1160" w:hanging="239"/>
        <w:spacing w:after="0"/>
        <w:tabs>
          <w:tab w:leader="none" w:pos="11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custody, preservation, use or operation of, or the sale of, collection from, or other realization upon, any of the Collateral;</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exercise or enforcement of any of the rights of the Administrative Agent hereunder or of any Secured Party; or</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failure by any Pledgor to perform or observe any of the provisions hereof.</w:t>
      </w:r>
    </w:p>
    <w:p>
      <w:pPr>
        <w:spacing w:after="0" w:line="16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SECTION 6.6 </w:t>
      </w:r>
      <w:r>
        <w:rPr>
          <w:rFonts w:ascii="Arial" w:cs="Arial" w:eastAsia="Arial" w:hAnsi="Arial"/>
          <w:sz w:val="16"/>
          <w:szCs w:val="16"/>
          <w:b w:val="1"/>
          <w:bCs w:val="1"/>
          <w:color w:val="auto"/>
        </w:rPr>
        <w:t>Waivers</w:t>
      </w:r>
      <w:r>
        <w:rPr>
          <w:rFonts w:ascii="Arial" w:cs="Arial" w:eastAsia="Arial" w:hAnsi="Arial"/>
          <w:sz w:val="16"/>
          <w:szCs w:val="16"/>
          <w:color w:val="auto"/>
        </w:rPr>
        <w:t>. Each Pledgor hereby waives any right, to the extent permitted by applicable Law, to receive prior notice of or a judicial or other hearing with respect to any action or prejudgment remedy or proceeding by the Administrative Agent to take possession, exercise control over or dispose of any item of Collateral where such action is permitted under the terms of this Agreement or any other Loan Document or by applicable Laws or the time, place or terms of sale in connection with the exercise of the Administrative Agent’s rights hereunder. Each Pledgor waives, to the extent permitted by applicable Laws, any bonds, security or sureties required by the Administrative Agent with respect to any of the Collateral. Each Pledgor also waives any damages (direct, consequential or otherwise) occasioned by the enforcement of the Administrative Agent’s rights under this Agreement or any other Loan Document, including, the taking of possession of any Collateral, all to the extent that such waiver is permitted by applicable Laws. These waivers and all other waivers provided for in this Agreement and the other Loan Documents have been negotiated by the parties and each Pledgor acknowledges that it has been represented by counsel of its own choice and has consulted such counsel with respect to its rights hereunder.</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 PROVISIONS</w:t>
      </w:r>
    </w:p>
    <w:p>
      <w:pPr>
        <w:spacing w:after="0" w:line="159" w:lineRule="exact"/>
        <w:rPr>
          <w:sz w:val="20"/>
          <w:szCs w:val="20"/>
          <w:color w:val="auto"/>
        </w:rPr>
      </w:pPr>
    </w:p>
    <w:p>
      <w:pPr>
        <w:jc w:val="both"/>
        <w:ind w:firstLine="456"/>
        <w:spacing w:after="0" w:line="275"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b w:val="1"/>
          <w:bCs w:val="1"/>
          <w:color w:val="auto"/>
        </w:rPr>
        <w:t>Loan Document</w:t>
      </w:r>
      <w:r>
        <w:rPr>
          <w:rFonts w:ascii="Arial" w:cs="Arial" w:eastAsia="Arial" w:hAnsi="Arial"/>
          <w:sz w:val="18"/>
          <w:szCs w:val="18"/>
          <w:color w:val="auto"/>
        </w:rPr>
        <w:t>. (a) This Agreement is a Loan Document executed pursuant to the Credit Agreement and shall (unless otherwise expressly indicated herein) be construed, administered and applied in accordance with the terms and provisions thereof.</w:t>
      </w:r>
    </w:p>
    <w:p>
      <w:pPr>
        <w:spacing w:after="0" w:line="126" w:lineRule="exact"/>
        <w:rPr>
          <w:sz w:val="20"/>
          <w:szCs w:val="20"/>
          <w:color w:val="auto"/>
        </w:rPr>
      </w:pPr>
    </w:p>
    <w:p>
      <w:pPr>
        <w:jc w:val="both"/>
        <w:ind w:firstLine="921"/>
        <w:spacing w:after="0" w:line="259" w:lineRule="auto"/>
        <w:tabs>
          <w:tab w:leader="none" w:pos="1176" w:val="left"/>
        </w:tabs>
        <w:numPr>
          <w:ilvl w:val="0"/>
          <w:numId w:val="298"/>
        </w:numPr>
        <w:rPr>
          <w:rFonts w:ascii="Arial" w:cs="Arial" w:eastAsia="Arial" w:hAnsi="Arial"/>
          <w:sz w:val="18"/>
          <w:szCs w:val="18"/>
          <w:color w:val="auto"/>
        </w:rPr>
      </w:pPr>
      <w:r>
        <w:rPr>
          <w:rFonts w:ascii="Arial" w:cs="Arial" w:eastAsia="Arial" w:hAnsi="Arial"/>
          <w:sz w:val="18"/>
          <w:szCs w:val="18"/>
          <w:color w:val="auto"/>
        </w:rPr>
        <w:t>Concurrently herewith each Pledgor is executing and delivering the Security Agreement pursuant to which such Pledgor is granting a security interest to the Administrative Agent in certain properties and assets of such Pledgor (other than the Collateral hereunder). Such security interests shall be governed by the terms of the Security Agreement and not by this Agreement.</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b w:val="1"/>
          <w:bCs w:val="1"/>
          <w:color w:val="auto"/>
        </w:rPr>
        <w:t>Amendments, etc.; Additional Pledgors; Successors and Assigns</w:t>
      </w:r>
      <w:r>
        <w:rPr>
          <w:rFonts w:ascii="Arial" w:cs="Arial" w:eastAsia="Arial" w:hAnsi="Arial"/>
          <w:sz w:val="18"/>
          <w:szCs w:val="18"/>
          <w:color w:val="auto"/>
        </w:rPr>
        <w:t>.</w:t>
      </w:r>
    </w:p>
    <w:p>
      <w:pPr>
        <w:spacing w:after="0" w:line="177" w:lineRule="exact"/>
        <w:rPr>
          <w:sz w:val="20"/>
          <w:szCs w:val="20"/>
          <w:color w:val="auto"/>
        </w:rPr>
      </w:pPr>
    </w:p>
    <w:p>
      <w:pPr>
        <w:jc w:val="both"/>
        <w:ind w:firstLine="921"/>
        <w:spacing w:after="0" w:line="259" w:lineRule="auto"/>
        <w:tabs>
          <w:tab w:leader="none" w:pos="1168" w:val="left"/>
        </w:tabs>
        <w:numPr>
          <w:ilvl w:val="0"/>
          <w:numId w:val="299"/>
        </w:numPr>
        <w:rPr>
          <w:rFonts w:ascii="Arial" w:cs="Arial" w:eastAsia="Arial" w:hAnsi="Arial"/>
          <w:sz w:val="18"/>
          <w:szCs w:val="18"/>
          <w:color w:val="auto"/>
        </w:rPr>
      </w:pPr>
      <w:r>
        <w:rPr>
          <w:rFonts w:ascii="Arial" w:cs="Arial" w:eastAsia="Arial" w:hAnsi="Arial"/>
          <w:sz w:val="18"/>
          <w:szCs w:val="18"/>
          <w:color w:val="auto"/>
        </w:rPr>
        <w:t>No amendment to or waiver of any provision of this Agreement nor consent to any departure by any Pledgor herefrom, shall in any event be effective unless the same shall be in writing and signed by the Administrative Agent and, with respect to any such amendment, by the Pledgors, and then such waiver or consent shall be effective only in the specific instance and for the specific purpose for which given.</w:t>
      </w:r>
    </w:p>
    <w:p>
      <w:pPr>
        <w:spacing w:after="0" w:line="126" w:lineRule="exact"/>
        <w:rPr>
          <w:rFonts w:ascii="Arial" w:cs="Arial" w:eastAsia="Arial" w:hAnsi="Arial"/>
          <w:sz w:val="18"/>
          <w:szCs w:val="18"/>
          <w:color w:val="auto"/>
        </w:rPr>
      </w:pPr>
    </w:p>
    <w:p>
      <w:pPr>
        <w:ind w:left="5620" w:hanging="96"/>
        <w:spacing w:after="0"/>
        <w:tabs>
          <w:tab w:leader="none" w:pos="562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19 -</w:t>
      </w:r>
    </w:p>
    <w:p>
      <w:pPr>
        <w:sectPr>
          <w:pgSz w:w="11900" w:h="16838" w:orient="portrait"/>
          <w:cols w:equalWidth="0" w:num="1">
            <w:col w:w="11420"/>
          </w:cols>
          <w:pgMar w:left="240" w:top="280" w:right="239" w:bottom="1440" w:gutter="0" w:footer="0" w:header="0"/>
        </w:sectPr>
      </w:pPr>
    </w:p>
    <w:bookmarkStart w:id="270" w:name="page271"/>
    <w:bookmarkEnd w:id="270"/>
    <w:p>
      <w:pPr>
        <w:jc w:val="both"/>
        <w:ind w:firstLine="921"/>
        <w:spacing w:after="0" w:line="255" w:lineRule="auto"/>
        <w:tabs>
          <w:tab w:leader="none" w:pos="1165" w:val="left"/>
        </w:tabs>
        <w:numPr>
          <w:ilvl w:val="0"/>
          <w:numId w:val="3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the execution and delivery by any Person of a Joinder Agreement, (i) such Person shall be referred to as an “</w:t>
      </w:r>
      <w:r>
        <w:rPr>
          <w:rFonts w:ascii="Arial" w:cs="Arial" w:eastAsia="Arial" w:hAnsi="Arial"/>
          <w:sz w:val="18"/>
          <w:szCs w:val="18"/>
          <w:u w:val="single" w:color="auto"/>
          <w:color w:val="auto"/>
        </w:rPr>
        <w:t>Additional Pledgor</w:t>
      </w:r>
      <w:r>
        <w:rPr>
          <w:rFonts w:ascii="Arial" w:cs="Arial" w:eastAsia="Arial" w:hAnsi="Arial"/>
          <w:sz w:val="18"/>
          <w:szCs w:val="18"/>
          <w:color w:val="auto"/>
        </w:rPr>
        <w:t xml:space="preserve">” and shall be and become a Pledgor, and each reference in this Agreement to “Pledgor” shall also mean and be a reference to such Additional Pledgor and (ii) the attachment supplement attached to each Joinder Agreement shall be incorporated into and become a part of and supplement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and the Administrative Agent may attach such attachment supplements to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and each reference to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shall mean and be a reference to </w:t>
      </w:r>
      <w:r>
        <w:rPr>
          <w:rFonts w:ascii="Arial" w:cs="Arial" w:eastAsia="Arial" w:hAnsi="Arial"/>
          <w:sz w:val="18"/>
          <w:szCs w:val="18"/>
          <w:u w:val="single" w:color="auto"/>
          <w:color w:val="auto"/>
        </w:rPr>
        <w:t>Schedule I</w:t>
      </w:r>
      <w:r>
        <w:rPr>
          <w:rFonts w:ascii="Arial" w:cs="Arial" w:eastAsia="Arial" w:hAnsi="Arial"/>
          <w:sz w:val="18"/>
          <w:szCs w:val="18"/>
          <w:color w:val="auto"/>
        </w:rPr>
        <w:t>, as supplemented pursuant hereto.</w:t>
      </w:r>
    </w:p>
    <w:p>
      <w:pPr>
        <w:spacing w:after="0" w:line="142" w:lineRule="exact"/>
        <w:rPr>
          <w:rFonts w:ascii="Arial" w:cs="Arial" w:eastAsia="Arial" w:hAnsi="Arial"/>
          <w:sz w:val="18"/>
          <w:szCs w:val="18"/>
          <w:color w:val="auto"/>
        </w:rPr>
      </w:pPr>
    </w:p>
    <w:p>
      <w:pPr>
        <w:jc w:val="both"/>
        <w:ind w:firstLine="921"/>
        <w:spacing w:after="0" w:line="256" w:lineRule="auto"/>
        <w:tabs>
          <w:tab w:leader="none" w:pos="1161" w:val="left"/>
        </w:tabs>
        <w:numPr>
          <w:ilvl w:val="0"/>
          <w:numId w:val="300"/>
        </w:numPr>
        <w:rPr>
          <w:rFonts w:ascii="Arial" w:cs="Arial" w:eastAsia="Arial" w:hAnsi="Arial"/>
          <w:sz w:val="18"/>
          <w:szCs w:val="18"/>
          <w:color w:val="auto"/>
        </w:rPr>
      </w:pPr>
      <w:r>
        <w:rPr>
          <w:rFonts w:ascii="Arial" w:cs="Arial" w:eastAsia="Arial" w:hAnsi="Arial"/>
          <w:sz w:val="18"/>
          <w:szCs w:val="18"/>
          <w:color w:val="auto"/>
        </w:rPr>
        <w:t xml:space="preserve">Upon delivery by the Borrower of each certificate of Responsible Officers certifying a supplement to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pursuant to </w:t>
      </w:r>
      <w:r>
        <w:rPr>
          <w:rFonts w:ascii="Arial" w:cs="Arial" w:eastAsia="Arial" w:hAnsi="Arial"/>
          <w:sz w:val="18"/>
          <w:szCs w:val="18"/>
          <w:u w:val="single" w:color="auto"/>
          <w:color w:val="auto"/>
        </w:rPr>
        <w:t>Section 4.1(b)</w:t>
      </w:r>
      <w:r>
        <w:rPr>
          <w:rFonts w:ascii="Arial" w:cs="Arial" w:eastAsia="Arial" w:hAnsi="Arial"/>
          <w:sz w:val="18"/>
          <w:szCs w:val="18"/>
          <w:color w:val="auto"/>
        </w:rPr>
        <w:t xml:space="preserve">, the schedule supplement attached to each such certificate shall be incorporated into and become part of and supplement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and the Administrative Agent may attach such schedule supplement to such Schedule and each reference to such Schedule shall mean and be a reference to such Schedule, as supplemented pursuant hereto.</w:t>
      </w:r>
    </w:p>
    <w:p>
      <w:pPr>
        <w:spacing w:after="0" w:line="143" w:lineRule="exact"/>
        <w:rPr>
          <w:rFonts w:ascii="Arial" w:cs="Arial" w:eastAsia="Arial" w:hAnsi="Arial"/>
          <w:sz w:val="18"/>
          <w:szCs w:val="18"/>
          <w:color w:val="auto"/>
        </w:rPr>
      </w:pPr>
    </w:p>
    <w:p>
      <w:pPr>
        <w:jc w:val="both"/>
        <w:ind w:firstLine="921"/>
        <w:spacing w:after="0" w:line="259" w:lineRule="auto"/>
        <w:tabs>
          <w:tab w:leader="none" w:pos="1162" w:val="left"/>
        </w:tabs>
        <w:numPr>
          <w:ilvl w:val="0"/>
          <w:numId w:val="300"/>
        </w:numPr>
        <w:rPr>
          <w:rFonts w:ascii="Arial" w:cs="Arial" w:eastAsia="Arial" w:hAnsi="Arial"/>
          <w:sz w:val="18"/>
          <w:szCs w:val="18"/>
          <w:color w:val="auto"/>
        </w:rPr>
      </w:pPr>
      <w:r>
        <w:rPr>
          <w:rFonts w:ascii="Arial" w:cs="Arial" w:eastAsia="Arial" w:hAnsi="Arial"/>
          <w:sz w:val="18"/>
          <w:szCs w:val="18"/>
          <w:color w:val="auto"/>
        </w:rPr>
        <w:t xml:space="preserve">This Agreement shall be binding upon each Pledgor and its successors, transferees and assigns and shall inure to the benefit of the Administrative Agent and each other Secured Party and their respective successors, transferees and assigns;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Pledgor may assign its obligations hereunder without the prior written consent of the Administrative Agent.</w:t>
      </w:r>
    </w:p>
    <w:p>
      <w:pPr>
        <w:spacing w:after="0" w:line="134" w:lineRule="exact"/>
        <w:rPr>
          <w:sz w:val="20"/>
          <w:szCs w:val="20"/>
          <w:color w:val="auto"/>
        </w:rPr>
      </w:pPr>
    </w:p>
    <w:p>
      <w:pPr>
        <w:jc w:val="both"/>
        <w:ind w:firstLine="456"/>
        <w:spacing w:after="0" w:line="258"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b w:val="1"/>
          <w:bCs w:val="1"/>
          <w:color w:val="auto"/>
        </w:rPr>
        <w:t>Addresses for Notices</w:t>
      </w:r>
      <w:r>
        <w:rPr>
          <w:rFonts w:ascii="Arial" w:cs="Arial" w:eastAsia="Arial" w:hAnsi="Arial"/>
          <w:sz w:val="18"/>
          <w:szCs w:val="18"/>
          <w:color w:val="auto"/>
        </w:rPr>
        <w:t>. All notices and other communications provided for hereunder shall be in writing and mailed, delivered or transmitted by telecopier to either party hereto at the address set forth in Section 10.02 of the Credit Agreement (with any notice to a Pledgor other than the Borrower being delivered to such Pledgor in care of the Borrower). All such notices and other communications shall be deemed to be given or made at the times provided in Section 10.02 of the Credit Agreement.</w:t>
      </w:r>
    </w:p>
    <w:p>
      <w:pPr>
        <w:spacing w:after="0" w:line="136" w:lineRule="exact"/>
        <w:rPr>
          <w:sz w:val="20"/>
          <w:szCs w:val="20"/>
          <w:color w:val="auto"/>
        </w:rPr>
      </w:pPr>
    </w:p>
    <w:p>
      <w:pPr>
        <w:jc w:val="both"/>
        <w:ind w:firstLine="456"/>
        <w:spacing w:after="0" w:line="275"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b w:val="1"/>
          <w:bCs w:val="1"/>
          <w:color w:val="auto"/>
        </w:rPr>
        <w:t>Section Captions</w:t>
      </w:r>
      <w:r>
        <w:rPr>
          <w:rFonts w:ascii="Arial" w:cs="Arial" w:eastAsia="Arial" w:hAnsi="Arial"/>
          <w:sz w:val="18"/>
          <w:szCs w:val="18"/>
          <w:color w:val="auto"/>
        </w:rPr>
        <w:t>. Section captions used in this Agreement are for convenience of reference only, and shall not affect the construction of this Agreement.</w:t>
      </w:r>
    </w:p>
    <w:p>
      <w:pPr>
        <w:spacing w:after="0" w:line="12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b w:val="1"/>
          <w:bCs w:val="1"/>
          <w:color w:val="auto"/>
        </w:rPr>
        <w:t>Severability</w:t>
      </w:r>
      <w:r>
        <w:rPr>
          <w:rFonts w:ascii="Arial" w:cs="Arial" w:eastAsia="Arial" w:hAnsi="Arial"/>
          <w:sz w:val="18"/>
          <w:szCs w:val="18"/>
          <w:color w:val="auto"/>
        </w:rPr>
        <w:t>. If any provision of this Agreement is held to be illegal, invalid or unenforceable, (a) the legality, validity and enforceability of the remaining provisions of this Agreement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39" w:lineRule="exact"/>
        <w:rPr>
          <w:sz w:val="20"/>
          <w:szCs w:val="20"/>
          <w:color w:val="auto"/>
        </w:rPr>
      </w:pPr>
    </w:p>
    <w:p>
      <w:pPr>
        <w:jc w:val="both"/>
        <w:ind w:firstLine="456"/>
        <w:spacing w:after="0" w:line="275" w:lineRule="auto"/>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b w:val="1"/>
          <w:bCs w:val="1"/>
          <w:color w:val="auto"/>
        </w:rPr>
        <w:t>Counterparts</w:t>
      </w:r>
      <w:r>
        <w:rPr>
          <w:rFonts w:ascii="Arial" w:cs="Arial" w:eastAsia="Arial" w:hAnsi="Arial"/>
          <w:sz w:val="18"/>
          <w:szCs w:val="18"/>
          <w:color w:val="auto"/>
        </w:rPr>
        <w:t>. This Agreement may be executed in counterparts (and by different parties hereto in different counterparts), each of which shall constitute an original, but all of which when taken together shall constitute a single contract.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1420"/>
          </w:cols>
          <w:pgMar w:left="240" w:top="280" w:right="239" w:bottom="1440" w:gutter="0" w:footer="0" w:header="0"/>
        </w:sectPr>
      </w:pPr>
    </w:p>
    <w:bookmarkStart w:id="271" w:name="page272"/>
    <w:bookmarkEnd w:id="271"/>
    <w:p>
      <w:pPr>
        <w:jc w:val="both"/>
        <w:ind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7.7 </w:t>
      </w:r>
      <w:r>
        <w:rPr>
          <w:rFonts w:ascii="Arial" w:cs="Arial" w:eastAsia="Arial" w:hAnsi="Arial"/>
          <w:sz w:val="18"/>
          <w:szCs w:val="18"/>
          <w:b w:val="1"/>
          <w:bCs w:val="1"/>
          <w:color w:val="auto"/>
        </w:rPr>
        <w:t>Governing Law, etc. (a) THIS AGREEMENT SHALL BE GOVERNED BY AND CONSTRUED IN ACCORDANCE WITH</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THE LAWS OF THE STATE OF NEW YORK APPLICABLE TO AGREEMENTS MADE AND PERFORMED ENTIRELY WITHIN SUCH STATE, EXCEPT TO THE EXTENT THAT THE VALIDITY OR PERFECTION OF THE SECURITY INTEREST HEREUNDER, OR REMEDIES HEREUNDER, IN RESPECT OF ANY PARTICULAR COLLATERAL ARE GOVERNED BY THE LAWS OF A JURISDICTION OTHER THAN THE STATE OF NEW YORK; </w:t>
      </w:r>
      <w:r>
        <w:rPr>
          <w:rFonts w:ascii="Arial" w:cs="Arial" w:eastAsia="Arial" w:hAnsi="Arial"/>
          <w:sz w:val="18"/>
          <w:szCs w:val="18"/>
          <w:b w:val="1"/>
          <w:bCs w:val="1"/>
          <w:u w:val="single" w:color="auto"/>
          <w:color w:val="auto"/>
        </w:rPr>
        <w:t>PROVIDED</w:t>
      </w:r>
      <w:r>
        <w:rPr>
          <w:rFonts w:ascii="Arial" w:cs="Arial" w:eastAsia="Arial" w:hAnsi="Arial"/>
          <w:sz w:val="18"/>
          <w:szCs w:val="18"/>
          <w:b w:val="1"/>
          <w:bCs w:val="1"/>
          <w:color w:val="auto"/>
        </w:rPr>
        <w:t>, THAT THE ADMINISTRATIVE AGENT SHALL RETAIN ALL RIGHTS ARISING UNDER FEDERAL LAW.</w:t>
      </w:r>
    </w:p>
    <w:p>
      <w:pPr>
        <w:spacing w:after="0" w:line="139" w:lineRule="exact"/>
        <w:rPr>
          <w:sz w:val="20"/>
          <w:szCs w:val="20"/>
          <w:color w:val="auto"/>
        </w:rPr>
      </w:pPr>
    </w:p>
    <w:p>
      <w:pPr>
        <w:jc w:val="both"/>
        <w:ind w:firstLine="921"/>
        <w:spacing w:after="0" w:line="252" w:lineRule="auto"/>
        <w:tabs>
          <w:tab w:leader="none" w:pos="1216" w:val="left"/>
        </w:tabs>
        <w:numPr>
          <w:ilvl w:val="0"/>
          <w:numId w:val="301"/>
        </w:numPr>
        <w:rPr>
          <w:rFonts w:ascii="Arial" w:cs="Arial" w:eastAsia="Arial" w:hAnsi="Arial"/>
          <w:sz w:val="18"/>
          <w:szCs w:val="18"/>
          <w:color w:val="auto"/>
        </w:rPr>
      </w:pPr>
      <w:r>
        <w:rPr>
          <w:rFonts w:ascii="Arial" w:cs="Arial" w:eastAsia="Arial" w:hAnsi="Arial"/>
          <w:sz w:val="18"/>
          <w:szCs w:val="18"/>
          <w:b w:val="1"/>
          <w:bCs w:val="1"/>
          <w:color w:val="auto"/>
        </w:rPr>
        <w:t xml:space="preserve">EACH PLEDGOR IRREVOCABLY AND UNCONDITIONALLY SUBMITS, FOR ITSELF AND ITS PROPERTY, TO THE NONEXCLUSIVE JURISDICTION OF THE COURTS OF THE STATE OF NEW YORK SITTING IN NEW YORK COUNTY AND OF THE UNITED STATES DISTRICT COURT OF THE SOUTHERN DISTRICT OF NEW YORK, AND ANY APPELLATE COURT FROM ANY THEREOF, IN ANY ACTION OR PROCEEDING ARISING OUT OF OR RELATING TO THIS AGREEMENT OR ANY OTHER LOAN DOCUMENT, OR FOR RECOGNITION OR ENFORCEMENT OF ANY JUDGMENT; </w:t>
      </w:r>
      <w:r>
        <w:rPr>
          <w:rFonts w:ascii="Arial" w:cs="Arial" w:eastAsia="Arial" w:hAnsi="Arial"/>
          <w:sz w:val="18"/>
          <w:szCs w:val="18"/>
          <w:b w:val="1"/>
          <w:bCs w:val="1"/>
          <w:u w:val="single" w:color="auto"/>
          <w:color w:val="auto"/>
        </w:rPr>
        <w:t>PROVIDED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HOWEVER</w:t>
      </w:r>
      <w:r>
        <w:rPr>
          <w:rFonts w:ascii="Arial" w:cs="Arial" w:eastAsia="Arial" w:hAnsi="Arial"/>
          <w:sz w:val="18"/>
          <w:szCs w:val="18"/>
          <w:b w:val="1"/>
          <w:bCs w:val="1"/>
          <w:color w:val="auto"/>
        </w:rPr>
        <w:t>, THAT ANY SUIT SEEKING ENFORCEMENT AGAINST ANY COLLATERAL OR OTHER PROPERTY SHALL BE BROUGHT, AT THE ADMINISTRATIVE AGENT’S OPTION, IN THE COURTS OF ANY JURISDICTION WHERE SUCH COLLATERAL OR OTHER PROPERTY MAY BE FOUND.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OR ANY OTHER SECURED PARTY MAY OTHERWISE HAVE TO BRING ANY ACTION OR PROCEEDING RELATING TO THIS AGREEMENT OR ANY OTHER LOAN DOCUMENT AGAINST ANY PLEDGOR OR ITS PROPERTIES IN THE COURTS OF ANY JURISDICTION.</w:t>
      </w:r>
    </w:p>
    <w:p>
      <w:pPr>
        <w:spacing w:after="0" w:line="149" w:lineRule="exact"/>
        <w:rPr>
          <w:rFonts w:ascii="Arial" w:cs="Arial" w:eastAsia="Arial" w:hAnsi="Arial"/>
          <w:sz w:val="18"/>
          <w:szCs w:val="18"/>
          <w:color w:val="auto"/>
        </w:rPr>
      </w:pPr>
    </w:p>
    <w:p>
      <w:pPr>
        <w:jc w:val="both"/>
        <w:ind w:firstLine="921"/>
        <w:spacing w:after="0" w:line="294" w:lineRule="auto"/>
        <w:tabs>
          <w:tab w:leader="none" w:pos="1163" w:val="left"/>
        </w:tabs>
        <w:numPr>
          <w:ilvl w:val="0"/>
          <w:numId w:val="301"/>
        </w:numPr>
        <w:rPr>
          <w:rFonts w:ascii="Arial" w:cs="Arial" w:eastAsia="Arial" w:hAnsi="Arial"/>
          <w:sz w:val="16"/>
          <w:szCs w:val="16"/>
          <w:color w:val="auto"/>
        </w:rPr>
      </w:pPr>
      <w:r>
        <w:rPr>
          <w:rFonts w:ascii="Arial" w:cs="Arial" w:eastAsia="Arial" w:hAnsi="Arial"/>
          <w:sz w:val="16"/>
          <w:szCs w:val="16"/>
          <w:color w:val="auto"/>
        </w:rPr>
        <w:t>EACH PLEDGOR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15" w:lineRule="exact"/>
        <w:rPr>
          <w:rFonts w:ascii="Arial" w:cs="Arial" w:eastAsia="Arial" w:hAnsi="Arial"/>
          <w:sz w:val="16"/>
          <w:szCs w:val="16"/>
          <w:color w:val="auto"/>
        </w:rPr>
      </w:pPr>
    </w:p>
    <w:p>
      <w:pPr>
        <w:jc w:val="both"/>
        <w:ind w:firstLine="921"/>
        <w:spacing w:after="0" w:line="259" w:lineRule="auto"/>
        <w:tabs>
          <w:tab w:leader="none" w:pos="1183" w:val="left"/>
        </w:tabs>
        <w:numPr>
          <w:ilvl w:val="0"/>
          <w:numId w:val="301"/>
        </w:numPr>
        <w:rPr>
          <w:rFonts w:ascii="Arial" w:cs="Arial" w:eastAsia="Arial" w:hAnsi="Arial"/>
          <w:sz w:val="18"/>
          <w:szCs w:val="18"/>
          <w:color w:val="auto"/>
        </w:rPr>
      </w:pPr>
      <w:r>
        <w:rPr>
          <w:rFonts w:ascii="Arial" w:cs="Arial" w:eastAsia="Arial" w:hAnsi="Arial"/>
          <w:sz w:val="18"/>
          <w:szCs w:val="18"/>
          <w:color w:val="auto"/>
        </w:rPr>
        <w:t xml:space="preserve">EACH PARTY HERETO IRREVOCABLY CONSENTS TO SERVICE OF PROCESS IN THE MANNER PROVIDED FOR NOTICES IN </w:t>
      </w:r>
      <w:r>
        <w:rPr>
          <w:rFonts w:ascii="Arial" w:cs="Arial" w:eastAsia="Arial" w:hAnsi="Arial"/>
          <w:sz w:val="18"/>
          <w:szCs w:val="18"/>
          <w:u w:val="single" w:color="auto"/>
          <w:color w:val="auto"/>
        </w:rPr>
        <w:t>SECTION 7.3</w:t>
      </w:r>
      <w:r>
        <w:rPr>
          <w:rFonts w:ascii="Arial" w:cs="Arial" w:eastAsia="Arial" w:hAnsi="Arial"/>
          <w:sz w:val="18"/>
          <w:szCs w:val="18"/>
          <w:color w:val="auto"/>
        </w:rPr>
        <w:t>. NOTHING IN THIS AGREEMENT WILL AFFECT THE RIGHT OF ANY PARTY HERETO TO SERVE PROCESS IN ANY OTHER MANNER PERMITTED BY APPLICABLE LAW.</w:t>
      </w:r>
    </w:p>
    <w:p>
      <w:pPr>
        <w:spacing w:after="0" w:line="126" w:lineRule="exact"/>
        <w:rPr>
          <w:rFonts w:ascii="Arial" w:cs="Arial" w:eastAsia="Arial" w:hAnsi="Arial"/>
          <w:sz w:val="18"/>
          <w:szCs w:val="18"/>
          <w:color w:val="auto"/>
        </w:rPr>
      </w:pPr>
    </w:p>
    <w:p>
      <w:pPr>
        <w:ind w:left="5620" w:hanging="96"/>
        <w:spacing w:after="0"/>
        <w:tabs>
          <w:tab w:leader="none" w:pos="562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1420"/>
          </w:cols>
          <w:pgMar w:left="240" w:top="274" w:right="239" w:bottom="1440" w:gutter="0" w:footer="0" w:header="0"/>
        </w:sectPr>
      </w:pPr>
    </w:p>
    <w:bookmarkStart w:id="272" w:name="page273"/>
    <w:bookmarkEnd w:id="272"/>
    <w:p>
      <w:pPr>
        <w:jc w:val="both"/>
        <w:ind w:firstLine="456"/>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7.8 </w:t>
      </w:r>
      <w:r>
        <w:rPr>
          <w:rFonts w:ascii="Arial" w:cs="Arial" w:eastAsia="Arial" w:hAnsi="Arial"/>
          <w:sz w:val="16"/>
          <w:szCs w:val="16"/>
          <w:b w:val="1"/>
          <w:bCs w:val="1"/>
          <w:color w:val="auto"/>
        </w:rPr>
        <w:t>Waiver of Jury Trial</w:t>
      </w:r>
      <w:r>
        <w:rPr>
          <w:rFonts w:ascii="Arial" w:cs="Arial" w:eastAsia="Arial" w:hAnsi="Arial"/>
          <w:sz w:val="16"/>
          <w:szCs w:val="16"/>
          <w:color w:val="auto"/>
        </w:rPr>
        <w:t xml:space="preserve">. </w:t>
      </w:r>
      <w:r>
        <w:rPr>
          <w:rFonts w:ascii="Arial" w:cs="Arial" w:eastAsia="Arial" w:hAnsi="Arial"/>
          <w:sz w:val="16"/>
          <w:szCs w:val="16"/>
          <w:b w:val="1"/>
          <w:bCs w:val="1"/>
          <w:color w:val="auto"/>
        </w:rPr>
        <w:t>EACH PARTY TO THIS AGREEMENT HEREBY IRREVOCABLY WAIVES, TO THE FULLEST</w:t>
      </w:r>
      <w:r>
        <w:rPr>
          <w:rFonts w:ascii="Arial" w:cs="Arial" w:eastAsia="Arial" w:hAnsi="Arial"/>
          <w:sz w:val="16"/>
          <w:szCs w:val="16"/>
          <w:color w:val="auto"/>
        </w:rPr>
        <w:t xml:space="preserve"> </w:t>
      </w:r>
      <w:r>
        <w:rPr>
          <w:rFonts w:ascii="Arial" w:cs="Arial" w:eastAsia="Arial" w:hAnsi="Arial"/>
          <w:sz w:val="16"/>
          <w:szCs w:val="16"/>
          <w:b w:val="1"/>
          <w:bCs w:val="1"/>
          <w:color w:val="auto"/>
        </w:rPr>
        <w:t>EXTENT PERMITTED BY APPLICABLE LAW, ANY RIGHT IT MAY HAVE TO TRIAL BY JURY OF ANY LEGAL PROCEEDING DIRECTLY OR INDIRECTLY ARISING OUT OF OR RELATING TO THIS AGREEMENT OR ANY OTHER LOAN DOCUMENT OR THE TRANSACTIONS CONTEMPLATED HEREBY OR THEREBY (WHETHER BASED ON CONTRACT, TORT OR ANY OTHER THEORY). EACH PARTY HERETO</w:t>
      </w:r>
    </w:p>
    <w:p>
      <w:pPr>
        <w:spacing w:after="0" w:line="3" w:lineRule="exact"/>
        <w:rPr>
          <w:sz w:val="20"/>
          <w:szCs w:val="20"/>
          <w:color w:val="auto"/>
        </w:rPr>
      </w:pPr>
    </w:p>
    <w:p>
      <w:pPr>
        <w:jc w:val="both"/>
        <w:ind w:firstLine="8"/>
        <w:spacing w:after="0" w:line="253" w:lineRule="auto"/>
        <w:tabs>
          <w:tab w:leader="none" w:pos="312"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t>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39" w:lineRule="exact"/>
        <w:rPr>
          <w:sz w:val="20"/>
          <w:szCs w:val="20"/>
          <w:color w:val="auto"/>
        </w:rPr>
      </w:pPr>
    </w:p>
    <w:p>
      <w:pPr>
        <w:jc w:val="both"/>
        <w:ind w:firstLine="456"/>
        <w:spacing w:after="0" w:line="258" w:lineRule="auto"/>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b w:val="1"/>
          <w:bCs w:val="1"/>
          <w:color w:val="auto"/>
        </w:rPr>
        <w:t>Entire Agreement</w:t>
      </w:r>
      <w:r>
        <w:rPr>
          <w:rFonts w:ascii="Arial" w:cs="Arial" w:eastAsia="Arial" w:hAnsi="Arial"/>
          <w:sz w:val="18"/>
          <w:szCs w:val="18"/>
          <w:color w:val="auto"/>
        </w:rPr>
        <w:t xml:space="preserve">. </w:t>
      </w:r>
      <w:r>
        <w:rPr>
          <w:rFonts w:ascii="Arial" w:cs="Arial" w:eastAsia="Arial" w:hAnsi="Arial"/>
          <w:sz w:val="18"/>
          <w:szCs w:val="18"/>
          <w:b w:val="1"/>
          <w:bCs w:val="1"/>
          <w:color w:val="auto"/>
        </w:rPr>
        <w:t>THIS AGREEMENT AND THE OTHER LOAN DOCUMENTS REPRESENT THE FINAL AGREEMENT</w:t>
      </w:r>
      <w:r>
        <w:rPr>
          <w:rFonts w:ascii="Arial" w:cs="Arial" w:eastAsia="Arial" w:hAnsi="Arial"/>
          <w:sz w:val="18"/>
          <w:szCs w:val="18"/>
          <w:color w:val="auto"/>
        </w:rPr>
        <w:t xml:space="preserve"> </w:t>
      </w:r>
      <w:r>
        <w:rPr>
          <w:rFonts w:ascii="Arial" w:cs="Arial" w:eastAsia="Arial" w:hAnsi="Arial"/>
          <w:sz w:val="18"/>
          <w:szCs w:val="18"/>
          <w:b w:val="1"/>
          <w:bCs w:val="1"/>
          <w:color w:val="auto"/>
        </w:rPr>
        <w:t>AMONG THE PARTIES AND MAY NOT BE CONTRADICTED BY EVIDENCE OF PRIOR, CONTEMPORANEOUS, OR SUBSEQUENT ORAL AGREEMENTS OF THE PARTIES OR BY PRIOR OR CONTEMPORANEOUS WRITTEN AGREEMENTS. THERE ARE NO UNWRITTEN ORAL AGREEMENTS AMONG THE PARTIES.</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b w:val="1"/>
          <w:bCs w:val="1"/>
          <w:color w:val="auto"/>
        </w:rPr>
        <w:t>Amendment and Restatement</w:t>
      </w:r>
      <w:r>
        <w:rPr>
          <w:rFonts w:ascii="Arial" w:cs="Arial" w:eastAsia="Arial" w:hAnsi="Arial"/>
          <w:sz w:val="18"/>
          <w:szCs w:val="18"/>
          <w:color w:val="auto"/>
        </w:rPr>
        <w:t>.</w:t>
      </w:r>
    </w:p>
    <w:p>
      <w:pPr>
        <w:spacing w:after="0" w:line="96" w:lineRule="exact"/>
        <w:rPr>
          <w:sz w:val="20"/>
          <w:szCs w:val="20"/>
          <w:color w:val="auto"/>
        </w:rPr>
      </w:pPr>
    </w:p>
    <w:p>
      <w:pPr>
        <w:jc w:val="both"/>
        <w:ind w:firstLine="921"/>
        <w:spacing w:after="0" w:line="255" w:lineRule="auto"/>
        <w:tabs>
          <w:tab w:leader="none" w:pos="1152"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Pledgors and the Administrative Agent on behalf of the Secured Parties hereby agree that upon the effectiveness of this Agreement, the terms and provisions of the Existing Pledge Agreement which in any manner govern or evidence the obligations arising hereunder, the rights and interests of the Secured Parties and any terms, conditions or matters related to any thereof, shall be and hereby are amended and restated in their entirety by the terms, conditions and provisions of this Agreement, and the terms and provisions of the Existing Pledge Agreement, except as otherwise expressly provided herein, shall be superseded by this Agreement.</w:t>
      </w:r>
    </w:p>
    <w:p>
      <w:pPr>
        <w:spacing w:after="0" w:line="142" w:lineRule="exact"/>
        <w:rPr>
          <w:rFonts w:ascii="Arial" w:cs="Arial" w:eastAsia="Arial" w:hAnsi="Arial"/>
          <w:sz w:val="18"/>
          <w:szCs w:val="18"/>
          <w:color w:val="auto"/>
        </w:rPr>
      </w:pPr>
    </w:p>
    <w:p>
      <w:pPr>
        <w:jc w:val="both"/>
        <w:ind w:firstLine="921"/>
        <w:spacing w:after="0" w:line="291" w:lineRule="auto"/>
        <w:tabs>
          <w:tab w:leader="none" w:pos="1170" w:val="left"/>
        </w:tabs>
        <w:numPr>
          <w:ilvl w:val="0"/>
          <w:numId w:val="303"/>
        </w:numPr>
        <w:rPr>
          <w:rFonts w:ascii="Arial" w:cs="Arial" w:eastAsia="Arial" w:hAnsi="Arial"/>
          <w:sz w:val="16"/>
          <w:szCs w:val="16"/>
          <w:color w:val="auto"/>
        </w:rPr>
      </w:pPr>
      <w:r>
        <w:rPr>
          <w:rFonts w:ascii="Arial" w:cs="Arial" w:eastAsia="Arial" w:hAnsi="Arial"/>
          <w:sz w:val="16"/>
          <w:szCs w:val="16"/>
          <w:color w:val="auto"/>
        </w:rPr>
        <w:t xml:space="preserve">Notwithstanding this amendment and restatement of the Existing Pledge Agreement, including anything in this </w:t>
      </w:r>
      <w:r>
        <w:rPr>
          <w:rFonts w:ascii="Arial" w:cs="Arial" w:eastAsia="Arial" w:hAnsi="Arial"/>
          <w:sz w:val="16"/>
          <w:szCs w:val="16"/>
          <w:u w:val="single" w:color="auto"/>
          <w:color w:val="auto"/>
        </w:rPr>
        <w:t>Section 7.10</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Section 7.10(c)</w:t>
      </w:r>
      <w:r>
        <w:rPr>
          <w:rFonts w:ascii="Arial" w:cs="Arial" w:eastAsia="Arial" w:hAnsi="Arial"/>
          <w:sz w:val="16"/>
          <w:szCs w:val="16"/>
          <w:color w:val="auto"/>
        </w:rPr>
        <w:t xml:space="preserve"> below, (i) all of the indebtedness, liabilities and obligations owing by the Pledgors under the Existing Pledge Agreement shall continue as obligations hereunder and thereunder and shall be and remain secured by this Agreement, (ii) the Existing Pledge Interest shall continue as a security interest hereunder, and (iii) this Agreement is given as a substitution of, and not as a payment of the indebtedness, liabilities and obligations of the Pledgors under the Existing Pledge Agreement and neither the execution and delivery of this Agreement nor the consummation of any other transaction contemplated hereunder is intended to constitute a novation of the Existing Pledge Agreement or the Existing Security Interest created thereunder.</w:t>
      </w:r>
    </w:p>
    <w:p>
      <w:pPr>
        <w:spacing w:after="0" w:line="106" w:lineRule="exact"/>
        <w:rPr>
          <w:rFonts w:ascii="Arial" w:cs="Arial" w:eastAsia="Arial" w:hAnsi="Arial"/>
          <w:sz w:val="16"/>
          <w:szCs w:val="16"/>
          <w:color w:val="auto"/>
        </w:rPr>
      </w:pPr>
    </w:p>
    <w:p>
      <w:pPr>
        <w:ind w:left="5620" w:hanging="96"/>
        <w:spacing w:after="0"/>
        <w:tabs>
          <w:tab w:leader="none" w:pos="562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22 -</w:t>
      </w:r>
    </w:p>
    <w:p>
      <w:pPr>
        <w:sectPr>
          <w:pgSz w:w="11900" w:h="16838" w:orient="portrait"/>
          <w:cols w:equalWidth="0" w:num="1">
            <w:col w:w="11420"/>
          </w:cols>
          <w:pgMar w:left="240" w:top="274" w:right="239" w:bottom="1440" w:gutter="0" w:footer="0" w:header="0"/>
        </w:sectPr>
      </w:pPr>
    </w:p>
    <w:bookmarkStart w:id="273" w:name="page274"/>
    <w:bookmarkEnd w:id="273"/>
    <w:p>
      <w:pPr>
        <w:ind w:left="-20" w:firstLine="921"/>
        <w:spacing w:after="0" w:line="268" w:lineRule="auto"/>
        <w:tabs>
          <w:tab w:leader="none" w:pos="1155" w:val="left"/>
        </w:tabs>
        <w:numPr>
          <w:ilvl w:val="0"/>
          <w:numId w:val="3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Effective as of the Closing Date, the Administrative Agent, on behalf of the Secured Parties, hereby terminates, releases and discharges the Existing Security Interests in the Excluded Subsidiary Collateral.</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1380"/>
          </w:cols>
          <w:pgMar w:left="260" w:top="280" w:right="259" w:bottom="1440" w:gutter="0" w:footer="0" w:header="0"/>
        </w:sectPr>
      </w:pPr>
    </w:p>
    <w:bookmarkStart w:id="274" w:name="page275"/>
    <w:bookmarkEnd w:id="274"/>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each Pledgor has caused this Agreement to be duly executed and delivered by its respective officer thereunto duly authorized as of the date first above written.</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INTEGRA LIFESCIENCES HOLDINGS CORPORATION,</w:t>
      </w:r>
    </w:p>
    <w:p>
      <w:pPr>
        <w:spacing w:after="0" w:line="44"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a Delaware corporation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INTEGRA LIFESCIENCES CORPORATION,</w:t>
      </w:r>
    </w:p>
    <w:p>
      <w:pPr>
        <w:spacing w:after="0" w:line="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a Delaware corporation</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John B. Henneman, III</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6"/>
          <w:szCs w:val="16"/>
          <w:color w:val="auto"/>
        </w:rPr>
        <w:t>Title:</w:t>
        <w:tab/>
        <w:t>Executive Vice President, Finance and Administration</w:t>
      </w:r>
    </w:p>
    <w:p>
      <w:pPr>
        <w:spacing w:after="0" w:line="3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&amp; Chief Financial Officer</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ENDOSOLUTIONS, INC</w:t>
      </w:r>
      <w:r>
        <w:rPr>
          <w:rFonts w:ascii="Arial" w:cs="Arial" w:eastAsia="Arial" w:hAnsi="Arial"/>
          <w:sz w:val="18"/>
          <w:szCs w:val="18"/>
          <w:color w:val="auto"/>
        </w:rPr>
        <w:t>., a Delaware corporation</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 xml:space="preserve">INTEGRA LUXTEC, INC., </w:t>
      </w:r>
      <w:r>
        <w:rPr>
          <w:rFonts w:ascii="Arial" w:cs="Arial" w:eastAsia="Arial" w:hAnsi="Arial"/>
          <w:sz w:val="18"/>
          <w:szCs w:val="18"/>
          <w:color w:val="auto"/>
        </w:rPr>
        <w:t>a Massachusetts corporation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INTEGRA NEUROSCIENCES (INTERNATIONAL), INC.,</w:t>
      </w:r>
    </w:p>
    <w:p>
      <w:pPr>
        <w:spacing w:after="0" w:line="32"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a Delaware corporation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 xml:space="preserve">INTEGRA RADIONICS, INC., </w:t>
      </w:r>
      <w:r>
        <w:rPr>
          <w:rFonts w:ascii="Arial" w:cs="Arial" w:eastAsia="Arial" w:hAnsi="Arial"/>
          <w:sz w:val="18"/>
          <w:szCs w:val="18"/>
          <w:color w:val="auto"/>
        </w:rPr>
        <w:t>a Delaware corporation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ISOTIS ORTHOBIOLOGICS, INC</w:t>
      </w:r>
      <w:r>
        <w:rPr>
          <w:rFonts w:ascii="Arial" w:cs="Arial" w:eastAsia="Arial" w:hAnsi="Arial"/>
          <w:sz w:val="18"/>
          <w:szCs w:val="18"/>
          <w:color w:val="auto"/>
        </w:rPr>
        <w:t>., a Washington</w:t>
      </w:r>
    </w:p>
    <w:p>
      <w:pPr>
        <w:spacing w:after="0" w:line="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corporation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 xml:space="preserve">J. JAMNER SURGICAL INSTRUMENTS, INC., </w:t>
      </w:r>
      <w:r>
        <w:rPr>
          <w:rFonts w:ascii="Arial" w:cs="Arial" w:eastAsia="Arial" w:hAnsi="Arial"/>
          <w:sz w:val="18"/>
          <w:szCs w:val="18"/>
          <w:color w:val="auto"/>
        </w:rPr>
        <w:t>a Delaware</w:t>
      </w:r>
    </w:p>
    <w:p>
      <w:pPr>
        <w:spacing w:after="0" w:line="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corporation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MILTEX, INC.</w:t>
      </w:r>
      <w:r>
        <w:rPr>
          <w:rFonts w:ascii="Arial" w:cs="Arial" w:eastAsia="Arial" w:hAnsi="Arial"/>
          <w:sz w:val="18"/>
          <w:szCs w:val="18"/>
          <w:color w:val="auto"/>
        </w:rPr>
        <w:t>, a Delaware corporation</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John B. Henneman, III</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Vice President and Treasurer</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 xml:space="preserve">MINNESOTA SCIENTIFIC, INC., </w:t>
      </w:r>
      <w:r>
        <w:rPr>
          <w:rFonts w:ascii="Arial" w:cs="Arial" w:eastAsia="Arial" w:hAnsi="Arial"/>
          <w:sz w:val="16"/>
          <w:szCs w:val="16"/>
          <w:color w:val="auto"/>
        </w:rPr>
        <w:t>a Minnesota corporation</w:t>
      </w:r>
    </w:p>
    <w:p>
      <w:pPr>
        <w:spacing w:after="0" w:line="24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John B. Henneman, III</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Vice President and Chief Financial Officer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PLEDGE AGREEMENT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1420"/>
          </w:cols>
          <w:pgMar w:left="240" w:top="280" w:right="239" w:bottom="1440" w:gutter="0" w:footer="0" w:header="0"/>
        </w:sectPr>
      </w:pPr>
    </w:p>
    <w:bookmarkStart w:id="275" w:name="page276"/>
    <w:bookmarkEnd w:id="275"/>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THEKEN SPINE, LLC, </w:t>
      </w:r>
      <w:r>
        <w:rPr>
          <w:rFonts w:ascii="Arial" w:cs="Arial" w:eastAsia="Arial" w:hAnsi="Arial"/>
          <w:sz w:val="18"/>
          <w:szCs w:val="18"/>
          <w:color w:val="auto"/>
        </w:rPr>
        <w:t>an Ohio limited liability company</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b w:val="1"/>
          <w:bCs w:val="1"/>
          <w:color w:val="auto"/>
        </w:rPr>
        <w:t>INTEGRA LIFESCIENCES CORPORATION,</w:t>
      </w:r>
      <w:r>
        <w:rPr>
          <w:rFonts w:ascii="Arial" w:cs="Arial" w:eastAsia="Arial" w:hAnsi="Arial"/>
          <w:sz w:val="16"/>
          <w:szCs w:val="16"/>
          <w:color w:val="auto"/>
        </w:rPr>
        <w:t xml:space="preserve"> its sole</w:t>
      </w:r>
    </w:p>
    <w:p>
      <w:pPr>
        <w:spacing w:after="0" w:line="44"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member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tabs>
          <w:tab w:leader="none" w:pos="6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John B. Henneman, III</w:t>
      </w:r>
    </w:p>
    <w:p>
      <w:pPr>
        <w:spacing w:after="0" w:line="15" w:lineRule="exact"/>
        <w:rPr>
          <w:sz w:val="20"/>
          <w:szCs w:val="20"/>
          <w:color w:val="auto"/>
        </w:rPr>
      </w:pPr>
    </w:p>
    <w:p>
      <w:pPr>
        <w:ind w:left="6040"/>
        <w:spacing w:after="0"/>
        <w:tabs>
          <w:tab w:leader="none" w:pos="6640" w:val="left"/>
        </w:tabs>
        <w:rPr>
          <w:sz w:val="20"/>
          <w:szCs w:val="20"/>
          <w:color w:val="auto"/>
        </w:rPr>
      </w:pPr>
      <w:r>
        <w:rPr>
          <w:rFonts w:ascii="Arial" w:cs="Arial" w:eastAsia="Arial" w:hAnsi="Arial"/>
          <w:sz w:val="18"/>
          <w:szCs w:val="18"/>
          <w:color w:val="auto"/>
        </w:rPr>
        <w:t>Title:</w:t>
        <w:tab/>
        <w:t>Executive Vice President, Finance and</w:t>
      </w:r>
    </w:p>
    <w:p>
      <w:pPr>
        <w:spacing w:after="0" w:line="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Administration &amp; Chief Financial Officer</w:t>
      </w:r>
    </w:p>
    <w:p>
      <w:pPr>
        <w:spacing w:after="0" w:line="165"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AMENDED AND RESTATED PLEDGE AGREEMENT</w:t>
      </w:r>
    </w:p>
    <w:p>
      <w:pPr>
        <w:spacing w:after="0" w:line="38"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140"/>
          </w:cols>
          <w:pgMar w:left="1440" w:top="274" w:right="319" w:bottom="1440" w:gutter="0" w:footer="0" w:header="0"/>
        </w:sectPr>
      </w:pPr>
    </w:p>
    <w:bookmarkStart w:id="276" w:name="page277"/>
    <w:bookmarkEnd w:id="276"/>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ACKNOWLEDGED AND ACCEPTED</w:t>
      </w:r>
      <w:r>
        <w:rPr>
          <w:rFonts w:ascii="Arial" w:cs="Arial" w:eastAsia="Arial" w:hAnsi="Arial"/>
          <w:sz w:val="18"/>
          <w:szCs w:val="18"/>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AMERICA, N.A.,</w:t>
      </w:r>
    </w:p>
    <w:p>
      <w:pPr>
        <w:spacing w:after="0" w:line="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as Administrative Agent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AMENDED AND RESTATED PLEDGE AGREEMENT</w:t>
      </w:r>
    </w:p>
    <w:p>
      <w:pPr>
        <w:spacing w:after="0" w:line="3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219"/>
          </w:cols>
          <w:pgMar w:left="240" w:top="280" w:right="1440" w:bottom="1440" w:gutter="0" w:footer="0" w:header="0"/>
        </w:sectPr>
      </w:pPr>
    </w:p>
    <w:bookmarkStart w:id="277" w:name="page278"/>
    <w:bookmarkEnd w:id="277"/>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5640" w:type="dxa"/>
            <w:vAlign w:val="bottom"/>
            <w:gridSpan w:val="4"/>
          </w:tcPr>
          <w:p>
            <w:pPr>
              <w:ind w:left="500"/>
              <w:spacing w:after="0"/>
              <w:rPr>
                <w:sz w:val="20"/>
                <w:szCs w:val="20"/>
                <w:color w:val="auto"/>
              </w:rPr>
            </w:pPr>
            <w:r>
              <w:rPr>
                <w:rFonts w:ascii="Arial" w:cs="Arial" w:eastAsia="Arial" w:hAnsi="Arial"/>
                <w:sz w:val="18"/>
                <w:szCs w:val="18"/>
                <w:b w:val="1"/>
                <w:bCs w:val="1"/>
                <w:color w:val="auto"/>
              </w:rPr>
              <w:t>SCHEDULE I TO PLEDGE AGREEMENT</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780" w:type="dxa"/>
            <w:vAlign w:val="bottom"/>
            <w:gridSpan w:val="2"/>
          </w:tcPr>
          <w:p>
            <w:pPr>
              <w:spacing w:after="0"/>
              <w:rPr>
                <w:sz w:val="20"/>
                <w:szCs w:val="20"/>
                <w:color w:val="auto"/>
              </w:rPr>
            </w:pPr>
            <w:r>
              <w:rPr>
                <w:rFonts w:ascii="Arial" w:cs="Arial" w:eastAsia="Arial" w:hAnsi="Arial"/>
                <w:sz w:val="18"/>
                <w:szCs w:val="18"/>
                <w:color w:val="auto"/>
              </w:rPr>
              <w:t>Item A.</w:t>
            </w:r>
          </w:p>
        </w:tc>
        <w:tc>
          <w:tcPr>
            <w:tcW w:w="2760" w:type="dxa"/>
            <w:vAlign w:val="bottom"/>
          </w:tcPr>
          <w:p>
            <w:pPr>
              <w:ind w:left="260"/>
              <w:spacing w:after="0"/>
              <w:rPr>
                <w:sz w:val="20"/>
                <w:szCs w:val="20"/>
                <w:color w:val="auto"/>
              </w:rPr>
            </w:pPr>
            <w:r>
              <w:rPr>
                <w:rFonts w:ascii="Arial" w:cs="Arial" w:eastAsia="Arial" w:hAnsi="Arial"/>
                <w:sz w:val="18"/>
                <w:szCs w:val="18"/>
                <w:b w:val="1"/>
                <w:bCs w:val="1"/>
                <w:color w:val="auto"/>
              </w:rPr>
              <w:t>Pledged Notes</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760" w:type="dxa"/>
            <w:vAlign w:val="bottom"/>
            <w:vMerge w:val="restart"/>
          </w:tcPr>
          <w:p>
            <w:pPr>
              <w:ind w:left="1300"/>
              <w:spacing w:after="0"/>
              <w:rPr>
                <w:sz w:val="20"/>
                <w:szCs w:val="20"/>
                <w:color w:val="auto"/>
              </w:rPr>
            </w:pPr>
            <w:r>
              <w:rPr>
                <w:rFonts w:ascii="Arial" w:cs="Arial" w:eastAsia="Arial" w:hAnsi="Arial"/>
                <w:sz w:val="14"/>
                <w:szCs w:val="14"/>
                <w:b w:val="1"/>
                <w:bCs w:val="1"/>
                <w:color w:val="auto"/>
              </w:rPr>
              <w:t>Pledgor</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80" w:type="dxa"/>
            <w:vAlign w:val="bottom"/>
            <w:gridSpan w:val="2"/>
            <w:vMerge w:val="restart"/>
          </w:tcPr>
          <w:p>
            <w:pPr>
              <w:ind w:left="720"/>
              <w:spacing w:after="0"/>
              <w:rPr>
                <w:sz w:val="20"/>
                <w:szCs w:val="20"/>
                <w:color w:val="auto"/>
              </w:rPr>
            </w:pPr>
            <w:r>
              <w:rPr>
                <w:rFonts w:ascii="Arial" w:cs="Arial" w:eastAsia="Arial" w:hAnsi="Arial"/>
                <w:sz w:val="14"/>
                <w:szCs w:val="14"/>
                <w:b w:val="1"/>
                <w:bCs w:val="1"/>
                <w:color w:val="auto"/>
              </w:rPr>
              <w:t>Securities Issuer (Jurisdiction of Organization)</w:t>
            </w: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8"/>
              </w:rPr>
              <w:t>Original Principal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76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380" w:type="dxa"/>
            <w:vAlign w:val="bottom"/>
            <w:gridSpan w:val="2"/>
            <w:vMerge w:val="continue"/>
          </w:tcPr>
          <w:p>
            <w:pPr>
              <w:spacing w:after="0"/>
              <w:rPr>
                <w:sz w:val="14"/>
                <w:szCs w:val="14"/>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Date</w:t>
            </w:r>
          </w:p>
        </w:tc>
        <w:tc>
          <w:tcPr>
            <w:tcW w:w="140" w:type="dxa"/>
            <w:vAlign w:val="bottom"/>
          </w:tcPr>
          <w:p>
            <w:pPr>
              <w:spacing w:after="0"/>
              <w:rPr>
                <w:sz w:val="14"/>
                <w:szCs w:val="14"/>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2760" w:type="dxa"/>
            <w:vAlign w:val="bottom"/>
            <w:tcBorders>
              <w:top w:val="single" w:sz="8" w:color="auto"/>
            </w:tcBorders>
          </w:tcPr>
          <w:p>
            <w:pPr>
              <w:spacing w:after="0"/>
              <w:rPr>
                <w:sz w:val="7"/>
                <w:szCs w:val="7"/>
                <w:color w:val="auto"/>
              </w:rPr>
            </w:pPr>
          </w:p>
        </w:tc>
        <w:tc>
          <w:tcPr>
            <w:tcW w:w="104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416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 LifeSciences Holdings Corporation</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 LifeSciences Corporation</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8/10/2010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600,000,000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540" w:type="dxa"/>
            <w:vAlign w:val="bottom"/>
            <w:gridSpan w:val="3"/>
          </w:tcPr>
          <w:p>
            <w:pPr>
              <w:spacing w:after="0"/>
              <w:rPr>
                <w:sz w:val="20"/>
                <w:szCs w:val="20"/>
                <w:color w:val="auto"/>
              </w:rPr>
            </w:pPr>
            <w:r>
              <w:rPr>
                <w:rFonts w:ascii="Arial" w:cs="Arial" w:eastAsia="Arial" w:hAnsi="Arial"/>
                <w:sz w:val="18"/>
                <w:szCs w:val="18"/>
                <w:color w:val="auto"/>
              </w:rPr>
              <w:t>Integra LifeSciences Holdings Corporation</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EndoSolutions, Inc.</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8/10/2010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600,000,000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520" w:type="dxa"/>
            <w:vAlign w:val="bottom"/>
            <w:gridSpan w:val="2"/>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 LifeSciences Holdings Corporation</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 Jamner Surgical Instruments, Inc.</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8/10/2010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600,000,000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540" w:type="dxa"/>
            <w:vAlign w:val="bottom"/>
            <w:gridSpan w:val="3"/>
          </w:tcPr>
          <w:p>
            <w:pPr>
              <w:spacing w:after="0"/>
              <w:rPr>
                <w:sz w:val="20"/>
                <w:szCs w:val="20"/>
                <w:color w:val="auto"/>
              </w:rPr>
            </w:pPr>
            <w:r>
              <w:rPr>
                <w:rFonts w:ascii="Arial" w:cs="Arial" w:eastAsia="Arial" w:hAnsi="Arial"/>
                <w:sz w:val="18"/>
                <w:szCs w:val="18"/>
                <w:color w:val="auto"/>
              </w:rPr>
              <w:t>Integra LifeSciences Holdings Corporation</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Integra Luxtec, Inc.</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8/10/2010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600,000,000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520" w:type="dxa"/>
            <w:vAlign w:val="bottom"/>
            <w:gridSpan w:val="2"/>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 LifeSciences Holdings Corporation</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 NeuroSciences (International), Inc.</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8/10/2010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600,000,000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540" w:type="dxa"/>
            <w:vAlign w:val="bottom"/>
            <w:gridSpan w:val="3"/>
          </w:tcPr>
          <w:p>
            <w:pPr>
              <w:spacing w:after="0"/>
              <w:rPr>
                <w:sz w:val="20"/>
                <w:szCs w:val="20"/>
                <w:color w:val="auto"/>
              </w:rPr>
            </w:pPr>
            <w:r>
              <w:rPr>
                <w:rFonts w:ascii="Arial" w:cs="Arial" w:eastAsia="Arial" w:hAnsi="Arial"/>
                <w:sz w:val="18"/>
                <w:szCs w:val="18"/>
                <w:color w:val="auto"/>
              </w:rPr>
              <w:t>Integra LifeSciences Holdings Corporation</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Integra Radionics, Inc.</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8/10/2010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600,000,000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520" w:type="dxa"/>
            <w:vAlign w:val="bottom"/>
            <w:gridSpan w:val="2"/>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 LifeSciences Holdings Corporation</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IsoTis OrthoBiologics, Inc.</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8/10/2010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600,000,000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540" w:type="dxa"/>
            <w:vAlign w:val="bottom"/>
            <w:gridSpan w:val="3"/>
          </w:tcPr>
          <w:p>
            <w:pPr>
              <w:spacing w:after="0"/>
              <w:rPr>
                <w:sz w:val="20"/>
                <w:szCs w:val="20"/>
                <w:color w:val="auto"/>
              </w:rPr>
            </w:pPr>
            <w:r>
              <w:rPr>
                <w:rFonts w:ascii="Arial" w:cs="Arial" w:eastAsia="Arial" w:hAnsi="Arial"/>
                <w:sz w:val="18"/>
                <w:szCs w:val="18"/>
                <w:color w:val="auto"/>
              </w:rPr>
              <w:t>Integra LifeSciences Holdings Corporation</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Miltex, Inc.</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8/10/2010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600,000,000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520" w:type="dxa"/>
            <w:vAlign w:val="bottom"/>
            <w:gridSpan w:val="2"/>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 LifeSciences Holdings Corporation</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Minnesota Scientific, Inc.</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8/10/2010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600,000,000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540" w:type="dxa"/>
            <w:vAlign w:val="bottom"/>
            <w:gridSpan w:val="3"/>
          </w:tcPr>
          <w:p>
            <w:pPr>
              <w:spacing w:after="0"/>
              <w:rPr>
                <w:sz w:val="20"/>
                <w:szCs w:val="20"/>
                <w:color w:val="auto"/>
              </w:rPr>
            </w:pPr>
            <w:r>
              <w:rPr>
                <w:rFonts w:ascii="Arial" w:cs="Arial" w:eastAsia="Arial" w:hAnsi="Arial"/>
                <w:sz w:val="18"/>
                <w:szCs w:val="18"/>
                <w:color w:val="auto"/>
              </w:rPr>
              <w:t>Integra LifeSciences Corporation</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Theken Spine, LLC</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8/10/2010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600,000,000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both"/>
        <w:ind w:right="20"/>
        <w:spacing w:after="0" w:line="332" w:lineRule="auto"/>
        <w:rPr>
          <w:sz w:val="20"/>
          <w:szCs w:val="20"/>
          <w:color w:val="auto"/>
        </w:rPr>
      </w:pPr>
      <w:r>
        <w:rPr>
          <w:rFonts w:ascii="Arial" w:cs="Arial" w:eastAsia="Arial" w:hAnsi="Arial"/>
          <w:sz w:val="16"/>
          <w:szCs w:val="16"/>
          <w:color w:val="auto"/>
        </w:rPr>
        <w:t>Additional Pledged Notes held by each Pledgor as are listed on the attachment, as well as intercompany loans made by each Pledgor from time to time under an Intercompany Investment and Pooling Agreement dated as of April 15, 2010 among Integra LifeSciences Corporation and the Pooling Participants.</w:t>
      </w:r>
    </w:p>
    <w:p>
      <w:pPr>
        <w:sectPr>
          <w:pgSz w:w="11900" w:h="16838" w:orient="portrait"/>
          <w:cols w:equalWidth="0" w:num="1">
            <w:col w:w="11420"/>
          </w:cols>
          <w:pgMar w:left="240" w:top="274" w:right="239" w:bottom="1440" w:gutter="0" w:footer="0" w:header="0"/>
        </w:sectPr>
      </w:pPr>
    </w:p>
    <w:bookmarkStart w:id="278" w:name="page279"/>
    <w:bookmarkEnd w:id="278"/>
    <w:tbl>
      <w:tblPr>
        <w:tblLayout w:type="fixed"/>
        <w:tblInd w:w="0" w:type="dxa"/>
        <w:tblCellMar>
          <w:top w:w="0" w:type="dxa"/>
          <w:left w:w="0" w:type="dxa"/>
          <w:bottom w:w="0" w:type="dxa"/>
          <w:right w:w="0" w:type="dxa"/>
        </w:tblCellMar>
      </w:tblPr>
      <w:tr>
        <w:trPr>
          <w:trHeight w:val="228"/>
        </w:trPr>
        <w:tc>
          <w:tcPr>
            <w:tcW w:w="940" w:type="dxa"/>
            <w:vAlign w:val="bottom"/>
            <w:gridSpan w:val="2"/>
          </w:tcPr>
          <w:p>
            <w:pPr>
              <w:spacing w:after="0"/>
              <w:rPr>
                <w:sz w:val="20"/>
                <w:szCs w:val="20"/>
                <w:color w:val="auto"/>
              </w:rPr>
            </w:pPr>
            <w:r>
              <w:rPr>
                <w:rFonts w:ascii="Arial" w:cs="Arial" w:eastAsia="Arial" w:hAnsi="Arial"/>
                <w:sz w:val="18"/>
                <w:szCs w:val="18"/>
                <w:color w:val="auto"/>
              </w:rPr>
              <w:t>Item B.</w:t>
            </w:r>
          </w:p>
        </w:tc>
        <w:tc>
          <w:tcPr>
            <w:tcW w:w="2560" w:type="dxa"/>
            <w:vAlign w:val="bottom"/>
          </w:tcPr>
          <w:p>
            <w:pPr>
              <w:ind w:left="100"/>
              <w:spacing w:after="0"/>
              <w:rPr>
                <w:sz w:val="20"/>
                <w:szCs w:val="20"/>
                <w:color w:val="auto"/>
              </w:rPr>
            </w:pPr>
            <w:r>
              <w:rPr>
                <w:rFonts w:ascii="Arial" w:cs="Arial" w:eastAsia="Arial" w:hAnsi="Arial"/>
                <w:sz w:val="18"/>
                <w:szCs w:val="18"/>
                <w:b w:val="1"/>
                <w:bCs w:val="1"/>
                <w:color w:val="auto"/>
              </w:rPr>
              <w:t>Pledged Shares</w:t>
            </w:r>
          </w:p>
        </w:tc>
        <w:tc>
          <w:tcPr>
            <w:tcW w:w="3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5"/>
              </w:rPr>
              <w:t>Securities Issuer (Jurisdiction of</w:t>
            </w: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 of</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40" w:type="dxa"/>
            <w:vAlign w:val="bottom"/>
            <w:gridSpan w:val="2"/>
            <w:vMerge w:val="continue"/>
          </w:tcPr>
          <w:p>
            <w:pPr>
              <w:spacing w:after="0"/>
              <w:rPr>
                <w:sz w:val="11"/>
                <w:szCs w:val="11"/>
                <w:color w:val="auto"/>
              </w:rPr>
            </w:pPr>
          </w:p>
        </w:tc>
        <w:tc>
          <w:tcPr>
            <w:tcW w:w="168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7"/>
              </w:rPr>
              <w:t>Authorized Shares</w:t>
            </w:r>
          </w:p>
        </w:tc>
        <w:tc>
          <w:tcPr>
            <w:tcW w:w="106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87"/>
              </w:rPr>
              <w:t>Outstanding</w:t>
            </w:r>
          </w:p>
        </w:tc>
        <w:tc>
          <w:tcPr>
            <w:tcW w:w="78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1"/>
              </w:rPr>
              <w:t>Shares</w:t>
            </w:r>
          </w:p>
        </w:tc>
        <w:tc>
          <w:tcPr>
            <w:tcW w:w="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Certificate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560" w:type="dxa"/>
            <w:vAlign w:val="bottom"/>
          </w:tcPr>
          <w:p>
            <w:pPr>
              <w:ind w:left="600"/>
              <w:spacing w:after="0"/>
              <w:rPr>
                <w:sz w:val="20"/>
                <w:szCs w:val="20"/>
                <w:color w:val="auto"/>
              </w:rPr>
            </w:pPr>
            <w:r>
              <w:rPr>
                <w:rFonts w:ascii="Arial" w:cs="Arial" w:eastAsia="Arial" w:hAnsi="Arial"/>
                <w:sz w:val="14"/>
                <w:szCs w:val="14"/>
                <w:b w:val="1"/>
                <w:bCs w:val="1"/>
                <w:color w:val="auto"/>
              </w:rPr>
              <w:t>Pledgor</w:t>
            </w:r>
          </w:p>
        </w:tc>
        <w:tc>
          <w:tcPr>
            <w:tcW w:w="340" w:type="dxa"/>
            <w:vAlign w:val="bottom"/>
          </w:tcPr>
          <w:p>
            <w:pPr>
              <w:spacing w:after="0"/>
              <w:rPr>
                <w:sz w:val="15"/>
                <w:szCs w:val="15"/>
                <w:color w:val="auto"/>
              </w:rPr>
            </w:pPr>
          </w:p>
        </w:tc>
        <w:tc>
          <w:tcPr>
            <w:tcW w:w="3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Organization)</w:t>
            </w:r>
          </w:p>
        </w:tc>
        <w:tc>
          <w:tcPr>
            <w:tcW w:w="16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Interests</w:t>
            </w: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1"/>
              </w:rPr>
              <w:t>Shares</w:t>
            </w:r>
          </w:p>
        </w:tc>
        <w:tc>
          <w:tcPr>
            <w:tcW w:w="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Pledged</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79"/>
              </w:rPr>
              <w:t>No.</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256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310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36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 LifeSciences Holdings Corporation</w:t>
            </w:r>
          </w:p>
        </w:tc>
        <w:tc>
          <w:tcPr>
            <w:tcW w:w="37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Integra LifeSciences Corporation</w:t>
            </w:r>
          </w:p>
        </w:tc>
        <w:tc>
          <w:tcPr>
            <w:tcW w:w="16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8"/>
              </w:rPr>
              <w:t>100 common</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322"/>
        </w:trPr>
        <w:tc>
          <w:tcPr>
            <w:tcW w:w="3500" w:type="dxa"/>
            <w:vAlign w:val="bottom"/>
            <w:gridSpan w:val="3"/>
          </w:tcPr>
          <w:p>
            <w:pPr>
              <w:spacing w:after="0"/>
              <w:rPr>
                <w:sz w:val="20"/>
                <w:szCs w:val="20"/>
                <w:color w:val="auto"/>
              </w:rPr>
            </w:pPr>
            <w:r>
              <w:rPr>
                <w:rFonts w:ascii="Arial" w:cs="Arial" w:eastAsia="Arial" w:hAnsi="Arial"/>
                <w:sz w:val="18"/>
                <w:szCs w:val="18"/>
                <w:color w:val="auto"/>
              </w:rPr>
              <w:t>Integra LifeSciences Corporation</w:t>
            </w:r>
          </w:p>
        </w:tc>
        <w:tc>
          <w:tcPr>
            <w:tcW w:w="3780" w:type="dxa"/>
            <w:vAlign w:val="bottom"/>
            <w:gridSpan w:val="3"/>
          </w:tcPr>
          <w:p>
            <w:pPr>
              <w:ind w:left="340"/>
              <w:spacing w:after="0"/>
              <w:rPr>
                <w:sz w:val="20"/>
                <w:szCs w:val="20"/>
                <w:color w:val="auto"/>
              </w:rPr>
            </w:pPr>
            <w:r>
              <w:rPr>
                <w:rFonts w:ascii="Arial" w:cs="Arial" w:eastAsia="Arial" w:hAnsi="Arial"/>
                <w:sz w:val="18"/>
                <w:szCs w:val="18"/>
                <w:color w:val="auto"/>
              </w:rPr>
              <w:t>J. Jamner Surgical Instruments, Inc.</w:t>
            </w:r>
          </w:p>
        </w:tc>
        <w:tc>
          <w:tcPr>
            <w:tcW w:w="168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2,000 common</w:t>
            </w:r>
          </w:p>
        </w:tc>
        <w:tc>
          <w:tcPr>
            <w:tcW w:w="740" w:type="dxa"/>
            <w:vAlign w:val="bottom"/>
          </w:tcPr>
          <w:p>
            <w:pPr>
              <w:jc w:val="center"/>
              <w:spacing w:after="0"/>
              <w:rPr>
                <w:sz w:val="20"/>
                <w:szCs w:val="20"/>
                <w:color w:val="auto"/>
              </w:rPr>
            </w:pPr>
            <w:r>
              <w:rPr>
                <w:rFonts w:ascii="Arial" w:cs="Arial" w:eastAsia="Arial" w:hAnsi="Arial"/>
                <w:sz w:val="18"/>
                <w:szCs w:val="18"/>
                <w:color w:val="auto"/>
                <w:w w:val="86"/>
              </w:rPr>
              <w:t>500</w:t>
            </w:r>
          </w:p>
        </w:tc>
        <w:tc>
          <w:tcPr>
            <w:tcW w:w="3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3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6"/>
              </w:rPr>
              <w:t>124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48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 LifeSciences Corporation</w:t>
            </w:r>
          </w:p>
        </w:tc>
        <w:tc>
          <w:tcPr>
            <w:tcW w:w="37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Integra NeuroSciences (International), Inc.</w:t>
            </w:r>
          </w:p>
        </w:tc>
        <w:tc>
          <w:tcPr>
            <w:tcW w:w="16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3,000 common</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322"/>
        </w:trPr>
        <w:tc>
          <w:tcPr>
            <w:tcW w:w="3500" w:type="dxa"/>
            <w:vAlign w:val="bottom"/>
            <w:gridSpan w:val="3"/>
          </w:tcPr>
          <w:p>
            <w:pPr>
              <w:spacing w:after="0"/>
              <w:rPr>
                <w:sz w:val="20"/>
                <w:szCs w:val="20"/>
                <w:color w:val="auto"/>
              </w:rPr>
            </w:pPr>
            <w:r>
              <w:rPr>
                <w:rFonts w:ascii="Arial" w:cs="Arial" w:eastAsia="Arial" w:hAnsi="Arial"/>
                <w:sz w:val="18"/>
                <w:szCs w:val="18"/>
                <w:color w:val="auto"/>
              </w:rPr>
              <w:t>Integra LifeSciences Corporation</w:t>
            </w:r>
          </w:p>
        </w:tc>
        <w:tc>
          <w:tcPr>
            <w:tcW w:w="3780" w:type="dxa"/>
            <w:vAlign w:val="bottom"/>
            <w:gridSpan w:val="3"/>
          </w:tcPr>
          <w:p>
            <w:pPr>
              <w:ind w:left="340"/>
              <w:spacing w:after="0"/>
              <w:rPr>
                <w:sz w:val="20"/>
                <w:szCs w:val="20"/>
                <w:color w:val="auto"/>
              </w:rPr>
            </w:pPr>
            <w:r>
              <w:rPr>
                <w:rFonts w:ascii="Arial" w:cs="Arial" w:eastAsia="Arial" w:hAnsi="Arial"/>
                <w:sz w:val="18"/>
                <w:szCs w:val="18"/>
                <w:color w:val="auto"/>
              </w:rPr>
              <w:t>Integra Radionics, Inc.</w:t>
            </w:r>
          </w:p>
        </w:tc>
        <w:tc>
          <w:tcPr>
            <w:tcW w:w="168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1,000 common</w:t>
            </w:r>
          </w:p>
        </w:tc>
        <w:tc>
          <w:tcPr>
            <w:tcW w:w="74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3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3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48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 LifeSciences Corporation</w:t>
            </w:r>
          </w:p>
        </w:tc>
        <w:tc>
          <w:tcPr>
            <w:tcW w:w="37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Miltex, Inc.</w:t>
            </w:r>
          </w:p>
        </w:tc>
        <w:tc>
          <w:tcPr>
            <w:tcW w:w="16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1,000 common</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322"/>
        </w:trPr>
        <w:tc>
          <w:tcPr>
            <w:tcW w:w="940" w:type="dxa"/>
            <w:vAlign w:val="bottom"/>
            <w:gridSpan w:val="2"/>
          </w:tcPr>
          <w:p>
            <w:pPr>
              <w:spacing w:after="0"/>
              <w:rPr>
                <w:sz w:val="20"/>
                <w:szCs w:val="20"/>
                <w:color w:val="auto"/>
              </w:rPr>
            </w:pPr>
            <w:r>
              <w:rPr>
                <w:rFonts w:ascii="Arial" w:cs="Arial" w:eastAsia="Arial" w:hAnsi="Arial"/>
                <w:sz w:val="18"/>
                <w:szCs w:val="18"/>
                <w:color w:val="auto"/>
              </w:rPr>
              <w:t>Miltex, Inc.</w:t>
            </w:r>
          </w:p>
        </w:tc>
        <w:tc>
          <w:tcPr>
            <w:tcW w:w="2560" w:type="dxa"/>
            <w:vAlign w:val="bottom"/>
          </w:tcPr>
          <w:p>
            <w:pPr>
              <w:spacing w:after="0"/>
              <w:rPr>
                <w:sz w:val="24"/>
                <w:szCs w:val="24"/>
                <w:color w:val="auto"/>
              </w:rPr>
            </w:pPr>
          </w:p>
        </w:tc>
        <w:tc>
          <w:tcPr>
            <w:tcW w:w="3780" w:type="dxa"/>
            <w:vAlign w:val="bottom"/>
            <w:gridSpan w:val="3"/>
          </w:tcPr>
          <w:p>
            <w:pPr>
              <w:ind w:left="340"/>
              <w:spacing w:after="0"/>
              <w:rPr>
                <w:sz w:val="20"/>
                <w:szCs w:val="20"/>
                <w:color w:val="auto"/>
              </w:rPr>
            </w:pPr>
            <w:r>
              <w:rPr>
                <w:rFonts w:ascii="Arial" w:cs="Arial" w:eastAsia="Arial" w:hAnsi="Arial"/>
                <w:sz w:val="18"/>
                <w:szCs w:val="18"/>
                <w:color w:val="auto"/>
              </w:rPr>
              <w:t>EndoSolutions, Inc.</w:t>
            </w:r>
          </w:p>
        </w:tc>
        <w:tc>
          <w:tcPr>
            <w:tcW w:w="168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1,000 common</w:t>
            </w:r>
          </w:p>
        </w:tc>
        <w:tc>
          <w:tcPr>
            <w:tcW w:w="74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3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3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48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 Radionics, Inc.</w:t>
            </w:r>
          </w:p>
        </w:tc>
        <w:tc>
          <w:tcPr>
            <w:tcW w:w="37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Integra Luxtec, Inc.</w:t>
            </w:r>
          </w:p>
        </w:tc>
        <w:tc>
          <w:tcPr>
            <w:tcW w:w="16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8"/>
              </w:rPr>
              <w:t>100 common</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322"/>
        </w:trPr>
        <w:tc>
          <w:tcPr>
            <w:tcW w:w="3500" w:type="dxa"/>
            <w:vAlign w:val="bottom"/>
            <w:gridSpan w:val="3"/>
          </w:tcPr>
          <w:p>
            <w:pPr>
              <w:spacing w:after="0"/>
              <w:rPr>
                <w:sz w:val="20"/>
                <w:szCs w:val="20"/>
                <w:color w:val="auto"/>
              </w:rPr>
            </w:pPr>
            <w:r>
              <w:rPr>
                <w:rFonts w:ascii="Arial" w:cs="Arial" w:eastAsia="Arial" w:hAnsi="Arial"/>
                <w:sz w:val="18"/>
                <w:szCs w:val="18"/>
                <w:color w:val="auto"/>
              </w:rPr>
              <w:t>Integra LifeSciences Corporation</w:t>
            </w:r>
          </w:p>
        </w:tc>
        <w:tc>
          <w:tcPr>
            <w:tcW w:w="3780" w:type="dxa"/>
            <w:vAlign w:val="bottom"/>
            <w:gridSpan w:val="3"/>
          </w:tcPr>
          <w:p>
            <w:pPr>
              <w:ind w:left="340"/>
              <w:spacing w:after="0"/>
              <w:rPr>
                <w:sz w:val="20"/>
                <w:szCs w:val="20"/>
                <w:color w:val="auto"/>
              </w:rPr>
            </w:pPr>
            <w:r>
              <w:rPr>
                <w:rFonts w:ascii="Arial" w:cs="Arial" w:eastAsia="Arial" w:hAnsi="Arial"/>
                <w:sz w:val="18"/>
                <w:szCs w:val="18"/>
                <w:color w:val="auto"/>
              </w:rPr>
              <w:t>Minnesota Scientific, Inc.</w:t>
            </w:r>
          </w:p>
        </w:tc>
        <w:tc>
          <w:tcPr>
            <w:tcW w:w="16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1,000,000 common</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941,722</w:t>
            </w:r>
          </w:p>
        </w:tc>
        <w:tc>
          <w:tcPr>
            <w:tcW w:w="3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3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48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 LifeSciences Corporation</w:t>
            </w:r>
          </w:p>
        </w:tc>
        <w:tc>
          <w:tcPr>
            <w:tcW w:w="37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Integra LifeSciences (Canada) Holdings,</w:t>
            </w:r>
          </w:p>
        </w:tc>
        <w:tc>
          <w:tcPr>
            <w:tcW w:w="16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1,000 common</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560" w:type="dxa"/>
            <w:vAlign w:val="bottom"/>
            <w:shd w:val="clear" w:color="auto" w:fill="CCEEFF"/>
          </w:tcPr>
          <w:p>
            <w:pPr>
              <w:spacing w:after="0"/>
              <w:rPr>
                <w:sz w:val="19"/>
                <w:szCs w:val="19"/>
                <w:color w:val="auto"/>
              </w:rPr>
            </w:pPr>
          </w:p>
        </w:tc>
        <w:tc>
          <w:tcPr>
            <w:tcW w:w="37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Inc.</w:t>
            </w:r>
          </w:p>
        </w:tc>
        <w:tc>
          <w:tcPr>
            <w:tcW w:w="1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500" w:type="dxa"/>
            <w:vAlign w:val="bottom"/>
            <w:gridSpan w:val="3"/>
          </w:tcPr>
          <w:p>
            <w:pPr>
              <w:spacing w:after="0"/>
              <w:rPr>
                <w:sz w:val="20"/>
                <w:szCs w:val="20"/>
                <w:color w:val="auto"/>
              </w:rPr>
            </w:pPr>
            <w:r>
              <w:rPr>
                <w:rFonts w:ascii="Arial" w:cs="Arial" w:eastAsia="Arial" w:hAnsi="Arial"/>
                <w:sz w:val="18"/>
                <w:szCs w:val="18"/>
                <w:color w:val="auto"/>
              </w:rPr>
              <w:t>Integra LifeSciences Corporation</w:t>
            </w:r>
          </w:p>
        </w:tc>
        <w:tc>
          <w:tcPr>
            <w:tcW w:w="3780" w:type="dxa"/>
            <w:vAlign w:val="bottom"/>
            <w:gridSpan w:val="3"/>
          </w:tcPr>
          <w:p>
            <w:pPr>
              <w:ind w:left="340"/>
              <w:spacing w:after="0"/>
              <w:rPr>
                <w:sz w:val="20"/>
                <w:szCs w:val="20"/>
                <w:color w:val="auto"/>
              </w:rPr>
            </w:pPr>
            <w:r>
              <w:rPr>
                <w:rFonts w:ascii="Arial" w:cs="Arial" w:eastAsia="Arial" w:hAnsi="Arial"/>
                <w:sz w:val="18"/>
                <w:szCs w:val="18"/>
                <w:color w:val="auto"/>
              </w:rPr>
              <w:t>IsoTis, Inc.</w:t>
            </w:r>
          </w:p>
        </w:tc>
        <w:tc>
          <w:tcPr>
            <w:tcW w:w="168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1,000 common</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1,000</w:t>
            </w:r>
          </w:p>
        </w:tc>
        <w:tc>
          <w:tcPr>
            <w:tcW w:w="3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3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common</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3480" w:type="dxa"/>
            <w:vAlign w:val="bottom"/>
            <w:gridSpan w:val="2"/>
          </w:tcPr>
          <w:p>
            <w:pPr>
              <w:spacing w:after="0"/>
              <w:rPr>
                <w:sz w:val="10"/>
                <w:szCs w:val="10"/>
                <w:color w:val="auto"/>
              </w:rPr>
            </w:pPr>
          </w:p>
        </w:tc>
        <w:tc>
          <w:tcPr>
            <w:tcW w:w="34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 LifeSciences Corporation</w:t>
            </w:r>
          </w:p>
        </w:tc>
        <w:tc>
          <w:tcPr>
            <w:tcW w:w="37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Precise Dental Holding Corp.</w:t>
            </w:r>
          </w:p>
        </w:tc>
        <w:tc>
          <w:tcPr>
            <w:tcW w:w="16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2,000 common</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50 -2/3</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79" w:name="page280"/>
    <w:bookmarkEnd w:id="279"/>
    <w:tbl>
      <w:tblPr>
        <w:tblLayout w:type="fixed"/>
        <w:tblInd w:w="0" w:type="dxa"/>
        <w:tblCellMar>
          <w:top w:w="0" w:type="dxa"/>
          <w:left w:w="0" w:type="dxa"/>
          <w:bottom w:w="0" w:type="dxa"/>
          <w:right w:w="0" w:type="dxa"/>
        </w:tblCellMar>
      </w:tblPr>
      <w:tr>
        <w:trPr>
          <w:trHeight w:val="228"/>
        </w:trPr>
        <w:tc>
          <w:tcPr>
            <w:tcW w:w="780" w:type="dxa"/>
            <w:vAlign w:val="bottom"/>
            <w:gridSpan w:val="2"/>
          </w:tcPr>
          <w:p>
            <w:pPr>
              <w:spacing w:after="0"/>
              <w:rPr>
                <w:sz w:val="20"/>
                <w:szCs w:val="20"/>
                <w:color w:val="auto"/>
              </w:rPr>
            </w:pPr>
            <w:r>
              <w:rPr>
                <w:rFonts w:ascii="Arial" w:cs="Arial" w:eastAsia="Arial" w:hAnsi="Arial"/>
                <w:sz w:val="18"/>
                <w:szCs w:val="18"/>
                <w:color w:val="auto"/>
              </w:rPr>
              <w:t>Item C.</w:t>
            </w:r>
          </w:p>
        </w:tc>
        <w:tc>
          <w:tcPr>
            <w:tcW w:w="2680" w:type="dxa"/>
            <w:vAlign w:val="bottom"/>
          </w:tcPr>
          <w:p>
            <w:pPr>
              <w:ind w:left="260"/>
              <w:spacing w:after="0"/>
              <w:rPr>
                <w:sz w:val="20"/>
                <w:szCs w:val="20"/>
                <w:color w:val="auto"/>
              </w:rPr>
            </w:pPr>
            <w:r>
              <w:rPr>
                <w:rFonts w:ascii="Arial" w:cs="Arial" w:eastAsia="Arial" w:hAnsi="Arial"/>
                <w:sz w:val="18"/>
                <w:szCs w:val="18"/>
                <w:b w:val="1"/>
                <w:bCs w:val="1"/>
                <w:color w:val="auto"/>
                <w:w w:val="91"/>
              </w:rPr>
              <w:t>Pledged Membership Interests</w:t>
            </w:r>
          </w:p>
        </w:tc>
        <w:tc>
          <w:tcPr>
            <w:tcW w:w="6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Membership</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76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83"/>
              </w:rPr>
              <w:t>Securities Issuer</w:t>
            </w:r>
          </w:p>
        </w:tc>
        <w:tc>
          <w:tcPr>
            <w:tcW w:w="13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No. of</w:t>
            </w:r>
          </w:p>
        </w:tc>
        <w:tc>
          <w:tcPr>
            <w:tcW w:w="13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Interests %</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360" w:type="dxa"/>
            <w:vAlign w:val="bottom"/>
            <w:gridSpan w:val="2"/>
          </w:tcPr>
          <w:p>
            <w:pPr>
              <w:jc w:val="center"/>
              <w:ind w:right="620"/>
              <w:spacing w:after="0" w:line="135" w:lineRule="exact"/>
              <w:rPr>
                <w:sz w:val="20"/>
                <w:szCs w:val="20"/>
                <w:color w:val="auto"/>
              </w:rPr>
            </w:pPr>
            <w:r>
              <w:rPr>
                <w:rFonts w:ascii="Arial" w:cs="Arial" w:eastAsia="Arial" w:hAnsi="Arial"/>
                <w:sz w:val="14"/>
                <w:szCs w:val="14"/>
                <w:b w:val="1"/>
                <w:bCs w:val="1"/>
                <w:color w:val="auto"/>
                <w:w w:val="89"/>
              </w:rPr>
              <w:t>Membership</w:t>
            </w:r>
          </w:p>
        </w:tc>
        <w:tc>
          <w:tcPr>
            <w:tcW w:w="1360" w:type="dxa"/>
            <w:vAlign w:val="bottom"/>
            <w:gridSpan w:val="2"/>
          </w:tcPr>
          <w:p>
            <w:pPr>
              <w:jc w:val="center"/>
              <w:ind w:right="600"/>
              <w:spacing w:after="0" w:line="135" w:lineRule="exact"/>
              <w:rPr>
                <w:sz w:val="20"/>
                <w:szCs w:val="20"/>
                <w:color w:val="auto"/>
              </w:rPr>
            </w:pPr>
            <w:r>
              <w:rPr>
                <w:rFonts w:ascii="Arial" w:cs="Arial" w:eastAsia="Arial" w:hAnsi="Arial"/>
                <w:sz w:val="14"/>
                <w:szCs w:val="14"/>
                <w:b w:val="1"/>
                <w:bCs w:val="1"/>
                <w:color w:val="auto"/>
                <w:w w:val="84"/>
              </w:rPr>
              <w:t>of Interests</w:t>
            </w:r>
          </w:p>
        </w:tc>
        <w:tc>
          <w:tcPr>
            <w:tcW w:w="8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Certificated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80" w:type="dxa"/>
            <w:vAlign w:val="bottom"/>
          </w:tcPr>
          <w:p>
            <w:pPr>
              <w:ind w:left="740"/>
              <w:spacing w:after="0"/>
              <w:rPr>
                <w:sz w:val="20"/>
                <w:szCs w:val="20"/>
                <w:color w:val="auto"/>
              </w:rPr>
            </w:pPr>
            <w:r>
              <w:rPr>
                <w:rFonts w:ascii="Arial" w:cs="Arial" w:eastAsia="Arial" w:hAnsi="Arial"/>
                <w:sz w:val="14"/>
                <w:szCs w:val="14"/>
                <w:b w:val="1"/>
                <w:bCs w:val="1"/>
                <w:color w:val="auto"/>
              </w:rPr>
              <w:t>Pledgor</w:t>
            </w:r>
          </w:p>
        </w:tc>
        <w:tc>
          <w:tcPr>
            <w:tcW w:w="620" w:type="dxa"/>
            <w:vAlign w:val="bottom"/>
          </w:tcPr>
          <w:p>
            <w:pPr>
              <w:spacing w:after="0"/>
              <w:rPr>
                <w:sz w:val="15"/>
                <w:szCs w:val="15"/>
                <w:color w:val="auto"/>
              </w:rPr>
            </w:pPr>
          </w:p>
        </w:tc>
        <w:tc>
          <w:tcPr>
            <w:tcW w:w="37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8"/>
              </w:rPr>
              <w:t>(Jurisdiction of Organization)</w:t>
            </w:r>
          </w:p>
        </w:tc>
        <w:tc>
          <w:tcPr>
            <w:tcW w:w="13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5"/>
              </w:rPr>
              <w:t>Interests</w:t>
            </w:r>
          </w:p>
        </w:tc>
        <w:tc>
          <w:tcPr>
            <w:tcW w:w="13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4"/>
              </w:rPr>
              <w:t>Pledged</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Certificate No.</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2680" w:type="dxa"/>
            <w:vAlign w:val="bottom"/>
            <w:tcBorders>
              <w:top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3140" w:type="dxa"/>
            <w:vAlign w:val="bottom"/>
            <w:tcBorders>
              <w:top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 LifeSciences Corporation</w:t>
            </w:r>
          </w:p>
        </w:tc>
        <w:tc>
          <w:tcPr>
            <w:tcW w:w="438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Theken Spine, LLC (Ohio)</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498"/>
        </w:trPr>
        <w:tc>
          <w:tcPr>
            <w:tcW w:w="780" w:type="dxa"/>
            <w:vAlign w:val="bottom"/>
            <w:gridSpan w:val="2"/>
          </w:tcPr>
          <w:p>
            <w:pPr>
              <w:spacing w:after="0"/>
              <w:rPr>
                <w:sz w:val="20"/>
                <w:szCs w:val="20"/>
                <w:color w:val="auto"/>
              </w:rPr>
            </w:pPr>
            <w:r>
              <w:rPr>
                <w:rFonts w:ascii="Arial" w:cs="Arial" w:eastAsia="Arial" w:hAnsi="Arial"/>
                <w:sz w:val="18"/>
                <w:szCs w:val="18"/>
                <w:color w:val="auto"/>
              </w:rPr>
              <w:t>Item D.</w:t>
            </w:r>
          </w:p>
        </w:tc>
        <w:tc>
          <w:tcPr>
            <w:tcW w:w="2680" w:type="dxa"/>
            <w:vAlign w:val="bottom"/>
          </w:tcPr>
          <w:p>
            <w:pPr>
              <w:ind w:left="260"/>
              <w:spacing w:after="0"/>
              <w:rPr>
                <w:sz w:val="20"/>
                <w:szCs w:val="20"/>
                <w:color w:val="auto"/>
              </w:rPr>
            </w:pPr>
            <w:r>
              <w:rPr>
                <w:rFonts w:ascii="Arial" w:cs="Arial" w:eastAsia="Arial" w:hAnsi="Arial"/>
                <w:sz w:val="18"/>
                <w:szCs w:val="18"/>
                <w:b w:val="1"/>
                <w:bCs w:val="1"/>
                <w:color w:val="auto"/>
                <w:w w:val="94"/>
              </w:rPr>
              <w:t>Pledged Partnership Interests</w:t>
            </w:r>
          </w:p>
        </w:tc>
        <w:tc>
          <w:tcPr>
            <w:tcW w:w="6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80" w:type="dxa"/>
            <w:vAlign w:val="bottom"/>
            <w:gridSpan w:val="2"/>
          </w:tcPr>
          <w:p>
            <w:pPr>
              <w:spacing w:after="0"/>
              <w:rPr>
                <w:sz w:val="20"/>
                <w:szCs w:val="20"/>
                <w:color w:val="auto"/>
              </w:rPr>
            </w:pPr>
            <w:r>
              <w:rPr>
                <w:rFonts w:ascii="Arial" w:cs="Arial" w:eastAsia="Arial" w:hAnsi="Arial"/>
                <w:sz w:val="18"/>
                <w:szCs w:val="18"/>
                <w:color w:val="auto"/>
              </w:rPr>
              <w:t>None.</w:t>
            </w:r>
          </w:p>
        </w:tc>
        <w:tc>
          <w:tcPr>
            <w:tcW w:w="2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80" w:name="page281"/>
    <w:bookmarkEnd w:id="280"/>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Attachment to Schedule I to Pledge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294765" cy="23177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94765" cy="23177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left="660"/>
        <w:spacing w:after="0"/>
        <w:tabs>
          <w:tab w:leader="none" w:pos="1300" w:val="left"/>
        </w:tabs>
        <w:rPr>
          <w:sz w:val="20"/>
          <w:szCs w:val="20"/>
          <w:color w:val="auto"/>
        </w:rPr>
      </w:pPr>
      <w:r>
        <w:rPr>
          <w:rFonts w:ascii="Arial" w:cs="Arial" w:eastAsia="Arial" w:hAnsi="Arial"/>
          <w:sz w:val="14"/>
          <w:szCs w:val="14"/>
          <w:b w:val="1"/>
          <w:bCs w:val="1"/>
          <w:color w:val="auto"/>
        </w:rPr>
        <w:t>Loan</w:t>
      </w:r>
      <w:r>
        <w:rPr>
          <w:sz w:val="20"/>
          <w:szCs w:val="20"/>
          <w:color w:val="auto"/>
        </w:rPr>
        <w:tab/>
      </w:r>
      <w:r>
        <w:rPr>
          <w:rFonts w:ascii="Arial" w:cs="Arial" w:eastAsia="Arial" w:hAnsi="Arial"/>
          <w:sz w:val="14"/>
          <w:szCs w:val="14"/>
          <w:b w:val="1"/>
          <w:bCs w:val="1"/>
          <w:color w:val="auto"/>
        </w:rPr>
        <w:t>Repaid</w:t>
      </w:r>
    </w:p>
    <w:p>
      <w:pPr>
        <w:ind w:left="60"/>
        <w:spacing w:after="0"/>
        <w:tabs>
          <w:tab w:leader="none" w:pos="660" w:val="left"/>
          <w:tab w:leader="none" w:pos="1380" w:val="left"/>
        </w:tabs>
        <w:rPr>
          <w:sz w:val="20"/>
          <w:szCs w:val="20"/>
          <w:color w:val="auto"/>
        </w:rPr>
      </w:pPr>
      <w:r>
        <w:rPr>
          <w:rFonts w:ascii="Arial" w:cs="Arial" w:eastAsia="Arial" w:hAnsi="Arial"/>
          <w:sz w:val="14"/>
          <w:szCs w:val="14"/>
          <w:b w:val="1"/>
          <w:bCs w:val="1"/>
          <w:color w:val="auto"/>
        </w:rPr>
        <w:t>Ref</w:t>
      </w:r>
      <w:r>
        <w:rPr>
          <w:sz w:val="20"/>
          <w:szCs w:val="20"/>
          <w:color w:val="auto"/>
        </w:rPr>
        <w:tab/>
      </w:r>
      <w:r>
        <w:rPr>
          <w:rFonts w:ascii="Arial" w:cs="Arial" w:eastAsia="Arial" w:hAnsi="Arial"/>
          <w:sz w:val="14"/>
          <w:szCs w:val="14"/>
          <w:b w:val="1"/>
          <w:bCs w:val="1"/>
          <w:color w:val="auto"/>
        </w:rPr>
        <w:t>Date</w:t>
      </w:r>
      <w:r>
        <w:rPr>
          <w:sz w:val="20"/>
          <w:szCs w:val="20"/>
          <w:color w:val="auto"/>
        </w:rPr>
        <w:tab/>
      </w:r>
      <w:r>
        <w:rPr>
          <w:rFonts w:ascii="Arial" w:cs="Arial" w:eastAsia="Arial" w:hAnsi="Arial"/>
          <w:sz w:val="11"/>
          <w:szCs w:val="11"/>
          <w:b w:val="1"/>
          <w:bCs w:val="1"/>
          <w:color w:val="auto"/>
        </w:rPr>
        <w:t>Date</w:t>
      </w:r>
    </w:p>
    <w:p>
      <w:pPr>
        <w:spacing w:after="0" w:line="13" w:lineRule="exact"/>
        <w:rPr>
          <w:sz w:val="20"/>
          <w:szCs w:val="20"/>
          <w:color w:val="auto"/>
        </w:rPr>
      </w:pPr>
    </w:p>
    <w:p>
      <w:pPr>
        <w:ind w:left="500" w:hanging="492"/>
        <w:spacing w:after="0"/>
        <w:tabs>
          <w:tab w:leader="none" w:pos="50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5.12.06</w:t>
      </w:r>
    </w:p>
    <w:p>
      <w:pPr>
        <w:spacing w:after="0" w:line="8" w:lineRule="exact"/>
        <w:rPr>
          <w:sz w:val="20"/>
          <w:szCs w:val="20"/>
          <w:color w:val="auto"/>
        </w:rPr>
      </w:pPr>
    </w:p>
    <w:p>
      <w:pPr>
        <w:ind w:left="500" w:hanging="492"/>
        <w:spacing w:after="0"/>
        <w:tabs>
          <w:tab w:leader="none" w:pos="50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7.05.06</w:t>
      </w:r>
    </w:p>
    <w:p>
      <w:pPr>
        <w:spacing w:after="0" w:line="9" w:lineRule="exact"/>
        <w:rPr>
          <w:sz w:val="20"/>
          <w:szCs w:val="20"/>
          <w:color w:val="auto"/>
        </w:rPr>
      </w:pPr>
    </w:p>
    <w:p>
      <w:pPr>
        <w:ind w:left="500" w:hanging="492"/>
        <w:spacing w:after="0"/>
        <w:tabs>
          <w:tab w:leader="none" w:pos="50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7.31.06</w:t>
      </w:r>
    </w:p>
    <w:p>
      <w:pPr>
        <w:spacing w:after="0" w:line="9" w:lineRule="exact"/>
        <w:rPr>
          <w:rFonts w:ascii="Arial" w:cs="Arial" w:eastAsia="Arial" w:hAnsi="Arial"/>
          <w:sz w:val="18"/>
          <w:szCs w:val="18"/>
          <w:color w:val="auto"/>
        </w:rPr>
      </w:pPr>
    </w:p>
    <w:p>
      <w:pPr>
        <w:jc w:val="both"/>
        <w:ind w:right="620"/>
        <w:spacing w:after="0" w:line="250" w:lineRule="auto"/>
        <w:rPr>
          <w:rFonts w:ascii="Arial" w:cs="Arial" w:eastAsia="Arial" w:hAnsi="Arial"/>
          <w:sz w:val="18"/>
          <w:szCs w:val="18"/>
          <w:color w:val="auto"/>
        </w:rPr>
      </w:pPr>
      <w:r>
        <w:rPr>
          <w:rFonts w:ascii="Arial" w:cs="Arial" w:eastAsia="Arial" w:hAnsi="Arial"/>
          <w:sz w:val="18"/>
          <w:szCs w:val="18"/>
          <w:color w:val="auto"/>
        </w:rPr>
        <w:t>P 12.31.06 W 05.07.07</w:t>
      </w:r>
    </w:p>
    <w:p>
      <w:pPr>
        <w:jc w:val="both"/>
        <w:ind w:right="620"/>
        <w:spacing w:after="0" w:line="253" w:lineRule="auto"/>
        <w:rPr>
          <w:rFonts w:ascii="Arial" w:cs="Arial" w:eastAsia="Arial" w:hAnsi="Arial"/>
          <w:sz w:val="18"/>
          <w:szCs w:val="18"/>
          <w:color w:val="auto"/>
        </w:rPr>
      </w:pPr>
      <w:r>
        <w:rPr>
          <w:rFonts w:ascii="Arial" w:cs="Arial" w:eastAsia="Arial" w:hAnsi="Arial"/>
          <w:sz w:val="18"/>
          <w:szCs w:val="18"/>
          <w:color w:val="auto"/>
        </w:rPr>
        <w:t>X 05.11.07 AG 12.28.07 AO 07.28.08 BJ 07.28.08 BV 11.30.09</w:t>
      </w:r>
    </w:p>
    <w:p>
      <w:pPr>
        <w:spacing w:after="0" w:line="388" w:lineRule="exact"/>
        <w:rPr>
          <w:sz w:val="20"/>
          <w:szCs w:val="20"/>
          <w:color w:val="auto"/>
        </w:rPr>
      </w:pPr>
    </w:p>
    <w:p>
      <w:pPr>
        <w:ind w:left="500" w:hanging="492"/>
        <w:spacing w:after="0"/>
        <w:tabs>
          <w:tab w:leader="none" w:pos="50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12.22.04</w:t>
      </w:r>
    </w:p>
    <w:p>
      <w:pPr>
        <w:spacing w:after="0" w:line="117" w:lineRule="exact"/>
        <w:rPr>
          <w:sz w:val="20"/>
          <w:szCs w:val="20"/>
          <w:color w:val="auto"/>
        </w:rPr>
      </w:pPr>
    </w:p>
    <w:p>
      <w:pPr>
        <w:jc w:val="right"/>
        <w:ind w:right="620" w:firstLine="8"/>
        <w:spacing w:after="0" w:line="370" w:lineRule="auto"/>
        <w:tabs>
          <w:tab w:leader="none" w:pos="500" w:val="left"/>
        </w:tabs>
        <w:numPr>
          <w:ilvl w:val="0"/>
          <w:numId w:val="309"/>
        </w:numPr>
        <w:rPr>
          <w:rFonts w:ascii="Arial" w:cs="Arial" w:eastAsia="Arial" w:hAnsi="Arial"/>
          <w:sz w:val="15"/>
          <w:szCs w:val="15"/>
          <w:color w:val="auto"/>
        </w:rPr>
      </w:pPr>
      <w:r>
        <w:rPr>
          <w:rFonts w:ascii="Arial" w:cs="Arial" w:eastAsia="Arial" w:hAnsi="Arial"/>
          <w:sz w:val="15"/>
          <w:szCs w:val="15"/>
          <w:color w:val="auto"/>
        </w:rPr>
        <w:t>12.31.06 CB   05.07.07</w:t>
      </w:r>
    </w:p>
    <w:p>
      <w:pPr>
        <w:spacing w:after="0" w:line="19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AP</w:t>
        <w:tab/>
        <w:t>08.01.08</w:t>
      </w:r>
    </w:p>
    <w:p>
      <w:pPr>
        <w:spacing w:after="0" w:line="1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BL</w:t>
        <w:tab/>
        <w:t>02.10.09</w:t>
      </w:r>
    </w:p>
    <w:p>
      <w:pPr>
        <w:spacing w:after="0" w:line="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BR</w:t>
        <w:tab/>
        <w:t>09.11.09</w:t>
      </w:r>
    </w:p>
    <w:p>
      <w:pPr>
        <w:spacing w:after="0" w:line="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BT</w:t>
        <w:tab/>
        <w:t>09.11.09</w:t>
      </w:r>
    </w:p>
    <w:p>
      <w:pPr>
        <w:spacing w:after="0" w:line="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AQ</w:t>
        <w:tab/>
        <w:t>08.12.08</w:t>
      </w:r>
    </w:p>
    <w:p>
      <w:pPr>
        <w:spacing w:after="0" w:line="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AS</w:t>
        <w:tab/>
        <w:t>08.12.08</w:t>
      </w:r>
    </w:p>
    <w:p>
      <w:pPr>
        <w:spacing w:after="0" w:line="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AR</w:t>
        <w:tab/>
        <w:t>08.12.08</w:t>
      </w:r>
    </w:p>
    <w:p>
      <w:pPr>
        <w:spacing w:after="0" w:line="300" w:lineRule="exact"/>
        <w:rPr>
          <w:sz w:val="20"/>
          <w:szCs w:val="20"/>
          <w:color w:val="auto"/>
        </w:rPr>
      </w:pPr>
    </w:p>
    <w:p>
      <w:pPr>
        <w:ind w:left="500" w:hanging="492"/>
        <w:spacing w:after="0"/>
        <w:tabs>
          <w:tab w:leader="none" w:pos="5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7.05.06</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10.03.06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3460" w:type="dxa"/>
            <w:vAlign w:val="bottom"/>
            <w:gridSpan w:val="2"/>
          </w:tcPr>
          <w:p>
            <w:pPr>
              <w:ind w:left="1360"/>
              <w:spacing w:after="0"/>
              <w:rPr>
                <w:sz w:val="20"/>
                <w:szCs w:val="20"/>
                <w:color w:val="auto"/>
              </w:rPr>
            </w:pPr>
            <w:r>
              <w:rPr>
                <w:rFonts w:ascii="Arial" w:cs="Arial" w:eastAsia="Arial" w:hAnsi="Arial"/>
                <w:sz w:val="14"/>
                <w:szCs w:val="14"/>
                <w:b w:val="1"/>
                <w:bCs w:val="1"/>
                <w:color w:val="auto"/>
              </w:rPr>
              <w:t>Borrower</w:t>
            </w:r>
          </w:p>
        </w:tc>
        <w:tc>
          <w:tcPr>
            <w:tcW w:w="3240" w:type="dxa"/>
            <w:vAlign w:val="bottom"/>
            <w:gridSpan w:val="2"/>
          </w:tcPr>
          <w:p>
            <w:pPr>
              <w:ind w:left="1320"/>
              <w:spacing w:after="0"/>
              <w:rPr>
                <w:sz w:val="20"/>
                <w:szCs w:val="20"/>
                <w:color w:val="auto"/>
              </w:rPr>
            </w:pPr>
            <w:r>
              <w:rPr>
                <w:rFonts w:ascii="Arial" w:cs="Arial" w:eastAsia="Arial" w:hAnsi="Arial"/>
                <w:sz w:val="14"/>
                <w:szCs w:val="14"/>
                <w:b w:val="1"/>
                <w:bCs w:val="1"/>
                <w:color w:val="auto"/>
              </w:rPr>
              <w:t>Lender</w:t>
            </w:r>
          </w:p>
        </w:tc>
        <w:tc>
          <w:tcPr>
            <w:tcW w:w="4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ind w:left="280"/>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Integra LifeSciences Corporation</w:t>
            </w:r>
          </w:p>
        </w:tc>
        <w:tc>
          <w:tcPr>
            <w:tcW w:w="180" w:type="dxa"/>
            <w:vAlign w:val="bottom"/>
          </w:tcPr>
          <w:p>
            <w:pPr>
              <w:spacing w:after="0"/>
              <w:rPr>
                <w:sz w:val="16"/>
                <w:szCs w:val="16"/>
                <w:color w:val="auto"/>
              </w:rPr>
            </w:pPr>
          </w:p>
        </w:tc>
        <w:tc>
          <w:tcPr>
            <w:tcW w:w="3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Integra LifeScience Holdings</w:t>
            </w:r>
          </w:p>
        </w:tc>
        <w:tc>
          <w:tcPr>
            <w:tcW w:w="200" w:type="dxa"/>
            <w:vAlign w:val="bottom"/>
          </w:tcPr>
          <w:p>
            <w:pPr>
              <w:spacing w:after="0"/>
              <w:rPr>
                <w:sz w:val="16"/>
                <w:szCs w:val="16"/>
                <w:color w:val="auto"/>
              </w:rPr>
            </w:pPr>
          </w:p>
        </w:tc>
        <w:tc>
          <w:tcPr>
            <w:tcW w:w="400" w:type="dxa"/>
            <w:vAlign w:val="bottom"/>
          </w:tcPr>
          <w:p>
            <w:pPr>
              <w:ind w:left="60"/>
              <w:spacing w:after="0" w:line="195" w:lineRule="exact"/>
              <w:rPr>
                <w:sz w:val="20"/>
                <w:szCs w:val="20"/>
                <w:color w:val="auto"/>
              </w:rPr>
            </w:pPr>
            <w:r>
              <w:rPr>
                <w:rFonts w:ascii="Arial" w:cs="Arial" w:eastAsia="Arial" w:hAnsi="Arial"/>
                <w:sz w:val="18"/>
                <w:szCs w:val="18"/>
                <w:color w:val="auto"/>
                <w:w w:val="84"/>
              </w:rPr>
              <w:t>USD</w:t>
            </w:r>
          </w:p>
        </w:tc>
        <w:tc>
          <w:tcPr>
            <w:tcW w:w="30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7"/>
              </w:rPr>
              <w:t>101,000,000.00</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Integra LifeSciences Corporation</w:t>
            </w:r>
          </w:p>
        </w:tc>
        <w:tc>
          <w:tcPr>
            <w:tcW w:w="3240" w:type="dxa"/>
            <w:vAlign w:val="bottom"/>
            <w:gridSpan w:val="2"/>
          </w:tcPr>
          <w:p>
            <w:pPr>
              <w:spacing w:after="0"/>
              <w:rPr>
                <w:sz w:val="20"/>
                <w:szCs w:val="20"/>
                <w:color w:val="auto"/>
              </w:rPr>
            </w:pPr>
            <w:r>
              <w:rPr>
                <w:rFonts w:ascii="Arial" w:cs="Arial" w:eastAsia="Arial" w:hAnsi="Arial"/>
                <w:sz w:val="18"/>
                <w:szCs w:val="18"/>
                <w:color w:val="auto"/>
              </w:rPr>
              <w:t>Integra LifeScience Holdings</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USD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6,000,000.00</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Integra LifeSciences Corporation</w:t>
            </w:r>
          </w:p>
        </w:tc>
        <w:tc>
          <w:tcPr>
            <w:tcW w:w="3240" w:type="dxa"/>
            <w:vAlign w:val="bottom"/>
            <w:gridSpan w:val="2"/>
          </w:tcPr>
          <w:p>
            <w:pPr>
              <w:spacing w:after="0"/>
              <w:rPr>
                <w:sz w:val="20"/>
                <w:szCs w:val="20"/>
                <w:color w:val="auto"/>
              </w:rPr>
            </w:pPr>
            <w:r>
              <w:rPr>
                <w:rFonts w:ascii="Arial" w:cs="Arial" w:eastAsia="Arial" w:hAnsi="Arial"/>
                <w:sz w:val="18"/>
                <w:szCs w:val="18"/>
                <w:color w:val="auto"/>
              </w:rPr>
              <w:t>Integra LifeScience Holdings</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USD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39,515,000.00</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Integra LifeSciences Corporation</w:t>
            </w:r>
          </w:p>
        </w:tc>
        <w:tc>
          <w:tcPr>
            <w:tcW w:w="3240" w:type="dxa"/>
            <w:vAlign w:val="bottom"/>
            <w:gridSpan w:val="2"/>
          </w:tcPr>
          <w:p>
            <w:pPr>
              <w:spacing w:after="0"/>
              <w:rPr>
                <w:sz w:val="20"/>
                <w:szCs w:val="20"/>
                <w:color w:val="auto"/>
              </w:rPr>
            </w:pPr>
            <w:r>
              <w:rPr>
                <w:rFonts w:ascii="Arial" w:cs="Arial" w:eastAsia="Arial" w:hAnsi="Arial"/>
                <w:sz w:val="18"/>
                <w:szCs w:val="18"/>
                <w:color w:val="auto"/>
              </w:rPr>
              <w:t>Integra LifeScience Holdings</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USD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48,943,866.58</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Integra LifeSciences Corporation</w:t>
            </w:r>
          </w:p>
        </w:tc>
        <w:tc>
          <w:tcPr>
            <w:tcW w:w="3240" w:type="dxa"/>
            <w:vAlign w:val="bottom"/>
            <w:gridSpan w:val="2"/>
          </w:tcPr>
          <w:p>
            <w:pPr>
              <w:spacing w:after="0"/>
              <w:rPr>
                <w:sz w:val="20"/>
                <w:szCs w:val="20"/>
                <w:color w:val="auto"/>
              </w:rPr>
            </w:pPr>
            <w:r>
              <w:rPr>
                <w:rFonts w:ascii="Arial" w:cs="Arial" w:eastAsia="Arial" w:hAnsi="Arial"/>
                <w:sz w:val="18"/>
                <w:szCs w:val="18"/>
                <w:color w:val="auto"/>
              </w:rPr>
              <w:t>Integra LifeScience Holdings</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USD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30,000,000.00</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Integra LifeSciences Corporation</w:t>
            </w:r>
          </w:p>
        </w:tc>
        <w:tc>
          <w:tcPr>
            <w:tcW w:w="3240" w:type="dxa"/>
            <w:vAlign w:val="bottom"/>
            <w:gridSpan w:val="2"/>
          </w:tcPr>
          <w:p>
            <w:pPr>
              <w:spacing w:after="0"/>
              <w:rPr>
                <w:sz w:val="20"/>
                <w:szCs w:val="20"/>
                <w:color w:val="auto"/>
              </w:rPr>
            </w:pPr>
            <w:r>
              <w:rPr>
                <w:rFonts w:ascii="Arial" w:cs="Arial" w:eastAsia="Arial" w:hAnsi="Arial"/>
                <w:sz w:val="18"/>
                <w:szCs w:val="18"/>
                <w:color w:val="auto"/>
              </w:rPr>
              <w:t>Integra LifeScience Holdings</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USD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4,000,000.00</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Integra LifeSciences Corporation</w:t>
            </w:r>
          </w:p>
        </w:tc>
        <w:tc>
          <w:tcPr>
            <w:tcW w:w="3240" w:type="dxa"/>
            <w:vAlign w:val="bottom"/>
            <w:gridSpan w:val="2"/>
          </w:tcPr>
          <w:p>
            <w:pPr>
              <w:spacing w:after="0"/>
              <w:rPr>
                <w:sz w:val="20"/>
                <w:szCs w:val="20"/>
                <w:color w:val="auto"/>
              </w:rPr>
            </w:pPr>
            <w:r>
              <w:rPr>
                <w:rFonts w:ascii="Arial" w:cs="Arial" w:eastAsia="Arial" w:hAnsi="Arial"/>
                <w:sz w:val="18"/>
                <w:szCs w:val="18"/>
                <w:color w:val="auto"/>
              </w:rPr>
              <w:t>Integra LifeSciences Holdings</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USD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3,500,000.00</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Integra LifeSciences Corporation</w:t>
            </w:r>
          </w:p>
        </w:tc>
        <w:tc>
          <w:tcPr>
            <w:tcW w:w="3240" w:type="dxa"/>
            <w:vAlign w:val="bottom"/>
            <w:gridSpan w:val="2"/>
          </w:tcPr>
          <w:p>
            <w:pPr>
              <w:spacing w:after="0"/>
              <w:rPr>
                <w:sz w:val="20"/>
                <w:szCs w:val="20"/>
                <w:color w:val="auto"/>
              </w:rPr>
            </w:pPr>
            <w:r>
              <w:rPr>
                <w:rFonts w:ascii="Arial" w:cs="Arial" w:eastAsia="Arial" w:hAnsi="Arial"/>
                <w:sz w:val="18"/>
                <w:szCs w:val="18"/>
                <w:color w:val="auto"/>
              </w:rPr>
              <w:t>Integra LifeSciences Holdings</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USD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75,000,000.00</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Integra LifeSciences Corporation</w:t>
            </w:r>
          </w:p>
        </w:tc>
        <w:tc>
          <w:tcPr>
            <w:tcW w:w="3240" w:type="dxa"/>
            <w:vAlign w:val="bottom"/>
            <w:gridSpan w:val="2"/>
          </w:tcPr>
          <w:p>
            <w:pPr>
              <w:spacing w:after="0"/>
              <w:rPr>
                <w:sz w:val="20"/>
                <w:szCs w:val="20"/>
                <w:color w:val="auto"/>
              </w:rPr>
            </w:pPr>
            <w:r>
              <w:rPr>
                <w:rFonts w:ascii="Arial" w:cs="Arial" w:eastAsia="Arial" w:hAnsi="Arial"/>
                <w:sz w:val="18"/>
                <w:szCs w:val="18"/>
                <w:color w:val="auto"/>
              </w:rPr>
              <w:t>Integra LifeSciences Holdings</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USD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5,000,000.00</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60" w:type="dxa"/>
            <w:vAlign w:val="bottom"/>
            <w:gridSpan w:val="2"/>
          </w:tcPr>
          <w:p>
            <w:pPr>
              <w:spacing w:after="0"/>
              <w:rPr>
                <w:sz w:val="20"/>
                <w:szCs w:val="20"/>
                <w:color w:val="auto"/>
              </w:rPr>
            </w:pPr>
            <w:r>
              <w:rPr>
                <w:rFonts w:ascii="Arial" w:cs="Arial" w:eastAsia="Arial" w:hAnsi="Arial"/>
                <w:sz w:val="18"/>
                <w:szCs w:val="18"/>
                <w:color w:val="auto"/>
              </w:rPr>
              <w:t>Integra LifeSciences Corporation</w:t>
            </w:r>
          </w:p>
        </w:tc>
        <w:tc>
          <w:tcPr>
            <w:tcW w:w="3240" w:type="dxa"/>
            <w:vAlign w:val="bottom"/>
            <w:gridSpan w:val="2"/>
          </w:tcPr>
          <w:p>
            <w:pPr>
              <w:spacing w:after="0"/>
              <w:rPr>
                <w:sz w:val="20"/>
                <w:szCs w:val="20"/>
                <w:color w:val="auto"/>
              </w:rPr>
            </w:pPr>
            <w:r>
              <w:rPr>
                <w:rFonts w:ascii="Arial" w:cs="Arial" w:eastAsia="Arial" w:hAnsi="Arial"/>
                <w:sz w:val="18"/>
                <w:szCs w:val="18"/>
                <w:color w:val="auto"/>
              </w:rPr>
              <w:t>Integra LifeSciences Holdings</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USD</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5"/>
              </w:rPr>
              <w:t>15,000,000.00</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87"/>
              </w:rPr>
              <w:t>327,958,866.58</w:t>
            </w:r>
          </w:p>
        </w:tc>
        <w:tc>
          <w:tcPr>
            <w:tcW w:w="880" w:type="dxa"/>
            <w:vAlign w:val="bottom"/>
            <w:gridSpan w:val="2"/>
          </w:tcPr>
          <w:p>
            <w:pPr>
              <w:ind w:left="280"/>
              <w:spacing w:after="0"/>
              <w:rPr>
                <w:sz w:val="20"/>
                <w:szCs w:val="20"/>
                <w:color w:val="auto"/>
              </w:rPr>
            </w:pPr>
            <w:r>
              <w:rPr>
                <w:rFonts w:ascii="Arial" w:cs="Arial" w:eastAsia="Arial" w:hAnsi="Arial"/>
                <w:sz w:val="18"/>
                <w:szCs w:val="18"/>
                <w:b w:val="1"/>
                <w:bCs w:val="1"/>
                <w:color w:val="auto"/>
                <w:w w:val="82"/>
              </w:rPr>
              <w:t>subtotal</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3460" w:type="dxa"/>
            <w:vAlign w:val="bottom"/>
            <w:gridSpan w:val="2"/>
          </w:tcPr>
          <w:p>
            <w:pPr>
              <w:spacing w:after="0"/>
              <w:rPr>
                <w:sz w:val="20"/>
                <w:szCs w:val="20"/>
                <w:color w:val="auto"/>
              </w:rPr>
            </w:pPr>
            <w:r>
              <w:rPr>
                <w:rFonts w:ascii="Arial" w:cs="Arial" w:eastAsia="Arial" w:hAnsi="Arial"/>
                <w:sz w:val="18"/>
                <w:szCs w:val="18"/>
                <w:color w:val="auto"/>
              </w:rPr>
              <w:t>J. Jamner Surgical Instruments, Inc.</w:t>
            </w:r>
          </w:p>
        </w:tc>
        <w:tc>
          <w:tcPr>
            <w:tcW w:w="3240" w:type="dxa"/>
            <w:vAlign w:val="bottom"/>
            <w:gridSpan w:val="2"/>
          </w:tcPr>
          <w:p>
            <w:pPr>
              <w:spacing w:after="0"/>
              <w:rPr>
                <w:sz w:val="20"/>
                <w:szCs w:val="20"/>
                <w:color w:val="auto"/>
              </w:rPr>
            </w:pPr>
            <w:r>
              <w:rPr>
                <w:rFonts w:ascii="Arial" w:cs="Arial" w:eastAsia="Arial" w:hAnsi="Arial"/>
                <w:sz w:val="18"/>
                <w:szCs w:val="18"/>
                <w:color w:val="auto"/>
              </w:rPr>
              <w:t>Integra LifeScience Holdings</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USD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24,000,000.00</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460" w:type="dxa"/>
            <w:vAlign w:val="bottom"/>
            <w:gridSpan w:val="2"/>
          </w:tcPr>
          <w:p>
            <w:pPr>
              <w:spacing w:after="0"/>
              <w:rPr>
                <w:sz w:val="20"/>
                <w:szCs w:val="20"/>
                <w:color w:val="auto"/>
              </w:rPr>
            </w:pPr>
            <w:r>
              <w:rPr>
                <w:rFonts w:ascii="Arial" w:cs="Arial" w:eastAsia="Arial" w:hAnsi="Arial"/>
                <w:sz w:val="18"/>
                <w:szCs w:val="18"/>
                <w:color w:val="auto"/>
              </w:rPr>
              <w:t>Integra Radionics</w:t>
            </w:r>
          </w:p>
        </w:tc>
        <w:tc>
          <w:tcPr>
            <w:tcW w:w="3240" w:type="dxa"/>
            <w:vAlign w:val="bottom"/>
            <w:gridSpan w:val="2"/>
          </w:tcPr>
          <w:p>
            <w:pPr>
              <w:spacing w:after="0"/>
              <w:rPr>
                <w:sz w:val="20"/>
                <w:szCs w:val="20"/>
                <w:color w:val="auto"/>
              </w:rPr>
            </w:pPr>
            <w:r>
              <w:rPr>
                <w:rFonts w:ascii="Arial" w:cs="Arial" w:eastAsia="Arial" w:hAnsi="Arial"/>
                <w:sz w:val="18"/>
                <w:szCs w:val="18"/>
                <w:color w:val="auto"/>
              </w:rPr>
              <w:t>Integra LifeSciences Corporation</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USD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4,966,897.00</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460" w:type="dxa"/>
            <w:vAlign w:val="bottom"/>
            <w:gridSpan w:val="2"/>
          </w:tcPr>
          <w:p>
            <w:pPr>
              <w:spacing w:after="0"/>
              <w:rPr>
                <w:sz w:val="20"/>
                <w:szCs w:val="20"/>
                <w:color w:val="auto"/>
              </w:rPr>
            </w:pPr>
            <w:r>
              <w:rPr>
                <w:rFonts w:ascii="Arial" w:cs="Arial" w:eastAsia="Arial" w:hAnsi="Arial"/>
                <w:sz w:val="18"/>
                <w:szCs w:val="18"/>
                <w:color w:val="auto"/>
              </w:rPr>
              <w:t>Integra Radionics</w:t>
            </w:r>
          </w:p>
        </w:tc>
        <w:tc>
          <w:tcPr>
            <w:tcW w:w="3240" w:type="dxa"/>
            <w:vAlign w:val="bottom"/>
            <w:gridSpan w:val="2"/>
          </w:tcPr>
          <w:p>
            <w:pPr>
              <w:spacing w:after="0"/>
              <w:rPr>
                <w:sz w:val="20"/>
                <w:szCs w:val="20"/>
                <w:color w:val="auto"/>
              </w:rPr>
            </w:pPr>
            <w:r>
              <w:rPr>
                <w:rFonts w:ascii="Arial" w:cs="Arial" w:eastAsia="Arial" w:hAnsi="Arial"/>
                <w:sz w:val="18"/>
                <w:szCs w:val="18"/>
                <w:color w:val="auto"/>
              </w:rPr>
              <w:t>Integra LifeSciences Corporation</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USD</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5"/>
              </w:rPr>
              <w:t>30,000,000.00</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95"/>
              </w:rPr>
              <w:t>34,966,897.00</w:t>
            </w:r>
          </w:p>
        </w:tc>
        <w:tc>
          <w:tcPr>
            <w:tcW w:w="880" w:type="dxa"/>
            <w:vAlign w:val="bottom"/>
            <w:gridSpan w:val="2"/>
          </w:tcPr>
          <w:p>
            <w:pPr>
              <w:ind w:left="280"/>
              <w:spacing w:after="0"/>
              <w:rPr>
                <w:sz w:val="20"/>
                <w:szCs w:val="20"/>
                <w:color w:val="auto"/>
              </w:rPr>
            </w:pPr>
            <w:r>
              <w:rPr>
                <w:rFonts w:ascii="Arial" w:cs="Arial" w:eastAsia="Arial" w:hAnsi="Arial"/>
                <w:sz w:val="18"/>
                <w:szCs w:val="18"/>
                <w:b w:val="1"/>
                <w:bCs w:val="1"/>
                <w:color w:val="auto"/>
                <w:w w:val="82"/>
              </w:rPr>
              <w:t>subtotal</w:t>
            </w:r>
          </w:p>
        </w:tc>
        <w:tc>
          <w:tcPr>
            <w:tcW w:w="0" w:type="dxa"/>
            <w:vAlign w:val="bottom"/>
          </w:tcPr>
          <w:p>
            <w:pPr>
              <w:spacing w:after="0"/>
              <w:rPr>
                <w:sz w:val="1"/>
                <w:szCs w:val="1"/>
                <w:color w:val="auto"/>
              </w:rPr>
            </w:pPr>
          </w:p>
        </w:tc>
      </w:tr>
      <w:tr>
        <w:trPr>
          <w:trHeight w:val="20"/>
        </w:trPr>
        <w:tc>
          <w:tcPr>
            <w:tcW w:w="3460" w:type="dxa"/>
            <w:vAlign w:val="bottom"/>
            <w:gridSpan w:val="2"/>
            <w:vMerge w:val="restart"/>
          </w:tcPr>
          <w:p>
            <w:pPr>
              <w:spacing w:after="0"/>
              <w:rPr>
                <w:sz w:val="20"/>
                <w:szCs w:val="20"/>
                <w:color w:val="auto"/>
              </w:rPr>
            </w:pPr>
            <w:r>
              <w:rPr>
                <w:rFonts w:ascii="Arial" w:cs="Arial" w:eastAsia="Arial" w:hAnsi="Arial"/>
                <w:sz w:val="18"/>
                <w:szCs w:val="18"/>
                <w:color w:val="auto"/>
              </w:rPr>
              <w:t>Theken Spine, LLC</w:t>
            </w:r>
          </w:p>
        </w:tc>
        <w:tc>
          <w:tcPr>
            <w:tcW w:w="3240" w:type="dxa"/>
            <w:vAlign w:val="bottom"/>
            <w:gridSpan w:val="2"/>
            <w:vMerge w:val="restart"/>
          </w:tcPr>
          <w:p>
            <w:pPr>
              <w:spacing w:after="0"/>
              <w:rPr>
                <w:sz w:val="20"/>
                <w:szCs w:val="20"/>
                <w:color w:val="auto"/>
              </w:rPr>
            </w:pPr>
            <w:r>
              <w:rPr>
                <w:rFonts w:ascii="Arial" w:cs="Arial" w:eastAsia="Arial" w:hAnsi="Arial"/>
                <w:sz w:val="18"/>
                <w:szCs w:val="18"/>
                <w:color w:val="auto"/>
              </w:rPr>
              <w:t>Integra LifeSciences Corporation</w:t>
            </w:r>
          </w:p>
        </w:tc>
        <w:tc>
          <w:tcPr>
            <w:tcW w:w="700" w:type="dxa"/>
            <w:vAlign w:val="bottom"/>
            <w:gridSpan w:val="2"/>
            <w:vMerge w:val="restart"/>
          </w:tcPr>
          <w:p>
            <w:pPr>
              <w:ind w:left="60"/>
              <w:spacing w:after="0"/>
              <w:rPr>
                <w:sz w:val="20"/>
                <w:szCs w:val="20"/>
                <w:color w:val="auto"/>
              </w:rPr>
            </w:pPr>
            <w:r>
              <w:rPr>
                <w:rFonts w:ascii="Arial" w:cs="Arial" w:eastAsia="Arial" w:hAnsi="Arial"/>
                <w:sz w:val="18"/>
                <w:szCs w:val="18"/>
                <w:color w:val="auto"/>
              </w:rPr>
              <w:t>USD</w:t>
            </w: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60" w:type="dxa"/>
            <w:vAlign w:val="bottom"/>
            <w:gridSpan w:val="2"/>
            <w:vMerge w:val="continue"/>
          </w:tcPr>
          <w:p>
            <w:pPr>
              <w:spacing w:after="0"/>
              <w:rPr>
                <w:sz w:val="17"/>
                <w:szCs w:val="17"/>
                <w:color w:val="auto"/>
              </w:rPr>
            </w:pPr>
          </w:p>
        </w:tc>
        <w:tc>
          <w:tcPr>
            <w:tcW w:w="3240" w:type="dxa"/>
            <w:vAlign w:val="bottom"/>
            <w:gridSpan w:val="2"/>
            <w:vMerge w:val="continue"/>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w w:val="95"/>
              </w:rPr>
              <w:t>75,000,000.00</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Theken Spine LLC</w:t>
            </w:r>
          </w:p>
        </w:tc>
        <w:tc>
          <w:tcPr>
            <w:tcW w:w="3240" w:type="dxa"/>
            <w:vAlign w:val="bottom"/>
            <w:gridSpan w:val="2"/>
          </w:tcPr>
          <w:p>
            <w:pPr>
              <w:spacing w:after="0"/>
              <w:rPr>
                <w:sz w:val="20"/>
                <w:szCs w:val="20"/>
                <w:color w:val="auto"/>
              </w:rPr>
            </w:pPr>
            <w:r>
              <w:rPr>
                <w:rFonts w:ascii="Arial" w:cs="Arial" w:eastAsia="Arial" w:hAnsi="Arial"/>
                <w:sz w:val="18"/>
                <w:szCs w:val="18"/>
                <w:color w:val="auto"/>
              </w:rPr>
              <w:t>Integra LifeSciences Corporation</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USD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3,924,467.94</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Theken Spine LLC</w:t>
            </w:r>
          </w:p>
        </w:tc>
        <w:tc>
          <w:tcPr>
            <w:tcW w:w="3240" w:type="dxa"/>
            <w:vAlign w:val="bottom"/>
            <w:gridSpan w:val="2"/>
          </w:tcPr>
          <w:p>
            <w:pPr>
              <w:spacing w:after="0"/>
              <w:rPr>
                <w:sz w:val="20"/>
                <w:szCs w:val="20"/>
                <w:color w:val="auto"/>
              </w:rPr>
            </w:pPr>
            <w:r>
              <w:rPr>
                <w:rFonts w:ascii="Arial" w:cs="Arial" w:eastAsia="Arial" w:hAnsi="Arial"/>
                <w:sz w:val="18"/>
                <w:szCs w:val="18"/>
                <w:color w:val="auto"/>
              </w:rPr>
              <w:t>Integra LifeSciences Corporation</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USD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9,270,001.53</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Theken Spine LLC</w:t>
            </w:r>
          </w:p>
        </w:tc>
        <w:tc>
          <w:tcPr>
            <w:tcW w:w="3240" w:type="dxa"/>
            <w:vAlign w:val="bottom"/>
            <w:gridSpan w:val="2"/>
          </w:tcPr>
          <w:p>
            <w:pPr>
              <w:spacing w:after="0"/>
              <w:rPr>
                <w:sz w:val="20"/>
                <w:szCs w:val="20"/>
                <w:color w:val="auto"/>
              </w:rPr>
            </w:pPr>
            <w:r>
              <w:rPr>
                <w:rFonts w:ascii="Arial" w:cs="Arial" w:eastAsia="Arial" w:hAnsi="Arial"/>
                <w:sz w:val="18"/>
                <w:szCs w:val="18"/>
                <w:color w:val="auto"/>
              </w:rPr>
              <w:t>Integra LifeSciences Corporation</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USD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254,100.00</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Theken Spine, LLC</w:t>
            </w:r>
          </w:p>
        </w:tc>
        <w:tc>
          <w:tcPr>
            <w:tcW w:w="3240" w:type="dxa"/>
            <w:vAlign w:val="bottom"/>
            <w:gridSpan w:val="2"/>
          </w:tcPr>
          <w:p>
            <w:pPr>
              <w:spacing w:after="0"/>
              <w:rPr>
                <w:sz w:val="20"/>
                <w:szCs w:val="20"/>
                <w:color w:val="auto"/>
              </w:rPr>
            </w:pPr>
            <w:r>
              <w:rPr>
                <w:rFonts w:ascii="Arial" w:cs="Arial" w:eastAsia="Arial" w:hAnsi="Arial"/>
                <w:sz w:val="18"/>
                <w:szCs w:val="18"/>
                <w:color w:val="auto"/>
              </w:rPr>
              <w:t>Integra LifeSciences Corporation</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USD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2,000,000.00</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Theken Spine, LLC</w:t>
            </w:r>
          </w:p>
        </w:tc>
        <w:tc>
          <w:tcPr>
            <w:tcW w:w="3240" w:type="dxa"/>
            <w:vAlign w:val="bottom"/>
            <w:gridSpan w:val="2"/>
          </w:tcPr>
          <w:p>
            <w:pPr>
              <w:spacing w:after="0"/>
              <w:rPr>
                <w:sz w:val="20"/>
                <w:szCs w:val="20"/>
                <w:color w:val="auto"/>
              </w:rPr>
            </w:pPr>
            <w:r>
              <w:rPr>
                <w:rFonts w:ascii="Arial" w:cs="Arial" w:eastAsia="Arial" w:hAnsi="Arial"/>
                <w:sz w:val="18"/>
                <w:szCs w:val="18"/>
                <w:color w:val="auto"/>
              </w:rPr>
              <w:t>Integra LifeSciences Corporation</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USD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150,000.00</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60" w:type="dxa"/>
            <w:vAlign w:val="bottom"/>
            <w:gridSpan w:val="2"/>
          </w:tcPr>
          <w:p>
            <w:pPr>
              <w:spacing w:after="0"/>
              <w:rPr>
                <w:sz w:val="20"/>
                <w:szCs w:val="20"/>
                <w:color w:val="auto"/>
              </w:rPr>
            </w:pPr>
            <w:r>
              <w:rPr>
                <w:rFonts w:ascii="Arial" w:cs="Arial" w:eastAsia="Arial" w:hAnsi="Arial"/>
                <w:sz w:val="18"/>
                <w:szCs w:val="18"/>
                <w:color w:val="auto"/>
              </w:rPr>
              <w:t>Theken Spine, LLC</w:t>
            </w:r>
          </w:p>
        </w:tc>
        <w:tc>
          <w:tcPr>
            <w:tcW w:w="3240" w:type="dxa"/>
            <w:vAlign w:val="bottom"/>
            <w:gridSpan w:val="2"/>
          </w:tcPr>
          <w:p>
            <w:pPr>
              <w:spacing w:after="0"/>
              <w:rPr>
                <w:sz w:val="20"/>
                <w:szCs w:val="20"/>
                <w:color w:val="auto"/>
              </w:rPr>
            </w:pPr>
            <w:r>
              <w:rPr>
                <w:rFonts w:ascii="Arial" w:cs="Arial" w:eastAsia="Arial" w:hAnsi="Arial"/>
                <w:sz w:val="18"/>
                <w:szCs w:val="18"/>
                <w:color w:val="auto"/>
              </w:rPr>
              <w:t>Integra LifeSciences Corporation</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USD</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250,000.00</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95"/>
              </w:rPr>
              <w:t>90,848,569.47</w:t>
            </w:r>
          </w:p>
        </w:tc>
        <w:tc>
          <w:tcPr>
            <w:tcW w:w="880" w:type="dxa"/>
            <w:vAlign w:val="bottom"/>
            <w:gridSpan w:val="2"/>
          </w:tcPr>
          <w:p>
            <w:pPr>
              <w:ind w:left="280"/>
              <w:spacing w:after="0"/>
              <w:rPr>
                <w:sz w:val="20"/>
                <w:szCs w:val="20"/>
                <w:color w:val="auto"/>
              </w:rPr>
            </w:pPr>
            <w:r>
              <w:rPr>
                <w:rFonts w:ascii="Arial" w:cs="Arial" w:eastAsia="Arial" w:hAnsi="Arial"/>
                <w:sz w:val="18"/>
                <w:szCs w:val="18"/>
                <w:b w:val="1"/>
                <w:bCs w:val="1"/>
                <w:color w:val="auto"/>
                <w:w w:val="82"/>
              </w:rPr>
              <w:t>subtotal</w:t>
            </w:r>
          </w:p>
        </w:tc>
        <w:tc>
          <w:tcPr>
            <w:tcW w:w="0" w:type="dxa"/>
            <w:vAlign w:val="bottom"/>
          </w:tcPr>
          <w:p>
            <w:pPr>
              <w:spacing w:after="0"/>
              <w:rPr>
                <w:sz w:val="1"/>
                <w:szCs w:val="1"/>
                <w:color w:val="auto"/>
              </w:rPr>
            </w:pPr>
          </w:p>
        </w:tc>
      </w:tr>
      <w:tr>
        <w:trPr>
          <w:trHeight w:val="20"/>
        </w:trPr>
        <w:tc>
          <w:tcPr>
            <w:tcW w:w="3460" w:type="dxa"/>
            <w:vAlign w:val="bottom"/>
            <w:gridSpan w:val="2"/>
            <w:vMerge w:val="restart"/>
          </w:tcPr>
          <w:p>
            <w:pPr>
              <w:spacing w:after="0"/>
              <w:rPr>
                <w:sz w:val="20"/>
                <w:szCs w:val="20"/>
                <w:color w:val="auto"/>
              </w:rPr>
            </w:pPr>
            <w:r>
              <w:rPr>
                <w:rFonts w:ascii="Arial" w:cs="Arial" w:eastAsia="Arial" w:hAnsi="Arial"/>
                <w:sz w:val="18"/>
                <w:szCs w:val="18"/>
                <w:color w:val="auto"/>
              </w:rPr>
              <w:t>Integra LifeScience (Canada) Holdings Inc.</w:t>
            </w:r>
          </w:p>
        </w:tc>
        <w:tc>
          <w:tcPr>
            <w:tcW w:w="3240" w:type="dxa"/>
            <w:vAlign w:val="bottom"/>
            <w:gridSpan w:val="2"/>
            <w:vMerge w:val="restart"/>
          </w:tcPr>
          <w:p>
            <w:pPr>
              <w:spacing w:after="0"/>
              <w:rPr>
                <w:sz w:val="20"/>
                <w:szCs w:val="20"/>
                <w:color w:val="auto"/>
              </w:rPr>
            </w:pPr>
            <w:r>
              <w:rPr>
                <w:rFonts w:ascii="Arial" w:cs="Arial" w:eastAsia="Arial" w:hAnsi="Arial"/>
                <w:sz w:val="18"/>
                <w:szCs w:val="18"/>
                <w:color w:val="auto"/>
              </w:rPr>
              <w:t>Integra LifeSciences Corporation</w:t>
            </w:r>
          </w:p>
        </w:tc>
        <w:tc>
          <w:tcPr>
            <w:tcW w:w="700" w:type="dxa"/>
            <w:vAlign w:val="bottom"/>
            <w:gridSpan w:val="2"/>
            <w:vMerge w:val="restart"/>
          </w:tcPr>
          <w:p>
            <w:pPr>
              <w:ind w:left="60"/>
              <w:spacing w:after="0"/>
              <w:rPr>
                <w:sz w:val="20"/>
                <w:szCs w:val="20"/>
                <w:color w:val="auto"/>
              </w:rPr>
            </w:pPr>
            <w:r>
              <w:rPr>
                <w:rFonts w:ascii="Arial" w:cs="Arial" w:eastAsia="Arial" w:hAnsi="Arial"/>
                <w:sz w:val="18"/>
                <w:szCs w:val="18"/>
                <w:color w:val="auto"/>
              </w:rPr>
              <w:t>USD</w:t>
            </w: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60" w:type="dxa"/>
            <w:vAlign w:val="bottom"/>
            <w:gridSpan w:val="2"/>
            <w:vMerge w:val="continue"/>
          </w:tcPr>
          <w:p>
            <w:pPr>
              <w:spacing w:after="0"/>
              <w:rPr>
                <w:sz w:val="18"/>
                <w:szCs w:val="18"/>
                <w:color w:val="auto"/>
              </w:rPr>
            </w:pPr>
          </w:p>
        </w:tc>
        <w:tc>
          <w:tcPr>
            <w:tcW w:w="3240" w:type="dxa"/>
            <w:vAlign w:val="bottom"/>
            <w:gridSpan w:val="2"/>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5,761,094.61</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460" w:type="dxa"/>
            <w:vAlign w:val="bottom"/>
            <w:gridSpan w:val="2"/>
          </w:tcPr>
          <w:p>
            <w:pPr>
              <w:spacing w:after="0"/>
              <w:rPr>
                <w:sz w:val="20"/>
                <w:szCs w:val="20"/>
                <w:color w:val="auto"/>
              </w:rPr>
            </w:pPr>
            <w:r>
              <w:rPr>
                <w:rFonts w:ascii="Arial" w:cs="Arial" w:eastAsia="Arial" w:hAnsi="Arial"/>
                <w:sz w:val="18"/>
                <w:szCs w:val="18"/>
                <w:color w:val="auto"/>
              </w:rPr>
              <w:t>Integra NeuroSciences Holdings BV</w:t>
            </w:r>
          </w:p>
        </w:tc>
        <w:tc>
          <w:tcPr>
            <w:tcW w:w="3240" w:type="dxa"/>
            <w:vAlign w:val="bottom"/>
            <w:gridSpan w:val="2"/>
          </w:tcPr>
          <w:p>
            <w:pPr>
              <w:spacing w:after="0"/>
              <w:rPr>
                <w:sz w:val="20"/>
                <w:szCs w:val="20"/>
                <w:color w:val="auto"/>
              </w:rPr>
            </w:pPr>
            <w:r>
              <w:rPr>
                <w:rFonts w:ascii="Arial" w:cs="Arial" w:eastAsia="Arial" w:hAnsi="Arial"/>
                <w:sz w:val="18"/>
                <w:szCs w:val="18"/>
                <w:color w:val="auto"/>
              </w:rPr>
              <w:t>Integra LifeSciences Corporation</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EUR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105,000.00</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-3514090</wp:posOffset>
            </wp:positionV>
            <wp:extent cx="7246620" cy="13716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-1213485</wp:posOffset>
            </wp:positionH>
            <wp:positionV relativeFrom="paragraph">
              <wp:posOffset>-3239770</wp:posOffset>
            </wp:positionV>
            <wp:extent cx="7246620" cy="13716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-1213485</wp:posOffset>
            </wp:positionH>
            <wp:positionV relativeFrom="paragraph">
              <wp:posOffset>-2965450</wp:posOffset>
            </wp:positionV>
            <wp:extent cx="7246620" cy="13716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-1213485</wp:posOffset>
            </wp:positionH>
            <wp:positionV relativeFrom="paragraph">
              <wp:posOffset>-2691130</wp:posOffset>
            </wp:positionV>
            <wp:extent cx="7246620" cy="13716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-1213485</wp:posOffset>
            </wp:positionH>
            <wp:positionV relativeFrom="paragraph">
              <wp:posOffset>-2399030</wp:posOffset>
            </wp:positionV>
            <wp:extent cx="7246620" cy="13716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-1213485</wp:posOffset>
            </wp:positionH>
            <wp:positionV relativeFrom="paragraph">
              <wp:posOffset>-1953260</wp:posOffset>
            </wp:positionV>
            <wp:extent cx="7246620" cy="13716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-1213485</wp:posOffset>
            </wp:positionH>
            <wp:positionV relativeFrom="paragraph">
              <wp:posOffset>-1661795</wp:posOffset>
            </wp:positionV>
            <wp:extent cx="7246620" cy="13716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-1213485</wp:posOffset>
            </wp:positionH>
            <wp:positionV relativeFrom="paragraph">
              <wp:posOffset>-1353185</wp:posOffset>
            </wp:positionV>
            <wp:extent cx="7246620" cy="13716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-1213485</wp:posOffset>
            </wp:positionH>
            <wp:positionV relativeFrom="paragraph">
              <wp:posOffset>-1078865</wp:posOffset>
            </wp:positionV>
            <wp:extent cx="7246620" cy="13716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-1213485</wp:posOffset>
            </wp:positionH>
            <wp:positionV relativeFrom="paragraph">
              <wp:posOffset>-803910</wp:posOffset>
            </wp:positionV>
            <wp:extent cx="7246620" cy="13716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-1213485</wp:posOffset>
            </wp:positionH>
            <wp:positionV relativeFrom="paragraph">
              <wp:posOffset>-512445</wp:posOffset>
            </wp:positionV>
            <wp:extent cx="7246620" cy="13716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-1213485</wp:posOffset>
            </wp:positionH>
            <wp:positionV relativeFrom="paragraph">
              <wp:posOffset>-135255</wp:posOffset>
            </wp:positionV>
            <wp:extent cx="7246620" cy="13716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-1213485</wp:posOffset>
            </wp:positionH>
            <wp:positionV relativeFrom="paragraph">
              <wp:posOffset>-3797300</wp:posOffset>
            </wp:positionV>
            <wp:extent cx="7246620" cy="1460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2">
            <w:col w:w="1740" w:space="180"/>
            <w:col w:w="9500"/>
          </w:cols>
          <w:pgMar w:left="240" w:top="274" w:right="239" w:bottom="1440" w:gutter="0" w:footer="0" w:header="0"/>
          <w:type w:val="continuous"/>
        </w:sectPr>
      </w:pPr>
    </w:p>
    <w:bookmarkStart w:id="281" w:name="page282"/>
    <w:bookmarkEnd w:id="281"/>
    <w:tbl>
      <w:tblPr>
        <w:tblLayout w:type="fixed"/>
        <w:tblInd w:w="0" w:type="dxa"/>
        <w:tblCellMar>
          <w:top w:w="0" w:type="dxa"/>
          <w:left w:w="0" w:type="dxa"/>
          <w:bottom w:w="0" w:type="dxa"/>
          <w:right w:w="0" w:type="dxa"/>
        </w:tblCellMar>
      </w:tblPr>
      <w:tr>
        <w:trPr>
          <w:trHeight w:val="216"/>
        </w:trPr>
        <w:tc>
          <w:tcPr>
            <w:tcW w:w="2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820" w:type="dxa"/>
            <w:vAlign w:val="bottom"/>
            <w:gridSpan w:val="3"/>
          </w:tcPr>
          <w:p>
            <w:pPr>
              <w:jc w:val="right"/>
              <w:spacing w:after="0"/>
              <w:rPr>
                <w:sz w:val="20"/>
                <w:szCs w:val="20"/>
                <w:color w:val="auto"/>
              </w:rPr>
            </w:pPr>
            <w:r>
              <w:rPr>
                <w:rFonts w:ascii="Arial" w:cs="Arial" w:eastAsia="Arial" w:hAnsi="Arial"/>
                <w:sz w:val="18"/>
                <w:szCs w:val="18"/>
                <w:b w:val="1"/>
                <w:bCs w:val="1"/>
                <w:color w:val="auto"/>
              </w:rPr>
              <w:t>EXHIBIT A</w:t>
            </w:r>
          </w:p>
        </w:tc>
      </w:tr>
      <w:tr>
        <w:trPr>
          <w:trHeight w:val="216"/>
        </w:trPr>
        <w:tc>
          <w:tcPr>
            <w:tcW w:w="2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to</w:t>
            </w:r>
          </w:p>
        </w:tc>
      </w:tr>
      <w:tr>
        <w:trPr>
          <w:trHeight w:val="222"/>
        </w:trPr>
        <w:tc>
          <w:tcPr>
            <w:tcW w:w="2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820" w:type="dxa"/>
            <w:vAlign w:val="bottom"/>
            <w:gridSpan w:val="3"/>
          </w:tcPr>
          <w:p>
            <w:pPr>
              <w:jc w:val="right"/>
              <w:spacing w:after="0"/>
              <w:rPr>
                <w:sz w:val="20"/>
                <w:szCs w:val="20"/>
                <w:color w:val="auto"/>
              </w:rPr>
            </w:pPr>
            <w:r>
              <w:rPr>
                <w:rFonts w:ascii="Arial" w:cs="Arial" w:eastAsia="Arial" w:hAnsi="Arial"/>
                <w:sz w:val="18"/>
                <w:szCs w:val="18"/>
                <w:b w:val="1"/>
                <w:bCs w:val="1"/>
                <w:color w:val="auto"/>
              </w:rPr>
              <w:t>Pledge Agreement</w:t>
            </w:r>
          </w:p>
        </w:tc>
      </w:tr>
      <w:tr>
        <w:trPr>
          <w:trHeight w:val="222"/>
        </w:trPr>
        <w:tc>
          <w:tcPr>
            <w:tcW w:w="2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[Date]</w:t>
            </w:r>
          </w:p>
        </w:tc>
      </w:tr>
      <w:tr>
        <w:trPr>
          <w:trHeight w:val="372"/>
        </w:trPr>
        <w:tc>
          <w:tcPr>
            <w:tcW w:w="2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60" w:type="dxa"/>
            <w:vAlign w:val="bottom"/>
            <w:gridSpan w:val="3"/>
          </w:tcPr>
          <w:p>
            <w:pPr>
              <w:jc w:val="center"/>
              <w:ind w:right="2320"/>
              <w:spacing w:after="0"/>
              <w:rPr>
                <w:sz w:val="20"/>
                <w:szCs w:val="20"/>
                <w:color w:val="auto"/>
              </w:rPr>
            </w:pPr>
            <w:r>
              <w:rPr>
                <w:rFonts w:ascii="Arial" w:cs="Arial" w:eastAsia="Arial" w:hAnsi="Arial"/>
                <w:sz w:val="18"/>
                <w:szCs w:val="18"/>
                <w:color w:val="auto"/>
                <w:w w:val="95"/>
              </w:rPr>
              <w:t>INTERCOMPANY</w:t>
            </w: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22"/>
        </w:trPr>
        <w:tc>
          <w:tcPr>
            <w:tcW w:w="2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60" w:type="dxa"/>
            <w:vAlign w:val="bottom"/>
            <w:gridSpan w:val="3"/>
          </w:tcPr>
          <w:p>
            <w:pPr>
              <w:jc w:val="center"/>
              <w:ind w:right="2320"/>
              <w:spacing w:after="0"/>
              <w:rPr>
                <w:sz w:val="20"/>
                <w:szCs w:val="20"/>
                <w:color w:val="auto"/>
              </w:rPr>
            </w:pPr>
            <w:r>
              <w:rPr>
                <w:rFonts w:ascii="Arial" w:cs="Arial" w:eastAsia="Arial" w:hAnsi="Arial"/>
                <w:sz w:val="18"/>
                <w:szCs w:val="18"/>
                <w:color w:val="auto"/>
                <w:w w:val="91"/>
              </w:rPr>
              <w:t>PROMISSORY NOTE</w:t>
            </w: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378"/>
        </w:trPr>
        <w:tc>
          <w:tcPr>
            <w:tcW w:w="25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40"/>
        </w:trPr>
        <w:tc>
          <w:tcPr>
            <w:tcW w:w="4140" w:type="dxa"/>
            <w:vAlign w:val="bottom"/>
            <w:gridSpan w:val="3"/>
          </w:tcPr>
          <w:p>
            <w:pPr>
              <w:ind w:left="460"/>
              <w:spacing w:after="0"/>
              <w:rPr>
                <w:sz w:val="20"/>
                <w:szCs w:val="20"/>
                <w:color w:val="auto"/>
              </w:rPr>
            </w:pPr>
            <w:r>
              <w:rPr>
                <w:rFonts w:ascii="Arial" w:cs="Arial" w:eastAsia="Arial" w:hAnsi="Arial"/>
                <w:sz w:val="18"/>
                <w:szCs w:val="18"/>
                <w:color w:val="auto"/>
              </w:rPr>
              <w:t>FOR VALUE RECEIVED, the undersigned,</w:t>
            </w:r>
          </w:p>
        </w:tc>
        <w:tc>
          <w:tcPr>
            <w:tcW w:w="5460" w:type="dxa"/>
            <w:vAlign w:val="bottom"/>
            <w:gridSpan w:val="3"/>
          </w:tcPr>
          <w:p>
            <w:pPr>
              <w:ind w:left="520"/>
              <w:spacing w:after="0"/>
              <w:rPr>
                <w:sz w:val="20"/>
                <w:szCs w:val="20"/>
                <w:color w:val="auto"/>
              </w:rPr>
            </w:pPr>
            <w:r>
              <w:rPr>
                <w:rFonts w:ascii="Arial" w:cs="Arial" w:eastAsia="Arial" w:hAnsi="Arial"/>
                <w:sz w:val="18"/>
                <w:szCs w:val="18"/>
                <w:color w:val="auto"/>
              </w:rPr>
              <w:t>, (the “Maker”) unconditionally promises to pay to the order of</w:t>
            </w: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 the “Payee”) on</w:t>
            </w:r>
          </w:p>
        </w:tc>
      </w:tr>
      <w:tr>
        <w:trPr>
          <w:trHeight w:val="20"/>
        </w:trPr>
        <w:tc>
          <w:tcPr>
            <w:tcW w:w="2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5"/>
        </w:trPr>
        <w:tc>
          <w:tcPr>
            <w:tcW w:w="2560" w:type="dxa"/>
            <w:vAlign w:val="bottom"/>
          </w:tcPr>
          <w:p>
            <w:pPr>
              <w:spacing w:after="0"/>
              <w:rPr>
                <w:sz w:val="20"/>
                <w:szCs w:val="20"/>
                <w:color w:val="auto"/>
              </w:rPr>
            </w:pPr>
            <w:r>
              <w:rPr>
                <w:rFonts w:ascii="Arial" w:cs="Arial" w:eastAsia="Arial" w:hAnsi="Arial"/>
                <w:sz w:val="18"/>
                <w:szCs w:val="18"/>
                <w:color w:val="auto"/>
              </w:rPr>
              <w:t>demand, the principal sum of</w:t>
            </w: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040" w:type="dxa"/>
            <w:vAlign w:val="bottom"/>
            <w:gridSpan w:val="7"/>
          </w:tcPr>
          <w:p>
            <w:pPr>
              <w:jc w:val="right"/>
              <w:spacing w:after="0"/>
              <w:rPr>
                <w:sz w:val="20"/>
                <w:szCs w:val="20"/>
                <w:color w:val="auto"/>
              </w:rPr>
            </w:pPr>
            <w:r>
              <w:rPr>
                <w:rFonts w:ascii="Arial" w:cs="Arial" w:eastAsia="Arial" w:hAnsi="Arial"/>
                <w:sz w:val="18"/>
                <w:szCs w:val="18"/>
                <w:color w:val="auto"/>
                <w:w w:val="90"/>
              </w:rPr>
              <w:t>), or if less, the aggregate unpaid principal amount of each intercompany loan made by the Payee to the Maker.</w:t>
            </w:r>
          </w:p>
        </w:tc>
      </w:tr>
    </w:tbl>
    <w:p>
      <w:pPr>
        <w:jc w:val="both"/>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Terms used herein and not otherwise defined herein shall have the meaning assigned to them in the Amended and Restated Credit Agreement, dated as of August 10, 2010 (as amended, restated, supplemented, renewed, extended or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the Payee, the various financial institutions as are, or may from time to time become parties thereto and Bank of America, N.A., as Administrative Agent, L/C Issuer and Swing Line Lender.</w:t>
      </w:r>
    </w:p>
    <w:p>
      <w:pPr>
        <w:spacing w:after="0" w:line="144"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The unpaid principal amount of this promissory note (this “</w:t>
      </w:r>
      <w:r>
        <w:rPr>
          <w:rFonts w:ascii="Arial" w:cs="Arial" w:eastAsia="Arial" w:hAnsi="Arial"/>
          <w:sz w:val="16"/>
          <w:szCs w:val="16"/>
          <w:u w:val="single" w:color="auto"/>
          <w:color w:val="auto"/>
        </w:rPr>
        <w:t>Note</w:t>
      </w:r>
      <w:r>
        <w:rPr>
          <w:rFonts w:ascii="Arial" w:cs="Arial" w:eastAsia="Arial" w:hAnsi="Arial"/>
          <w:sz w:val="16"/>
          <w:szCs w:val="16"/>
          <w:color w:val="auto"/>
        </w:rPr>
        <w:t xml:space="preserve">”) from time to time outstanding shall bear interest at a rate per annum equal to the rate applicable at such time to Base Rate Loans pursuant to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of the Credit Agreement, which the Maker represents to be a lawful and commercially reasonable rate, and all payments of principal of and interest on this Note shall be payable in lawful currency of the United States of America. All such payments shall be made by the Maker to an account established by the Payee at such financial institution as is specified by the Payee to the Maker from time to time and shall be recorded on the grid attached hereto by the holder hereof (including the Administrative Agent (as hereinafter defined), as pledgee). Upon the occurrence and during the continuance of any Event of Default (as hereafter defined), and notice thereof by the Administrative Agent to the Maker, (a) the Maker shall make every payment due under this Note, in same day funds, to such other account as the Administrative Agent shall direct in such notice and (b) the Administrative Agent shall have all rights of the Payee to collect and accelerate, and enforce all rights with respect to, the indebtedness evidenced by this Note.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Maker may not prepay the unpaid principal of this Note at any time after the occurrence and during the continuance of an Event of Default.</w:t>
      </w:r>
    </w:p>
    <w:p>
      <w:pPr>
        <w:spacing w:after="0" w:line="194" w:lineRule="exact"/>
        <w:rPr>
          <w:sz w:val="20"/>
          <w:szCs w:val="20"/>
          <w:color w:val="auto"/>
        </w:rPr>
      </w:pPr>
    </w:p>
    <w:p>
      <w:pPr>
        <w:jc w:val="both"/>
        <w:ind w:right="20" w:firstLine="456"/>
        <w:spacing w:after="0" w:line="335" w:lineRule="auto"/>
        <w:rPr>
          <w:sz w:val="20"/>
          <w:szCs w:val="20"/>
          <w:color w:val="auto"/>
        </w:rPr>
      </w:pPr>
      <w:r>
        <w:rPr>
          <w:rFonts w:ascii="Arial" w:cs="Arial" w:eastAsia="Arial" w:hAnsi="Arial"/>
          <w:sz w:val="15"/>
          <w:szCs w:val="15"/>
          <w:color w:val="auto"/>
        </w:rPr>
        <w:t>Unless otherwise defined herein or the context otherwise requires, terms used herein have the meanings provided in the Amended and Restated Pledge Agreement, dated as of August 10, 2010 (as amended, supplemented, restated or otherwise modified from time to time, the “</w:t>
      </w:r>
      <w:r>
        <w:rPr>
          <w:rFonts w:ascii="Arial" w:cs="Arial" w:eastAsia="Arial" w:hAnsi="Arial"/>
          <w:sz w:val="15"/>
          <w:szCs w:val="15"/>
          <w:u w:val="single" w:color="auto"/>
          <w:color w:val="auto"/>
        </w:rPr>
        <w:t>Pledge Agreement</w:t>
      </w:r>
      <w:r>
        <w:rPr>
          <w:rFonts w:ascii="Arial" w:cs="Arial" w:eastAsia="Arial" w:hAnsi="Arial"/>
          <w:sz w:val="15"/>
          <w:szCs w:val="15"/>
          <w:color w:val="auto"/>
        </w:rPr>
        <w:t>”), from the Payee and certain other Persons in favor of the Bank of America, N.A., as administrative agent (the “</w:t>
      </w:r>
      <w:r>
        <w:rPr>
          <w:rFonts w:ascii="Arial" w:cs="Arial" w:eastAsia="Arial" w:hAnsi="Arial"/>
          <w:sz w:val="15"/>
          <w:szCs w:val="15"/>
          <w:u w:val="single" w:color="auto"/>
          <w:color w:val="auto"/>
        </w:rPr>
        <w:t>Administrative Agent</w:t>
      </w:r>
      <w:r>
        <w:rPr>
          <w:rFonts w:ascii="Arial" w:cs="Arial" w:eastAsia="Arial" w:hAnsi="Arial"/>
          <w:sz w:val="15"/>
          <w:szCs w:val="15"/>
          <w:color w:val="auto"/>
        </w:rPr>
        <w:t>”) for the Secured Parties referred to therein.</w:t>
      </w:r>
    </w:p>
    <w:p>
      <w:pPr>
        <w:spacing w:after="0" w:line="88"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This Note is one of the Pledged Notes referred to in the Pledge Agreement and has been pledged to the Administrative Agent as security for the Secured Obligations.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Intercompany Promissory Note</w:t>
      </w:r>
    </w:p>
    <w:p>
      <w:pPr>
        <w:sectPr>
          <w:pgSz w:w="11900" w:h="16838" w:orient="portrait"/>
          <w:cols w:equalWidth="0" w:num="1">
            <w:col w:w="11420"/>
          </w:cols>
          <w:pgMar w:left="240" w:top="274" w:right="239" w:bottom="1440" w:gutter="0" w:footer="0" w:header="0"/>
        </w:sectPr>
      </w:pPr>
    </w:p>
    <w:bookmarkStart w:id="282" w:name="page283"/>
    <w:bookmarkEnd w:id="282"/>
    <w:p>
      <w:pPr>
        <w:jc w:val="both"/>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addition to, but not in limitation of, the foregoing, the Maker further agrees to pay all expenses, including reasonable attorneys’ fees and legal expenses, incurred by the holder (including the Administrative Agent, as pledgee) of this Note endeavoring to collect any amounts payable hereunder which are not paid when due, whether by acceleration or otherwise.</w:t>
      </w:r>
    </w:p>
    <w:p>
      <w:pPr>
        <w:spacing w:after="0" w:line="134" w:lineRule="exact"/>
        <w:rPr>
          <w:sz w:val="20"/>
          <w:szCs w:val="20"/>
          <w:color w:val="auto"/>
        </w:rPr>
      </w:pPr>
    </w:p>
    <w:p>
      <w:pPr>
        <w:jc w:val="both"/>
        <w:ind w:firstLine="456"/>
        <w:spacing w:after="0" w:line="275" w:lineRule="auto"/>
        <w:rPr>
          <w:sz w:val="20"/>
          <w:szCs w:val="20"/>
          <w:color w:val="auto"/>
        </w:rPr>
      </w:pPr>
      <w:r>
        <w:rPr>
          <w:rFonts w:ascii="Arial" w:cs="Arial" w:eastAsia="Arial" w:hAnsi="Arial"/>
          <w:sz w:val="18"/>
          <w:szCs w:val="18"/>
          <w:b w:val="1"/>
          <w:bCs w:val="1"/>
          <w:color w:val="auto"/>
        </w:rPr>
        <w:t>THIS NOTE SHALL BE GOVERNED BY AND CONSTRUED IN ACCORDANCE WITH THE INTERNAL LAWS OF THE STATE OF NEW YORK.</w:t>
      </w:r>
    </w:p>
    <w:p>
      <w:pPr>
        <w:spacing w:after="0" w:line="120" w:lineRule="exact"/>
        <w:rPr>
          <w:sz w:val="20"/>
          <w:szCs w:val="20"/>
          <w:color w:val="auto"/>
        </w:rPr>
      </w:pPr>
    </w:p>
    <w:p>
      <w:pPr>
        <w:jc w:val="both"/>
        <w:ind w:firstLine="456"/>
        <w:spacing w:after="0" w:line="258" w:lineRule="auto"/>
        <w:rPr>
          <w:sz w:val="20"/>
          <w:szCs w:val="20"/>
          <w:color w:val="auto"/>
        </w:rPr>
      </w:pPr>
      <w:r>
        <w:rPr>
          <w:rFonts w:ascii="Arial" w:cs="Arial" w:eastAsia="Arial" w:hAnsi="Arial"/>
          <w:sz w:val="18"/>
          <w:szCs w:val="18"/>
          <w:b w:val="1"/>
          <w:bCs w:val="1"/>
          <w:color w:val="auto"/>
        </w:rPr>
        <w:t>THE MAKER HEREBY KNOWINGLY, VOLUNTARILY AND INTENTIONALLY WAIVES ANY RIGHTS IT MAY HAVE TO A TRIAL BY JURY IN RESPECT OF ANY LITIGATION BASED ON THIS NOTE. THE MAKER ACKNOWLEDGES AND AGREES THAT IT HAS RECEIVED FULL AND SUFFICIENT CONSIDERATION FOR THIS PROVISION AND THAT THIS PROVISION IS A MATERIAL INDUCEMENT FOR THE PAYEE TO ACCEPT THIS NOTE.</w:t>
      </w:r>
    </w:p>
    <w:p>
      <w:pPr>
        <w:spacing w:after="0" w:line="17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[NAME OF MAKER]</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Intercompany Promissory Note</w:t>
      </w:r>
    </w:p>
    <w:p>
      <w:pPr>
        <w:sectPr>
          <w:pgSz w:w="11900" w:h="16838" w:orient="portrait"/>
          <w:cols w:equalWidth="0" w:num="1">
            <w:col w:w="11420"/>
          </w:cols>
          <w:pgMar w:left="240" w:top="280" w:right="239" w:bottom="1440" w:gutter="0" w:footer="0" w:header="0"/>
        </w:sectPr>
      </w:pPr>
    </w:p>
    <w:bookmarkStart w:id="283" w:name="page284"/>
    <w:bookmarkEnd w:id="283"/>
    <w:tbl>
      <w:tblPr>
        <w:tblLayout w:type="fixed"/>
        <w:tblInd w:w="0" w:type="dxa"/>
        <w:tblCellMar>
          <w:top w:w="0" w:type="dxa"/>
          <w:left w:w="0" w:type="dxa"/>
          <w:bottom w:w="0" w:type="dxa"/>
          <w:right w:w="0" w:type="dxa"/>
        </w:tblCellMar>
      </w:tblPr>
      <w:tr>
        <w:trPr>
          <w:trHeight w:val="222"/>
        </w:trPr>
        <w:tc>
          <w:tcPr>
            <w:tcW w:w="4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740" w:type="dxa"/>
            <w:vAlign w:val="bottom"/>
            <w:gridSpan w:val="3"/>
          </w:tcPr>
          <w:p>
            <w:pPr>
              <w:ind w:left="100"/>
              <w:spacing w:after="0"/>
              <w:rPr>
                <w:sz w:val="20"/>
                <w:szCs w:val="20"/>
                <w:color w:val="auto"/>
              </w:rPr>
            </w:pPr>
            <w:r>
              <w:rPr>
                <w:rFonts w:ascii="Arial" w:cs="Arial" w:eastAsia="Arial" w:hAnsi="Arial"/>
                <w:sz w:val="18"/>
                <w:szCs w:val="18"/>
                <w:color w:val="auto"/>
              </w:rPr>
              <w:t>ENDORSEMENT</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340"/>
        </w:trPr>
        <w:tc>
          <w:tcPr>
            <w:tcW w:w="8700" w:type="dxa"/>
            <w:vAlign w:val="bottom"/>
            <w:gridSpan w:val="6"/>
          </w:tcPr>
          <w:p>
            <w:pPr>
              <w:ind w:left="460"/>
              <w:spacing w:after="0"/>
              <w:rPr>
                <w:sz w:val="20"/>
                <w:szCs w:val="20"/>
                <w:color w:val="auto"/>
              </w:rPr>
            </w:pPr>
            <w:r>
              <w:rPr>
                <w:rFonts w:ascii="Arial" w:cs="Arial" w:eastAsia="Arial" w:hAnsi="Arial"/>
                <w:sz w:val="18"/>
                <w:szCs w:val="18"/>
                <w:color w:val="auto"/>
              </w:rPr>
              <w:t>FOR VALUE RECEIVED, the undersigned, as the Payee under that certain Promissory Note dated</w:t>
            </w:r>
          </w:p>
        </w:tc>
        <w:tc>
          <w:tcPr>
            <w:tcW w:w="2720" w:type="dxa"/>
            <w:vAlign w:val="bottom"/>
            <w:gridSpan w:val="4"/>
          </w:tcPr>
          <w:p>
            <w:pPr>
              <w:jc w:val="right"/>
              <w:spacing w:after="0"/>
              <w:rPr>
                <w:sz w:val="20"/>
                <w:szCs w:val="20"/>
                <w:color w:val="auto"/>
              </w:rPr>
            </w:pPr>
            <w:r>
              <w:rPr>
                <w:rFonts w:ascii="Arial" w:cs="Arial" w:eastAsia="Arial" w:hAnsi="Arial"/>
                <w:sz w:val="18"/>
                <w:szCs w:val="18"/>
                <w:color w:val="auto"/>
              </w:rPr>
              <w:t xml:space="preserve">(the “Note”), by </w:t>
            </w:r>
            <w:r>
              <w:rPr>
                <w:rFonts w:ascii="Arial" w:cs="Arial" w:eastAsia="Arial" w:hAnsi="Arial"/>
                <w:sz w:val="18"/>
                <w:szCs w:val="18"/>
                <w:b w:val="1"/>
                <w:bCs w:val="1"/>
                <w:color w:val="auto"/>
              </w:rPr>
              <w:t>[Name of Maker]</w:t>
            </w:r>
          </w:p>
        </w:tc>
      </w:tr>
      <w:tr>
        <w:trPr>
          <w:trHeight w:val="20"/>
        </w:trPr>
        <w:tc>
          <w:tcPr>
            <w:tcW w:w="4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r>
      <w:tr>
        <w:trPr>
          <w:trHeight w:val="196"/>
        </w:trPr>
        <w:tc>
          <w:tcPr>
            <w:tcW w:w="8700" w:type="dxa"/>
            <w:vAlign w:val="bottom"/>
            <w:gridSpan w:val="6"/>
          </w:tcPr>
          <w:p>
            <w:pPr>
              <w:spacing w:after="0" w:line="196" w:lineRule="exact"/>
              <w:rPr>
                <w:sz w:val="20"/>
                <w:szCs w:val="20"/>
                <w:color w:val="auto"/>
              </w:rPr>
            </w:pPr>
            <w:r>
              <w:rPr>
                <w:rFonts w:ascii="Arial" w:cs="Arial" w:eastAsia="Arial" w:hAnsi="Arial"/>
                <w:sz w:val="18"/>
                <w:szCs w:val="18"/>
                <w:color w:val="auto"/>
                <w:w w:val="94"/>
              </w:rPr>
              <w:t>(together  with  its  successors  and  permitted  assigns,  the  “Maker”)  in  favor  of  the  undersigned,  does  hereby</w:t>
            </w:r>
          </w:p>
        </w:tc>
        <w:tc>
          <w:tcPr>
            <w:tcW w:w="2720" w:type="dxa"/>
            <w:vAlign w:val="bottom"/>
            <w:gridSpan w:val="4"/>
          </w:tcPr>
          <w:p>
            <w:pPr>
              <w:jc w:val="right"/>
              <w:spacing w:after="0" w:line="196" w:lineRule="exact"/>
              <w:rPr>
                <w:sz w:val="20"/>
                <w:szCs w:val="20"/>
                <w:color w:val="auto"/>
              </w:rPr>
            </w:pPr>
            <w:r>
              <w:rPr>
                <w:rFonts w:ascii="Arial" w:cs="Arial" w:eastAsia="Arial" w:hAnsi="Arial"/>
                <w:sz w:val="18"/>
                <w:szCs w:val="18"/>
                <w:color w:val="auto"/>
                <w:w w:val="95"/>
              </w:rPr>
              <w:t>(a)  sell,  assign  and  transfer  unto</w:t>
            </w:r>
          </w:p>
        </w:tc>
      </w:tr>
      <w:tr>
        <w:trPr>
          <w:trHeight w:val="20"/>
        </w:trPr>
        <w:tc>
          <w:tcPr>
            <w:tcW w:w="4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340" w:type="dxa"/>
            <w:vAlign w:val="bottom"/>
            <w:gridSpan w:val="6"/>
          </w:tcPr>
          <w:p>
            <w:pPr>
              <w:spacing w:after="0" w:line="20" w:lineRule="exact"/>
              <w:rPr>
                <w:sz w:val="1"/>
                <w:szCs w:val="1"/>
                <w:color w:val="auto"/>
              </w:rPr>
            </w:pPr>
          </w:p>
        </w:tc>
      </w:tr>
      <w:tr>
        <w:trPr>
          <w:trHeight w:val="196"/>
        </w:trPr>
        <w:tc>
          <w:tcPr>
            <w:tcW w:w="11420" w:type="dxa"/>
            <w:vAlign w:val="bottom"/>
            <w:gridSpan w:val="10"/>
          </w:tcPr>
          <w:p>
            <w:pPr>
              <w:jc w:val="right"/>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1"/>
                <w:szCs w:val="11"/>
                <w:b w:val="1"/>
                <w:b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(“Assignee”) all right, title and interest of the undersigned in and to the Note and (b) irrevocably direct</w:t>
            </w:r>
          </w:p>
        </w:tc>
      </w:tr>
      <w:tr>
        <w:trPr>
          <w:trHeight w:val="20"/>
        </w:trPr>
        <w:tc>
          <w:tcPr>
            <w:tcW w:w="432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5"/>
        </w:trPr>
        <w:tc>
          <w:tcPr>
            <w:tcW w:w="8700" w:type="dxa"/>
            <w:vAlign w:val="bottom"/>
            <w:gridSpan w:val="6"/>
          </w:tcPr>
          <w:p>
            <w:pPr>
              <w:spacing w:after="0"/>
              <w:rPr>
                <w:sz w:val="20"/>
                <w:szCs w:val="20"/>
                <w:color w:val="auto"/>
              </w:rPr>
            </w:pPr>
            <w:r>
              <w:rPr>
                <w:rFonts w:ascii="Arial" w:cs="Arial" w:eastAsia="Arial" w:hAnsi="Arial"/>
                <w:sz w:val="18"/>
                <w:szCs w:val="18"/>
                <w:color w:val="auto"/>
              </w:rPr>
              <w:t>the Maker to pay all amounts under the Note to the order of Assignee.</w:t>
            </w: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9"/>
        </w:trPr>
        <w:tc>
          <w:tcPr>
            <w:tcW w:w="4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340" w:type="dxa"/>
            <w:vAlign w:val="bottom"/>
            <w:gridSpan w:val="6"/>
          </w:tcPr>
          <w:p>
            <w:pPr>
              <w:ind w:left="1780"/>
              <w:spacing w:after="0"/>
              <w:rPr>
                <w:sz w:val="20"/>
                <w:szCs w:val="20"/>
                <w:color w:val="auto"/>
              </w:rPr>
            </w:pPr>
            <w:r>
              <w:rPr>
                <w:rFonts w:ascii="Arial" w:cs="Arial" w:eastAsia="Arial" w:hAnsi="Arial"/>
                <w:sz w:val="18"/>
                <w:szCs w:val="18"/>
                <w:b w:val="1"/>
                <w:bCs w:val="1"/>
                <w:color w:val="auto"/>
                <w:w w:val="99"/>
              </w:rPr>
              <w:t>INTEGRA LIFESCIENCES HOLDINGS CORPORATION</w:t>
            </w:r>
          </w:p>
        </w:tc>
      </w:tr>
      <w:tr>
        <w:trPr>
          <w:trHeight w:val="433"/>
        </w:trPr>
        <w:tc>
          <w:tcPr>
            <w:tcW w:w="4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gridSpan w:val="2"/>
          </w:tcPr>
          <w:p>
            <w:pPr>
              <w:ind w:left="1780"/>
              <w:spacing w:after="0"/>
              <w:rPr>
                <w:sz w:val="20"/>
                <w:szCs w:val="20"/>
                <w:color w:val="auto"/>
              </w:rPr>
            </w:pPr>
            <w:r>
              <w:rPr>
                <w:rFonts w:ascii="Arial" w:cs="Arial" w:eastAsia="Arial" w:hAnsi="Arial"/>
                <w:sz w:val="18"/>
                <w:szCs w:val="18"/>
                <w:color w:val="auto"/>
              </w:rPr>
              <w:t>By:</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4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5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Title:</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4"/>
        </w:trPr>
        <w:tc>
          <w:tcPr>
            <w:tcW w:w="4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ind w:left="1780"/>
              <w:spacing w:after="0"/>
              <w:rPr>
                <w:sz w:val="20"/>
                <w:szCs w:val="20"/>
                <w:color w:val="auto"/>
              </w:rPr>
            </w:pPr>
            <w:r>
              <w:rPr>
                <w:rFonts w:ascii="Arial" w:cs="Arial" w:eastAsia="Arial" w:hAnsi="Arial"/>
                <w:sz w:val="18"/>
                <w:szCs w:val="18"/>
                <w:color w:val="auto"/>
              </w:rPr>
              <w:t>Date:</w:t>
            </w:r>
          </w:p>
        </w:tc>
        <w:tc>
          <w:tcPr>
            <w:tcW w:w="134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3"/>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w:t>
            </w: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72898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3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1"/>
          <w:szCs w:val="11"/>
          <w:color w:val="auto"/>
        </w:rPr>
        <w:t xml:space="preserve">* </w:t>
      </w:r>
      <w:r>
        <w:rPr>
          <w:rFonts w:ascii="Arial" w:cs="Arial" w:eastAsia="Arial" w:hAnsi="Arial"/>
          <w:sz w:val="17"/>
          <w:szCs w:val="17"/>
          <w:color w:val="auto"/>
        </w:rPr>
        <w:t>to remain blank</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Pledge Agreement</w:t>
      </w:r>
    </w:p>
    <w:p>
      <w:pPr>
        <w:sectPr>
          <w:pgSz w:w="11900" w:h="16838" w:orient="portrait"/>
          <w:cols w:equalWidth="0" w:num="1">
            <w:col w:w="11420"/>
          </w:cols>
          <w:pgMar w:left="240" w:top="280" w:right="239" w:bottom="1440" w:gutter="0" w:footer="0" w:header="0"/>
        </w:sectPr>
      </w:pPr>
    </w:p>
    <w:bookmarkStart w:id="284" w:name="page285"/>
    <w:bookmarkEnd w:id="284"/>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J</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AGREEMENT</w:t>
      </w:r>
    </w:p>
    <w:p>
      <w:pPr>
        <w:spacing w:after="0" w:line="159"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AMENDED AND RESTATED SECURITY AGREEMENT</w:t>
      </w:r>
      <w:r>
        <w:rPr>
          <w:rFonts w:ascii="Arial" w:cs="Arial" w:eastAsia="Arial" w:hAnsi="Arial"/>
          <w:sz w:val="18"/>
          <w:szCs w:val="18"/>
          <w:color w:val="auto"/>
        </w:rPr>
        <w:t>, dated as of August 10, 2010 (as amended, restated, amended and restated, supplemented or otherwise modified from time to time, this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is made by </w:t>
      </w:r>
      <w:r>
        <w:rPr>
          <w:rFonts w:ascii="Arial" w:cs="Arial" w:eastAsia="Arial" w:hAnsi="Arial"/>
          <w:sz w:val="18"/>
          <w:szCs w:val="18"/>
          <w:b w:val="1"/>
          <w:bCs w:val="1"/>
          <w:color w:val="auto"/>
        </w:rPr>
        <w:t>INTEGRA LIFESCIENCES HOLDINGS CORPORATION</w:t>
      </w:r>
      <w:r>
        <w:rPr>
          <w:rFonts w:ascii="Arial" w:cs="Arial" w:eastAsia="Arial" w:hAnsi="Arial"/>
          <w:sz w:val="18"/>
          <w:szCs w:val="18"/>
          <w:color w:val="auto"/>
        </w:rPr>
        <w:t>,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xml:space="preserve">”), and each of the other Persons (such capitalized term and all other capitalized terms not otherwise defined herein to have the meanings provided for in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listed on the signature pages hereof (such other Persons, together with the Additional Grantors (as defined in </w:t>
      </w:r>
      <w:r>
        <w:rPr>
          <w:rFonts w:ascii="Arial" w:cs="Arial" w:eastAsia="Arial" w:hAnsi="Arial"/>
          <w:sz w:val="18"/>
          <w:szCs w:val="18"/>
          <w:u w:val="single" w:color="auto"/>
          <w:color w:val="auto"/>
        </w:rPr>
        <w:t>Section 7.2(b)</w:t>
      </w:r>
      <w:r>
        <w:rPr>
          <w:rFonts w:ascii="Arial" w:cs="Arial" w:eastAsia="Arial" w:hAnsi="Arial"/>
          <w:sz w:val="18"/>
          <w:szCs w:val="18"/>
          <w:color w:val="auto"/>
        </w:rPr>
        <w:t>) and the Borrower are collectively referred to as the “</w:t>
      </w:r>
      <w:r>
        <w:rPr>
          <w:rFonts w:ascii="Arial" w:cs="Arial" w:eastAsia="Arial" w:hAnsi="Arial"/>
          <w:sz w:val="18"/>
          <w:szCs w:val="18"/>
          <w:u w:val="single" w:color="auto"/>
          <w:color w:val="auto"/>
        </w:rPr>
        <w:t>Grantors</w:t>
      </w:r>
      <w:r>
        <w:rPr>
          <w:rFonts w:ascii="Arial" w:cs="Arial" w:eastAsia="Arial" w:hAnsi="Arial"/>
          <w:sz w:val="18"/>
          <w:szCs w:val="18"/>
          <w:color w:val="auto"/>
        </w:rPr>
        <w:t>” and individually as a “</w:t>
      </w:r>
      <w:r>
        <w:rPr>
          <w:rFonts w:ascii="Arial" w:cs="Arial" w:eastAsia="Arial" w:hAnsi="Arial"/>
          <w:sz w:val="18"/>
          <w:szCs w:val="18"/>
          <w:u w:val="single" w:color="auto"/>
          <w:color w:val="auto"/>
        </w:rPr>
        <w:t>Grantor</w:t>
      </w:r>
      <w:r>
        <w:rPr>
          <w:rFonts w:ascii="Arial" w:cs="Arial" w:eastAsia="Arial" w:hAnsi="Arial"/>
          <w:sz w:val="18"/>
          <w:szCs w:val="18"/>
          <w:color w:val="auto"/>
        </w:rPr>
        <w:t xml:space="preserve">”), in favor of </w:t>
      </w:r>
      <w:r>
        <w:rPr>
          <w:rFonts w:ascii="Arial" w:cs="Arial" w:eastAsia="Arial" w:hAnsi="Arial"/>
          <w:sz w:val="18"/>
          <w:szCs w:val="18"/>
          <w:b w:val="1"/>
          <w:bCs w:val="1"/>
          <w:color w:val="auto"/>
        </w:rPr>
        <w:t>BANK OF AMERICA, N.A.</w:t>
      </w:r>
      <w:r>
        <w:rPr>
          <w:rFonts w:ascii="Arial" w:cs="Arial" w:eastAsia="Arial" w:hAnsi="Arial"/>
          <w:sz w:val="18"/>
          <w:szCs w:val="18"/>
          <w:color w:val="auto"/>
        </w:rPr>
        <w:t>, as administrative and collateral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for each of the Secured Parties (as defined in the Credit Agreement referred to below).</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171" w:lineRule="exact"/>
        <w:rPr>
          <w:sz w:val="20"/>
          <w:szCs w:val="20"/>
          <w:color w:val="auto"/>
        </w:rPr>
      </w:pPr>
    </w:p>
    <w:p>
      <w:pPr>
        <w:jc w:val="both"/>
        <w:ind w:firstLine="456"/>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certain of the Grantors entered into that certain Security Agreement dated as of December 22, 2005 (as amended, supplemented or modified</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 prior to the date hereof, the “</w:t>
      </w:r>
      <w:r>
        <w:rPr>
          <w:rFonts w:ascii="Arial" w:cs="Arial" w:eastAsia="Arial" w:hAnsi="Arial"/>
          <w:sz w:val="18"/>
          <w:szCs w:val="18"/>
          <w:u w:val="single" w:color="auto"/>
          <w:color w:val="auto"/>
        </w:rPr>
        <w:t>Existing Security Agreement</w:t>
      </w:r>
      <w:r>
        <w:rPr>
          <w:rFonts w:ascii="Arial" w:cs="Arial" w:eastAsia="Arial" w:hAnsi="Arial"/>
          <w:sz w:val="18"/>
          <w:szCs w:val="18"/>
          <w:color w:val="auto"/>
        </w:rPr>
        <w:t>”), pursuant to which certain of the Grantors granted to the Secured Parties a security interest (the “</w:t>
      </w:r>
      <w:r>
        <w:rPr>
          <w:rFonts w:ascii="Arial" w:cs="Arial" w:eastAsia="Arial" w:hAnsi="Arial"/>
          <w:sz w:val="18"/>
          <w:szCs w:val="18"/>
          <w:u w:val="single" w:color="auto"/>
          <w:color w:val="auto"/>
        </w:rPr>
        <w:t>Existing Security Interest</w:t>
      </w:r>
      <w:r>
        <w:rPr>
          <w:rFonts w:ascii="Arial" w:cs="Arial" w:eastAsia="Arial" w:hAnsi="Arial"/>
          <w:sz w:val="18"/>
          <w:szCs w:val="18"/>
          <w:color w:val="auto"/>
        </w:rPr>
        <w:t>”) in all right, title or interest in or to any and all of certain assets and properties of the Debtor as more specifically set forth therein; and</w:t>
      </w:r>
    </w:p>
    <w:p>
      <w:pPr>
        <w:spacing w:after="0" w:line="136" w:lineRule="exact"/>
        <w:rPr>
          <w:sz w:val="20"/>
          <w:szCs w:val="20"/>
          <w:color w:val="auto"/>
        </w:rPr>
      </w:pPr>
    </w:p>
    <w:p>
      <w:pPr>
        <w:jc w:val="both"/>
        <w:ind w:firstLine="456"/>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that certain Amended and Restated Credit Agreement, dated as of the date hereof (as amended, restated, amended and restated,</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the Borrower, the various financial institutions as are, or may from time to time become, parties thereto and the Administrative Agent, the Secured Parties have agreed to continue to make Credit Extensions and other financial accommodations available to or for the benefit of the Grantors;</w:t>
      </w:r>
    </w:p>
    <w:p>
      <w:pPr>
        <w:spacing w:after="0" w:line="136" w:lineRule="exact"/>
        <w:rPr>
          <w:sz w:val="20"/>
          <w:szCs w:val="20"/>
          <w:color w:val="auto"/>
        </w:rPr>
      </w:pPr>
    </w:p>
    <w:p>
      <w:pPr>
        <w:jc w:val="both"/>
        <w:ind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a condition precedent to the making of the initial Credit Extension under the Credit Agreement, each Grantor is required to execute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 this Agreement; and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each Grantor has duly authorized the execution, delivery and performance of this Agreement;</w:t>
      </w:r>
    </w:p>
    <w:p>
      <w:pPr>
        <w:spacing w:after="0" w:line="171"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good and valuable consideration, the receipt and sufficiency of which are hereby acknowledged, and in order to induce the</w:t>
      </w:r>
      <w:r>
        <w:rPr>
          <w:rFonts w:ascii="Arial" w:cs="Arial" w:eastAsia="Arial" w:hAnsi="Arial"/>
          <w:sz w:val="18"/>
          <w:szCs w:val="18"/>
          <w:b w:val="1"/>
          <w:bCs w:val="1"/>
          <w:color w:val="auto"/>
        </w:rPr>
        <w:t xml:space="preserve"> </w:t>
      </w:r>
      <w:r>
        <w:rPr>
          <w:rFonts w:ascii="Arial" w:cs="Arial" w:eastAsia="Arial" w:hAnsi="Arial"/>
          <w:sz w:val="18"/>
          <w:szCs w:val="18"/>
          <w:color w:val="auto"/>
        </w:rPr>
        <w:t>Lenders to make Credit Extensions (including the initial Credit Extension) to the Borrower pursuant to the Credit Agreement, each Grantor agrees, for the benefit of each Secured Party, as follows:</w:t>
      </w:r>
    </w:p>
    <w:p>
      <w:pPr>
        <w:sectPr>
          <w:pgSz w:w="11900" w:h="16838" w:orient="portrait"/>
          <w:cols w:equalWidth="0" w:num="1">
            <w:col w:w="11420"/>
          </w:cols>
          <w:pgMar w:left="240" w:top="280" w:right="239" w:bottom="1440" w:gutter="0" w:footer="0" w:header="0"/>
        </w:sectPr>
      </w:pPr>
    </w:p>
    <w:bookmarkStart w:id="285" w:name="page286"/>
    <w:bookmarkEnd w:id="285"/>
    <w:p>
      <w:pPr>
        <w:ind w:left="51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VIII</w:t>
      </w:r>
    </w:p>
    <w:p>
      <w:pPr>
        <w:spacing w:after="0" w:line="1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DEFINITIONS</w:t>
      </w:r>
    </w:p>
    <w:p>
      <w:pPr>
        <w:spacing w:after="0" w:line="159"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b w:val="1"/>
          <w:bCs w:val="1"/>
          <w:color w:val="auto"/>
        </w:rPr>
        <w:t>Definitions.</w:t>
      </w:r>
      <w:r>
        <w:rPr>
          <w:rFonts w:ascii="Arial" w:cs="Arial" w:eastAsia="Arial" w:hAnsi="Arial"/>
          <w:sz w:val="18"/>
          <w:szCs w:val="18"/>
          <w:color w:val="auto"/>
        </w:rPr>
        <w:t xml:space="preserve"> The following terms (whether or not underscored) when used in this Agreement, including its preamble and recitals, shall have the following meanings (such definitions to be equally applicable to the singular and plural forms thereof):</w:t>
      </w:r>
    </w:p>
    <w:p>
      <w:pPr>
        <w:spacing w:after="0" w:line="12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Account</w:t>
      </w:r>
      <w:r>
        <w:rPr>
          <w:rFonts w:ascii="Arial" w:cs="Arial" w:eastAsia="Arial" w:hAnsi="Arial"/>
          <w:sz w:val="16"/>
          <w:szCs w:val="16"/>
          <w:color w:val="auto"/>
        </w:rPr>
        <w:t>” means a right to payment of a monetary obligation, whether or not earned by performance (and shall include invoices, contracts, rights, accounts receivable, notes, refunds, indemnities, interest, late charges, fees, undertakings, and all other obligations and amounts owing to any Grantor from any Person):</w:t>
      </w:r>
    </w:p>
    <w:p>
      <w:pPr>
        <w:spacing w:after="0" w:line="85" w:lineRule="exact"/>
        <w:rPr>
          <w:sz w:val="20"/>
          <w:szCs w:val="20"/>
          <w:color w:val="auto"/>
        </w:rPr>
      </w:pPr>
    </w:p>
    <w:p>
      <w:pPr>
        <w:ind w:left="1160" w:hanging="239"/>
        <w:spacing w:after="0"/>
        <w:tabs>
          <w:tab w:leader="none" w:pos="116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for property that has been or is to be sold, leased, licensed, assigned or otherwise disposed of;</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for services rendered or to be rendered;</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for a policy of insurance issued or to be issued;</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for a secondary obligation incurred or to be incurred;</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for energy provided or to be provided;</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for the use or hire of a vessel under a charter or other contract;</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arising out of the use of a credit or charge card or information contained on or for use with the card; or</w:t>
      </w:r>
    </w:p>
    <w:p>
      <w:pPr>
        <w:spacing w:after="0" w:line="171" w:lineRule="exact"/>
        <w:rPr>
          <w:rFonts w:ascii="Arial" w:cs="Arial" w:eastAsia="Arial" w:hAnsi="Arial"/>
          <w:sz w:val="18"/>
          <w:szCs w:val="18"/>
          <w:color w:val="auto"/>
        </w:rPr>
      </w:pPr>
    </w:p>
    <w:p>
      <w:pPr>
        <w:ind w:firstLine="921"/>
        <w:spacing w:after="0" w:line="268" w:lineRule="auto"/>
        <w:tabs>
          <w:tab w:leader="none" w:pos="1167"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as winnings in a lottery or other game of chance operated or sponsored by a state, governmental unit of a State, or Person licensed or authorized to operate the game by a State or governmental unit of a State.</w:t>
      </w:r>
    </w:p>
    <w:p>
      <w:pPr>
        <w:spacing w:after="0" w:line="13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 Control Agreement</w:t>
      </w:r>
      <w:r>
        <w:rPr>
          <w:rFonts w:ascii="Arial" w:cs="Arial" w:eastAsia="Arial" w:hAnsi="Arial"/>
          <w:sz w:val="18"/>
          <w:szCs w:val="18"/>
          <w:color w:val="auto"/>
        </w:rPr>
        <w:t xml:space="preserve">” means an account control agreement in substantially the form of </w:t>
      </w:r>
      <w:r>
        <w:rPr>
          <w:rFonts w:ascii="Arial" w:cs="Arial" w:eastAsia="Arial" w:hAnsi="Arial"/>
          <w:sz w:val="18"/>
          <w:szCs w:val="18"/>
          <w:u w:val="single" w:color="auto"/>
          <w:color w:val="auto"/>
        </w:rPr>
        <w:t>Exhibit A-1 or A-2</w:t>
      </w:r>
      <w:r>
        <w:rPr>
          <w:rFonts w:ascii="Arial" w:cs="Arial" w:eastAsia="Arial" w:hAnsi="Arial"/>
          <w:sz w:val="18"/>
          <w:szCs w:val="18"/>
          <w:color w:val="auto"/>
        </w:rPr>
        <w:t xml:space="preserve"> hereto, as applicable, or otherwise in form and substance reasonably satisfactory to the Administrative Agent, entered into among a Grantor, the Administrative Agent and the bank or Securities Intermediary where a Deposit Account or Securities Account, respectively, of such Grantor is maintained, as such agreement may be amended, restated, amended and restated, supplemented or otherwise modified from time to time.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Grantors</w:t>
      </w:r>
      <w:r>
        <w:rPr>
          <w:rFonts w:ascii="Arial" w:cs="Arial" w:eastAsia="Arial" w:hAnsi="Arial"/>
          <w:sz w:val="18"/>
          <w:szCs w:val="18"/>
          <w:color w:val="auto"/>
        </w:rPr>
        <w:t>” is defined in Section 7.2(b).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is defined in the preamble.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Authenticate</w:t>
      </w:r>
      <w:r>
        <w:rPr>
          <w:rFonts w:ascii="Arial" w:cs="Arial" w:eastAsia="Arial" w:hAnsi="Arial"/>
          <w:sz w:val="18"/>
          <w:szCs w:val="18"/>
          <w:color w:val="auto"/>
        </w:rPr>
        <w:t>” means: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to sign; 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286" w:name="page287"/>
    <w:bookmarkEnd w:id="286"/>
    <w:p>
      <w:pPr>
        <w:ind w:right="20" w:firstLine="921"/>
        <w:spacing w:after="0" w:line="268" w:lineRule="auto"/>
        <w:tabs>
          <w:tab w:leader="none" w:pos="1168" w:val="left"/>
        </w:tabs>
        <w:numPr>
          <w:ilvl w:val="0"/>
          <w:numId w:val="3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execute or otherwise adopt a symbol, or encrypt or similarly process a record in whole or in part, with the present intent of the authenticating Person to identify the Person and adopt or accept a record.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Chattel Paper</w:t>
      </w:r>
      <w:r>
        <w:rPr>
          <w:rFonts w:ascii="Arial" w:cs="Arial" w:eastAsia="Arial" w:hAnsi="Arial"/>
          <w:sz w:val="18"/>
          <w:szCs w:val="18"/>
          <w:color w:val="auto"/>
        </w:rPr>
        <w:t>” means a record or records that evidence both a monetary obligation and a security interest in specific goods, a security interest in specific goods and software used in the goods, a security interest in specific goods and license of software used in the goods, a lease of specific goods, or a lease of specific goods and license of software used in the goods.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is defined in Section 2.1.</w:t>
      </w:r>
    </w:p>
    <w:p>
      <w:pPr>
        <w:spacing w:after="0" w:line="17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Account</w:t>
      </w:r>
      <w:r>
        <w:rPr>
          <w:rFonts w:ascii="Arial" w:cs="Arial" w:eastAsia="Arial" w:hAnsi="Arial"/>
          <w:sz w:val="18"/>
          <w:szCs w:val="18"/>
          <w:color w:val="auto"/>
        </w:rPr>
        <w:t>” means, for each Grantor, a deposit account in the name of the Administrative Agent and subject to the sole dominion and control of the Administrative Agent.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License</w:t>
      </w:r>
      <w:r>
        <w:rPr>
          <w:rFonts w:ascii="Arial" w:cs="Arial" w:eastAsia="Arial" w:hAnsi="Arial"/>
          <w:sz w:val="18"/>
          <w:szCs w:val="18"/>
          <w:color w:val="auto"/>
        </w:rPr>
        <w:t>” is defined in Section 4.17.</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Commercial Tort Claim</w:t>
      </w:r>
      <w:r>
        <w:rPr>
          <w:rFonts w:ascii="Arial" w:cs="Arial" w:eastAsia="Arial" w:hAnsi="Arial"/>
          <w:sz w:val="18"/>
          <w:szCs w:val="18"/>
          <w:color w:val="auto"/>
        </w:rPr>
        <w:t>” means a claim arising in tort with respect to which:</w:t>
      </w:r>
    </w:p>
    <w:p>
      <w:pPr>
        <w:spacing w:after="0" w:line="171" w:lineRule="exact"/>
        <w:rPr>
          <w:sz w:val="20"/>
          <w:szCs w:val="20"/>
          <w:color w:val="auto"/>
        </w:rPr>
      </w:pPr>
    </w:p>
    <w:p>
      <w:pPr>
        <w:ind w:left="1160" w:hanging="239"/>
        <w:spacing w:after="0"/>
        <w:tabs>
          <w:tab w:leader="none" w:pos="116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claimant is an organization; or</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claimant is an individual and the claim:</w:t>
      </w:r>
    </w:p>
    <w:p>
      <w:pPr>
        <w:spacing w:after="0" w:line="171" w:lineRule="exact"/>
        <w:rPr>
          <w:rFonts w:ascii="Arial" w:cs="Arial" w:eastAsia="Arial" w:hAnsi="Arial"/>
          <w:sz w:val="18"/>
          <w:szCs w:val="18"/>
          <w:color w:val="auto"/>
        </w:rPr>
      </w:pPr>
    </w:p>
    <w:p>
      <w:pPr>
        <w:ind w:left="1700" w:hanging="208"/>
        <w:spacing w:after="0"/>
        <w:tabs>
          <w:tab w:leader="none" w:pos="1700" w:val="left"/>
        </w:tabs>
        <w:numPr>
          <w:ilvl w:val="1"/>
          <w:numId w:val="313"/>
        </w:numPr>
        <w:rPr>
          <w:rFonts w:ascii="Arial" w:cs="Arial" w:eastAsia="Arial" w:hAnsi="Arial"/>
          <w:sz w:val="18"/>
          <w:szCs w:val="18"/>
          <w:color w:val="auto"/>
        </w:rPr>
      </w:pPr>
      <w:r>
        <w:rPr>
          <w:rFonts w:ascii="Arial" w:cs="Arial" w:eastAsia="Arial" w:hAnsi="Arial"/>
          <w:sz w:val="18"/>
          <w:szCs w:val="18"/>
          <w:color w:val="auto"/>
        </w:rPr>
        <w:t>arose in the course of the claimant’s business or profession; and</w:t>
      </w:r>
    </w:p>
    <w:p>
      <w:pPr>
        <w:spacing w:after="0" w:line="171" w:lineRule="exact"/>
        <w:rPr>
          <w:rFonts w:ascii="Arial" w:cs="Arial" w:eastAsia="Arial" w:hAnsi="Arial"/>
          <w:sz w:val="18"/>
          <w:szCs w:val="18"/>
          <w:color w:val="auto"/>
        </w:rPr>
      </w:pPr>
    </w:p>
    <w:p>
      <w:pPr>
        <w:ind w:left="1760" w:hanging="268"/>
        <w:spacing w:after="0"/>
        <w:tabs>
          <w:tab w:leader="none" w:pos="1760" w:val="left"/>
        </w:tabs>
        <w:numPr>
          <w:ilvl w:val="1"/>
          <w:numId w:val="313"/>
        </w:numPr>
        <w:rPr>
          <w:rFonts w:ascii="Arial" w:cs="Arial" w:eastAsia="Arial" w:hAnsi="Arial"/>
          <w:sz w:val="18"/>
          <w:szCs w:val="18"/>
          <w:color w:val="auto"/>
        </w:rPr>
      </w:pPr>
      <w:r>
        <w:rPr>
          <w:rFonts w:ascii="Arial" w:cs="Arial" w:eastAsia="Arial" w:hAnsi="Arial"/>
          <w:sz w:val="18"/>
          <w:szCs w:val="18"/>
          <w:color w:val="auto"/>
        </w:rPr>
        <w:t>does not include damages arising out of personal injury to or the death of an individual.</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Commodity Account</w:t>
      </w:r>
      <w:r>
        <w:rPr>
          <w:rFonts w:ascii="Arial" w:cs="Arial" w:eastAsia="Arial" w:hAnsi="Arial"/>
          <w:sz w:val="18"/>
          <w:szCs w:val="18"/>
          <w:color w:val="auto"/>
        </w:rPr>
        <w:t>” means an account maintained by a Commodity Intermediary in which a Commodity Contract is carried out for a Commodity Customer.</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Commodity Contract</w:t>
      </w:r>
      <w:r>
        <w:rPr>
          <w:rFonts w:ascii="Arial" w:cs="Arial" w:eastAsia="Arial" w:hAnsi="Arial"/>
          <w:sz w:val="18"/>
          <w:szCs w:val="18"/>
          <w:color w:val="auto"/>
        </w:rPr>
        <w:t>” means a commodity futures contract, an option on a commodity futures contract, a commodity option or any other contract that, in each case, is</w:t>
      </w:r>
    </w:p>
    <w:p>
      <w:pPr>
        <w:spacing w:after="0" w:line="132" w:lineRule="exact"/>
        <w:rPr>
          <w:sz w:val="20"/>
          <w:szCs w:val="20"/>
          <w:color w:val="auto"/>
        </w:rPr>
      </w:pPr>
    </w:p>
    <w:p>
      <w:pPr>
        <w:ind w:firstLine="921"/>
        <w:spacing w:after="0" w:line="268" w:lineRule="auto"/>
        <w:tabs>
          <w:tab w:leader="none" w:pos="117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traded on or subject to the rules of a board of trade that has been designated as a contract market for such a contract pursuant to the federal commodities laws; or</w:t>
      </w:r>
    </w:p>
    <w:p>
      <w:pPr>
        <w:spacing w:after="0" w:line="131" w:lineRule="exact"/>
        <w:rPr>
          <w:rFonts w:ascii="Arial" w:cs="Arial" w:eastAsia="Arial" w:hAnsi="Arial"/>
          <w:sz w:val="18"/>
          <w:szCs w:val="18"/>
          <w:color w:val="auto"/>
        </w:rPr>
      </w:pPr>
    </w:p>
    <w:p>
      <w:pPr>
        <w:ind w:left="1180" w:hanging="259"/>
        <w:spacing w:after="0"/>
        <w:tabs>
          <w:tab w:leader="none" w:pos="1180" w:val="left"/>
        </w:tabs>
        <w:numPr>
          <w:ilvl w:val="0"/>
          <w:numId w:val="314"/>
        </w:numPr>
        <w:rPr>
          <w:rFonts w:ascii="Arial" w:cs="Arial" w:eastAsia="Arial" w:hAnsi="Arial"/>
          <w:sz w:val="16"/>
          <w:szCs w:val="16"/>
          <w:color w:val="auto"/>
        </w:rPr>
      </w:pPr>
      <w:r>
        <w:rPr>
          <w:rFonts w:ascii="Arial" w:cs="Arial" w:eastAsia="Arial" w:hAnsi="Arial"/>
          <w:sz w:val="16"/>
          <w:szCs w:val="16"/>
          <w:color w:val="auto"/>
        </w:rPr>
        <w:t>traded on a foreign commodity board of trade, exchange or market, and is carried on the books of a Commodity Intermediary for a Commodity</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Customer.</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Commodity Customer</w:t>
      </w:r>
      <w:r>
        <w:rPr>
          <w:rFonts w:ascii="Arial" w:cs="Arial" w:eastAsia="Arial" w:hAnsi="Arial"/>
          <w:sz w:val="18"/>
          <w:szCs w:val="18"/>
          <w:color w:val="auto"/>
        </w:rPr>
        <w:t>” means a Person for whom a Commodity Intermediary carries a Commodity Contract on its books.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Commodity Intermediary</w:t>
      </w:r>
      <w:r>
        <w:rPr>
          <w:rFonts w:ascii="Arial" w:cs="Arial" w:eastAsia="Arial" w:hAnsi="Arial"/>
          <w:sz w:val="18"/>
          <w:szCs w:val="18"/>
          <w:color w:val="auto"/>
        </w:rPr>
        <w:t>” means:</w:t>
      </w:r>
    </w:p>
    <w:p>
      <w:pPr>
        <w:spacing w:after="0" w:line="171" w:lineRule="exact"/>
        <w:rPr>
          <w:sz w:val="20"/>
          <w:szCs w:val="20"/>
          <w:color w:val="auto"/>
        </w:rPr>
      </w:pPr>
    </w:p>
    <w:p>
      <w:pPr>
        <w:ind w:left="5680" w:right="3200" w:hanging="4759"/>
        <w:spacing w:after="0" w:line="440" w:lineRule="auto"/>
        <w:tabs>
          <w:tab w:leader="none" w:pos="1169" w:val="left"/>
        </w:tabs>
        <w:numPr>
          <w:ilvl w:val="0"/>
          <w:numId w:val="315"/>
        </w:numPr>
        <w:rPr>
          <w:rFonts w:ascii="Arial" w:cs="Arial" w:eastAsia="Arial" w:hAnsi="Arial"/>
          <w:sz w:val="18"/>
          <w:szCs w:val="18"/>
          <w:color w:val="auto"/>
        </w:rPr>
      </w:pPr>
      <w:r>
        <w:rPr>
          <w:rFonts w:ascii="Arial" w:cs="Arial" w:eastAsia="Arial" w:hAnsi="Arial"/>
          <w:sz w:val="18"/>
          <w:szCs w:val="18"/>
          <w:color w:val="auto"/>
        </w:rPr>
        <w:t>a Person who is registered as a futures commission merchant under the federal commodities laws; or 3</w:t>
      </w:r>
    </w:p>
    <w:p>
      <w:pPr>
        <w:sectPr>
          <w:pgSz w:w="11900" w:h="16838" w:orient="portrait"/>
          <w:cols w:equalWidth="0" w:num="1">
            <w:col w:w="11420"/>
          </w:cols>
          <w:pgMar w:left="240" w:top="280" w:right="239" w:bottom="1440" w:gutter="0" w:footer="0" w:header="0"/>
        </w:sectPr>
      </w:pPr>
    </w:p>
    <w:bookmarkStart w:id="287" w:name="page288"/>
    <w:bookmarkEnd w:id="287"/>
    <w:p>
      <w:pPr>
        <w:ind w:firstLine="921"/>
        <w:spacing w:after="0" w:line="268" w:lineRule="auto"/>
        <w:tabs>
          <w:tab w:leader="none" w:pos="1173" w:val="left"/>
        </w:tabs>
        <w:numPr>
          <w:ilvl w:val="0"/>
          <w:numId w:val="3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Person who in the ordinary course of its business provides clearance or settlement services for a board of trade that has been designated as a contract market pursuant to federal commodities laws.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Computer Hardware and Software Collateral</w:t>
      </w:r>
      <w:r>
        <w:rPr>
          <w:rFonts w:ascii="Arial" w:cs="Arial" w:eastAsia="Arial" w:hAnsi="Arial"/>
          <w:sz w:val="18"/>
          <w:szCs w:val="18"/>
          <w:color w:val="auto"/>
        </w:rPr>
        <w:t>” means, to the extent assignable:</w:t>
      </w:r>
    </w:p>
    <w:p>
      <w:pPr>
        <w:spacing w:after="0" w:line="171" w:lineRule="exact"/>
        <w:rPr>
          <w:sz w:val="20"/>
          <w:szCs w:val="20"/>
          <w:color w:val="auto"/>
        </w:rPr>
      </w:pPr>
    </w:p>
    <w:p>
      <w:pPr>
        <w:jc w:val="both"/>
        <w:ind w:firstLine="921"/>
        <w:spacing w:after="0" w:line="259" w:lineRule="auto"/>
        <w:tabs>
          <w:tab w:leader="none" w:pos="1187"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all computer and other electronic data processing hardware, integrated computer systems, central processing units, memory units, display terminals, printers, features, computer elements, card readers, tape drives, hard and soft disk drives, cables, electrical supply hardware, generators, power equalizers, accessories and all peripheral devices and other related computer hardware;</w:t>
      </w:r>
    </w:p>
    <w:p>
      <w:pPr>
        <w:spacing w:after="0" w:line="140" w:lineRule="exact"/>
        <w:rPr>
          <w:rFonts w:ascii="Arial" w:cs="Arial" w:eastAsia="Arial" w:hAnsi="Arial"/>
          <w:sz w:val="18"/>
          <w:szCs w:val="18"/>
          <w:color w:val="auto"/>
        </w:rPr>
      </w:pPr>
    </w:p>
    <w:p>
      <w:pPr>
        <w:ind w:firstLine="921"/>
        <w:spacing w:after="0" w:line="332" w:lineRule="auto"/>
        <w:tabs>
          <w:tab w:leader="none" w:pos="1185" w:val="left"/>
        </w:tabs>
        <w:numPr>
          <w:ilvl w:val="0"/>
          <w:numId w:val="317"/>
        </w:numPr>
        <w:rPr>
          <w:rFonts w:ascii="Arial" w:cs="Arial" w:eastAsia="Arial" w:hAnsi="Arial"/>
          <w:sz w:val="16"/>
          <w:szCs w:val="16"/>
          <w:color w:val="auto"/>
        </w:rPr>
      </w:pPr>
      <w:r>
        <w:rPr>
          <w:rFonts w:ascii="Arial" w:cs="Arial" w:eastAsia="Arial" w:hAnsi="Arial"/>
          <w:sz w:val="16"/>
          <w:szCs w:val="16"/>
          <w:color w:val="auto"/>
        </w:rPr>
        <w:t xml:space="preserve">all software programs (including both source code, object code and all related applications and data files), whether now owned or hereafter acquired by each Grantor, designed for use on the computers and electronic data processing hardware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w:t>
      </w:r>
    </w:p>
    <w:p>
      <w:pPr>
        <w:spacing w:after="0" w:line="85" w:lineRule="exact"/>
        <w:rPr>
          <w:rFonts w:ascii="Arial" w:cs="Arial" w:eastAsia="Arial" w:hAnsi="Arial"/>
          <w:sz w:val="16"/>
          <w:szCs w:val="16"/>
          <w:color w:val="auto"/>
        </w:rPr>
      </w:pPr>
    </w:p>
    <w:p>
      <w:pPr>
        <w:ind w:left="1160" w:hanging="239"/>
        <w:spacing w:after="0"/>
        <w:tabs>
          <w:tab w:leader="none" w:pos="11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all licenses and leases of software programs;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all firmware associated therewith;</w:t>
      </w:r>
    </w:p>
    <w:p>
      <w:pPr>
        <w:spacing w:after="0" w:line="171" w:lineRule="exact"/>
        <w:rPr>
          <w:rFonts w:ascii="Arial" w:cs="Arial" w:eastAsia="Arial" w:hAnsi="Arial"/>
          <w:sz w:val="18"/>
          <w:szCs w:val="18"/>
          <w:color w:val="auto"/>
        </w:rPr>
      </w:pPr>
    </w:p>
    <w:p>
      <w:pPr>
        <w:ind w:firstLine="921"/>
        <w:spacing w:after="0" w:line="268" w:lineRule="auto"/>
        <w:tabs>
          <w:tab w:leader="none" w:pos="1182" w:val="left"/>
        </w:tabs>
        <w:numPr>
          <w:ilvl w:val="0"/>
          <w:numId w:val="317"/>
        </w:numPr>
        <w:rPr>
          <w:rFonts w:ascii="Arial" w:cs="Arial" w:eastAsia="Arial" w:hAnsi="Arial"/>
          <w:sz w:val="18"/>
          <w:szCs w:val="18"/>
          <w:color w:val="auto"/>
        </w:rPr>
      </w:pPr>
      <w:r>
        <w:rPr>
          <w:rFonts w:ascii="Arial" w:cs="Arial" w:eastAsia="Arial" w:hAnsi="Arial"/>
          <w:sz w:val="18"/>
          <w:szCs w:val="18"/>
          <w:color w:val="auto"/>
        </w:rPr>
        <w:t xml:space="preserve">all documentation (including flow charts, logic diagrams, manuals, guides and specifications) with respect to such hardware, software and firmware described in the preceding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(d)</w:t>
      </w:r>
      <w:r>
        <w:rPr>
          <w:rFonts w:ascii="Arial" w:cs="Arial" w:eastAsia="Arial" w:hAnsi="Arial"/>
          <w:sz w:val="18"/>
          <w:szCs w:val="18"/>
          <w:color w:val="auto"/>
        </w:rPr>
        <w:t>; and</w:t>
      </w:r>
    </w:p>
    <w:p>
      <w:pPr>
        <w:spacing w:after="0" w:line="131" w:lineRule="exact"/>
        <w:rPr>
          <w:rFonts w:ascii="Arial" w:cs="Arial" w:eastAsia="Arial" w:hAnsi="Arial"/>
          <w:sz w:val="18"/>
          <w:szCs w:val="18"/>
          <w:color w:val="auto"/>
        </w:rPr>
      </w:pPr>
    </w:p>
    <w:p>
      <w:pPr>
        <w:jc w:val="both"/>
        <w:ind w:firstLine="921"/>
        <w:spacing w:after="0" w:line="259" w:lineRule="auto"/>
        <w:tabs>
          <w:tab w:leader="none" w:pos="114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all rights with respect to all of the foregoing, including any and all copyrights, licenses, options, warranties, service contracts, program services, test rights, maintenance rights, support rights, improvement rights, renewal rights and indemnifications and any substitutions, replacements, additions, modifications or model conversions of any of the foregoing.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means the act or condition of gaining or maintaining control of collateral by any appropriate method under the UCC.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second recital</w:t>
      </w:r>
      <w:r>
        <w:rPr>
          <w:rFonts w:ascii="Arial" w:cs="Arial" w:eastAsia="Arial" w:hAnsi="Arial"/>
          <w:sz w:val="18"/>
          <w:szCs w:val="18"/>
          <w:color w:val="auto"/>
        </w:rPr>
        <w:t>.</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 Account</w:t>
      </w:r>
      <w:r>
        <w:rPr>
          <w:rFonts w:ascii="Arial" w:cs="Arial" w:eastAsia="Arial" w:hAnsi="Arial"/>
          <w:sz w:val="18"/>
          <w:szCs w:val="18"/>
          <w:color w:val="auto"/>
        </w:rPr>
        <w:t>” means a demand, time, savings, passbook, or similar account (including all bank accounts, collection accounts and concentration accounts, together with all funds held therein and all certificates and instruments, if any, from time to time representing or evidencing such accounts) maintained with a bank.</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Documents</w:t>
      </w:r>
      <w:r>
        <w:rPr>
          <w:rFonts w:ascii="Arial" w:cs="Arial" w:eastAsia="Arial" w:hAnsi="Arial"/>
          <w:sz w:val="18"/>
          <w:szCs w:val="18"/>
          <w:color w:val="auto"/>
        </w:rPr>
        <w:t>” means a document of title or a receipt of the type described in Section 7-201(2) of the UCC.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Electronic Chattel Paper</w:t>
      </w:r>
      <w:r>
        <w:rPr>
          <w:rFonts w:ascii="Arial" w:cs="Arial" w:eastAsia="Arial" w:hAnsi="Arial"/>
          <w:sz w:val="16"/>
          <w:szCs w:val="16"/>
          <w:color w:val="auto"/>
        </w:rPr>
        <w:t>” means Chattel Paper evidenced by a record or records consisting of information stored in an electronic medium.</w:t>
      </w:r>
    </w:p>
    <w:p>
      <w:pPr>
        <w:spacing w:after="0" w:line="18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288" w:name="page289"/>
    <w:bookmarkEnd w:id="288"/>
    <w:p>
      <w:pPr>
        <w:jc w:val="both"/>
        <w:ind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Entitlement Holder</w:t>
      </w:r>
      <w:r>
        <w:rPr>
          <w:rFonts w:ascii="Arial" w:cs="Arial" w:eastAsia="Arial" w:hAnsi="Arial"/>
          <w:sz w:val="16"/>
          <w:szCs w:val="16"/>
          <w:color w:val="auto"/>
        </w:rPr>
        <w:t>” means a Person identified in the records of a Securities Intermediary as the Person having a Security Entitlement against the Securities Intermediary. If a person acquires a Security Entitlement by virtue of Section 8-501(b)(2) or (3) of the UCC, such person is the Entitlement Holder.</w:t>
      </w:r>
    </w:p>
    <w:p>
      <w:pPr>
        <w:spacing w:after="0" w:line="8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Equipment</w:t>
      </w:r>
      <w:r>
        <w:rPr>
          <w:rFonts w:ascii="Arial" w:cs="Arial" w:eastAsia="Arial" w:hAnsi="Arial"/>
          <w:sz w:val="18"/>
          <w:szCs w:val="18"/>
          <w:color w:val="auto"/>
        </w:rPr>
        <w:t>” means all machinery, equipment in all its forms, wherever located, including all computers, furniture and furnishings, all other property similar to the foregoing (including tools, parts, rolling stock and supplies of every kind and description), components, parts and accessories installed thereon or affixed thereto and all parts thereof, and all fixtures (other than those which Borrower has no right to remove from the applicable property) and all accessories, additions, attachments, improvements, substitutions and replacements thereto and therefor.</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Subsidiary Collateral</w:t>
      </w:r>
      <w:r>
        <w:rPr>
          <w:rFonts w:ascii="Arial" w:cs="Arial" w:eastAsia="Arial" w:hAnsi="Arial"/>
          <w:sz w:val="18"/>
          <w:szCs w:val="18"/>
          <w:color w:val="auto"/>
        </w:rPr>
        <w:t>” means all Collateral (as defined in the Existing Security Agreement) in which the Administrative Agent, on behalf of the Secured Parties, was granted a security interest by a Grantor under the Existing Security Agreement that is an Excluded Subsidiary as of the Closing Date under the Credit Agreement.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Security Agreement</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first recital</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Security Interest</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first recital</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Asset</w:t>
      </w:r>
      <w:r>
        <w:rPr>
          <w:rFonts w:ascii="Arial" w:cs="Arial" w:eastAsia="Arial" w:hAnsi="Arial"/>
          <w:sz w:val="18"/>
          <w:szCs w:val="18"/>
          <w:color w:val="auto"/>
        </w:rPr>
        <w:t>” means:</w:t>
      </w:r>
    </w:p>
    <w:p>
      <w:pPr>
        <w:spacing w:after="0" w:line="171" w:lineRule="exact"/>
        <w:rPr>
          <w:sz w:val="20"/>
          <w:szCs w:val="20"/>
          <w:color w:val="auto"/>
        </w:rPr>
      </w:pPr>
    </w:p>
    <w:p>
      <w:pPr>
        <w:ind w:left="1160" w:hanging="239"/>
        <w:spacing w:after="0"/>
        <w:tabs>
          <w:tab w:leader="none" w:pos="11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a Security;</w:t>
      </w:r>
    </w:p>
    <w:p>
      <w:pPr>
        <w:spacing w:after="0" w:line="171" w:lineRule="exact"/>
        <w:rPr>
          <w:rFonts w:ascii="Arial" w:cs="Arial" w:eastAsia="Arial" w:hAnsi="Arial"/>
          <w:sz w:val="18"/>
          <w:szCs w:val="18"/>
          <w:color w:val="auto"/>
        </w:rPr>
      </w:pPr>
    </w:p>
    <w:p>
      <w:pPr>
        <w:ind w:firstLine="921"/>
        <w:spacing w:after="0" w:line="332" w:lineRule="auto"/>
        <w:tabs>
          <w:tab w:leader="none" w:pos="1163" w:val="left"/>
        </w:tabs>
        <w:numPr>
          <w:ilvl w:val="0"/>
          <w:numId w:val="318"/>
        </w:numPr>
        <w:rPr>
          <w:rFonts w:ascii="Arial" w:cs="Arial" w:eastAsia="Arial" w:hAnsi="Arial"/>
          <w:sz w:val="16"/>
          <w:szCs w:val="16"/>
          <w:color w:val="auto"/>
        </w:rPr>
      </w:pPr>
      <w:r>
        <w:rPr>
          <w:rFonts w:ascii="Arial" w:cs="Arial" w:eastAsia="Arial" w:hAnsi="Arial"/>
          <w:sz w:val="16"/>
          <w:szCs w:val="16"/>
          <w:color w:val="auto"/>
        </w:rPr>
        <w:t>an obligation of a Person or a share, participation or other interest in a Person or in property or an enterprise of a Person, which is, or is of a type, dealt with in or traded on financial markets, or which is recognized in any area in which it is issued or dealt in as a medium for investment; or</w:t>
      </w:r>
    </w:p>
    <w:p>
      <w:pPr>
        <w:spacing w:after="0" w:line="85" w:lineRule="exact"/>
        <w:rPr>
          <w:rFonts w:ascii="Arial" w:cs="Arial" w:eastAsia="Arial" w:hAnsi="Arial"/>
          <w:sz w:val="16"/>
          <w:szCs w:val="16"/>
          <w:color w:val="auto"/>
        </w:rPr>
      </w:pPr>
    </w:p>
    <w:p>
      <w:pPr>
        <w:jc w:val="both"/>
        <w:ind w:firstLine="921"/>
        <w:spacing w:after="0" w:line="256" w:lineRule="auto"/>
        <w:tabs>
          <w:tab w:leader="none" w:pos="1171" w:val="left"/>
        </w:tabs>
        <w:numPr>
          <w:ilvl w:val="0"/>
          <w:numId w:val="318"/>
        </w:numPr>
        <w:rPr>
          <w:rFonts w:ascii="Arial" w:cs="Arial" w:eastAsia="Arial" w:hAnsi="Arial"/>
          <w:sz w:val="18"/>
          <w:szCs w:val="18"/>
          <w:color w:val="auto"/>
        </w:rPr>
      </w:pPr>
      <w:r>
        <w:rPr>
          <w:rFonts w:ascii="Arial" w:cs="Arial" w:eastAsia="Arial" w:hAnsi="Arial"/>
          <w:sz w:val="18"/>
          <w:szCs w:val="18"/>
          <w:color w:val="auto"/>
        </w:rPr>
        <w:t>any property that is held by a Securities Intermediary for another person in a Securities Account if the Securities Intermediary has expressly agreed with the other Person that the property is to be treated as a Financial Asset under Article 8 of the UCC. As the context requires, the term Financial Asset shall mean either the interest itself or the means by which a Person’s claim to it is evidenced, including a certificated or uncertificated Security, a certificate representing a Security or a Security Entitlement.</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Intangible</w:t>
      </w:r>
      <w:r>
        <w:rPr>
          <w:rFonts w:ascii="Arial" w:cs="Arial" w:eastAsia="Arial" w:hAnsi="Arial"/>
          <w:sz w:val="18"/>
          <w:szCs w:val="18"/>
          <w:color w:val="auto"/>
        </w:rPr>
        <w:t>” means any personal property, including things in action, Payment Intangibles and software, other than Accounts, Chattel Paper, Commercial Tort Claims, Deposit Accounts, Documents, Goods, Health-Care-Insurance Receivables, Instruments, Investment Property, Letter-of-Credit Rights, letters of credit, money, and oil, gas, or other minerals before extraction.</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Goods</w:t>
      </w:r>
      <w:r>
        <w:rPr>
          <w:rFonts w:ascii="Arial" w:cs="Arial" w:eastAsia="Arial" w:hAnsi="Arial"/>
          <w:sz w:val="16"/>
          <w:szCs w:val="16"/>
          <w:color w:val="auto"/>
        </w:rPr>
        <w:t>” means all things that are movable when a security interest attaches, including computer programs embedded in goods and any supporting information provided in connection with a transaction relating to the program if (i) the program is associated with the goods in such a manner that is customarily considered part of the goods, or (ii) by becoming the owner of the goods, a person acquires a right to use the program in connection with the goods.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289" w:name="page290"/>
    <w:bookmarkEnd w:id="28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Grantor</w:t>
      </w:r>
      <w:r>
        <w:rPr>
          <w:rFonts w:ascii="Arial" w:cs="Arial" w:eastAsia="Arial" w:hAnsi="Arial"/>
          <w:sz w:val="18"/>
          <w:szCs w:val="18"/>
          <w:color w:val="auto"/>
        </w:rPr>
        <w:t>” and “</w:t>
      </w:r>
      <w:r>
        <w:rPr>
          <w:rFonts w:ascii="Arial" w:cs="Arial" w:eastAsia="Arial" w:hAnsi="Arial"/>
          <w:sz w:val="18"/>
          <w:szCs w:val="18"/>
          <w:u w:val="single" w:color="auto"/>
          <w:color w:val="auto"/>
        </w:rPr>
        <w:t>Grantors</w:t>
      </w:r>
      <w:r>
        <w:rPr>
          <w:rFonts w:ascii="Arial" w:cs="Arial" w:eastAsia="Arial" w:hAnsi="Arial"/>
          <w:sz w:val="18"/>
          <w:szCs w:val="18"/>
          <w:color w:val="auto"/>
        </w:rPr>
        <w:t xml:space="preserve">” are defined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17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Health-Care-Insurance Receivable</w:t>
      </w:r>
      <w:r>
        <w:rPr>
          <w:rFonts w:ascii="Arial" w:cs="Arial" w:eastAsia="Arial" w:hAnsi="Arial"/>
          <w:sz w:val="18"/>
          <w:szCs w:val="18"/>
          <w:color w:val="auto"/>
        </w:rPr>
        <w:t>” means an interest in or claim under a policy of insurance which is a right to payment of a monetary obligation for health-care goods or services provided.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is defined in Section 6.2.</w:t>
      </w:r>
    </w:p>
    <w:p>
      <w:pPr>
        <w:spacing w:after="0" w:line="171"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Instrument</w:t>
      </w:r>
      <w:r>
        <w:rPr>
          <w:rFonts w:ascii="Arial" w:cs="Arial" w:eastAsia="Arial" w:hAnsi="Arial"/>
          <w:sz w:val="16"/>
          <w:szCs w:val="16"/>
          <w:color w:val="auto"/>
        </w:rPr>
        <w:t>” means a negotiable instrument or any other writing that evidences a right to the payment of a monetary obligation, is not itself a security agreement or lease, and is of a type that in ordinary course of business is transferred by delivery with any necessary endorsement or assignment.</w:t>
      </w:r>
    </w:p>
    <w:p>
      <w:pPr>
        <w:spacing w:after="0" w:line="8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means all intellectual property, including inventions, designs, patents, copyrights, trademarks, service marks, trade names, together with all goodwill associated with the trademarks, service marks and trade names, trade secrets, confidential or proprietary information, customer lists, know-how, software and databases; all embodiments or fixations thereof, applications and registrations of any of the foregoing; and all licenses or other rights to use any of the foregoing.</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Inventory</w:t>
      </w:r>
      <w:r>
        <w:rPr>
          <w:rFonts w:ascii="Arial" w:cs="Arial" w:eastAsia="Arial" w:hAnsi="Arial"/>
          <w:sz w:val="18"/>
          <w:szCs w:val="18"/>
          <w:color w:val="auto"/>
        </w:rPr>
        <w:t>” means Goods, other than farm products, which:</w:t>
      </w:r>
    </w:p>
    <w:p>
      <w:pPr>
        <w:spacing w:after="0" w:line="171" w:lineRule="exact"/>
        <w:rPr>
          <w:sz w:val="20"/>
          <w:szCs w:val="20"/>
          <w:color w:val="auto"/>
        </w:rPr>
      </w:pPr>
    </w:p>
    <w:p>
      <w:pPr>
        <w:ind w:left="1160" w:hanging="239"/>
        <w:spacing w:after="0"/>
        <w:tabs>
          <w:tab w:leader="none" w:pos="11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are leased by a Person as lessor;</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are held by a Person for sale or lease or to be furnished under a contract of service;</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are furnished by a Person under a contract of service; or</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consist of raw materials, work in process, or materials used or consumed in a business,</w:t>
      </w:r>
    </w:p>
    <w:p>
      <w:pPr>
        <w:spacing w:after="0" w:line="17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and includes, without limitation, (i) finished goods, returned goods and materials and supplies of any kind, nature or description which are or might be used in connection with the manufacture, packing, shipping, advertising, selling or finishing of any of the foregoing; (ii) all goods in which a Grantor has an interest in mass or a joint or other interest or right of any kind (including goods in which Grantor has an interest or right as consignee); (iii) all goods which are returned to or repossessed by any Grantor; and (iv) all accessions thereto, products thereof and documents therefor.</w:t>
      </w:r>
    </w:p>
    <w:p>
      <w:pPr>
        <w:spacing w:after="0" w:line="11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Property</w:t>
      </w:r>
      <w:r>
        <w:rPr>
          <w:rFonts w:ascii="Arial" w:cs="Arial" w:eastAsia="Arial" w:hAnsi="Arial"/>
          <w:sz w:val="18"/>
          <w:szCs w:val="18"/>
          <w:color w:val="auto"/>
        </w:rPr>
        <w:t xml:space="preserve">” means all Securities (whether certificated or uncertificated), Security Entitlements, Securities Accounts, Financial Assets, Commodity Contracts and Commodity Accounts of each Grantor;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Investment Property shall not include any certificated Securities constituting Collateral (as defined in the Pledge Agreement) or any securities issued by an Excluded Subsidiary.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290" w:name="page291"/>
    <w:bookmarkEnd w:id="290"/>
    <w:p>
      <w:pPr>
        <w:jc w:val="both"/>
        <w:ind w:right="2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Letter-of-Credit Right</w:t>
      </w:r>
      <w:r>
        <w:rPr>
          <w:rFonts w:ascii="Arial" w:cs="Arial" w:eastAsia="Arial" w:hAnsi="Arial"/>
          <w:sz w:val="16"/>
          <w:szCs w:val="16"/>
          <w:color w:val="auto"/>
        </w:rPr>
        <w:t>” means a right to payment or performance under a letter of credit, whether or not the beneficiary has demanded or is at the time entitled to demand payment or performance, but excludes the right of a beneficiary to demand payment or performance under a letter of credit.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is defined in the Credit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w:t>
      </w:r>
      <w:r>
        <w:rPr>
          <w:rFonts w:ascii="Arial" w:cs="Arial" w:eastAsia="Arial" w:hAnsi="Arial"/>
          <w:sz w:val="18"/>
          <w:szCs w:val="18"/>
          <w:color w:val="auto"/>
        </w:rPr>
        <w:t>” is defined in the Credit Agreement.</w:t>
      </w:r>
    </w:p>
    <w:p>
      <w:pPr>
        <w:spacing w:after="0" w:line="171"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Contract Collateral</w:t>
      </w:r>
      <w:r>
        <w:rPr>
          <w:rFonts w:ascii="Arial" w:cs="Arial" w:eastAsia="Arial" w:hAnsi="Arial"/>
          <w:sz w:val="16"/>
          <w:szCs w:val="16"/>
          <w:color w:val="auto"/>
        </w:rPr>
        <w:t>” means, with respect to each Grantor, all Material Contracts to which such Grantor is now or may hereafter become a party and all Accounts thereunder, including (i) all rights of such Grantor to receive moneys due and to become due under or pursuant to the Material Contracts, (ii) all rights of such Grantor to receive proceeds of any insurance, indemnity, warranty or guaranty with respect to the Material Contracts, (iii) claims of such Grantor for damages arising out of or for breach of or default under the Material Contracts and (iv) the right of such Grantor to terminate the Material Contracts, to perform thereunder and to compel performance and otherwise exercise all remedies thereunder.</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U.S. Department of the Treasury’s Office of Foreign Assets Control.</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Intangible</w:t>
      </w:r>
      <w:r>
        <w:rPr>
          <w:rFonts w:ascii="Arial" w:cs="Arial" w:eastAsia="Arial" w:hAnsi="Arial"/>
          <w:sz w:val="18"/>
          <w:szCs w:val="18"/>
          <w:color w:val="auto"/>
        </w:rPr>
        <w:t>” means a general intangible under which the account debtor’s principal obligation is a monetary obligation.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 Agreement</w:t>
      </w:r>
      <w:r>
        <w:rPr>
          <w:rFonts w:ascii="Arial" w:cs="Arial" w:eastAsia="Arial" w:hAnsi="Arial"/>
          <w:sz w:val="18"/>
          <w:szCs w:val="18"/>
          <w:color w:val="auto"/>
        </w:rPr>
        <w:t>” is defined in the Credit Agreement.</w:t>
      </w:r>
    </w:p>
    <w:p>
      <w:pPr>
        <w:spacing w:after="0" w:line="171"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Pledged Excluded Subsidiary</w:t>
      </w:r>
      <w:r>
        <w:rPr>
          <w:rFonts w:ascii="Arial" w:cs="Arial" w:eastAsia="Arial" w:hAnsi="Arial"/>
          <w:sz w:val="16"/>
          <w:szCs w:val="16"/>
          <w:color w:val="auto"/>
        </w:rPr>
        <w:t>” means a Domestic Subsidiary that is an Excluded Subsidiary, if any, the Equity Interests and related notes, dividends and proceeds of which have been pledged to the Administrative Agent, for the benefit of the Secured Parties, under and in accordance with the Pledge Agreement.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Proceeds</w:t>
      </w:r>
      <w:r>
        <w:rPr>
          <w:rFonts w:ascii="Arial" w:cs="Arial" w:eastAsia="Arial" w:hAnsi="Arial"/>
          <w:sz w:val="18"/>
          <w:szCs w:val="18"/>
          <w:color w:val="auto"/>
        </w:rPr>
        <w:t>” means the following property:</w:t>
      </w:r>
    </w:p>
    <w:p>
      <w:pPr>
        <w:spacing w:after="0" w:line="171" w:lineRule="exact"/>
        <w:rPr>
          <w:sz w:val="20"/>
          <w:szCs w:val="20"/>
          <w:color w:val="auto"/>
        </w:rPr>
      </w:pPr>
    </w:p>
    <w:p>
      <w:pPr>
        <w:ind w:left="1160" w:hanging="239"/>
        <w:spacing w:after="0"/>
        <w:tabs>
          <w:tab w:leader="none" w:pos="116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whatever is acquired upon the sale, lease, license, exchange, or other disposition of the Collateral;</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whatever is collected on, or distributed on account of, the Collateral;</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rights arising out of the Collateral; and</w:t>
      </w:r>
    </w:p>
    <w:p>
      <w:pPr>
        <w:spacing w:after="0" w:line="171" w:lineRule="exact"/>
        <w:rPr>
          <w:rFonts w:ascii="Arial" w:cs="Arial" w:eastAsia="Arial" w:hAnsi="Arial"/>
          <w:sz w:val="18"/>
          <w:szCs w:val="18"/>
          <w:color w:val="auto"/>
        </w:rPr>
      </w:pPr>
    </w:p>
    <w:p>
      <w:pPr>
        <w:ind w:right="20" w:firstLine="921"/>
        <w:spacing w:after="0" w:line="268" w:lineRule="auto"/>
        <w:tabs>
          <w:tab w:leader="none" w:pos="1166"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to the extent of the value of the Collateral and to the extent payable to the debtor or the secured party, insurance payable by reason of the loss or nonconformity of, defects or infringement of rights in, or damage to, the Collateral.</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Collateral</w:t>
      </w:r>
      <w:r>
        <w:rPr>
          <w:rFonts w:ascii="Arial" w:cs="Arial" w:eastAsia="Arial" w:hAnsi="Arial"/>
          <w:sz w:val="18"/>
          <w:szCs w:val="18"/>
          <w:color w:val="auto"/>
        </w:rPr>
        <w:t>” means, collectively, Accounts, Health-Care-Insurance Receivables, Documents, Instruments and Chattel Paper.</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Entity</w:t>
      </w:r>
      <w:r>
        <w:rPr>
          <w:rFonts w:ascii="Arial" w:cs="Arial" w:eastAsia="Arial" w:hAnsi="Arial"/>
          <w:sz w:val="18"/>
          <w:szCs w:val="18"/>
          <w:color w:val="auto"/>
        </w:rPr>
        <w:t>” means (i) an agency of the government of, (ii) an organization directly or indirectly controlled by, or (iii) a person resident in a country that is subject to 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291" w:name="page292"/>
    <w:bookmarkEnd w:id="291"/>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sanctions program identified on the list maintained by OFAC and available at </w:t>
      </w:r>
      <w:r>
        <w:rPr>
          <w:rFonts w:ascii="Arial" w:cs="Arial" w:eastAsia="Arial" w:hAnsi="Arial"/>
          <w:sz w:val="18"/>
          <w:szCs w:val="18"/>
          <w:u w:val="single" w:color="auto"/>
          <w:color w:val="auto"/>
        </w:rPr>
        <w:t>http://www.treas.gov/offices/eotffc/ofac/sanctions/index.html</w:t>
      </w:r>
      <w:r>
        <w:rPr>
          <w:rFonts w:ascii="Arial" w:cs="Arial" w:eastAsia="Arial" w:hAnsi="Arial"/>
          <w:sz w:val="18"/>
          <w:szCs w:val="18"/>
          <w:color w:val="auto"/>
        </w:rPr>
        <w:t>, or as otherwise published from time to time as such program may be applicable to such agency, organization or person.</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Person</w:t>
      </w:r>
      <w:r>
        <w:rPr>
          <w:rFonts w:ascii="Arial" w:cs="Arial" w:eastAsia="Arial" w:hAnsi="Arial"/>
          <w:sz w:val="18"/>
          <w:szCs w:val="18"/>
          <w:color w:val="auto"/>
        </w:rPr>
        <w:t xml:space="preserve">” means a person named on the list of Specially Designated Nationals or Blocked Persons maintained by OFAC available at </w:t>
      </w:r>
      <w:r>
        <w:rPr>
          <w:rFonts w:ascii="Arial" w:cs="Arial" w:eastAsia="Arial" w:hAnsi="Arial"/>
          <w:sz w:val="18"/>
          <w:szCs w:val="18"/>
          <w:u w:val="single" w:color="auto"/>
          <w:color w:val="auto"/>
        </w:rPr>
        <w:t>http://www.treas.gov/offices/eotffc/ofac/sdn/index.html</w:t>
      </w:r>
      <w:r>
        <w:rPr>
          <w:rFonts w:ascii="Arial" w:cs="Arial" w:eastAsia="Arial" w:hAnsi="Arial"/>
          <w:sz w:val="18"/>
          <w:szCs w:val="18"/>
          <w:color w:val="auto"/>
        </w:rPr>
        <w:t>, or as otherwise published from time to time.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Cash Management Services Agreement</w:t>
      </w:r>
      <w:r>
        <w:rPr>
          <w:rFonts w:ascii="Arial" w:cs="Arial" w:eastAsia="Arial" w:hAnsi="Arial"/>
          <w:sz w:val="18"/>
          <w:szCs w:val="18"/>
          <w:color w:val="auto"/>
        </w:rPr>
        <w:t>” is defined in the Credit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Obligations</w:t>
      </w:r>
      <w:r>
        <w:rPr>
          <w:rFonts w:ascii="Arial" w:cs="Arial" w:eastAsia="Arial" w:hAnsi="Arial"/>
          <w:sz w:val="18"/>
          <w:szCs w:val="18"/>
          <w:color w:val="auto"/>
        </w:rPr>
        <w:t>” is defined in Section 2.2.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Party</w:t>
      </w:r>
      <w:r>
        <w:rPr>
          <w:rFonts w:ascii="Arial" w:cs="Arial" w:eastAsia="Arial" w:hAnsi="Arial"/>
          <w:sz w:val="18"/>
          <w:szCs w:val="18"/>
          <w:color w:val="auto"/>
        </w:rPr>
        <w:t>” is defined in the Credit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Swap Contract</w:t>
      </w:r>
      <w:r>
        <w:rPr>
          <w:rFonts w:ascii="Arial" w:cs="Arial" w:eastAsia="Arial" w:hAnsi="Arial"/>
          <w:sz w:val="18"/>
          <w:szCs w:val="18"/>
          <w:color w:val="auto"/>
        </w:rPr>
        <w:t>” is defined in the Credit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w:t>
      </w:r>
      <w:r>
        <w:rPr>
          <w:rFonts w:ascii="Arial" w:cs="Arial" w:eastAsia="Arial" w:hAnsi="Arial"/>
          <w:sz w:val="16"/>
          <w:szCs w:val="16"/>
          <w:color w:val="auto"/>
        </w:rPr>
        <w:t>” means any obligations of an issuer or any shares, participations or other interests in an issuer or in property or an enterprise of an issuer which</w:t>
      </w:r>
    </w:p>
    <w:p>
      <w:pPr>
        <w:spacing w:after="0" w:line="194" w:lineRule="exact"/>
        <w:rPr>
          <w:sz w:val="20"/>
          <w:szCs w:val="20"/>
          <w:color w:val="auto"/>
        </w:rPr>
      </w:pPr>
    </w:p>
    <w:p>
      <w:pPr>
        <w:ind w:firstLine="921"/>
        <w:spacing w:after="0" w:line="268" w:lineRule="auto"/>
        <w:tabs>
          <w:tab w:leader="none" w:pos="1178" w:val="left"/>
        </w:tabs>
        <w:numPr>
          <w:ilvl w:val="0"/>
          <w:numId w:val="321"/>
        </w:numPr>
        <w:rPr>
          <w:rFonts w:ascii="Arial" w:cs="Arial" w:eastAsia="Arial" w:hAnsi="Arial"/>
          <w:sz w:val="18"/>
          <w:szCs w:val="18"/>
          <w:color w:val="auto"/>
        </w:rPr>
      </w:pPr>
      <w:r>
        <w:rPr>
          <w:rFonts w:ascii="Arial" w:cs="Arial" w:eastAsia="Arial" w:hAnsi="Arial"/>
          <w:sz w:val="18"/>
          <w:szCs w:val="18"/>
          <w:color w:val="auto"/>
        </w:rPr>
        <w:t>are represented by a certificate representing a security in bearer or registered form, or the transfer of which may be registered upon books maintained for that purpose by or on behalf of the issuer;</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are one of a class or series or by its terms is divisible into a class or series of shares, participations, interests or obligations; and</w:t>
      </w:r>
    </w:p>
    <w:p>
      <w:pPr>
        <w:spacing w:after="0" w:line="171"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(c)(i) are, or are of a type, dealt with or traded on securities exchanges or securities markets or (ii) are a medium for investment and by their terms expressly provide that they are a security governed by Article 8 of the UCC.</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Account</w:t>
      </w:r>
      <w:r>
        <w:rPr>
          <w:rFonts w:ascii="Arial" w:cs="Arial" w:eastAsia="Arial" w:hAnsi="Arial"/>
          <w:sz w:val="16"/>
          <w:szCs w:val="16"/>
          <w:color w:val="auto"/>
        </w:rPr>
        <w:t>” shall mean an account to which a Financial Asset is or may be credited in accordance with an agreement under which the Person maintaining the account undertakes to treat the Person for whom the account is maintained as entitled to exercise rights that comprise the Financial Asset.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Entitlements</w:t>
      </w:r>
      <w:r>
        <w:rPr>
          <w:rFonts w:ascii="Arial" w:cs="Arial" w:eastAsia="Arial" w:hAnsi="Arial"/>
          <w:sz w:val="18"/>
          <w:szCs w:val="18"/>
          <w:color w:val="auto"/>
        </w:rPr>
        <w:t>” means the rights and property interests of an Entitlement Holder with respect to a Financial Asset.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Intermediary</w:t>
      </w:r>
      <w:r>
        <w:rPr>
          <w:rFonts w:ascii="Arial" w:cs="Arial" w:eastAsia="Arial" w:hAnsi="Arial"/>
          <w:sz w:val="18"/>
          <w:szCs w:val="18"/>
          <w:color w:val="auto"/>
        </w:rPr>
        <w:t>” means:</w:t>
      </w:r>
    </w:p>
    <w:p>
      <w:pPr>
        <w:spacing w:after="0" w:line="171" w:lineRule="exact"/>
        <w:rPr>
          <w:sz w:val="20"/>
          <w:szCs w:val="20"/>
          <w:color w:val="auto"/>
        </w:rPr>
      </w:pPr>
    </w:p>
    <w:p>
      <w:pPr>
        <w:ind w:left="1160" w:hanging="239"/>
        <w:spacing w:after="0"/>
        <w:tabs>
          <w:tab w:leader="none" w:pos="116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a clearing corporation; or</w:t>
      </w:r>
    </w:p>
    <w:p>
      <w:pPr>
        <w:spacing w:after="0" w:line="171" w:lineRule="exact"/>
        <w:rPr>
          <w:rFonts w:ascii="Arial" w:cs="Arial" w:eastAsia="Arial" w:hAnsi="Arial"/>
          <w:sz w:val="18"/>
          <w:szCs w:val="18"/>
          <w:color w:val="auto"/>
        </w:rPr>
      </w:pPr>
    </w:p>
    <w:p>
      <w:pPr>
        <w:ind w:left="1180" w:hanging="259"/>
        <w:spacing w:after="0"/>
        <w:tabs>
          <w:tab w:leader="none" w:pos="1180" w:val="left"/>
        </w:tabs>
        <w:numPr>
          <w:ilvl w:val="0"/>
          <w:numId w:val="322"/>
        </w:numPr>
        <w:rPr>
          <w:rFonts w:ascii="Arial" w:cs="Arial" w:eastAsia="Arial" w:hAnsi="Arial"/>
          <w:sz w:val="16"/>
          <w:szCs w:val="16"/>
          <w:color w:val="auto"/>
        </w:rPr>
      </w:pPr>
      <w:r>
        <w:rPr>
          <w:rFonts w:ascii="Arial" w:cs="Arial" w:eastAsia="Arial" w:hAnsi="Arial"/>
          <w:sz w:val="16"/>
          <w:szCs w:val="16"/>
          <w:color w:val="auto"/>
        </w:rPr>
        <w:t>a Person, including a bank or broker, that in the ordinary course of its business maintains securities accounts for others and is acting in that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capacity.</w:t>
      </w: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Supporting Obligation</w:t>
      </w:r>
      <w:r>
        <w:rPr>
          <w:rFonts w:ascii="Arial" w:cs="Arial" w:eastAsia="Arial" w:hAnsi="Arial"/>
          <w:sz w:val="18"/>
          <w:szCs w:val="18"/>
          <w:color w:val="auto"/>
        </w:rPr>
        <w:t>” means a Letter-of-Credit Right or secondary obligation that supports the payment or performance of an Account, Chattel Paper, Document, General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292" w:name="page293"/>
    <w:bookmarkEnd w:id="292"/>
    <w:p>
      <w:pPr>
        <w:jc w:val="both"/>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Intangible, Instrument or Investment Property, including, without limitation, all security agreements, guaranties, leases and other contracts securing or otherwise relating to any such Accounts, Chattel Paper, Documents, General Intangible, Instruments or Investment Property, including Goods represented by the sale or lease of delivery which gave rise to any of the foregoing, returned or repossessed merchandise and rights of stoppage in transit, replevin, reclamation and other rights and remedies of an unpaid vendor, lienor or secured party.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Bank</w:t>
      </w:r>
      <w:r>
        <w:rPr>
          <w:rFonts w:ascii="Arial" w:cs="Arial" w:eastAsia="Arial" w:hAnsi="Arial"/>
          <w:sz w:val="18"/>
          <w:szCs w:val="18"/>
          <w:color w:val="auto"/>
        </w:rPr>
        <w:t>” is defined in the Credit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Contract</w:t>
      </w:r>
      <w:r>
        <w:rPr>
          <w:rFonts w:ascii="Arial" w:cs="Arial" w:eastAsia="Arial" w:hAnsi="Arial"/>
          <w:sz w:val="18"/>
          <w:szCs w:val="18"/>
          <w:color w:val="auto"/>
        </w:rPr>
        <w:t>” is defined in the Credit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Tangible Chattel Paper</w:t>
      </w:r>
      <w:r>
        <w:rPr>
          <w:rFonts w:ascii="Arial" w:cs="Arial" w:eastAsia="Arial" w:hAnsi="Arial"/>
          <w:sz w:val="16"/>
          <w:szCs w:val="16"/>
          <w:color w:val="auto"/>
        </w:rPr>
        <w:t>” means Chattel Paper evidenced by a record or records consisting of information that is inscribed on a tangible medium.</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means the date on which the latest of the following events occurs:</w:t>
      </w:r>
    </w:p>
    <w:p>
      <w:pPr>
        <w:spacing w:after="0" w:line="171" w:lineRule="exact"/>
        <w:rPr>
          <w:sz w:val="20"/>
          <w:szCs w:val="20"/>
          <w:color w:val="auto"/>
        </w:rPr>
      </w:pPr>
    </w:p>
    <w:p>
      <w:pPr>
        <w:ind w:left="1160" w:hanging="239"/>
        <w:spacing w:after="0"/>
        <w:tabs>
          <w:tab w:leader="none" w:pos="116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payment in full in cash of the Secured Obligations, other than contingent indemnification obligations;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termination or expiration of the Availability Period; and</w:t>
      </w:r>
    </w:p>
    <w:p>
      <w:pPr>
        <w:spacing w:after="0" w:line="171" w:lineRule="exact"/>
        <w:rPr>
          <w:rFonts w:ascii="Arial" w:cs="Arial" w:eastAsia="Arial" w:hAnsi="Arial"/>
          <w:sz w:val="18"/>
          <w:szCs w:val="18"/>
          <w:color w:val="auto"/>
        </w:rPr>
      </w:pPr>
    </w:p>
    <w:p>
      <w:pPr>
        <w:ind w:left="460" w:right="2020" w:firstLine="461"/>
        <w:spacing w:after="0" w:line="434" w:lineRule="auto"/>
        <w:tabs>
          <w:tab w:leader="none" w:pos="1155"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termination or expiration of all Letters of Credit and all Secured Swap Contracts to which a Swap Bank is a party. “</w:t>
      </w:r>
      <w:r>
        <w:rPr>
          <w:rFonts w:ascii="Arial" w:cs="Arial" w:eastAsia="Arial" w:hAnsi="Arial"/>
          <w:sz w:val="18"/>
          <w:szCs w:val="18"/>
          <w:u w:val="single" w:color="auto"/>
          <w:color w:val="auto"/>
        </w:rPr>
        <w:t>UCC</w:t>
      </w:r>
      <w:r>
        <w:rPr>
          <w:rFonts w:ascii="Arial" w:cs="Arial" w:eastAsia="Arial" w:hAnsi="Arial"/>
          <w:sz w:val="18"/>
          <w:szCs w:val="18"/>
          <w:color w:val="auto"/>
        </w:rPr>
        <w:t>” is defined in the Credit Agreement.</w:t>
      </w:r>
    </w:p>
    <w:p>
      <w:pPr>
        <w:spacing w:after="0" w:line="2" w:lineRule="exact"/>
        <w:rPr>
          <w:sz w:val="20"/>
          <w:szCs w:val="20"/>
          <w:color w:val="auto"/>
        </w:rPr>
      </w:pPr>
    </w:p>
    <w:p>
      <w:pPr>
        <w:jc w:val="both"/>
        <w:ind w:firstLine="456"/>
        <w:spacing w:after="0" w:line="275"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b w:val="1"/>
          <w:bCs w:val="1"/>
          <w:color w:val="auto"/>
        </w:rPr>
        <w:t>Credit Agreement Definitions.</w:t>
      </w:r>
      <w:r>
        <w:rPr>
          <w:rFonts w:ascii="Arial" w:cs="Arial" w:eastAsia="Arial" w:hAnsi="Arial"/>
          <w:sz w:val="18"/>
          <w:szCs w:val="18"/>
          <w:color w:val="auto"/>
        </w:rPr>
        <w:t xml:space="preserve"> Unless otherwise defined herein or the context otherwise requires, terms used in this Agreement, including its preamble and recitals, have the meanings provided in the Credit Agreement.</w:t>
      </w:r>
    </w:p>
    <w:p>
      <w:pPr>
        <w:spacing w:after="0" w:line="120" w:lineRule="exact"/>
        <w:rPr>
          <w:sz w:val="20"/>
          <w:szCs w:val="20"/>
          <w:color w:val="auto"/>
        </w:rPr>
      </w:pPr>
    </w:p>
    <w:p>
      <w:pPr>
        <w:jc w:val="both"/>
        <w:ind w:firstLine="456"/>
        <w:spacing w:after="0" w:line="275" w:lineRule="auto"/>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b w:val="1"/>
          <w:bCs w:val="1"/>
          <w:color w:val="auto"/>
        </w:rPr>
        <w:t>UCC Definitions.</w:t>
      </w:r>
      <w:r>
        <w:rPr>
          <w:rFonts w:ascii="Arial" w:cs="Arial" w:eastAsia="Arial" w:hAnsi="Arial"/>
          <w:sz w:val="18"/>
          <w:szCs w:val="18"/>
          <w:color w:val="auto"/>
        </w:rPr>
        <w:t xml:space="preserve"> Unless otherwise defined herein or the context otherwise requires, terms for which meanings are provided in the UCC are used in this Agreement, including its preamble and recitals, with such meanings.</w:t>
      </w:r>
    </w:p>
    <w:p>
      <w:pPr>
        <w:spacing w:after="0" w:line="120" w:lineRule="exact"/>
        <w:rPr>
          <w:sz w:val="20"/>
          <w:szCs w:val="20"/>
          <w:color w:val="auto"/>
        </w:rPr>
      </w:pPr>
    </w:p>
    <w:p>
      <w:pPr>
        <w:jc w:val="both"/>
        <w:ind w:right="20" w:firstLine="456"/>
        <w:spacing w:after="0" w:line="275"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b w:val="1"/>
          <w:bCs w:val="1"/>
          <w:color w:val="auto"/>
        </w:rPr>
        <w:t>Other Interpretive Provisions.</w:t>
      </w:r>
      <w:r>
        <w:rPr>
          <w:rFonts w:ascii="Arial" w:cs="Arial" w:eastAsia="Arial" w:hAnsi="Arial"/>
          <w:sz w:val="18"/>
          <w:szCs w:val="18"/>
          <w:color w:val="auto"/>
        </w:rPr>
        <w:t xml:space="preserve"> The rules of construction in Sections 1.02 to 1.06 of the Credit Agreement shall be equally applicable to this Agreement.</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SECURITY INTEREST</w:t>
      </w:r>
    </w:p>
    <w:p>
      <w:pPr>
        <w:spacing w:after="0" w:line="159" w:lineRule="exact"/>
        <w:rPr>
          <w:sz w:val="20"/>
          <w:szCs w:val="20"/>
          <w:color w:val="auto"/>
        </w:rPr>
      </w:pPr>
    </w:p>
    <w:p>
      <w:pPr>
        <w:jc w:val="both"/>
        <w:ind w:firstLine="456"/>
        <w:spacing w:after="0" w:line="310" w:lineRule="auto"/>
        <w:rPr>
          <w:sz w:val="20"/>
          <w:szCs w:val="20"/>
          <w:color w:val="auto"/>
        </w:rPr>
      </w:pPr>
      <w:r>
        <w:rPr>
          <w:rFonts w:ascii="Arial" w:cs="Arial" w:eastAsia="Arial" w:hAnsi="Arial"/>
          <w:sz w:val="16"/>
          <w:szCs w:val="16"/>
          <w:color w:val="auto"/>
        </w:rPr>
        <w:t xml:space="preserve">SECTION 9.1 </w:t>
      </w:r>
      <w:r>
        <w:rPr>
          <w:rFonts w:ascii="Arial" w:cs="Arial" w:eastAsia="Arial" w:hAnsi="Arial"/>
          <w:sz w:val="16"/>
          <w:szCs w:val="16"/>
          <w:b w:val="1"/>
          <w:bCs w:val="1"/>
          <w:color w:val="auto"/>
        </w:rPr>
        <w:t>Grant of Security.</w:t>
      </w:r>
      <w:r>
        <w:rPr>
          <w:rFonts w:ascii="Arial" w:cs="Arial" w:eastAsia="Arial" w:hAnsi="Arial"/>
          <w:sz w:val="16"/>
          <w:szCs w:val="16"/>
          <w:color w:val="auto"/>
        </w:rPr>
        <w:t xml:space="preserve"> Each Grantor hereby assigns and pledges to the Administrative Agent for its benefit and the ratable benefit of each of the Secured Parties, and hereby grants to the Administrative Agent for its benefit and the ratable benefit of each of the Secured Parties a security interest in, all of its right, title and interest in and to the following, whether now or hereafter existing or acquired (collectively, the “</w:t>
      </w:r>
      <w:r>
        <w:rPr>
          <w:rFonts w:ascii="Arial" w:cs="Arial" w:eastAsia="Arial" w:hAnsi="Arial"/>
          <w:sz w:val="16"/>
          <w:szCs w:val="16"/>
          <w:u w:val="single" w:color="auto"/>
          <w:color w:val="auto"/>
        </w:rPr>
        <w:t>Collateral</w:t>
      </w:r>
      <w:r>
        <w:rPr>
          <w:rFonts w:ascii="Arial" w:cs="Arial" w:eastAsia="Arial" w:hAnsi="Arial"/>
          <w:sz w:val="16"/>
          <w:szCs w:val="16"/>
          <w:color w:val="auto"/>
        </w:rPr>
        <w:t>”):</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all Equipment of such Grantor;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293" w:name="page294"/>
    <w:bookmarkEnd w:id="293"/>
    <w:p>
      <w:pPr>
        <w:ind w:left="1160" w:hanging="239"/>
        <w:spacing w:after="0"/>
        <w:tabs>
          <w:tab w:leader="none" w:pos="1160" w:val="left"/>
        </w:tabs>
        <w:numPr>
          <w:ilvl w:val="0"/>
          <w:numId w:val="3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Inventory of such Grantor;</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324"/>
        </w:numPr>
        <w:rPr>
          <w:rFonts w:ascii="Arial" w:cs="Arial" w:eastAsia="Arial" w:hAnsi="Arial"/>
          <w:sz w:val="16"/>
          <w:szCs w:val="16"/>
          <w:color w:val="auto"/>
        </w:rPr>
      </w:pPr>
      <w:r>
        <w:rPr>
          <w:rFonts w:ascii="Arial" w:cs="Arial" w:eastAsia="Arial" w:hAnsi="Arial"/>
          <w:sz w:val="16"/>
          <w:szCs w:val="16"/>
          <w:color w:val="auto"/>
        </w:rPr>
        <w:t>all Receivables Collateral forms, including all Accounts, Documents, Instruments, Health-Care-Insurance Receivables and Chattel Paper, of such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Grantor;</w:t>
      </w:r>
    </w:p>
    <w:p>
      <w:pPr>
        <w:spacing w:after="0" w:line="165" w:lineRule="exact"/>
        <w:rPr>
          <w:sz w:val="20"/>
          <w:szCs w:val="20"/>
          <w:color w:val="auto"/>
        </w:rPr>
      </w:pPr>
    </w:p>
    <w:p>
      <w:pPr>
        <w:ind w:left="1160" w:hanging="239"/>
        <w:spacing w:after="0"/>
        <w:tabs>
          <w:tab w:leader="none" w:pos="116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to the extent not included under clause (c) above, all Material Contract Collateral of such Grantor;</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all General Intangibles, including all Payment Intangibles, of such Grantor;</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all Supporting Obligations of such Grantor;</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all Investment Property, including all Securities Accounts, of such Grantor;</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all Deposit Accounts of such Grantor;</w:t>
      </w:r>
    </w:p>
    <w:p>
      <w:pPr>
        <w:spacing w:after="0" w:line="171" w:lineRule="exact"/>
        <w:rPr>
          <w:rFonts w:ascii="Arial" w:cs="Arial" w:eastAsia="Arial" w:hAnsi="Arial"/>
          <w:sz w:val="18"/>
          <w:szCs w:val="18"/>
          <w:color w:val="auto"/>
        </w:rPr>
      </w:pPr>
    </w:p>
    <w:p>
      <w:pPr>
        <w:ind w:firstLine="921"/>
        <w:spacing w:after="0" w:line="268" w:lineRule="auto"/>
        <w:tabs>
          <w:tab w:leader="none" w:pos="1129" w:val="left"/>
        </w:tabs>
        <w:numPr>
          <w:ilvl w:val="0"/>
          <w:numId w:val="325"/>
        </w:numPr>
        <w:rPr>
          <w:rFonts w:ascii="Arial" w:cs="Arial" w:eastAsia="Arial" w:hAnsi="Arial"/>
          <w:sz w:val="18"/>
          <w:szCs w:val="18"/>
          <w:color w:val="auto"/>
        </w:rPr>
      </w:pPr>
      <w:r>
        <w:rPr>
          <w:rFonts w:ascii="Arial" w:cs="Arial" w:eastAsia="Arial" w:hAnsi="Arial"/>
          <w:sz w:val="18"/>
          <w:szCs w:val="18"/>
          <w:color w:val="auto"/>
        </w:rPr>
        <w:t xml:space="preserve">all Commercial Tort Claims of such Grantor described in </w:t>
      </w:r>
      <w:r>
        <w:rPr>
          <w:rFonts w:ascii="Arial" w:cs="Arial" w:eastAsia="Arial" w:hAnsi="Arial"/>
          <w:sz w:val="18"/>
          <w:szCs w:val="18"/>
          <w:u w:val="single" w:color="auto"/>
          <w:color w:val="auto"/>
        </w:rPr>
        <w:t>Part E</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(as such Schedule may be supplemented from time to time pursuant to </w:t>
      </w:r>
      <w:r>
        <w:rPr>
          <w:rFonts w:ascii="Arial" w:cs="Arial" w:eastAsia="Arial" w:hAnsi="Arial"/>
          <w:sz w:val="18"/>
          <w:szCs w:val="18"/>
          <w:u w:val="single" w:color="auto"/>
          <w:color w:val="auto"/>
        </w:rPr>
        <w:t>Section 4.14</w:t>
      </w:r>
      <w:r>
        <w:rPr>
          <w:rFonts w:ascii="Arial" w:cs="Arial" w:eastAsia="Arial" w:hAnsi="Arial"/>
          <w:sz w:val="18"/>
          <w:szCs w:val="18"/>
          <w:color w:val="auto"/>
        </w:rPr>
        <w:t xml:space="preserve"> or otherwise);</w:t>
      </w:r>
    </w:p>
    <w:p>
      <w:pPr>
        <w:spacing w:after="0" w:line="131" w:lineRule="exact"/>
        <w:rPr>
          <w:rFonts w:ascii="Arial" w:cs="Arial" w:eastAsia="Arial" w:hAnsi="Arial"/>
          <w:sz w:val="18"/>
          <w:szCs w:val="18"/>
          <w:color w:val="auto"/>
        </w:rPr>
      </w:pPr>
    </w:p>
    <w:p>
      <w:pPr>
        <w:ind w:left="1140" w:hanging="219"/>
        <w:spacing w:after="0"/>
        <w:tabs>
          <w:tab w:leader="none" w:pos="114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all other Goods of such Grantor;</w:t>
      </w:r>
    </w:p>
    <w:p>
      <w:pPr>
        <w:spacing w:after="0" w:line="171" w:lineRule="exact"/>
        <w:rPr>
          <w:rFonts w:ascii="Arial" w:cs="Arial" w:eastAsia="Arial" w:hAnsi="Arial"/>
          <w:sz w:val="18"/>
          <w:szCs w:val="18"/>
          <w:color w:val="auto"/>
        </w:rPr>
      </w:pPr>
    </w:p>
    <w:p>
      <w:pPr>
        <w:ind w:firstLine="921"/>
        <w:spacing w:after="0" w:line="268" w:lineRule="auto"/>
        <w:tabs>
          <w:tab w:leader="none" w:pos="1199" w:val="left"/>
        </w:tabs>
        <w:numPr>
          <w:ilvl w:val="0"/>
          <w:numId w:val="325"/>
        </w:numPr>
        <w:rPr>
          <w:rFonts w:ascii="Arial" w:cs="Arial" w:eastAsia="Arial" w:hAnsi="Arial"/>
          <w:sz w:val="18"/>
          <w:szCs w:val="18"/>
          <w:color w:val="auto"/>
        </w:rPr>
      </w:pPr>
      <w:r>
        <w:rPr>
          <w:rFonts w:ascii="Arial" w:cs="Arial" w:eastAsia="Arial" w:hAnsi="Arial"/>
          <w:sz w:val="18"/>
          <w:szCs w:val="18"/>
          <w:color w:val="auto"/>
        </w:rPr>
        <w:t xml:space="preserve">all of such Grantor’s books, records, writings, data bases, information and other property relating to, used or useful in connection with, evidencing, embodying, incorporating or referring to, any of the foregoing in this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jc w:val="both"/>
        <w:ind w:firstLine="921"/>
        <w:spacing w:after="0" w:line="259" w:lineRule="auto"/>
        <w:tabs>
          <w:tab w:leader="none" w:pos="1145" w:val="left"/>
        </w:tabs>
        <w:numPr>
          <w:ilvl w:val="0"/>
          <w:numId w:val="325"/>
        </w:numPr>
        <w:rPr>
          <w:rFonts w:ascii="Arial" w:cs="Arial" w:eastAsia="Arial" w:hAnsi="Arial"/>
          <w:sz w:val="18"/>
          <w:szCs w:val="18"/>
          <w:color w:val="auto"/>
        </w:rPr>
      </w:pPr>
      <w:r>
        <w:rPr>
          <w:rFonts w:ascii="Arial" w:cs="Arial" w:eastAsia="Arial" w:hAnsi="Arial"/>
          <w:sz w:val="18"/>
          <w:szCs w:val="18"/>
          <w:color w:val="auto"/>
        </w:rPr>
        <w:t>all of such Grantor’s other property and rights of every kind and description and interests therein, including all moneys, securities and other property, now or hereafter held or received by, or in transit to, the Administrative Agent or any Secured Party from or for such Grantor, whether for safekeeping, pledge, custody, transmission, collection or otherwise; and</w:t>
      </w:r>
    </w:p>
    <w:p>
      <w:pPr>
        <w:spacing w:after="0" w:line="140" w:lineRule="exact"/>
        <w:rPr>
          <w:rFonts w:ascii="Arial" w:cs="Arial" w:eastAsia="Arial" w:hAnsi="Arial"/>
          <w:sz w:val="18"/>
          <w:szCs w:val="18"/>
          <w:color w:val="auto"/>
        </w:rPr>
      </w:pPr>
    </w:p>
    <w:p>
      <w:pPr>
        <w:ind w:left="1220" w:hanging="299"/>
        <w:spacing w:after="0"/>
        <w:tabs>
          <w:tab w:leader="none" w:pos="122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all Proceeds of any and all of the foregoing Collateral.</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Notwithstanding the foregoing, (i) no account, instrument, chattel paper or other obligation or property of any kind due from, owed by, or belonging to, a Sanctioned Person or Sanctioned Entity, (ii) no lease in which the lessee is a Sanctioned Person or Sanctioned Entity, (iii) no key man life insurance policy of which the Borrower or any Guarantor is a beneficiary, (iv) no Minority Equity Interests or Equity Interests in any Excluded Subsidiary (other than any Pledged Excluded Subsidiary) and (v) no Intellectual Property shall be Collateral.</w:t>
      </w:r>
    </w:p>
    <w:p>
      <w:pPr>
        <w:spacing w:after="0" w:line="137" w:lineRule="exact"/>
        <w:rPr>
          <w:sz w:val="20"/>
          <w:szCs w:val="20"/>
          <w:color w:val="auto"/>
        </w:rPr>
      </w:pPr>
    </w:p>
    <w:p>
      <w:pPr>
        <w:jc w:val="both"/>
        <w:ind w:firstLine="456"/>
        <w:spacing w:after="0" w:line="301" w:lineRule="auto"/>
        <w:rPr>
          <w:sz w:val="20"/>
          <w:szCs w:val="20"/>
          <w:color w:val="auto"/>
        </w:rPr>
      </w:pPr>
      <w:r>
        <w:rPr>
          <w:rFonts w:ascii="Arial" w:cs="Arial" w:eastAsia="Arial" w:hAnsi="Arial"/>
          <w:sz w:val="16"/>
          <w:szCs w:val="16"/>
          <w:color w:val="auto"/>
        </w:rPr>
        <w:t xml:space="preserve">SECTION 9.2 </w:t>
      </w:r>
      <w:r>
        <w:rPr>
          <w:rFonts w:ascii="Arial" w:cs="Arial" w:eastAsia="Arial" w:hAnsi="Arial"/>
          <w:sz w:val="16"/>
          <w:szCs w:val="16"/>
          <w:b w:val="1"/>
          <w:bCs w:val="1"/>
          <w:color w:val="auto"/>
        </w:rPr>
        <w:t>Security for Secured Obligations.</w:t>
      </w:r>
      <w:r>
        <w:rPr>
          <w:rFonts w:ascii="Arial" w:cs="Arial" w:eastAsia="Arial" w:hAnsi="Arial"/>
          <w:sz w:val="16"/>
          <w:szCs w:val="16"/>
          <w:color w:val="auto"/>
        </w:rPr>
        <w:t xml:space="preserve"> The Collateral of each Grantor under this Agreement secures the prompt and complete payment, performance and observance of all Obligations of such Grantor and the other Loan Parties under the Loan Documents (including such Grantor’s Obligations in respect of any Secured Swap Contract and any Secured Cash Management Services Agreement), whether for principal, interest, costs, fees, expenses, indemnities or otherwise and whether now or hereafter existing (all of such obligations being the “</w:t>
      </w:r>
      <w:r>
        <w:rPr>
          <w:rFonts w:ascii="Arial" w:cs="Arial" w:eastAsia="Arial" w:hAnsi="Arial"/>
          <w:sz w:val="16"/>
          <w:szCs w:val="16"/>
          <w:u w:val="single" w:color="auto"/>
          <w:color w:val="auto"/>
        </w:rPr>
        <w:t>Secured Obligations</w:t>
      </w:r>
      <w:r>
        <w:rPr>
          <w:rFonts w:ascii="Arial" w:cs="Arial" w:eastAsia="Arial" w:hAnsi="Arial"/>
          <w:sz w:val="16"/>
          <w:szCs w:val="16"/>
          <w:color w:val="auto"/>
        </w:rPr>
        <w:t>”).</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294" w:name="page295"/>
    <w:bookmarkEnd w:id="294"/>
    <w:p>
      <w:pPr>
        <w:jc w:val="both"/>
        <w:ind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9.3 </w:t>
      </w:r>
      <w:r>
        <w:rPr>
          <w:rFonts w:ascii="Arial" w:cs="Arial" w:eastAsia="Arial" w:hAnsi="Arial"/>
          <w:sz w:val="18"/>
          <w:szCs w:val="18"/>
          <w:b w:val="1"/>
          <w:bCs w:val="1"/>
          <w:color w:val="auto"/>
        </w:rPr>
        <w:t>Continuing Security Interest; Transfer of Credit Extensions.</w:t>
      </w:r>
      <w:r>
        <w:rPr>
          <w:rFonts w:ascii="Arial" w:cs="Arial" w:eastAsia="Arial" w:hAnsi="Arial"/>
          <w:sz w:val="18"/>
          <w:szCs w:val="18"/>
          <w:color w:val="auto"/>
        </w:rPr>
        <w:t xml:space="preserve"> This Agreement shall create a continuing security interest in the Collateral and shall remain in full force and effect until the Termination Date, be binding upon each Grantor, its successors, transferees and assigns, and inure, together with the rights and remedies of the Administrative Agent hereunder, to the benefit of the Administrative Agent and each other Secured Party. Without limiting the generality of the foregoing, any Secured Party may assign or otherwise transfer (in whole or in part) any Commitment or Loan held by it to any other Person, and such other Person shall thereupon become vested with all the rights and benefits in respect thereof granted to such Lender under any Loan Document (including this Agreement) or otherwise, subject, however, to any contrary provisions in such assignment or transfer, and to the provisions of Section 10.07 and Article IX of the Credit Agreement.</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b w:val="1"/>
          <w:bCs w:val="1"/>
          <w:color w:val="auto"/>
        </w:rPr>
        <w:t>Grantors Remain Liable.</w:t>
      </w:r>
      <w:r>
        <w:rPr>
          <w:rFonts w:ascii="Arial" w:cs="Arial" w:eastAsia="Arial" w:hAnsi="Arial"/>
          <w:sz w:val="18"/>
          <w:szCs w:val="18"/>
          <w:color w:val="auto"/>
        </w:rPr>
        <w:t xml:space="preserve"> Anything herein to the contrary notwithstanding</w:t>
      </w:r>
    </w:p>
    <w:p>
      <w:pPr>
        <w:spacing w:after="0" w:line="177" w:lineRule="exact"/>
        <w:rPr>
          <w:sz w:val="20"/>
          <w:szCs w:val="20"/>
          <w:color w:val="auto"/>
        </w:rPr>
      </w:pPr>
    </w:p>
    <w:p>
      <w:pPr>
        <w:jc w:val="both"/>
        <w:ind w:firstLine="921"/>
        <w:spacing w:after="0" w:line="259" w:lineRule="auto"/>
        <w:tabs>
          <w:tab w:leader="none" w:pos="1155" w:val="left"/>
        </w:tabs>
        <w:numPr>
          <w:ilvl w:val="0"/>
          <w:numId w:val="326"/>
        </w:numPr>
        <w:rPr>
          <w:rFonts w:ascii="Arial" w:cs="Arial" w:eastAsia="Arial" w:hAnsi="Arial"/>
          <w:sz w:val="18"/>
          <w:szCs w:val="18"/>
          <w:color w:val="auto"/>
        </w:rPr>
      </w:pPr>
      <w:r>
        <w:rPr>
          <w:rFonts w:ascii="Arial" w:cs="Arial" w:eastAsia="Arial" w:hAnsi="Arial"/>
          <w:sz w:val="18"/>
          <w:szCs w:val="18"/>
          <w:color w:val="auto"/>
        </w:rPr>
        <w:t>each Grantor shall remain liable under the contracts and agreements included in the Collateral (including the Material Contracts) to the extent set forth therein, and shall perform all of its duties and obligations under such contracts and agreements to the same extent as if this Agreement had not been executed,</w:t>
      </w:r>
    </w:p>
    <w:p>
      <w:pPr>
        <w:spacing w:after="0" w:line="140" w:lineRule="exact"/>
        <w:rPr>
          <w:rFonts w:ascii="Arial" w:cs="Arial" w:eastAsia="Arial" w:hAnsi="Arial"/>
          <w:sz w:val="18"/>
          <w:szCs w:val="18"/>
          <w:color w:val="auto"/>
        </w:rPr>
      </w:pPr>
    </w:p>
    <w:p>
      <w:pPr>
        <w:jc w:val="both"/>
        <w:ind w:right="20" w:firstLine="921"/>
        <w:spacing w:after="0" w:line="256" w:lineRule="auto"/>
        <w:tabs>
          <w:tab w:leader="none" w:pos="1162" w:val="left"/>
        </w:tabs>
        <w:numPr>
          <w:ilvl w:val="0"/>
          <w:numId w:val="326"/>
        </w:numPr>
        <w:rPr>
          <w:rFonts w:ascii="Arial" w:cs="Arial" w:eastAsia="Arial" w:hAnsi="Arial"/>
          <w:sz w:val="18"/>
          <w:szCs w:val="18"/>
          <w:color w:val="auto"/>
        </w:rPr>
      </w:pPr>
      <w:r>
        <w:rPr>
          <w:rFonts w:ascii="Arial" w:cs="Arial" w:eastAsia="Arial" w:hAnsi="Arial"/>
          <w:sz w:val="18"/>
          <w:szCs w:val="18"/>
          <w:color w:val="auto"/>
        </w:rPr>
        <w:t>each Grantor will comply in all material respects with all Laws relating to the ownership and operation of the Collateral, including all registration requirements under applicable Laws, and shall pay when due all taxes, fees and assessments imposed on or with respect to the Collateral, except to the extent the same are being contested in good faith by appropriate actions or proceedings for which adequate reserves in accordance with GAAP have been set aside by such Grantor,</w:t>
      </w:r>
    </w:p>
    <w:p>
      <w:pPr>
        <w:spacing w:after="0" w:line="143" w:lineRule="exact"/>
        <w:rPr>
          <w:rFonts w:ascii="Arial" w:cs="Arial" w:eastAsia="Arial" w:hAnsi="Arial"/>
          <w:sz w:val="18"/>
          <w:szCs w:val="18"/>
          <w:color w:val="auto"/>
        </w:rPr>
      </w:pPr>
    </w:p>
    <w:p>
      <w:pPr>
        <w:ind w:firstLine="921"/>
        <w:spacing w:after="0" w:line="268" w:lineRule="auto"/>
        <w:tabs>
          <w:tab w:leader="none" w:pos="1161"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the exercise by the Administrative Agent of any of its rights hereunder shall not release any Grantor from any of its duties or obligations under any such contracts or agreements included in the Collateral, and</w:t>
      </w:r>
    </w:p>
    <w:p>
      <w:pPr>
        <w:spacing w:after="0" w:line="131" w:lineRule="exact"/>
        <w:rPr>
          <w:rFonts w:ascii="Arial" w:cs="Arial" w:eastAsia="Arial" w:hAnsi="Arial"/>
          <w:sz w:val="18"/>
          <w:szCs w:val="18"/>
          <w:color w:val="auto"/>
        </w:rPr>
      </w:pPr>
    </w:p>
    <w:p>
      <w:pPr>
        <w:jc w:val="both"/>
        <w:ind w:firstLine="921"/>
        <w:spacing w:after="0" w:line="306" w:lineRule="auto"/>
        <w:tabs>
          <w:tab w:leader="none" w:pos="1187" w:val="left"/>
        </w:tabs>
        <w:numPr>
          <w:ilvl w:val="0"/>
          <w:numId w:val="326"/>
        </w:numPr>
        <w:rPr>
          <w:rFonts w:ascii="Arial" w:cs="Arial" w:eastAsia="Arial" w:hAnsi="Arial"/>
          <w:sz w:val="16"/>
          <w:szCs w:val="16"/>
          <w:color w:val="auto"/>
        </w:rPr>
      </w:pPr>
      <w:r>
        <w:rPr>
          <w:rFonts w:ascii="Arial" w:cs="Arial" w:eastAsia="Arial" w:hAnsi="Arial"/>
          <w:sz w:val="16"/>
          <w:szCs w:val="16"/>
          <w:color w:val="auto"/>
        </w:rPr>
        <w:t>neither the Administrative Agent nor any other Secured Party shall have any obligation or liability under any such contracts or agreements included in the Collateral by reason of this Agreement, nor shall the Administrative Agent or any other Secured Party be obligated to perform any of the obligations or duties of any Grantor thereunder or to take any action to collect or enforce any claim for payment assigned hereunder.</w:t>
      </w:r>
    </w:p>
    <w:p>
      <w:pPr>
        <w:spacing w:after="0" w:line="101" w:lineRule="exact"/>
        <w:rPr>
          <w:sz w:val="20"/>
          <w:szCs w:val="20"/>
          <w:color w:val="auto"/>
        </w:rPr>
      </w:pPr>
    </w:p>
    <w:p>
      <w:pPr>
        <w:ind w:firstLine="456"/>
        <w:spacing w:after="0" w:line="339" w:lineRule="auto"/>
        <w:rPr>
          <w:sz w:val="20"/>
          <w:szCs w:val="20"/>
          <w:color w:val="auto"/>
        </w:rPr>
      </w:pPr>
      <w:r>
        <w:rPr>
          <w:rFonts w:ascii="Arial" w:cs="Arial" w:eastAsia="Arial" w:hAnsi="Arial"/>
          <w:sz w:val="16"/>
          <w:szCs w:val="16"/>
          <w:color w:val="auto"/>
        </w:rPr>
        <w:t xml:space="preserve">SECTION 9.5 </w:t>
      </w:r>
      <w:r>
        <w:rPr>
          <w:rFonts w:ascii="Arial" w:cs="Arial" w:eastAsia="Arial" w:hAnsi="Arial"/>
          <w:sz w:val="16"/>
          <w:szCs w:val="16"/>
          <w:b w:val="1"/>
          <w:bCs w:val="1"/>
          <w:color w:val="auto"/>
        </w:rPr>
        <w:t>Security Interest Absolute.</w:t>
      </w:r>
      <w:r>
        <w:rPr>
          <w:rFonts w:ascii="Arial" w:cs="Arial" w:eastAsia="Arial" w:hAnsi="Arial"/>
          <w:sz w:val="16"/>
          <w:szCs w:val="16"/>
          <w:color w:val="auto"/>
        </w:rPr>
        <w:t xml:space="preserve"> All rights of the Administrative Agent and the security interests granted to the Administrative Agent hereunder, and all obligations of each Grantor hereunder, shall be absolute and unconditional, irrespective of any of the following conditions, occurrences or events:</w:t>
      </w:r>
    </w:p>
    <w:p>
      <w:pPr>
        <w:spacing w:after="0" w:line="8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any lack of validity or enforceability of any Loan Document;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295" w:name="page296"/>
    <w:bookmarkEnd w:id="295"/>
    <w:p>
      <w:pPr>
        <w:jc w:val="both"/>
        <w:ind w:firstLine="921"/>
        <w:spacing w:after="0" w:line="259" w:lineRule="auto"/>
        <w:tabs>
          <w:tab w:leader="none" w:pos="1168" w:val="left"/>
        </w:tabs>
        <w:numPr>
          <w:ilvl w:val="0"/>
          <w:numId w:val="3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failure of any Secured Party to assert any claim or demand or to enforce any right or remedy against the Borrower, any other Grantor or any other Person under the provisions of any Loan Document or otherwise or to exercise any right or remedy against any other guarantor of, or collateral securing, any Secured Obligation;</w:t>
      </w:r>
    </w:p>
    <w:p>
      <w:pPr>
        <w:spacing w:after="0" w:line="140" w:lineRule="exact"/>
        <w:rPr>
          <w:rFonts w:ascii="Arial" w:cs="Arial" w:eastAsia="Arial" w:hAnsi="Arial"/>
          <w:sz w:val="18"/>
          <w:szCs w:val="18"/>
          <w:color w:val="auto"/>
        </w:rPr>
      </w:pPr>
    </w:p>
    <w:p>
      <w:pPr>
        <w:jc w:val="both"/>
        <w:ind w:firstLine="921"/>
        <w:spacing w:after="0" w:line="259" w:lineRule="auto"/>
        <w:tabs>
          <w:tab w:leader="none" w:pos="1167" w:val="left"/>
        </w:tabs>
        <w:numPr>
          <w:ilvl w:val="0"/>
          <w:numId w:val="327"/>
        </w:numPr>
        <w:rPr>
          <w:rFonts w:ascii="Arial" w:cs="Arial" w:eastAsia="Arial" w:hAnsi="Arial"/>
          <w:sz w:val="18"/>
          <w:szCs w:val="18"/>
          <w:color w:val="auto"/>
        </w:rPr>
      </w:pPr>
      <w:r>
        <w:rPr>
          <w:rFonts w:ascii="Arial" w:cs="Arial" w:eastAsia="Arial" w:hAnsi="Arial"/>
          <w:sz w:val="18"/>
          <w:szCs w:val="18"/>
          <w:color w:val="auto"/>
        </w:rPr>
        <w:t>any change in the time, manner or place of payment of, or in any other term of, all or any of the Secured Obligations or any other extension, compromise or renewal of any Secured Obligation, including any increase in the Secured Obligations resulting from the extension of additional credit to any Grantor or any other obligor or otherwise;</w:t>
      </w:r>
    </w:p>
    <w:p>
      <w:pPr>
        <w:spacing w:after="0" w:line="140" w:lineRule="exact"/>
        <w:rPr>
          <w:rFonts w:ascii="Arial" w:cs="Arial" w:eastAsia="Arial" w:hAnsi="Arial"/>
          <w:sz w:val="18"/>
          <w:szCs w:val="18"/>
          <w:color w:val="auto"/>
        </w:rPr>
      </w:pPr>
    </w:p>
    <w:p>
      <w:pPr>
        <w:jc w:val="both"/>
        <w:ind w:firstLine="921"/>
        <w:spacing w:after="0" w:line="256" w:lineRule="auto"/>
        <w:tabs>
          <w:tab w:leader="none" w:pos="1166" w:val="left"/>
        </w:tabs>
        <w:numPr>
          <w:ilvl w:val="0"/>
          <w:numId w:val="327"/>
        </w:numPr>
        <w:rPr>
          <w:rFonts w:ascii="Arial" w:cs="Arial" w:eastAsia="Arial" w:hAnsi="Arial"/>
          <w:sz w:val="18"/>
          <w:szCs w:val="18"/>
          <w:color w:val="auto"/>
        </w:rPr>
      </w:pPr>
      <w:r>
        <w:rPr>
          <w:rFonts w:ascii="Arial" w:cs="Arial" w:eastAsia="Arial" w:hAnsi="Arial"/>
          <w:sz w:val="18"/>
          <w:szCs w:val="18"/>
          <w:color w:val="auto"/>
        </w:rPr>
        <w:t>any reduction, limitation, impairment or termination of any Secured Obligation for any reason, including any claim of waiver, release, surrender, alteration or compromise, and shall not be subject to (and each Grantor hereby waives any right to or claim of) any defense or setoff, counterclaim, recoupment or termination whatsoever by reason of the invalidity, illegality, nongenuineness, irregularity, compromise, unenforceability of, or any other event or occurrence affecting, any Secured Obligation or otherwise;</w:t>
      </w:r>
    </w:p>
    <w:p>
      <w:pPr>
        <w:spacing w:after="0" w:line="143" w:lineRule="exact"/>
        <w:rPr>
          <w:rFonts w:ascii="Arial" w:cs="Arial" w:eastAsia="Arial" w:hAnsi="Arial"/>
          <w:sz w:val="18"/>
          <w:szCs w:val="18"/>
          <w:color w:val="auto"/>
        </w:rPr>
      </w:pPr>
    </w:p>
    <w:p>
      <w:pPr>
        <w:ind w:left="1160" w:hanging="239"/>
        <w:spacing w:after="0"/>
        <w:tabs>
          <w:tab w:leader="none" w:pos="1160" w:val="left"/>
        </w:tabs>
        <w:numPr>
          <w:ilvl w:val="0"/>
          <w:numId w:val="327"/>
        </w:numPr>
        <w:rPr>
          <w:rFonts w:ascii="Arial" w:cs="Arial" w:eastAsia="Arial" w:hAnsi="Arial"/>
          <w:sz w:val="16"/>
          <w:szCs w:val="16"/>
          <w:color w:val="auto"/>
        </w:rPr>
      </w:pPr>
      <w:r>
        <w:rPr>
          <w:rFonts w:ascii="Arial" w:cs="Arial" w:eastAsia="Arial" w:hAnsi="Arial"/>
          <w:sz w:val="16"/>
          <w:szCs w:val="16"/>
          <w:color w:val="auto"/>
        </w:rPr>
        <w:t>any amendment to, rescission, waiver, or other modification of, or any consent to departure from, any of the terms of any Loan Document;</w:t>
      </w:r>
    </w:p>
    <w:p>
      <w:pPr>
        <w:spacing w:after="0" w:line="194" w:lineRule="exact"/>
        <w:rPr>
          <w:rFonts w:ascii="Arial" w:cs="Arial" w:eastAsia="Arial" w:hAnsi="Arial"/>
          <w:sz w:val="16"/>
          <w:szCs w:val="16"/>
          <w:color w:val="auto"/>
        </w:rPr>
      </w:pPr>
    </w:p>
    <w:p>
      <w:pPr>
        <w:ind w:right="20" w:firstLine="921"/>
        <w:spacing w:after="0" w:line="268" w:lineRule="auto"/>
        <w:tabs>
          <w:tab w:leader="none" w:pos="1134" w:val="left"/>
        </w:tabs>
        <w:numPr>
          <w:ilvl w:val="0"/>
          <w:numId w:val="327"/>
        </w:numPr>
        <w:rPr>
          <w:rFonts w:ascii="Arial" w:cs="Arial" w:eastAsia="Arial" w:hAnsi="Arial"/>
          <w:sz w:val="18"/>
          <w:szCs w:val="18"/>
          <w:color w:val="auto"/>
        </w:rPr>
      </w:pPr>
      <w:r>
        <w:rPr>
          <w:rFonts w:ascii="Arial" w:cs="Arial" w:eastAsia="Arial" w:hAnsi="Arial"/>
          <w:sz w:val="18"/>
          <w:szCs w:val="18"/>
          <w:color w:val="auto"/>
        </w:rPr>
        <w:t>any addition, exchange, release, surrender or non-perfection of any collateral (including the Collateral), or any amendment to or waiver or release of or addition to or consent to departure from any guaranty, for any of the Secured Obligations; or</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327"/>
        </w:numPr>
        <w:rPr>
          <w:rFonts w:ascii="Arial" w:cs="Arial" w:eastAsia="Arial" w:hAnsi="Arial"/>
          <w:sz w:val="15"/>
          <w:szCs w:val="15"/>
          <w:color w:val="auto"/>
        </w:rPr>
      </w:pPr>
      <w:r>
        <w:rPr>
          <w:rFonts w:ascii="Arial" w:cs="Arial" w:eastAsia="Arial" w:hAnsi="Arial"/>
          <w:sz w:val="15"/>
          <w:szCs w:val="15"/>
          <w:color w:val="auto"/>
        </w:rPr>
        <w:t>any other circumstances which might otherwise constitute a defense available to, or a legal or equitable discharge of, Borrower, any other Grantor</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or otherwise.</w:t>
      </w:r>
    </w:p>
    <w:p>
      <w:pPr>
        <w:spacing w:after="0" w:line="159"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 xml:space="preserve">SECTION 9.6 </w:t>
      </w:r>
      <w:r>
        <w:rPr>
          <w:rFonts w:ascii="Arial" w:cs="Arial" w:eastAsia="Arial" w:hAnsi="Arial"/>
          <w:sz w:val="16"/>
          <w:szCs w:val="16"/>
          <w:b w:val="1"/>
          <w:bCs w:val="1"/>
          <w:color w:val="auto"/>
        </w:rPr>
        <w:t>Waiver of Subrogation.</w:t>
      </w:r>
      <w:r>
        <w:rPr>
          <w:rFonts w:ascii="Arial" w:cs="Arial" w:eastAsia="Arial" w:hAnsi="Arial"/>
          <w:sz w:val="16"/>
          <w:szCs w:val="16"/>
          <w:color w:val="auto"/>
        </w:rPr>
        <w:t xml:space="preserve"> Until the Termination Date, no Grantor shall exercise any claim or other rights which it may now or hereafter acquire against any other Grantor that arises from the existence, payment, performance or enforcement of such Grantor’s Obligations under this Agreement, including any right of subrogation, reimbursement, exoneration or indemnification, any right to participate in any claim or remedy against any other Grantor or any Collateral which the Administrative Agent now has or hereafter acquires, whether or not such claim, remedy or right arises in equity or under contract, statute or common law, including the right to take or receive from any other Grantor, directly or indirectly, in cash or other property or by setoff or in any manner, payment or security on account of such claim or other rights. If any amount shall be paid to any Grantor in violation of the preceding sentence, such amount shall be deemed to have been paid for the benefit of the Secured Parties, and shall forthwith be paid to the Administrative Agent to be credited and applied upon the Secured Obligations, whether matured or unmatured. Each Grantor acknowledges that it will receive direct and indirect benefits for the financing arrangements contemplated by the Loan Documents and that the agreement set forth in this Section is knowingly made in contemplation of such benefits.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9.7 </w:t>
      </w:r>
      <w:r>
        <w:rPr>
          <w:rFonts w:ascii="Arial" w:cs="Arial" w:eastAsia="Arial" w:hAnsi="Arial"/>
          <w:sz w:val="18"/>
          <w:szCs w:val="18"/>
          <w:b w:val="1"/>
          <w:bCs w:val="1"/>
          <w:color w:val="auto"/>
        </w:rPr>
        <w:t>Release; Termination</w:t>
      </w:r>
      <w:r>
        <w:rPr>
          <w:rFonts w:ascii="Arial" w:cs="Arial" w:eastAsia="Arial" w:hAnsi="Arial"/>
          <w:sz w:val="18"/>
          <w:szCs w:val="18"/>
          <w:color w:val="auto"/>
        </w:rPr>
        <w:t>.</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Upon any sale, transfer or other disposition of any item of Collateral, whether direct or indirect, of any Grantor in accordance with Section 7.05</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of the Credit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296" w:name="page297"/>
    <w:bookmarkEnd w:id="296"/>
    <w:p>
      <w:pPr>
        <w:jc w:val="both"/>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Agreement, the Administrative Agent will, at such Grantor’s expense and without any representations, warranties or recourse of any kind whatsoever, execute and deliver to such Grantor such documents as such Grantor shall reasonably request to evidence the release of such item of Collateral from the assignment and security interest granted hereby;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(i) at the time of such request and such release no Event of Default shall have occurred and be continuing and (ii) such Grantor shall have delivered to the Administrative Agent, at least ten Business Days prior to the date of the proposed release, a written request for release describing the item of Collateral and the terms of the sale, lease, transfer or other disposition in reasonable detail, including the price thereof and any expenses in connection therewith, together with a form of release for execution by the Administrative Agent (which release shall be in form and substance satisfactory to the Administrative Agent) and a certificate of such Grantor to the effect that the transaction is in compliance with the Loan Documents and as to such other matters as the Administrative Agent (or the Required Lenders through the Administrative Agent) may reasonably request. The provisions of this Section 2.7(a) shall apply to Dispositions of the capital stock of a Grantor (whether direct or indirect) in compliance with Section 7.05 of the Credit Agreement.</w:t>
      </w:r>
    </w:p>
    <w:p>
      <w:pPr>
        <w:spacing w:after="0" w:line="39" w:lineRule="exact"/>
        <w:rPr>
          <w:sz w:val="20"/>
          <w:szCs w:val="20"/>
          <w:color w:val="auto"/>
        </w:rPr>
      </w:pPr>
    </w:p>
    <w:p>
      <w:pPr>
        <w:jc w:val="both"/>
        <w:ind w:firstLine="921"/>
        <w:spacing w:after="0" w:line="255" w:lineRule="auto"/>
        <w:tabs>
          <w:tab w:leader="none" w:pos="1163" w:val="left"/>
        </w:tabs>
        <w:numPr>
          <w:ilvl w:val="0"/>
          <w:numId w:val="328"/>
        </w:numPr>
        <w:rPr>
          <w:rFonts w:ascii="Arial" w:cs="Arial" w:eastAsia="Arial" w:hAnsi="Arial"/>
          <w:sz w:val="18"/>
          <w:szCs w:val="18"/>
          <w:color w:val="auto"/>
        </w:rPr>
      </w:pPr>
      <w:r>
        <w:rPr>
          <w:rFonts w:ascii="Arial" w:cs="Arial" w:eastAsia="Arial" w:hAnsi="Arial"/>
          <w:sz w:val="18"/>
          <w:szCs w:val="18"/>
          <w:color w:val="auto"/>
        </w:rPr>
        <w:t>Upon the Termination Date, the pledge, assignment and security interest granted hereby shall terminate and all rights to the Collateral shall revert to the applicable Grantor. Upon any such termination, the Administrative Agent will, at the applicable Grantor’s expense and without any representations, warranties or recourse of any kind whatsoever, execute and deliver to such Grantor such documents as such Grantor shall reasonably request to evidence such termination and deliver to such Grantor all Instruments, Tangible Chattel Paper and negotiable documents representing or evidencing the Collateral then held by the Administrative Agent.</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Grantor represents and warrants unto each Secured Party as set forth in this Article.</w:t>
      </w:r>
    </w:p>
    <w:p>
      <w:pPr>
        <w:spacing w:after="0" w:line="165" w:lineRule="exact"/>
        <w:rPr>
          <w:sz w:val="20"/>
          <w:szCs w:val="20"/>
          <w:color w:val="auto"/>
        </w:rPr>
      </w:pPr>
    </w:p>
    <w:p>
      <w:pPr>
        <w:ind w:right="20" w:firstLine="456"/>
        <w:spacing w:after="0" w:line="339"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b w:val="1"/>
          <w:bCs w:val="1"/>
          <w:color w:val="auto"/>
        </w:rPr>
        <w:t>Scheduled Information.</w:t>
      </w:r>
      <w:r>
        <w:rPr>
          <w:rFonts w:ascii="Arial" w:cs="Arial" w:eastAsia="Arial" w:hAnsi="Arial"/>
          <w:sz w:val="16"/>
          <w:szCs w:val="16"/>
          <w:color w:val="auto"/>
        </w:rPr>
        <w:t xml:space="preserve"> Set forth in the Schedules to this Agreement is the following information for each Grantor, all of which is accurate and complete as of the Closing Date and as of each date on which such Schedules are supplemented pursuant to </w:t>
      </w:r>
      <w:r>
        <w:rPr>
          <w:rFonts w:ascii="Arial" w:cs="Arial" w:eastAsia="Arial" w:hAnsi="Arial"/>
          <w:sz w:val="16"/>
          <w:szCs w:val="16"/>
          <w:u w:val="single" w:color="auto"/>
          <w:color w:val="auto"/>
        </w:rPr>
        <w:t>Section 4.14</w:t>
      </w:r>
      <w:r>
        <w:rPr>
          <w:rFonts w:ascii="Arial" w:cs="Arial" w:eastAsia="Arial" w:hAnsi="Arial"/>
          <w:sz w:val="16"/>
          <w:szCs w:val="16"/>
          <w:color w:val="auto"/>
        </w:rPr>
        <w:t xml:space="preserve"> hereof:</w:t>
      </w:r>
    </w:p>
    <w:p>
      <w:pPr>
        <w:spacing w:after="0" w:line="80" w:lineRule="exact"/>
        <w:rPr>
          <w:sz w:val="20"/>
          <w:szCs w:val="20"/>
          <w:color w:val="auto"/>
        </w:rPr>
      </w:pPr>
    </w:p>
    <w:p>
      <w:pPr>
        <w:jc w:val="both"/>
        <w:ind w:firstLine="921"/>
        <w:spacing w:after="0" w:line="256" w:lineRule="auto"/>
        <w:tabs>
          <w:tab w:leader="none" w:pos="1152" w:val="left"/>
        </w:tabs>
        <w:numPr>
          <w:ilvl w:val="0"/>
          <w:numId w:val="329"/>
        </w:numPr>
        <w:rPr>
          <w:rFonts w:ascii="Arial" w:cs="Arial" w:eastAsia="Arial" w:hAnsi="Arial"/>
          <w:sz w:val="18"/>
          <w:szCs w:val="18"/>
          <w:color w:val="auto"/>
        </w:rPr>
      </w:pPr>
      <w:r>
        <w:rPr>
          <w:rFonts w:ascii="Arial" w:cs="Arial" w:eastAsia="Arial" w:hAnsi="Arial"/>
          <w:sz w:val="18"/>
          <w:szCs w:val="18"/>
          <w:u w:val="single" w:color="auto"/>
          <w:color w:val="auto"/>
        </w:rPr>
        <w:t>Location of Grantors</w:t>
      </w:r>
      <w:r>
        <w:rPr>
          <w:rFonts w:ascii="Arial" w:cs="Arial" w:eastAsia="Arial" w:hAnsi="Arial"/>
          <w:sz w:val="18"/>
          <w:szCs w:val="18"/>
          <w:color w:val="auto"/>
        </w:rPr>
        <w:t xml:space="preserve">. </w:t>
      </w:r>
      <w:r>
        <w:rPr>
          <w:rFonts w:ascii="Arial" w:cs="Arial" w:eastAsia="Arial" w:hAnsi="Arial"/>
          <w:sz w:val="18"/>
          <w:szCs w:val="18"/>
          <w:u w:val="single" w:color="auto"/>
          <w:color w:val="auto"/>
        </w:rPr>
        <w:t>Item A</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identifies for such Grantor (i) the state in which it is organized, (ii) the relevant organizational identification number (or states that one does not exist), and (iii) the principal place of business and chief executive office of such Grantor and the office where such Grantor keeps its records concerning the Collateral, and where the original copies of each Material Contract and all originals of all Tangible Chattel Paper are located.</w:t>
      </w:r>
    </w:p>
    <w:p>
      <w:pPr>
        <w:spacing w:after="0" w:line="143" w:lineRule="exact"/>
        <w:rPr>
          <w:rFonts w:ascii="Arial" w:cs="Arial" w:eastAsia="Arial" w:hAnsi="Arial"/>
          <w:sz w:val="18"/>
          <w:szCs w:val="18"/>
          <w:color w:val="auto"/>
        </w:rPr>
      </w:pPr>
    </w:p>
    <w:p>
      <w:pPr>
        <w:jc w:val="both"/>
        <w:ind w:firstLine="921"/>
        <w:spacing w:after="0" w:line="256" w:lineRule="auto"/>
        <w:tabs>
          <w:tab w:leader="none" w:pos="1175" w:val="left"/>
        </w:tabs>
        <w:numPr>
          <w:ilvl w:val="0"/>
          <w:numId w:val="329"/>
        </w:numPr>
        <w:rPr>
          <w:rFonts w:ascii="Arial" w:cs="Arial" w:eastAsia="Arial" w:hAnsi="Arial"/>
          <w:sz w:val="18"/>
          <w:szCs w:val="18"/>
          <w:color w:val="auto"/>
        </w:rPr>
      </w:pPr>
      <w:r>
        <w:rPr>
          <w:rFonts w:ascii="Arial" w:cs="Arial" w:eastAsia="Arial" w:hAnsi="Arial"/>
          <w:sz w:val="18"/>
          <w:szCs w:val="18"/>
          <w:u w:val="single" w:color="auto"/>
          <w:color w:val="auto"/>
        </w:rPr>
        <w:t>Owned Properties</w:t>
      </w:r>
      <w:r>
        <w:rPr>
          <w:rFonts w:ascii="Arial" w:cs="Arial" w:eastAsia="Arial" w:hAnsi="Arial"/>
          <w:sz w:val="18"/>
          <w:szCs w:val="18"/>
          <w:color w:val="auto"/>
        </w:rPr>
        <w:t xml:space="preserve">. Except as disclosed in </w:t>
      </w:r>
      <w:r>
        <w:rPr>
          <w:rFonts w:ascii="Arial" w:cs="Arial" w:eastAsia="Arial" w:hAnsi="Arial"/>
          <w:sz w:val="18"/>
          <w:szCs w:val="18"/>
          <w:u w:val="single" w:color="auto"/>
          <w:color w:val="auto"/>
        </w:rPr>
        <w:t>Item C</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(as such Schedule may be supplemented from time to time pursuant to </w:t>
      </w:r>
      <w:r>
        <w:rPr>
          <w:rFonts w:ascii="Arial" w:cs="Arial" w:eastAsia="Arial" w:hAnsi="Arial"/>
          <w:sz w:val="18"/>
          <w:szCs w:val="18"/>
          <w:u w:val="single" w:color="auto"/>
          <w:color w:val="auto"/>
        </w:rPr>
        <w:t>Section 4.14</w:t>
      </w:r>
      <w:r>
        <w:rPr>
          <w:rFonts w:ascii="Arial" w:cs="Arial" w:eastAsia="Arial" w:hAnsi="Arial"/>
          <w:sz w:val="18"/>
          <w:szCs w:val="18"/>
          <w:color w:val="auto"/>
        </w:rPr>
        <w:t xml:space="preserve"> hereof), as of the date of this Agreement, or as of the date of the most recent such supplement, all of the Equipment and Inventory of such Grantor are located at the places specified in </w:t>
      </w:r>
      <w:r>
        <w:rPr>
          <w:rFonts w:ascii="Arial" w:cs="Arial" w:eastAsia="Arial" w:hAnsi="Arial"/>
          <w:sz w:val="18"/>
          <w:szCs w:val="18"/>
          <w:u w:val="single" w:color="auto"/>
          <w:color w:val="auto"/>
        </w:rPr>
        <w:t>Item 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(as such Schedule may be supplemented from time to time pursuant to </w:t>
      </w:r>
      <w:r>
        <w:rPr>
          <w:rFonts w:ascii="Arial" w:cs="Arial" w:eastAsia="Arial" w:hAnsi="Arial"/>
          <w:sz w:val="18"/>
          <w:szCs w:val="18"/>
          <w:u w:val="single" w:color="auto"/>
          <w:color w:val="auto"/>
        </w:rPr>
        <w:t>Section 4.14</w:t>
      </w:r>
      <w:r>
        <w:rPr>
          <w:rFonts w:ascii="Arial" w:cs="Arial" w:eastAsia="Arial" w:hAnsi="Arial"/>
          <w:sz w:val="18"/>
          <w:szCs w:val="18"/>
          <w:color w:val="auto"/>
        </w:rPr>
        <w:t xml:space="preserve"> hereof), each of which locations is owned by a Grantor.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297" w:name="page298"/>
    <w:bookmarkEnd w:id="297"/>
    <w:p>
      <w:pPr>
        <w:jc w:val="both"/>
        <w:ind w:firstLine="921"/>
        <w:spacing w:after="0" w:line="256" w:lineRule="auto"/>
        <w:tabs>
          <w:tab w:leader="none" w:pos="1165" w:val="left"/>
        </w:tabs>
        <w:numPr>
          <w:ilvl w:val="0"/>
          <w:numId w:val="33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Leased Properties; Warehouses; etc</w:t>
      </w:r>
      <w:r>
        <w:rPr>
          <w:rFonts w:ascii="Arial" w:cs="Arial" w:eastAsia="Arial" w:hAnsi="Arial"/>
          <w:sz w:val="18"/>
          <w:szCs w:val="18"/>
          <w:color w:val="auto"/>
        </w:rPr>
        <w:t xml:space="preserve">. Except as disclosed in </w:t>
      </w:r>
      <w:r>
        <w:rPr>
          <w:rFonts w:ascii="Arial" w:cs="Arial" w:eastAsia="Arial" w:hAnsi="Arial"/>
          <w:sz w:val="18"/>
          <w:szCs w:val="18"/>
          <w:u w:val="single" w:color="auto"/>
          <w:color w:val="auto"/>
        </w:rPr>
        <w:t>Item C</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(as such Schedule may be supplemented from time to time pursuant to </w:t>
      </w:r>
      <w:r>
        <w:rPr>
          <w:rFonts w:ascii="Arial" w:cs="Arial" w:eastAsia="Arial" w:hAnsi="Arial"/>
          <w:sz w:val="18"/>
          <w:szCs w:val="18"/>
          <w:u w:val="single" w:color="auto"/>
          <w:color w:val="auto"/>
        </w:rPr>
        <w:t>Section 4.14(b)</w:t>
      </w:r>
      <w:r>
        <w:rPr>
          <w:rFonts w:ascii="Arial" w:cs="Arial" w:eastAsia="Arial" w:hAnsi="Arial"/>
          <w:sz w:val="18"/>
          <w:szCs w:val="18"/>
          <w:color w:val="auto"/>
        </w:rPr>
        <w:t xml:space="preserve"> hereof), as of the date of this Agreement, or as of the date of the most recent such supplement, none of the Collateral is in the possession of any consignee, bailee, warehouseman, agent or processor, located on any leased property or subject to the Control of any Person, other than the Administrative Agent, such Grantor or another Grantor.</w:t>
      </w:r>
    </w:p>
    <w:p>
      <w:pPr>
        <w:spacing w:after="0" w:line="143" w:lineRule="exact"/>
        <w:rPr>
          <w:rFonts w:ascii="Arial" w:cs="Arial" w:eastAsia="Arial" w:hAnsi="Arial"/>
          <w:sz w:val="18"/>
          <w:szCs w:val="18"/>
          <w:color w:val="auto"/>
        </w:rPr>
      </w:pPr>
    </w:p>
    <w:p>
      <w:pPr>
        <w:ind w:firstLine="921"/>
        <w:spacing w:after="0" w:line="268" w:lineRule="auto"/>
        <w:tabs>
          <w:tab w:leader="none" w:pos="1161" w:val="left"/>
        </w:tabs>
        <w:numPr>
          <w:ilvl w:val="0"/>
          <w:numId w:val="330"/>
        </w:numPr>
        <w:rPr>
          <w:rFonts w:ascii="Arial" w:cs="Arial" w:eastAsia="Arial" w:hAnsi="Arial"/>
          <w:sz w:val="18"/>
          <w:szCs w:val="18"/>
          <w:color w:val="auto"/>
        </w:rPr>
      </w:pPr>
      <w:r>
        <w:rPr>
          <w:rFonts w:ascii="Arial" w:cs="Arial" w:eastAsia="Arial" w:hAnsi="Arial"/>
          <w:sz w:val="18"/>
          <w:szCs w:val="18"/>
          <w:u w:val="single" w:color="auto"/>
          <w:color w:val="auto"/>
        </w:rPr>
        <w:t>Trade Names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Item D</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such Grantor has no trade names and has not been known by any legal name different from the one set forth on the signature page hereto.</w:t>
      </w:r>
    </w:p>
    <w:p>
      <w:pPr>
        <w:spacing w:after="0" w:line="131" w:lineRule="exact"/>
        <w:rPr>
          <w:rFonts w:ascii="Arial" w:cs="Arial" w:eastAsia="Arial" w:hAnsi="Arial"/>
          <w:sz w:val="18"/>
          <w:szCs w:val="18"/>
          <w:color w:val="auto"/>
        </w:rPr>
      </w:pPr>
    </w:p>
    <w:p>
      <w:pPr>
        <w:jc w:val="both"/>
        <w:ind w:firstLine="921"/>
        <w:spacing w:after="0" w:line="259" w:lineRule="auto"/>
        <w:tabs>
          <w:tab w:leader="none" w:pos="1165" w:val="left"/>
        </w:tabs>
        <w:numPr>
          <w:ilvl w:val="0"/>
          <w:numId w:val="330"/>
        </w:numPr>
        <w:rPr>
          <w:rFonts w:ascii="Arial" w:cs="Arial" w:eastAsia="Arial" w:hAnsi="Arial"/>
          <w:sz w:val="18"/>
          <w:szCs w:val="18"/>
          <w:color w:val="auto"/>
        </w:rPr>
      </w:pPr>
      <w:r>
        <w:rPr>
          <w:rFonts w:ascii="Arial" w:cs="Arial" w:eastAsia="Arial" w:hAnsi="Arial"/>
          <w:sz w:val="18"/>
          <w:szCs w:val="18"/>
          <w:u w:val="single" w:color="auto"/>
          <w:color w:val="auto"/>
        </w:rPr>
        <w:t>Commercial Torts Claims</w:t>
      </w:r>
      <w:r>
        <w:rPr>
          <w:rFonts w:ascii="Arial" w:cs="Arial" w:eastAsia="Arial" w:hAnsi="Arial"/>
          <w:sz w:val="18"/>
          <w:szCs w:val="18"/>
          <w:color w:val="auto"/>
        </w:rPr>
        <w:t xml:space="preserve">. </w:t>
      </w:r>
      <w:r>
        <w:rPr>
          <w:rFonts w:ascii="Arial" w:cs="Arial" w:eastAsia="Arial" w:hAnsi="Arial"/>
          <w:sz w:val="18"/>
          <w:szCs w:val="18"/>
          <w:u w:val="single" w:color="auto"/>
          <w:color w:val="auto"/>
        </w:rPr>
        <w:t>Item E</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(as such Schedule may be supplemented from time to time pursuant to </w:t>
      </w:r>
      <w:r>
        <w:rPr>
          <w:rFonts w:ascii="Arial" w:cs="Arial" w:eastAsia="Arial" w:hAnsi="Arial"/>
          <w:sz w:val="18"/>
          <w:szCs w:val="18"/>
          <w:u w:val="single" w:color="auto"/>
          <w:color w:val="auto"/>
        </w:rPr>
        <w:t>Section 4.14</w:t>
      </w:r>
      <w:r>
        <w:rPr>
          <w:rFonts w:ascii="Arial" w:cs="Arial" w:eastAsia="Arial" w:hAnsi="Arial"/>
          <w:sz w:val="18"/>
          <w:szCs w:val="18"/>
          <w:color w:val="auto"/>
        </w:rPr>
        <w:t xml:space="preserve"> hereof), describes all Commercial Tort Claims owned by each Grantor as of the date hereof and as of the date of each supplement to such Schedule delivered pursuant to </w:t>
      </w:r>
      <w:r>
        <w:rPr>
          <w:rFonts w:ascii="Arial" w:cs="Arial" w:eastAsia="Arial" w:hAnsi="Arial"/>
          <w:sz w:val="18"/>
          <w:szCs w:val="18"/>
          <w:u w:val="single" w:color="auto"/>
          <w:color w:val="auto"/>
        </w:rPr>
        <w:t>Section 4.14</w:t>
      </w:r>
      <w:r>
        <w:rPr>
          <w:rFonts w:ascii="Arial" w:cs="Arial" w:eastAsia="Arial" w:hAnsi="Arial"/>
          <w:sz w:val="18"/>
          <w:szCs w:val="18"/>
          <w:color w:val="auto"/>
        </w:rPr>
        <w:t xml:space="preserve"> hereof.</w:t>
      </w:r>
    </w:p>
    <w:p>
      <w:pPr>
        <w:spacing w:after="0" w:line="140" w:lineRule="exact"/>
        <w:rPr>
          <w:rFonts w:ascii="Arial" w:cs="Arial" w:eastAsia="Arial" w:hAnsi="Arial"/>
          <w:sz w:val="18"/>
          <w:szCs w:val="18"/>
          <w:color w:val="auto"/>
        </w:rPr>
      </w:pPr>
    </w:p>
    <w:p>
      <w:pPr>
        <w:ind w:firstLine="921"/>
        <w:spacing w:after="0" w:line="268" w:lineRule="auto"/>
        <w:tabs>
          <w:tab w:leader="none" w:pos="1132" w:val="left"/>
        </w:tabs>
        <w:numPr>
          <w:ilvl w:val="0"/>
          <w:numId w:val="330"/>
        </w:numPr>
        <w:rPr>
          <w:rFonts w:ascii="Arial" w:cs="Arial" w:eastAsia="Arial" w:hAnsi="Arial"/>
          <w:sz w:val="18"/>
          <w:szCs w:val="18"/>
          <w:color w:val="auto"/>
        </w:rPr>
      </w:pPr>
      <w:r>
        <w:rPr>
          <w:rFonts w:ascii="Arial" w:cs="Arial" w:eastAsia="Arial" w:hAnsi="Arial"/>
          <w:sz w:val="18"/>
          <w:szCs w:val="18"/>
          <w:u w:val="single" w:color="auto"/>
          <w:color w:val="auto"/>
        </w:rPr>
        <w:t>Government Contracts</w:t>
      </w:r>
      <w:r>
        <w:rPr>
          <w:rFonts w:ascii="Arial" w:cs="Arial" w:eastAsia="Arial" w:hAnsi="Arial"/>
          <w:sz w:val="18"/>
          <w:szCs w:val="18"/>
          <w:color w:val="auto"/>
        </w:rPr>
        <w:t>. Except as notified by such Grantor to the Administrative Agent in writing, such Grantor is not a party to any one or more Federal, state or local government contracts.</w:t>
      </w:r>
    </w:p>
    <w:p>
      <w:pPr>
        <w:spacing w:after="0" w:line="126"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b w:val="1"/>
          <w:bCs w:val="1"/>
          <w:color w:val="auto"/>
        </w:rPr>
        <w:t>Negotiable Documents, Instruments, Chattel Paper and Material Contracts.</w:t>
      </w:r>
      <w:r>
        <w:rPr>
          <w:rFonts w:ascii="Arial" w:cs="Arial" w:eastAsia="Arial" w:hAnsi="Arial"/>
          <w:sz w:val="18"/>
          <w:szCs w:val="18"/>
          <w:color w:val="auto"/>
        </w:rPr>
        <w:t xml:space="preserve"> Such Grantor has delivered to the Administrative Agent possession of all originals of all negotiable Documents, Instruments and Tangible Chattel Paper currently owned or held by such Grantor (duly endorsed in blank, if requested by the Administrative Agent), and true and correct copies of each Material Contract.</w:t>
      </w:r>
    </w:p>
    <w:p>
      <w:pPr>
        <w:spacing w:after="0" w:line="132" w:lineRule="exact"/>
        <w:rPr>
          <w:sz w:val="20"/>
          <w:szCs w:val="20"/>
          <w:color w:val="auto"/>
        </w:rPr>
      </w:pPr>
    </w:p>
    <w:p>
      <w:pPr>
        <w:jc w:val="both"/>
        <w:ind w:firstLine="456"/>
        <w:spacing w:after="0" w:line="339" w:lineRule="auto"/>
        <w:rPr>
          <w:sz w:val="20"/>
          <w:szCs w:val="20"/>
          <w:color w:val="auto"/>
        </w:rPr>
      </w:pPr>
      <w:r>
        <w:rPr>
          <w:rFonts w:ascii="Arial" w:cs="Arial" w:eastAsia="Arial" w:hAnsi="Arial"/>
          <w:sz w:val="15"/>
          <w:szCs w:val="15"/>
          <w:color w:val="auto"/>
        </w:rPr>
        <w:t xml:space="preserve">SECTION 10.3 </w:t>
      </w:r>
      <w:r>
        <w:rPr>
          <w:rFonts w:ascii="Arial" w:cs="Arial" w:eastAsia="Arial" w:hAnsi="Arial"/>
          <w:sz w:val="15"/>
          <w:szCs w:val="15"/>
          <w:b w:val="1"/>
          <w:bCs w:val="1"/>
          <w:color w:val="auto"/>
        </w:rPr>
        <w:t>Intellectual Property</w:t>
      </w:r>
      <w:r>
        <w:rPr>
          <w:rFonts w:ascii="Arial" w:cs="Arial" w:eastAsia="Arial" w:hAnsi="Arial"/>
          <w:sz w:val="15"/>
          <w:szCs w:val="15"/>
          <w:color w:val="auto"/>
        </w:rPr>
        <w:t>. The Loan Parties, together with any Pledged Excluded Subsidiaries, own, possess or have the right to use all IP Rights that could reasonably be expected to be material to the exercise by the Secured Parties of all or any material portion of their respective rights and remedies hereunder and under the other Loan Documents, including, without limitation, the Disposition of any of the “Collateral” (as defined in the Credit Agreement).</w:t>
      </w:r>
    </w:p>
    <w:p>
      <w:pPr>
        <w:spacing w:after="0" w:line="79" w:lineRule="exact"/>
        <w:rPr>
          <w:sz w:val="20"/>
          <w:szCs w:val="20"/>
          <w:color w:val="auto"/>
        </w:rPr>
      </w:pPr>
    </w:p>
    <w:p>
      <w:pPr>
        <w:jc w:val="both"/>
        <w:ind w:firstLine="456"/>
        <w:spacing w:after="0" w:line="339"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b w:val="1"/>
          <w:bCs w:val="1"/>
          <w:color w:val="auto"/>
        </w:rPr>
        <w:t>Loan Documents Representations.</w:t>
      </w:r>
      <w:r>
        <w:rPr>
          <w:rFonts w:ascii="Arial" w:cs="Arial" w:eastAsia="Arial" w:hAnsi="Arial"/>
          <w:sz w:val="16"/>
          <w:szCs w:val="16"/>
          <w:color w:val="auto"/>
        </w:rPr>
        <w:t xml:space="preserve"> Each Grantor makes each representation and warranty made in the Credit Agreement and the other Loan Documents by the Borrower or any other Loan Party with respect to such Grantor as if such representation and warranty were expressly set forth herein.</w:t>
      </w:r>
    </w:p>
    <w:p>
      <w:pPr>
        <w:spacing w:after="0" w:line="24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ARTICLE XI</w:t>
      </w:r>
    </w:p>
    <w:p>
      <w:pPr>
        <w:spacing w:after="0" w:line="1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COVENANTS</w:t>
      </w:r>
    </w:p>
    <w:p>
      <w:pPr>
        <w:spacing w:after="0" w:line="165"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Each Grantor covenants and agrees that, until the Termination Date, such Grantor will, unless the Administrative Agent with the consent of the Required Lenders shall otherwise agree in writing, perform the obligations set forth in this Section.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298" w:name="page299"/>
    <w:bookmarkEnd w:id="29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11.1 </w:t>
      </w:r>
      <w:r>
        <w:rPr>
          <w:rFonts w:ascii="Arial" w:cs="Arial" w:eastAsia="Arial" w:hAnsi="Arial"/>
          <w:sz w:val="18"/>
          <w:szCs w:val="18"/>
          <w:b w:val="1"/>
          <w:bCs w:val="1"/>
          <w:color w:val="auto"/>
        </w:rPr>
        <w:t>As to Collateral Generally</w:t>
      </w:r>
      <w:r>
        <w:rPr>
          <w:rFonts w:ascii="Arial" w:cs="Arial" w:eastAsia="Arial" w:hAnsi="Arial"/>
          <w:sz w:val="18"/>
          <w:szCs w:val="18"/>
          <w:color w:val="auto"/>
        </w:rPr>
        <w:t>.</w:t>
      </w:r>
    </w:p>
    <w:p>
      <w:pPr>
        <w:spacing w:after="0" w:line="96" w:lineRule="exact"/>
        <w:rPr>
          <w:sz w:val="20"/>
          <w:szCs w:val="20"/>
          <w:color w:val="auto"/>
        </w:rPr>
      </w:pPr>
    </w:p>
    <w:p>
      <w:pPr>
        <w:jc w:val="both"/>
        <w:ind w:firstLine="921"/>
        <w:spacing w:after="0" w:line="302" w:lineRule="auto"/>
        <w:tabs>
          <w:tab w:leader="none" w:pos="1170" w:val="left"/>
        </w:tabs>
        <w:numPr>
          <w:ilvl w:val="1"/>
          <w:numId w:val="331"/>
        </w:numPr>
        <w:rPr>
          <w:rFonts w:ascii="Arial" w:cs="Arial" w:eastAsia="Arial" w:hAnsi="Arial"/>
          <w:sz w:val="15"/>
          <w:szCs w:val="15"/>
          <w:color w:val="auto"/>
        </w:rPr>
      </w:pPr>
      <w:r>
        <w:rPr>
          <w:rFonts w:ascii="Arial" w:cs="Arial" w:eastAsia="Arial" w:hAnsi="Arial"/>
          <w:sz w:val="15"/>
          <w:szCs w:val="15"/>
          <w:color w:val="auto"/>
        </w:rPr>
        <w:t>Until such time as the Administrative Agent shall notify the Grantors of the revocation of such power and authority after the occurrence and continuation of any Event of Default, each Grantor (i) may in the ordinary course of its business, at its own expense, sell, lease or furnish under its contracts of service any of the Inventory normally held by such Grantor for such purpose, and use and consume, in the ordinary course of its business, any raw materials, work in process or materials normally held by such Grantor for such purpose, and sell or otherwise dispose of any other Collateral to the extent permitted by Section 7.05 of the Credit Agreement, (ii) will, at its own expense, to the extent commercially reasonable or otherwise as Grantor in good faith deems advisable, endeavor to collect, as and when due, all amounts due with respect to any of the Collateral, including the taking of such action with respect to such collection; and</w:t>
      </w:r>
    </w:p>
    <w:p>
      <w:pPr>
        <w:jc w:val="both"/>
        <w:ind w:firstLine="8"/>
        <w:spacing w:after="0" w:line="287" w:lineRule="auto"/>
        <w:tabs>
          <w:tab w:leader="none" w:pos="319" w:val="left"/>
        </w:tabs>
        <w:numPr>
          <w:ilvl w:val="0"/>
          <w:numId w:val="332"/>
        </w:numPr>
        <w:rPr>
          <w:rFonts w:ascii="Arial" w:cs="Arial" w:eastAsia="Arial" w:hAnsi="Arial"/>
          <w:sz w:val="16"/>
          <w:szCs w:val="16"/>
          <w:color w:val="auto"/>
        </w:rPr>
      </w:pPr>
      <w:r>
        <w:rPr>
          <w:rFonts w:ascii="Arial" w:cs="Arial" w:eastAsia="Arial" w:hAnsi="Arial"/>
          <w:sz w:val="16"/>
          <w:szCs w:val="16"/>
          <w:color w:val="auto"/>
        </w:rPr>
        <w:t>may grant, in the ordinary course of business, to any party obligated on any of the Collateral, any rebate, refund or allowance to which such party may be lawfully entitled in such Grantor’s reasonable determination, and may accept, in connection therewith, the return of goods, the sale or lease of which shall have given rise to such Collateral. The Administrative Agent, however, may, at any time following the occurrence and during the continuance of any Event of Default, whether before or after any revocation of such power and authority or the maturity of any of the Secured Obligations, notify any parties obligated on any of the Collateral to make payment to the Administrative Agent of any amounts due or to become due thereunder and enforce collection of any of the Collateral by suit or otherwise and surrender, release, or exchange all or any part thereof, or compromise or extend or renew for any period (whether or not longer than the original period) any indebtedness thereunder or evidenced thereby. Upon request of the Administrative Agent after the occurrence and during the continuance of any Event of Default, each Grantor will, at its own expense, notify any parties obligated on any of the Collateral to make payment to the Administrative Agent of any amounts due or to become due thereunder.</w:t>
      </w:r>
    </w:p>
    <w:p>
      <w:pPr>
        <w:spacing w:after="0" w:line="120" w:lineRule="exact"/>
        <w:rPr>
          <w:rFonts w:ascii="Arial" w:cs="Arial" w:eastAsia="Arial" w:hAnsi="Arial"/>
          <w:sz w:val="16"/>
          <w:szCs w:val="16"/>
          <w:color w:val="auto"/>
        </w:rPr>
      </w:pPr>
    </w:p>
    <w:p>
      <w:pPr>
        <w:ind w:firstLine="921"/>
        <w:spacing w:after="0" w:line="268" w:lineRule="auto"/>
        <w:tabs>
          <w:tab w:leader="none" w:pos="118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The Administrative Agent is authorized to endorse, in the name of each Grantor, any item, howsoever received by the Administrative Agent, representing any payment on or other proceeds of any of the Collateral.</w:t>
      </w:r>
    </w:p>
    <w:p>
      <w:pPr>
        <w:spacing w:after="0" w:line="12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 xml:space="preserve">SECTION 11.2 </w:t>
      </w:r>
      <w:r>
        <w:rPr>
          <w:rFonts w:ascii="Arial" w:cs="Arial" w:eastAsia="Arial" w:hAnsi="Arial"/>
          <w:sz w:val="16"/>
          <w:szCs w:val="16"/>
          <w:b w:val="1"/>
          <w:bCs w:val="1"/>
          <w:color w:val="auto"/>
        </w:rPr>
        <w:t>Insurance.</w:t>
      </w:r>
      <w:r>
        <w:rPr>
          <w:rFonts w:ascii="Arial" w:cs="Arial" w:eastAsia="Arial" w:hAnsi="Arial"/>
          <w:sz w:val="16"/>
          <w:szCs w:val="16"/>
          <w:color w:val="auto"/>
        </w:rPr>
        <w:t xml:space="preserve"> Each Grantor will maintain or cause to be maintained insurance as provided in Section 6.07 of the Credit Agreement. In the event that any Grantor at any time or times shall fail to obtain or maintain any of the policies of insurance required by Section 6.07 of the Credit Agreement or to pay any premium in whole or part relating thereto, the Administrative Agent may, without waiving or releasing any obligation or liability of the Grantors hereunder or any Event of Default, in its sole discretion, obtain and maintain such policies of insurance and pay such premium and take any other actions with respect thereto as the Administrative Agent deems advisable. All sums disbursed by the Administrative Agent in connection with this Section including reasonable attorneys’ fees, court costs, expenses and other charges relating thereto, shall be payable, upon demand, by the Grantors to the Administrative Agent and shall be additional Secured Obligations secured hereby.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299" w:name="page300"/>
    <w:bookmarkEnd w:id="29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11.3 </w:t>
      </w:r>
      <w:r>
        <w:rPr>
          <w:rFonts w:ascii="Arial" w:cs="Arial" w:eastAsia="Arial" w:hAnsi="Arial"/>
          <w:sz w:val="18"/>
          <w:szCs w:val="18"/>
          <w:b w:val="1"/>
          <w:bCs w:val="1"/>
          <w:color w:val="auto"/>
        </w:rPr>
        <w:t>Transfers and Other Liens</w:t>
      </w:r>
      <w:r>
        <w:rPr>
          <w:rFonts w:ascii="Arial" w:cs="Arial" w:eastAsia="Arial" w:hAnsi="Arial"/>
          <w:sz w:val="18"/>
          <w:szCs w:val="18"/>
          <w:color w:val="auto"/>
        </w:rPr>
        <w:t>. No Grantor shall:</w:t>
      </w:r>
    </w:p>
    <w:p>
      <w:pPr>
        <w:spacing w:after="0" w:line="96" w:lineRule="exact"/>
        <w:rPr>
          <w:sz w:val="20"/>
          <w:szCs w:val="20"/>
          <w:color w:val="auto"/>
        </w:rPr>
      </w:pPr>
    </w:p>
    <w:p>
      <w:pPr>
        <w:ind w:left="1180" w:hanging="259"/>
        <w:spacing w:after="0"/>
        <w:tabs>
          <w:tab w:leader="none" w:pos="1180" w:val="left"/>
        </w:tabs>
        <w:numPr>
          <w:ilvl w:val="0"/>
          <w:numId w:val="333"/>
        </w:numPr>
        <w:rPr>
          <w:rFonts w:ascii="Arial" w:cs="Arial" w:eastAsia="Arial" w:hAnsi="Arial"/>
          <w:sz w:val="16"/>
          <w:szCs w:val="16"/>
          <w:color w:val="auto"/>
        </w:rPr>
      </w:pPr>
      <w:r>
        <w:rPr>
          <w:rFonts w:ascii="Arial" w:cs="Arial" w:eastAsia="Arial" w:hAnsi="Arial"/>
          <w:sz w:val="16"/>
          <w:szCs w:val="16"/>
          <w:color w:val="auto"/>
        </w:rPr>
        <w:t>sell, assign (by operation of Law or otherwise) or otherwise dispose of any of the Collateral, except as permitted by Section 7.05 of the Credit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 or</w:t>
      </w:r>
    </w:p>
    <w:p>
      <w:pPr>
        <w:spacing w:after="0" w:line="164" w:lineRule="exact"/>
        <w:rPr>
          <w:rFonts w:ascii="Arial" w:cs="Arial" w:eastAsia="Arial" w:hAnsi="Arial"/>
          <w:sz w:val="16"/>
          <w:szCs w:val="16"/>
          <w:color w:val="auto"/>
        </w:rPr>
      </w:pPr>
    </w:p>
    <w:p>
      <w:pPr>
        <w:ind w:firstLine="921"/>
        <w:spacing w:after="0" w:line="268" w:lineRule="auto"/>
        <w:tabs>
          <w:tab w:leader="none" w:pos="1178" w:val="left"/>
        </w:tabs>
        <w:numPr>
          <w:ilvl w:val="0"/>
          <w:numId w:val="333"/>
        </w:numPr>
        <w:rPr>
          <w:rFonts w:ascii="Arial" w:cs="Arial" w:eastAsia="Arial" w:hAnsi="Arial"/>
          <w:sz w:val="18"/>
          <w:szCs w:val="18"/>
          <w:color w:val="auto"/>
        </w:rPr>
      </w:pPr>
      <w:r>
        <w:rPr>
          <w:rFonts w:ascii="Arial" w:cs="Arial" w:eastAsia="Arial" w:hAnsi="Arial"/>
          <w:sz w:val="18"/>
          <w:szCs w:val="18"/>
          <w:color w:val="auto"/>
        </w:rPr>
        <w:t>create or suffer to exist any Lien upon or with respect to any of the Collateral, except for the security interest created by this Agreement and except for Permitted Liens.</w:t>
      </w:r>
    </w:p>
    <w:p>
      <w:pPr>
        <w:spacing w:after="0" w:line="126" w:lineRule="exact"/>
        <w:rPr>
          <w:sz w:val="20"/>
          <w:szCs w:val="20"/>
          <w:color w:val="auto"/>
        </w:rPr>
      </w:pPr>
    </w:p>
    <w:p>
      <w:pPr>
        <w:ind w:left="460" w:right="40"/>
        <w:spacing w:after="0" w:line="441" w:lineRule="auto"/>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b w:val="1"/>
          <w:bCs w:val="1"/>
          <w:color w:val="auto"/>
        </w:rPr>
        <w:t>Inspections and Verification.</w:t>
      </w:r>
      <w:r>
        <w:rPr>
          <w:rFonts w:ascii="Arial" w:cs="Arial" w:eastAsia="Arial" w:hAnsi="Arial"/>
          <w:sz w:val="18"/>
          <w:szCs w:val="18"/>
          <w:color w:val="auto"/>
        </w:rPr>
        <w:t xml:space="preserve"> The Administrative Agent shall have the inspection rights set forth in Section 6.10 of the Credit Agreement. SECTION 11.5 </w:t>
      </w:r>
      <w:r>
        <w:rPr>
          <w:rFonts w:ascii="Arial" w:cs="Arial" w:eastAsia="Arial" w:hAnsi="Arial"/>
          <w:sz w:val="18"/>
          <w:szCs w:val="18"/>
          <w:b w:val="1"/>
          <w:bCs w:val="1"/>
          <w:color w:val="auto"/>
        </w:rPr>
        <w:t>As to Equipment and Inventory.</w:t>
      </w:r>
      <w:r>
        <w:rPr>
          <w:rFonts w:ascii="Arial" w:cs="Arial" w:eastAsia="Arial" w:hAnsi="Arial"/>
          <w:sz w:val="18"/>
          <w:szCs w:val="18"/>
          <w:color w:val="auto"/>
        </w:rPr>
        <w:t xml:space="preserve"> Each Grantor hereby agrees that it shall</w:t>
      </w:r>
    </w:p>
    <w:p>
      <w:pPr>
        <w:spacing w:after="0" w:line="2" w:lineRule="exact"/>
        <w:rPr>
          <w:sz w:val="20"/>
          <w:szCs w:val="20"/>
          <w:color w:val="auto"/>
        </w:rPr>
      </w:pPr>
    </w:p>
    <w:p>
      <w:pPr>
        <w:jc w:val="both"/>
        <w:ind w:firstLine="921"/>
        <w:spacing w:after="0" w:line="255" w:lineRule="auto"/>
        <w:tabs>
          <w:tab w:leader="none" w:pos="1192" w:val="left"/>
        </w:tabs>
        <w:numPr>
          <w:ilvl w:val="0"/>
          <w:numId w:val="334"/>
        </w:numPr>
        <w:rPr>
          <w:rFonts w:ascii="Arial" w:cs="Arial" w:eastAsia="Arial" w:hAnsi="Arial"/>
          <w:sz w:val="18"/>
          <w:szCs w:val="18"/>
          <w:color w:val="auto"/>
        </w:rPr>
      </w:pPr>
      <w:r>
        <w:rPr>
          <w:rFonts w:ascii="Arial" w:cs="Arial" w:eastAsia="Arial" w:hAnsi="Arial"/>
          <w:sz w:val="18"/>
          <w:szCs w:val="18"/>
          <w:color w:val="auto"/>
        </w:rPr>
        <w:t xml:space="preserve">keep all the Equipment and Inventory (other than Inventory sold in the ordinary course of business) at the places therefor specified in </w:t>
      </w:r>
      <w:r>
        <w:rPr>
          <w:rFonts w:ascii="Arial" w:cs="Arial" w:eastAsia="Arial" w:hAnsi="Arial"/>
          <w:sz w:val="18"/>
          <w:szCs w:val="18"/>
          <w:u w:val="single" w:color="auto"/>
          <w:color w:val="auto"/>
        </w:rPr>
        <w:t>Section 3.1(b)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unless such Grantor has given at least 10 days’ prior written notice to the Administrative Agent of another location, whether by delivery of a supplement to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delivered pursuant to </w:t>
      </w:r>
      <w:r>
        <w:rPr>
          <w:rFonts w:ascii="Arial" w:cs="Arial" w:eastAsia="Arial" w:hAnsi="Arial"/>
          <w:sz w:val="18"/>
          <w:szCs w:val="18"/>
          <w:u w:val="single" w:color="auto"/>
          <w:color w:val="auto"/>
        </w:rPr>
        <w:t>Section 4.15</w:t>
      </w:r>
      <w:r>
        <w:rPr>
          <w:rFonts w:ascii="Arial" w:cs="Arial" w:eastAsia="Arial" w:hAnsi="Arial"/>
          <w:sz w:val="18"/>
          <w:szCs w:val="18"/>
          <w:color w:val="auto"/>
        </w:rPr>
        <w:t xml:space="preserve"> hereto or otherwise, and all action, if any, necessary to maintain in accordance with the terms hereof the Administrative Agent’s perfected first priority security interest therein (including any action requested pursuant to </w:t>
      </w:r>
      <w:r>
        <w:rPr>
          <w:rFonts w:ascii="Arial" w:cs="Arial" w:eastAsia="Arial" w:hAnsi="Arial"/>
          <w:sz w:val="18"/>
          <w:szCs w:val="18"/>
          <w:u w:val="single" w:color="auto"/>
          <w:color w:val="auto"/>
        </w:rPr>
        <w:t>Section 4.6</w:t>
      </w:r>
      <w:r>
        <w:rPr>
          <w:rFonts w:ascii="Arial" w:cs="Arial" w:eastAsia="Arial" w:hAnsi="Arial"/>
          <w:sz w:val="18"/>
          <w:szCs w:val="18"/>
          <w:color w:val="auto"/>
        </w:rPr>
        <w:t>) shall have been taken with respect to the Equipment and Inventory;</w:t>
      </w:r>
    </w:p>
    <w:p>
      <w:pPr>
        <w:spacing w:after="0" w:line="142" w:lineRule="exact"/>
        <w:rPr>
          <w:rFonts w:ascii="Arial" w:cs="Arial" w:eastAsia="Arial" w:hAnsi="Arial"/>
          <w:sz w:val="18"/>
          <w:szCs w:val="18"/>
          <w:color w:val="auto"/>
        </w:rPr>
      </w:pPr>
    </w:p>
    <w:p>
      <w:pPr>
        <w:ind w:left="1160" w:hanging="239"/>
        <w:spacing w:after="0"/>
        <w:tabs>
          <w:tab w:leader="none" w:pos="11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cause the Equipment to be maintained, preserved and protected in accordance with Section 6.06 of the Credit Agreement; and</w:t>
      </w:r>
    </w:p>
    <w:p>
      <w:pPr>
        <w:spacing w:after="0" w:line="171" w:lineRule="exact"/>
        <w:rPr>
          <w:rFonts w:ascii="Arial" w:cs="Arial" w:eastAsia="Arial" w:hAnsi="Arial"/>
          <w:sz w:val="18"/>
          <w:szCs w:val="18"/>
          <w:color w:val="auto"/>
        </w:rPr>
      </w:pPr>
    </w:p>
    <w:p>
      <w:pPr>
        <w:jc w:val="both"/>
        <w:ind w:firstLine="921"/>
        <w:spacing w:after="0" w:line="259" w:lineRule="auto"/>
        <w:tabs>
          <w:tab w:leader="none" w:pos="1166" w:val="left"/>
        </w:tabs>
        <w:numPr>
          <w:ilvl w:val="0"/>
          <w:numId w:val="334"/>
        </w:numPr>
        <w:rPr>
          <w:rFonts w:ascii="Arial" w:cs="Arial" w:eastAsia="Arial" w:hAnsi="Arial"/>
          <w:sz w:val="18"/>
          <w:szCs w:val="18"/>
          <w:color w:val="auto"/>
        </w:rPr>
      </w:pPr>
      <w:r>
        <w:rPr>
          <w:rFonts w:ascii="Arial" w:cs="Arial" w:eastAsia="Arial" w:hAnsi="Arial"/>
          <w:sz w:val="18"/>
          <w:szCs w:val="18"/>
          <w:color w:val="auto"/>
        </w:rPr>
        <w:t>pay promptly when due all property and other taxes, assessments and governmental charges or levies imposed upon, and all claims (including claims for labor, materials and supplies) against, the Equipment and Inventory, except to the extent the same are being contested in good faith by appropriate actions or proceedings and for which adequate reserves in accordance with GAAP have been set aside.</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11.6 </w:t>
      </w:r>
      <w:r>
        <w:rPr>
          <w:rFonts w:ascii="Arial" w:cs="Arial" w:eastAsia="Arial" w:hAnsi="Arial"/>
          <w:sz w:val="18"/>
          <w:szCs w:val="18"/>
          <w:b w:val="1"/>
          <w:bCs w:val="1"/>
          <w:color w:val="auto"/>
        </w:rPr>
        <w:t>[</w:t>
      </w:r>
      <w:r>
        <w:rPr>
          <w:rFonts w:ascii="Arial" w:cs="Arial" w:eastAsia="Arial" w:hAnsi="Arial"/>
          <w:sz w:val="18"/>
          <w:szCs w:val="18"/>
          <w:color w:val="auto"/>
        </w:rPr>
        <w:t>Intentionally deleted.</w:t>
      </w:r>
      <w:r>
        <w:rPr>
          <w:rFonts w:ascii="Arial" w:cs="Arial" w:eastAsia="Arial" w:hAnsi="Arial"/>
          <w:sz w:val="18"/>
          <w:szCs w:val="18"/>
          <w:b w:val="1"/>
          <w:bCs w:val="1"/>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11.7 </w:t>
      </w:r>
      <w:r>
        <w:rPr>
          <w:rFonts w:ascii="Arial" w:cs="Arial" w:eastAsia="Arial" w:hAnsi="Arial"/>
          <w:sz w:val="18"/>
          <w:szCs w:val="18"/>
          <w:b w:val="1"/>
          <w:bCs w:val="1"/>
          <w:color w:val="auto"/>
        </w:rPr>
        <w:t>As to Accounts, Chattel Paper, Documents and Instruments</w:t>
      </w:r>
      <w:r>
        <w:rPr>
          <w:rFonts w:ascii="Arial" w:cs="Arial" w:eastAsia="Arial" w:hAnsi="Arial"/>
          <w:sz w:val="18"/>
          <w:szCs w:val="18"/>
          <w:color w:val="auto"/>
        </w:rPr>
        <w:t>.</w:t>
      </w:r>
    </w:p>
    <w:p>
      <w:pPr>
        <w:spacing w:after="0" w:line="96" w:lineRule="exact"/>
        <w:rPr>
          <w:sz w:val="20"/>
          <w:szCs w:val="20"/>
          <w:color w:val="auto"/>
        </w:rPr>
      </w:pPr>
    </w:p>
    <w:p>
      <w:pPr>
        <w:jc w:val="both"/>
        <w:ind w:firstLine="921"/>
        <w:spacing w:after="0" w:line="283" w:lineRule="auto"/>
        <w:tabs>
          <w:tab w:leader="none" w:pos="1169" w:val="left"/>
        </w:tabs>
        <w:numPr>
          <w:ilvl w:val="1"/>
          <w:numId w:val="335"/>
        </w:numPr>
        <w:rPr>
          <w:rFonts w:ascii="Arial" w:cs="Arial" w:eastAsia="Arial" w:hAnsi="Arial"/>
          <w:sz w:val="16"/>
          <w:szCs w:val="16"/>
          <w:color w:val="auto"/>
        </w:rPr>
      </w:pPr>
      <w:r>
        <w:rPr>
          <w:rFonts w:ascii="Arial" w:cs="Arial" w:eastAsia="Arial" w:hAnsi="Arial"/>
          <w:sz w:val="16"/>
          <w:szCs w:val="16"/>
          <w:color w:val="auto"/>
        </w:rPr>
        <w:t xml:space="preserve">Each Grantor shall: (i) keep its principal place of business and chief executive office and the office where it keeps its records concerning the Receivables Collateral and all originals of all Tangible Chattel Paper (until any such Tangible Chattel Paper is delivered to the Administrative Agent pursuant to </w:t>
      </w:r>
      <w:r>
        <w:rPr>
          <w:rFonts w:ascii="Arial" w:cs="Arial" w:eastAsia="Arial" w:hAnsi="Arial"/>
          <w:sz w:val="16"/>
          <w:szCs w:val="16"/>
          <w:u w:val="single" w:color="auto"/>
          <w:color w:val="auto"/>
        </w:rPr>
        <w:t>Section 4.10</w:t>
      </w:r>
      <w:r>
        <w:rPr>
          <w:rFonts w:ascii="Arial" w:cs="Arial" w:eastAsia="Arial" w:hAnsi="Arial"/>
          <w:sz w:val="16"/>
          <w:szCs w:val="16"/>
          <w:color w:val="auto"/>
        </w:rPr>
        <w:t xml:space="preserve">), located at the places therefor specified in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unless the Borrower or such Grantor has given at least 30 days’ prior written notice to the Administrative Agent, and all actions, if any, necessary to maintain the Administrative Agent’s perfected first priority security interest shall have been taken with respect to such Collateral; (ii) not change its name or jurisdiction of organization (whether pursuant to a transaction permitted pursuant to Section 7.04 of the Credit Agreement or otherwise) unless the Borrower or such Grantor has given at least 30 days’ prior written notice to the Administrative Agent, and all actions necessary to maintain the Administrative Agent’s perfected first priority security interest shall have taken with respect to the Collateral of such Grantor; and</w:t>
      </w:r>
    </w:p>
    <w:p>
      <w:pPr>
        <w:ind w:left="320" w:hanging="312"/>
        <w:spacing w:after="0"/>
        <w:tabs>
          <w:tab w:leader="none" w:pos="32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hold and preserve such records and Chattel Paper (or copies of any such Chattel Paper so delivered to the Administrative Agent).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300" w:name="page301"/>
    <w:bookmarkEnd w:id="300"/>
    <w:p>
      <w:pPr>
        <w:jc w:val="both"/>
        <w:ind w:firstLine="921"/>
        <w:spacing w:after="0" w:line="294" w:lineRule="auto"/>
        <w:tabs>
          <w:tab w:leader="none" w:pos="1164" w:val="left"/>
        </w:tabs>
        <w:numPr>
          <w:ilvl w:val="0"/>
          <w:numId w:val="33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written notice by the Administrative Agent to any Grantor, all Proceeds of Collateral received by such Grantor shall be delivered in kind to the Administrative Agent for deposit to the Collateral Account for such Grantor, and such Grantor shall not commingle any such proceeds, and shall hold separate and apart from all other property, all such Proceeds in express trust for the benefit of the Administrative Agent until delivery thereof is made to the Administrative Agent. The Administrative Agent will not give the notice referred to in the preceding sentence unless there shall have occurred and be continuing any Event of Default. No funds, other than Proceeds of Collateral of a Grantor, will be deposited in the Collateral Account for such Grantor.</w:t>
      </w:r>
    </w:p>
    <w:p>
      <w:pPr>
        <w:spacing w:after="0" w:line="115" w:lineRule="exact"/>
        <w:rPr>
          <w:rFonts w:ascii="Arial" w:cs="Arial" w:eastAsia="Arial" w:hAnsi="Arial"/>
          <w:sz w:val="16"/>
          <w:szCs w:val="16"/>
          <w:color w:val="auto"/>
        </w:rPr>
      </w:pPr>
    </w:p>
    <w:p>
      <w:pPr>
        <w:jc w:val="both"/>
        <w:ind w:firstLine="921"/>
        <w:spacing w:after="0" w:line="285" w:lineRule="auto"/>
        <w:tabs>
          <w:tab w:leader="none" w:pos="1161" w:val="left"/>
        </w:tabs>
        <w:numPr>
          <w:ilvl w:val="0"/>
          <w:numId w:val="337"/>
        </w:numPr>
        <w:rPr>
          <w:rFonts w:ascii="Arial" w:cs="Arial" w:eastAsia="Arial" w:hAnsi="Arial"/>
          <w:sz w:val="16"/>
          <w:szCs w:val="16"/>
          <w:color w:val="auto"/>
        </w:rPr>
      </w:pPr>
      <w:r>
        <w:rPr>
          <w:rFonts w:ascii="Arial" w:cs="Arial" w:eastAsia="Arial" w:hAnsi="Arial"/>
          <w:sz w:val="16"/>
          <w:szCs w:val="16"/>
          <w:color w:val="auto"/>
        </w:rPr>
        <w:t xml:space="preserve">The Administrative Agent shall have the right to apply any amount in the Collateral Account to the payment of any Secured Obligations which are due and payable or payable upon demand, or to the payment of any Secured Obligations at any time that any Event of Default shall exist. Subject to the rights of the Administrative Agent, the Borrower on behalf of each Grantor shall have the right on each Business Day, with respect to and to the extent of collected funds in the Collateral Account, to require the Administrative Agent to purchase any cash equivalent Investment permitted under Section 7.02 of the Credit Agreement, provided that, in the case of certificated securities, the Administrative Agent will retain possession thereof as Collateral and, in the case of other Investment Property, the Administrative Agent will take such actions, including registration of such Investment Property in its name, as it shall determine is necessary to perfect its security interest therein. The Administrative Agent may at any time and shall promptly following any Grantor’s request therefor, so long as no Event of Default has occurred and is continuing, transfer to such Grantor’s general demand deposit account at the Administrative Agent or its bank (if not the Administrative Agent) any or all of the collected funds in the Collateral Account;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transfer shall not be deemed to be a waiver or modification of any of the Administrative Agent’s rights under this Section. None of the Grantors will, without the Administrative Agent’s prior written consent, grant any extension of the time of payment of any Receivables Collateral, compromise, compound or settle the same for less than the full amount thereof, release, wholly or partly, any Person liable for the payment thereof or allow any credit or discount whatsoever thereon, other than extensions, credits, discounts, compromises or settlements granted or made in the ordinary course of business and consistent with its current practices and in accordance with such prudent and standard practices used in industries that are the same as or similar to those in which such Grantor is engaged.</w:t>
      </w:r>
    </w:p>
    <w:p>
      <w:pPr>
        <w:spacing w:after="0" w:line="122" w:lineRule="exact"/>
        <w:rPr>
          <w:sz w:val="20"/>
          <w:szCs w:val="20"/>
          <w:color w:val="auto"/>
        </w:rPr>
      </w:pPr>
    </w:p>
    <w:p>
      <w:pPr>
        <w:jc w:val="both"/>
        <w:ind w:firstLine="456"/>
        <w:spacing w:after="0" w:line="301" w:lineRule="auto"/>
        <w:rPr>
          <w:sz w:val="20"/>
          <w:szCs w:val="20"/>
          <w:color w:val="auto"/>
        </w:rPr>
      </w:pPr>
      <w:r>
        <w:rPr>
          <w:rFonts w:ascii="Arial" w:cs="Arial" w:eastAsia="Arial" w:hAnsi="Arial"/>
          <w:sz w:val="16"/>
          <w:szCs w:val="16"/>
          <w:color w:val="auto"/>
        </w:rPr>
        <w:t xml:space="preserve">SECTION 11.8 </w:t>
      </w:r>
      <w:r>
        <w:rPr>
          <w:rFonts w:ascii="Arial" w:cs="Arial" w:eastAsia="Arial" w:hAnsi="Arial"/>
          <w:sz w:val="16"/>
          <w:szCs w:val="16"/>
          <w:b w:val="1"/>
          <w:bCs w:val="1"/>
          <w:color w:val="auto"/>
        </w:rPr>
        <w:t>As to the Material Contracts</w:t>
      </w:r>
      <w:r>
        <w:rPr>
          <w:rFonts w:ascii="Arial" w:cs="Arial" w:eastAsia="Arial" w:hAnsi="Arial"/>
          <w:sz w:val="16"/>
          <w:szCs w:val="16"/>
          <w:color w:val="auto"/>
        </w:rPr>
        <w:t>. Each Grantor shall at its expense furnish to the Administrative Agent promptly upon receipt thereof copies of all material notices, requests and other documents received by such Grantor under or pursuant to the Material Contracts, and from time to time furnish to the Administrative Agent such information and reports regarding the Material Contracts as the Administrative Agent may reasonably request and otherwise comply with the provisions regarding Material Contracts set forth in Section 6.13 of the Credit Agreement.</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301" w:name="page302"/>
    <w:bookmarkEnd w:id="301"/>
    <w:p>
      <w:pPr>
        <w:jc w:val="both"/>
        <w:ind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11.9 </w:t>
      </w:r>
      <w:r>
        <w:rPr>
          <w:rFonts w:ascii="Arial" w:cs="Arial" w:eastAsia="Arial" w:hAnsi="Arial"/>
          <w:sz w:val="16"/>
          <w:szCs w:val="16"/>
          <w:b w:val="1"/>
          <w:bCs w:val="1"/>
          <w:color w:val="auto"/>
        </w:rPr>
        <w:t>Chattel Paper.</w:t>
      </w:r>
      <w:r>
        <w:rPr>
          <w:rFonts w:ascii="Arial" w:cs="Arial" w:eastAsia="Arial" w:hAnsi="Arial"/>
          <w:sz w:val="16"/>
          <w:szCs w:val="16"/>
          <w:color w:val="auto"/>
        </w:rPr>
        <w:t xml:space="preserve"> Each Grantor will deliver to the Administrative Agent all Tangible Chattel Paper duly endorsed and accompanied by duly executed instruments of transfer or assignment, all in form and substance satisfactory to the Administrative Agent. Each Grantor will provide the Administrative Agent with Control of all Electronic Chattel Paper, by having the Administrative Agent identified as the assignee of the records(s) pertaining to the single authoritative copy thereof and otherwise complying with the applicable elements of Control set forth in the UCC. Each Grantor will also deliver to the Administrative Agent all security agreements securing any Chattel Paper and execute UCC financing statement amendments assigning to the Administrative Agent any UCC financing statements filed by such Grantor in connection with such security agreements. Each Grantor will mark conspicuously all Chattel Paper with a legend, in form and substance satisfactory to the Administrative Agent, indicating that such Chattel Paper is subject to the Liens created hereunder.</w:t>
      </w:r>
    </w:p>
    <w:p>
      <w:pPr>
        <w:spacing w:after="0" w:line="113" w:lineRule="exact"/>
        <w:rPr>
          <w:sz w:val="20"/>
          <w:szCs w:val="20"/>
          <w:color w:val="auto"/>
        </w:rPr>
      </w:pPr>
    </w:p>
    <w:p>
      <w:pPr>
        <w:jc w:val="both"/>
        <w:ind w:firstLine="456"/>
        <w:spacing w:after="0" w:line="301" w:lineRule="auto"/>
        <w:rPr>
          <w:sz w:val="20"/>
          <w:szCs w:val="20"/>
          <w:color w:val="auto"/>
        </w:rPr>
      </w:pPr>
      <w:r>
        <w:rPr>
          <w:rFonts w:ascii="Arial" w:cs="Arial" w:eastAsia="Arial" w:hAnsi="Arial"/>
          <w:sz w:val="16"/>
          <w:szCs w:val="16"/>
          <w:color w:val="auto"/>
        </w:rPr>
        <w:t xml:space="preserve">SECTION 11.10 </w:t>
      </w:r>
      <w:r>
        <w:rPr>
          <w:rFonts w:ascii="Arial" w:cs="Arial" w:eastAsia="Arial" w:hAnsi="Arial"/>
          <w:sz w:val="16"/>
          <w:szCs w:val="16"/>
          <w:b w:val="1"/>
          <w:bCs w:val="1"/>
          <w:color w:val="auto"/>
        </w:rPr>
        <w:t>Letters of Credit.</w:t>
      </w:r>
      <w:r>
        <w:rPr>
          <w:rFonts w:ascii="Arial" w:cs="Arial" w:eastAsia="Arial" w:hAnsi="Arial"/>
          <w:sz w:val="16"/>
          <w:szCs w:val="16"/>
          <w:color w:val="auto"/>
        </w:rPr>
        <w:t xml:space="preserve"> Each Grantor will deliver to the Administrative Agent all Letters of Credit in which it is the beneficiary thereof, duly endorsed and accompanied by duly executed instruments of transfer or assignment, all in form and substance satisfactory to the Administrative Agent. Each Grantor will take any and all actions necessary (or requested by the Administrative Agent), from time to time, to cause the Administrative Agent to obtain exclusive Control of any Letter-of-Credit Rights owned by such Grantor in a manner acceptable to the Administrative Agent.</w:t>
      </w:r>
    </w:p>
    <w:p>
      <w:pPr>
        <w:spacing w:after="0" w:line="103" w:lineRule="exact"/>
        <w:rPr>
          <w:sz w:val="20"/>
          <w:szCs w:val="20"/>
          <w:color w:val="auto"/>
        </w:rPr>
      </w:pPr>
    </w:p>
    <w:p>
      <w:pPr>
        <w:jc w:val="both"/>
        <w:ind w:firstLine="456"/>
        <w:spacing w:after="0" w:line="258" w:lineRule="auto"/>
        <w:rPr>
          <w:sz w:val="20"/>
          <w:szCs w:val="20"/>
          <w:color w:val="auto"/>
        </w:rPr>
      </w:pPr>
      <w:r>
        <w:rPr>
          <w:rFonts w:ascii="Arial" w:cs="Arial" w:eastAsia="Arial" w:hAnsi="Arial"/>
          <w:sz w:val="18"/>
          <w:szCs w:val="18"/>
          <w:color w:val="auto"/>
        </w:rPr>
        <w:t xml:space="preserve">SECTION 11.11 </w:t>
      </w:r>
      <w:r>
        <w:rPr>
          <w:rFonts w:ascii="Arial" w:cs="Arial" w:eastAsia="Arial" w:hAnsi="Arial"/>
          <w:sz w:val="18"/>
          <w:szCs w:val="18"/>
          <w:b w:val="1"/>
          <w:bCs w:val="1"/>
          <w:color w:val="auto"/>
        </w:rPr>
        <w:t>Commercial Tort Claims.</w:t>
      </w:r>
      <w:r>
        <w:rPr>
          <w:rFonts w:ascii="Arial" w:cs="Arial" w:eastAsia="Arial" w:hAnsi="Arial"/>
          <w:sz w:val="18"/>
          <w:szCs w:val="18"/>
          <w:color w:val="auto"/>
        </w:rPr>
        <w:t xml:space="preserve"> Each Grantor shall advise the Administrative Agent promptly upon such Grantor becoming aware, after the date hereof, that it owns any additional Commercial Tort Claims in excess of $1,000,000. With respect to any such Commercial Tort Claims, such Grantor will execute and deliver such documents as the Administrative Agent deems necessary to describe, create, perfect and protect the Administrative Agent’s first priority security interest in such Commercial Tort Claim.</w:t>
      </w:r>
    </w:p>
    <w:p>
      <w:pPr>
        <w:spacing w:after="0" w:line="136" w:lineRule="exact"/>
        <w:rPr>
          <w:sz w:val="20"/>
          <w:szCs w:val="20"/>
          <w:color w:val="auto"/>
        </w:rPr>
      </w:pPr>
    </w:p>
    <w:p>
      <w:pPr>
        <w:jc w:val="both"/>
        <w:ind w:firstLine="456"/>
        <w:spacing w:after="0" w:line="293" w:lineRule="auto"/>
        <w:rPr>
          <w:sz w:val="20"/>
          <w:szCs w:val="20"/>
          <w:color w:val="auto"/>
        </w:rPr>
      </w:pPr>
      <w:r>
        <w:rPr>
          <w:rFonts w:ascii="Arial" w:cs="Arial" w:eastAsia="Arial" w:hAnsi="Arial"/>
          <w:sz w:val="16"/>
          <w:szCs w:val="16"/>
          <w:color w:val="auto"/>
        </w:rPr>
        <w:t xml:space="preserve">SECTION 11.12 </w:t>
      </w:r>
      <w:r>
        <w:rPr>
          <w:rFonts w:ascii="Arial" w:cs="Arial" w:eastAsia="Arial" w:hAnsi="Arial"/>
          <w:sz w:val="16"/>
          <w:szCs w:val="16"/>
          <w:b w:val="1"/>
          <w:bCs w:val="1"/>
          <w:color w:val="auto"/>
        </w:rPr>
        <w:t>Bank Accounts; Securities Accounts.</w:t>
      </w:r>
      <w:r>
        <w:rPr>
          <w:rFonts w:ascii="Arial" w:cs="Arial" w:eastAsia="Arial" w:hAnsi="Arial"/>
          <w:sz w:val="16"/>
          <w:szCs w:val="16"/>
          <w:color w:val="auto"/>
        </w:rPr>
        <w:t xml:space="preserve"> Upon the occurrence and during the continuance of an Event of Default and upon request by the Administrative Agent, each Grantor shall enter into an Account Control Agreement with each financial institution with which such Grantor maintains from time to time any Deposit Account or any Securities Account. Each Grantor hereby grants to the Administrative Agent, for the benefit of the Administrative Agent and the Secured Parties, a continuing security interest in all such Deposit Accounts and Securities Accounts and all funds and Investment Property at any time paid, deposited, credited or held in such Deposit Accounts and Securities Accounts (whether for collection, provisionally or otherwise) or otherwise in the possession of such financial institutions, and each such financial institution shall act as the Administrative Agent’s agent in connection therewith.</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11.13 </w:t>
      </w:r>
      <w:r>
        <w:rPr>
          <w:rFonts w:ascii="Arial" w:cs="Arial" w:eastAsia="Arial" w:hAnsi="Arial"/>
          <w:sz w:val="18"/>
          <w:szCs w:val="18"/>
          <w:b w:val="1"/>
          <w:bCs w:val="1"/>
          <w:color w:val="auto"/>
        </w:rPr>
        <w:t>Further Assurances, etc.</w:t>
      </w:r>
    </w:p>
    <w:p>
      <w:pPr>
        <w:spacing w:after="0" w:line="96" w:lineRule="exact"/>
        <w:rPr>
          <w:sz w:val="20"/>
          <w:szCs w:val="20"/>
          <w:color w:val="auto"/>
        </w:rPr>
      </w:pPr>
    </w:p>
    <w:p>
      <w:pPr>
        <w:jc w:val="both"/>
        <w:ind w:firstLine="921"/>
        <w:spacing w:after="0" w:line="255" w:lineRule="auto"/>
        <w:tabs>
          <w:tab w:leader="none" w:pos="1158" w:val="left"/>
        </w:tabs>
        <w:numPr>
          <w:ilvl w:val="0"/>
          <w:numId w:val="338"/>
        </w:numPr>
        <w:rPr>
          <w:rFonts w:ascii="Arial" w:cs="Arial" w:eastAsia="Arial" w:hAnsi="Arial"/>
          <w:sz w:val="18"/>
          <w:szCs w:val="18"/>
          <w:color w:val="auto"/>
        </w:rPr>
      </w:pPr>
      <w:r>
        <w:rPr>
          <w:rFonts w:ascii="Arial" w:cs="Arial" w:eastAsia="Arial" w:hAnsi="Arial"/>
          <w:sz w:val="18"/>
          <w:szCs w:val="18"/>
          <w:color w:val="auto"/>
        </w:rPr>
        <w:t>Each Grantor agrees that, from time to time at its own expense, such Grantor will promptly execute and deliver all further documents, financing statements, agreements and instruments, and take all such further action, which may be required under applicable Law, or which the Administrative Agent or Required Lenders may reasonably request, in order to perfect, preserve and protect any security interest granted or purported to be granted hereby or to enable the Administrative Agent to exercise and enforce its rights and remedies hereunder with respect to any Collateral. Without limiting the generality of the foregoing, each Grantor will take each of the following actions:</w:t>
      </w:r>
    </w:p>
    <w:p>
      <w:pPr>
        <w:spacing w:after="0" w:line="13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w:t>
      </w:r>
      <w:r>
        <w:rPr>
          <w:rFonts w:ascii="Arial" w:cs="Arial" w:eastAsia="Arial" w:hAnsi="Arial"/>
          <w:sz w:val="18"/>
          <w:szCs w:val="18"/>
          <w:color w:val="auto"/>
        </w:rPr>
        <w:t>intentionally deleted.</w:t>
      </w:r>
      <w:r>
        <w:rPr>
          <w:rFonts w:ascii="Arial" w:cs="Arial" w:eastAsia="Arial" w:hAnsi="Arial"/>
          <w:sz w:val="18"/>
          <w:szCs w:val="18"/>
          <w:b w:val="1"/>
          <w:bCs w:val="1"/>
          <w:color w:val="auto"/>
        </w:rPr>
        <w: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302" w:name="page303"/>
    <w:bookmarkEnd w:id="302"/>
    <w:p>
      <w:pPr>
        <w:jc w:val="both"/>
        <w:ind w:left="-20" w:right="20" w:firstLine="1492"/>
        <w:spacing w:after="0" w:line="259" w:lineRule="auto"/>
        <w:tabs>
          <w:tab w:leader="none" w:pos="1762" w:val="left"/>
        </w:tabs>
        <w:numPr>
          <w:ilvl w:val="0"/>
          <w:numId w:val="3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any Account shall be evidenced by a promissory note or other instrument or negotiable document, deliver and pledge to the Administrative Agent hereunder such promissory note, instrument or negotiable document duly endorsed and accompanied by duly executed instruments of transfer or assignment, all in form and substance reasonably satisfactory to the Administrative Agent;</w:t>
      </w:r>
    </w:p>
    <w:p>
      <w:pPr>
        <w:spacing w:after="0" w:line="140" w:lineRule="exact"/>
        <w:rPr>
          <w:rFonts w:ascii="Arial" w:cs="Arial" w:eastAsia="Arial" w:hAnsi="Arial"/>
          <w:sz w:val="18"/>
          <w:szCs w:val="18"/>
          <w:color w:val="auto"/>
        </w:rPr>
      </w:pPr>
    </w:p>
    <w:p>
      <w:pPr>
        <w:jc w:val="both"/>
        <w:ind w:left="-20" w:firstLine="1492"/>
        <w:spacing w:after="0" w:line="298" w:lineRule="auto"/>
        <w:tabs>
          <w:tab w:leader="none" w:pos="1774" w:val="left"/>
        </w:tabs>
        <w:numPr>
          <w:ilvl w:val="0"/>
          <w:numId w:val="339"/>
        </w:numPr>
        <w:rPr>
          <w:rFonts w:ascii="Arial" w:cs="Arial" w:eastAsia="Arial" w:hAnsi="Arial"/>
          <w:sz w:val="16"/>
          <w:szCs w:val="16"/>
          <w:color w:val="auto"/>
        </w:rPr>
      </w:pPr>
      <w:r>
        <w:rPr>
          <w:rFonts w:ascii="Arial" w:cs="Arial" w:eastAsia="Arial" w:hAnsi="Arial"/>
          <w:sz w:val="16"/>
          <w:szCs w:val="16"/>
          <w:color w:val="auto"/>
        </w:rPr>
        <w:t>execute and file such financing or continuation statements, or amendments thereto, and such other instruments or notices (including any assignment of claim form under or pursuant to the federal assignment of claims statute, 31 U.S.C. § 3726, any successor or amended version thereof or any regulation promulgated under or pursuant to any version thereof), as may be necessary, or as the Administrative Agent may reasonably request, in order to perfect and preserve the security interests and other rights granted or purported to be granted to the Administrative Agent hereby;</w:t>
      </w:r>
    </w:p>
    <w:p>
      <w:pPr>
        <w:spacing w:after="0" w:line="112" w:lineRule="exact"/>
        <w:rPr>
          <w:rFonts w:ascii="Arial" w:cs="Arial" w:eastAsia="Arial" w:hAnsi="Arial"/>
          <w:sz w:val="16"/>
          <w:szCs w:val="16"/>
          <w:color w:val="auto"/>
        </w:rPr>
      </w:pPr>
    </w:p>
    <w:p>
      <w:pPr>
        <w:jc w:val="both"/>
        <w:ind w:left="-20" w:firstLine="1492"/>
        <w:spacing w:after="0" w:line="259" w:lineRule="auto"/>
        <w:tabs>
          <w:tab w:leader="none" w:pos="1803" w:val="left"/>
        </w:tabs>
        <w:numPr>
          <w:ilvl w:val="0"/>
          <w:numId w:val="339"/>
        </w:numPr>
        <w:rPr>
          <w:rFonts w:ascii="Arial" w:cs="Arial" w:eastAsia="Arial" w:hAnsi="Arial"/>
          <w:sz w:val="18"/>
          <w:szCs w:val="18"/>
          <w:color w:val="auto"/>
        </w:rPr>
      </w:pPr>
      <w:r>
        <w:rPr>
          <w:rFonts w:ascii="Arial" w:cs="Arial" w:eastAsia="Arial" w:hAnsi="Arial"/>
          <w:sz w:val="18"/>
          <w:szCs w:val="18"/>
          <w:color w:val="auto"/>
        </w:rPr>
        <w:t>furnish to the Administrative Agent, from time to time at the Administrative Agent’s request, statements and schedules further identifying and describing the Collateral and such other reports in connection with the Collateral as the Administrative Agent may reasonably request, all in reasonable detail;</w:t>
      </w:r>
    </w:p>
    <w:p>
      <w:pPr>
        <w:spacing w:after="0" w:line="140" w:lineRule="exact"/>
        <w:rPr>
          <w:rFonts w:ascii="Arial" w:cs="Arial" w:eastAsia="Arial" w:hAnsi="Arial"/>
          <w:sz w:val="18"/>
          <w:szCs w:val="18"/>
          <w:color w:val="auto"/>
        </w:rPr>
      </w:pPr>
    </w:p>
    <w:p>
      <w:pPr>
        <w:ind w:left="1720" w:hanging="248"/>
        <w:spacing w:after="0"/>
        <w:tabs>
          <w:tab w:leader="none" w:pos="1720" w:val="left"/>
        </w:tabs>
        <w:numPr>
          <w:ilvl w:val="0"/>
          <w:numId w:val="339"/>
        </w:numPr>
        <w:rPr>
          <w:rFonts w:ascii="Arial" w:cs="Arial" w:eastAsia="Arial" w:hAnsi="Arial"/>
          <w:sz w:val="16"/>
          <w:szCs w:val="16"/>
          <w:color w:val="auto"/>
        </w:rPr>
      </w:pPr>
      <w:r>
        <w:rPr>
          <w:rFonts w:ascii="Arial" w:cs="Arial" w:eastAsia="Arial" w:hAnsi="Arial"/>
          <w:sz w:val="16"/>
          <w:szCs w:val="16"/>
          <w:color w:val="auto"/>
        </w:rPr>
        <w:t>take all actions that the Administrative Agent deems necessary or advisable to enforce collection of the Receivables Collateral;</w:t>
      </w:r>
    </w:p>
    <w:p>
      <w:pPr>
        <w:spacing w:after="0" w:line="194" w:lineRule="exact"/>
        <w:rPr>
          <w:rFonts w:ascii="Arial" w:cs="Arial" w:eastAsia="Arial" w:hAnsi="Arial"/>
          <w:sz w:val="16"/>
          <w:szCs w:val="16"/>
          <w:color w:val="auto"/>
        </w:rPr>
      </w:pPr>
    </w:p>
    <w:p>
      <w:pPr>
        <w:jc w:val="both"/>
        <w:ind w:left="-20" w:firstLine="1492"/>
        <w:spacing w:after="0" w:line="259" w:lineRule="auto"/>
        <w:tabs>
          <w:tab w:leader="none" w:pos="1774" w:val="left"/>
        </w:tabs>
        <w:numPr>
          <w:ilvl w:val="0"/>
          <w:numId w:val="339"/>
        </w:numPr>
        <w:rPr>
          <w:rFonts w:ascii="Arial" w:cs="Arial" w:eastAsia="Arial" w:hAnsi="Arial"/>
          <w:sz w:val="18"/>
          <w:szCs w:val="18"/>
          <w:color w:val="auto"/>
        </w:rPr>
      </w:pPr>
      <w:r>
        <w:rPr>
          <w:rFonts w:ascii="Arial" w:cs="Arial" w:eastAsia="Arial" w:hAnsi="Arial"/>
          <w:sz w:val="18"/>
          <w:szCs w:val="18"/>
          <w:color w:val="auto"/>
        </w:rPr>
        <w:t>if requested by the Administrative Agent, cause the landlord, bailee, warehouseman or processor with Control over any Equipment or Inventory of such Grantor to enter into a waiver agreement or to transfer any such Equipment or Inventory to warehouses designated by the Administrative Agent;</w:t>
      </w:r>
    </w:p>
    <w:p>
      <w:pPr>
        <w:spacing w:after="0" w:line="140" w:lineRule="exact"/>
        <w:rPr>
          <w:rFonts w:ascii="Arial" w:cs="Arial" w:eastAsia="Arial" w:hAnsi="Arial"/>
          <w:sz w:val="18"/>
          <w:szCs w:val="18"/>
          <w:color w:val="auto"/>
        </w:rPr>
      </w:pPr>
    </w:p>
    <w:p>
      <w:pPr>
        <w:jc w:val="both"/>
        <w:ind w:left="-20" w:firstLine="1492"/>
        <w:spacing w:after="0" w:line="312" w:lineRule="auto"/>
        <w:tabs>
          <w:tab w:leader="none" w:pos="1815" w:val="left"/>
        </w:tabs>
        <w:numPr>
          <w:ilvl w:val="0"/>
          <w:numId w:val="339"/>
        </w:numPr>
        <w:rPr>
          <w:rFonts w:ascii="Arial" w:cs="Arial" w:eastAsia="Arial" w:hAnsi="Arial"/>
          <w:sz w:val="15"/>
          <w:szCs w:val="15"/>
          <w:color w:val="auto"/>
        </w:rPr>
      </w:pPr>
      <w:r>
        <w:rPr>
          <w:rFonts w:ascii="Arial" w:cs="Arial" w:eastAsia="Arial" w:hAnsi="Arial"/>
          <w:sz w:val="15"/>
          <w:szCs w:val="15"/>
          <w:color w:val="auto"/>
        </w:rPr>
        <w:t xml:space="preserve">if requested by the Administrative Agent, each Grantor which owns or leases Equipment which is subject to a certificate of title statute that requires notation of a lien thereon to perfect a security interest therein shall deliver to the Administrative Agent all original certificates of title for such Equipment, shall take all necessary steps to cause the Administrative Agent’s security interest be perfected in accordance with such statute and deliver to the Administrative Agent a schedule in reasonable detail describing such Equipment, registration number, license number and all other information required to comply with such statute;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until the Administrative Agent makes such a request under this clause, the parties hereto acknowledge that the security interest of the Administrative Agent in such Collateral has not been perfected and all the representations and warranties, covenants and Events of Default contained herein and in the other Loan Documents which would otherwise be violated shall be deemed modified to reflect the foregoing and not be violated;</w:t>
      </w:r>
    </w:p>
    <w:p>
      <w:pPr>
        <w:spacing w:after="0" w:line="105" w:lineRule="exact"/>
        <w:rPr>
          <w:rFonts w:ascii="Arial" w:cs="Arial" w:eastAsia="Arial" w:hAnsi="Arial"/>
          <w:sz w:val="15"/>
          <w:szCs w:val="15"/>
          <w:color w:val="auto"/>
        </w:rPr>
      </w:pPr>
    </w:p>
    <w:p>
      <w:pPr>
        <w:jc w:val="both"/>
        <w:ind w:left="-20" w:firstLine="1492"/>
        <w:spacing w:after="0" w:line="259" w:lineRule="auto"/>
        <w:tabs>
          <w:tab w:leader="none" w:pos="1868" w:val="left"/>
        </w:tabs>
        <w:numPr>
          <w:ilvl w:val="0"/>
          <w:numId w:val="339"/>
        </w:numPr>
        <w:rPr>
          <w:rFonts w:ascii="Arial" w:cs="Arial" w:eastAsia="Arial" w:hAnsi="Arial"/>
          <w:sz w:val="18"/>
          <w:szCs w:val="18"/>
          <w:color w:val="auto"/>
        </w:rPr>
      </w:pPr>
      <w:r>
        <w:rPr>
          <w:rFonts w:ascii="Arial" w:cs="Arial" w:eastAsia="Arial" w:hAnsi="Arial"/>
          <w:sz w:val="18"/>
          <w:szCs w:val="18"/>
          <w:color w:val="auto"/>
        </w:rPr>
        <w:t>if requested by the Administrative Agent upon the occurrence and during the continuance of an Event of Default, cause each bank or Securities Intermediary with which any Grantor maintains a Deposit Account or Securities Account to enter into an Account Control Agreement with respect thereto;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60" w:top="280" w:right="239" w:bottom="1440" w:gutter="0" w:footer="0" w:header="0"/>
        </w:sectPr>
      </w:pPr>
    </w:p>
    <w:bookmarkStart w:id="303" w:name="page304"/>
    <w:bookmarkEnd w:id="303"/>
    <w:p>
      <w:pPr>
        <w:jc w:val="both"/>
        <w:ind w:firstLine="1492"/>
        <w:spacing w:after="0" w:line="259" w:lineRule="auto"/>
        <w:tabs>
          <w:tab w:leader="none" w:pos="1820" w:val="left"/>
        </w:tabs>
        <w:numPr>
          <w:ilvl w:val="1"/>
          <w:numId w:val="3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from time to time, promptly following the Administrative Agent’s request, execute and deliver confirmatory written instruments pledging to the Administrative Agent the Collateral, but any such Grantor’s failure to do so shall not affect or limit the security interest granted hereby or the Administrative Agent’s other rights in and to the Collateral; and</w:t>
      </w:r>
    </w:p>
    <w:p>
      <w:pPr>
        <w:spacing w:after="0" w:line="140" w:lineRule="exact"/>
        <w:rPr>
          <w:rFonts w:ascii="Arial" w:cs="Arial" w:eastAsia="Arial" w:hAnsi="Arial"/>
          <w:sz w:val="18"/>
          <w:szCs w:val="18"/>
          <w:color w:val="auto"/>
        </w:rPr>
      </w:pPr>
    </w:p>
    <w:p>
      <w:pPr>
        <w:jc w:val="both"/>
        <w:ind w:firstLine="1492"/>
        <w:spacing w:after="0" w:line="259" w:lineRule="auto"/>
        <w:tabs>
          <w:tab w:leader="none" w:pos="1749" w:val="left"/>
        </w:tabs>
        <w:numPr>
          <w:ilvl w:val="1"/>
          <w:numId w:val="340"/>
        </w:numPr>
        <w:rPr>
          <w:rFonts w:ascii="Arial" w:cs="Arial" w:eastAsia="Arial" w:hAnsi="Arial"/>
          <w:sz w:val="18"/>
          <w:szCs w:val="18"/>
          <w:color w:val="auto"/>
        </w:rPr>
      </w:pPr>
      <w:r>
        <w:rPr>
          <w:rFonts w:ascii="Arial" w:cs="Arial" w:eastAsia="Arial" w:hAnsi="Arial"/>
          <w:sz w:val="18"/>
          <w:szCs w:val="18"/>
          <w:color w:val="auto"/>
        </w:rPr>
        <w:t>notify the Agent promptly of any Collateral which constitutes a claim against the United States government or any instrumentality or agent thereof in excess of $1,000,000, the assignment of which is restricted by federal law. Upon the request of the Agent, Grantor shall take such steps as may be necessary to comply with any applicable federal assignment of claims laws or other comparable laws.</w:t>
      </w:r>
    </w:p>
    <w:p>
      <w:pPr>
        <w:spacing w:after="0" w:line="140" w:lineRule="exact"/>
        <w:rPr>
          <w:rFonts w:ascii="Arial" w:cs="Arial" w:eastAsia="Arial" w:hAnsi="Arial"/>
          <w:sz w:val="18"/>
          <w:szCs w:val="18"/>
          <w:color w:val="auto"/>
        </w:rPr>
      </w:pPr>
    </w:p>
    <w:p>
      <w:pPr>
        <w:jc w:val="both"/>
        <w:ind w:firstLine="921"/>
        <w:spacing w:after="0" w:line="294" w:lineRule="auto"/>
        <w:tabs>
          <w:tab w:leader="none" w:pos="1187" w:val="left"/>
        </w:tabs>
        <w:numPr>
          <w:ilvl w:val="0"/>
          <w:numId w:val="341"/>
        </w:numPr>
        <w:rPr>
          <w:rFonts w:ascii="Arial" w:cs="Arial" w:eastAsia="Arial" w:hAnsi="Arial"/>
          <w:sz w:val="16"/>
          <w:szCs w:val="16"/>
          <w:color w:val="auto"/>
        </w:rPr>
      </w:pPr>
      <w:r>
        <w:rPr>
          <w:rFonts w:ascii="Arial" w:cs="Arial" w:eastAsia="Arial" w:hAnsi="Arial"/>
          <w:sz w:val="16"/>
          <w:szCs w:val="16"/>
          <w:color w:val="auto"/>
        </w:rPr>
        <w:t>With respect to the foregoing and the grant of the security interest hereunder, each Grantor hereby authorizes the Administrative Agent to Authenticate and to file one or more financing or continuation statements, and amendments thereto, for the purpose of perfecting, continuing, enforcing or protecting the security interest granted by each Grantor, without the signature of any Grantor, and naming any Grantor or the Grantors as debtors and the Administrative Agent as secured party. A carbon, photographic, telecopied or other reproduction of this Agreement or any financing statement covering the Collateral or any part thereof shall be sufficient as a financing statement where permitted by Law.</w:t>
      </w:r>
    </w:p>
    <w:p>
      <w:pPr>
        <w:spacing w:after="0" w:line="19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11.14 </w:t>
      </w:r>
      <w:r>
        <w:rPr>
          <w:rFonts w:ascii="Arial" w:cs="Arial" w:eastAsia="Arial" w:hAnsi="Arial"/>
          <w:sz w:val="18"/>
          <w:szCs w:val="18"/>
          <w:b w:val="1"/>
          <w:bCs w:val="1"/>
          <w:color w:val="auto"/>
        </w:rPr>
        <w:t>Supplements to Scheduled Information.</w:t>
      </w:r>
    </w:p>
    <w:p>
      <w:pPr>
        <w:spacing w:after="0" w:line="96" w:lineRule="exact"/>
        <w:rPr>
          <w:sz w:val="20"/>
          <w:szCs w:val="20"/>
          <w:color w:val="auto"/>
        </w:rPr>
      </w:pPr>
    </w:p>
    <w:p>
      <w:pPr>
        <w:jc w:val="both"/>
        <w:ind w:firstLine="921"/>
        <w:spacing w:after="0" w:line="255" w:lineRule="auto"/>
        <w:tabs>
          <w:tab w:leader="none" w:pos="1176" w:val="left"/>
        </w:tabs>
        <w:numPr>
          <w:ilvl w:val="0"/>
          <w:numId w:val="342"/>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w:t>
      </w:r>
      <w:r>
        <w:rPr>
          <w:rFonts w:ascii="Arial" w:cs="Arial" w:eastAsia="Arial" w:hAnsi="Arial"/>
          <w:sz w:val="18"/>
          <w:szCs w:val="18"/>
          <w:u w:val="single" w:color="auto"/>
          <w:color w:val="auto"/>
        </w:rPr>
        <w:t>Section 4.14</w:t>
      </w:r>
      <w:r>
        <w:rPr>
          <w:rFonts w:ascii="Arial" w:cs="Arial" w:eastAsia="Arial" w:hAnsi="Arial"/>
          <w:sz w:val="18"/>
          <w:szCs w:val="18"/>
          <w:color w:val="auto"/>
        </w:rPr>
        <w:t xml:space="preserve">, concurrently with the delivery by the Borrower of each Compliance Certificate pursuant to Section 6.02(b) of the Credit Agreement, the Borrower, on behalf of each Grantor, shall deliver to the Administrative Agent the following applicable supplements to the Schedules hereto in such form as shall be reasonably satisfactory to the Administrative Agent, together with a certificate of Responsible Officers certifying that, as of the date thereof and after giving effect to the supplements to such Schedules delivered therewith, the representations and warranties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hereof are true and correct in all material respects:</w:t>
      </w:r>
    </w:p>
    <w:p>
      <w:pPr>
        <w:spacing w:after="0" w:line="142" w:lineRule="exact"/>
        <w:rPr>
          <w:rFonts w:ascii="Arial" w:cs="Arial" w:eastAsia="Arial" w:hAnsi="Arial"/>
          <w:sz w:val="18"/>
          <w:szCs w:val="18"/>
          <w:color w:val="auto"/>
        </w:rPr>
      </w:pPr>
    </w:p>
    <w:p>
      <w:pPr>
        <w:ind w:firstLine="1492"/>
        <w:spacing w:after="0" w:line="268" w:lineRule="auto"/>
        <w:tabs>
          <w:tab w:leader="none" w:pos="1693" w:val="left"/>
        </w:tabs>
        <w:numPr>
          <w:ilvl w:val="1"/>
          <w:numId w:val="342"/>
        </w:numPr>
        <w:rPr>
          <w:rFonts w:ascii="Arial" w:cs="Arial" w:eastAsia="Arial" w:hAnsi="Arial"/>
          <w:sz w:val="18"/>
          <w:szCs w:val="18"/>
          <w:color w:val="auto"/>
        </w:rPr>
      </w:pPr>
      <w:r>
        <w:rPr>
          <w:rFonts w:ascii="Arial" w:cs="Arial" w:eastAsia="Arial" w:hAnsi="Arial"/>
          <w:sz w:val="18"/>
          <w:szCs w:val="18"/>
          <w:color w:val="auto"/>
        </w:rPr>
        <w:t xml:space="preserve">a supplement to </w:t>
      </w:r>
      <w:r>
        <w:rPr>
          <w:rFonts w:ascii="Arial" w:cs="Arial" w:eastAsia="Arial" w:hAnsi="Arial"/>
          <w:sz w:val="18"/>
          <w:szCs w:val="18"/>
          <w:u w:val="single" w:color="auto"/>
          <w:color w:val="auto"/>
        </w:rPr>
        <w:t>Item 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identifying any new location owned by a Grantor where any Equipment or Inventory of such Grantor may be located which is not already identified on such Schedule;</w:t>
      </w:r>
    </w:p>
    <w:p>
      <w:pPr>
        <w:spacing w:after="0" w:line="131" w:lineRule="exact"/>
        <w:rPr>
          <w:rFonts w:ascii="Arial" w:cs="Arial" w:eastAsia="Arial" w:hAnsi="Arial"/>
          <w:sz w:val="18"/>
          <w:szCs w:val="18"/>
          <w:color w:val="auto"/>
        </w:rPr>
      </w:pPr>
    </w:p>
    <w:p>
      <w:pPr>
        <w:ind w:right="20" w:firstLine="1492"/>
        <w:spacing w:after="0" w:line="268" w:lineRule="auto"/>
        <w:tabs>
          <w:tab w:leader="none" w:pos="1745" w:val="left"/>
        </w:tabs>
        <w:numPr>
          <w:ilvl w:val="1"/>
          <w:numId w:val="342"/>
        </w:numPr>
        <w:rPr>
          <w:rFonts w:ascii="Arial" w:cs="Arial" w:eastAsia="Arial" w:hAnsi="Arial"/>
          <w:sz w:val="18"/>
          <w:szCs w:val="18"/>
          <w:color w:val="auto"/>
        </w:rPr>
      </w:pPr>
      <w:r>
        <w:rPr>
          <w:rFonts w:ascii="Arial" w:cs="Arial" w:eastAsia="Arial" w:hAnsi="Arial"/>
          <w:sz w:val="18"/>
          <w:szCs w:val="18"/>
          <w:color w:val="auto"/>
        </w:rPr>
        <w:t xml:space="preserve">a supplement to </w:t>
      </w:r>
      <w:r>
        <w:rPr>
          <w:rFonts w:ascii="Arial" w:cs="Arial" w:eastAsia="Arial" w:hAnsi="Arial"/>
          <w:sz w:val="18"/>
          <w:szCs w:val="18"/>
          <w:u w:val="single" w:color="auto"/>
          <w:color w:val="auto"/>
        </w:rPr>
        <w:t>Item E</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describing any new Commercial Tort Claim owned by such Grantor which is not described on such Schedule in excess of $5,000,000.</w:t>
      </w:r>
    </w:p>
    <w:p>
      <w:pPr>
        <w:spacing w:after="0" w:line="131" w:lineRule="exact"/>
        <w:rPr>
          <w:rFonts w:ascii="Arial" w:cs="Arial" w:eastAsia="Arial" w:hAnsi="Arial"/>
          <w:sz w:val="18"/>
          <w:szCs w:val="18"/>
          <w:color w:val="auto"/>
        </w:rPr>
      </w:pPr>
    </w:p>
    <w:p>
      <w:pPr>
        <w:jc w:val="both"/>
        <w:ind w:firstLine="921"/>
        <w:spacing w:after="0" w:line="256" w:lineRule="auto"/>
        <w:tabs>
          <w:tab w:leader="none" w:pos="1167" w:val="left"/>
        </w:tabs>
        <w:numPr>
          <w:ilvl w:val="0"/>
          <w:numId w:val="342"/>
        </w:numPr>
        <w:rPr>
          <w:rFonts w:ascii="Arial" w:cs="Arial" w:eastAsia="Arial" w:hAnsi="Arial"/>
          <w:sz w:val="18"/>
          <w:szCs w:val="18"/>
          <w:color w:val="auto"/>
        </w:rPr>
      </w:pPr>
      <w:r>
        <w:rPr>
          <w:rFonts w:ascii="Arial" w:cs="Arial" w:eastAsia="Arial" w:hAnsi="Arial"/>
          <w:sz w:val="18"/>
          <w:szCs w:val="18"/>
          <w:color w:val="auto"/>
        </w:rPr>
        <w:t xml:space="preserve">Promptly after any written request by the Administrative Agent (which request shall be made no more than once per fiscal quarter so long as no Event of Default has occurred and is continuing), Borrower, on behalf of each Grantor, shall deliver to the Administrative Agent a supplement to </w:t>
      </w:r>
      <w:r>
        <w:rPr>
          <w:rFonts w:ascii="Arial" w:cs="Arial" w:eastAsia="Arial" w:hAnsi="Arial"/>
          <w:sz w:val="18"/>
          <w:szCs w:val="18"/>
          <w:u w:val="single" w:color="auto"/>
          <w:color w:val="auto"/>
        </w:rPr>
        <w:t>Item C</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identifying any new consignee, warehouseman, agent, bailee, processor, leased property or other similar location where any Equipment or Inventory of such Grantor is located which is not already identified on such Schedule.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304" w:name="page305"/>
    <w:bookmarkEnd w:id="304"/>
    <w:p>
      <w:pPr>
        <w:jc w:val="both"/>
        <w:ind w:firstLine="456"/>
        <w:spacing w:after="0" w:line="31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11.15 </w:t>
      </w:r>
      <w:r>
        <w:rPr>
          <w:rFonts w:ascii="Arial" w:cs="Arial" w:eastAsia="Arial" w:hAnsi="Arial"/>
          <w:sz w:val="16"/>
          <w:szCs w:val="16"/>
          <w:b w:val="1"/>
          <w:bCs w:val="1"/>
          <w:color w:val="auto"/>
        </w:rPr>
        <w:t>Amendments or Terminations Not Authorized.</w:t>
      </w:r>
      <w:r>
        <w:rPr>
          <w:rFonts w:ascii="Arial" w:cs="Arial" w:eastAsia="Arial" w:hAnsi="Arial"/>
          <w:sz w:val="16"/>
          <w:szCs w:val="16"/>
          <w:color w:val="auto"/>
        </w:rPr>
        <w:t xml:space="preserve"> Grantor acknowledges that it is not authorized to file any financing statement or amendment or termination statement with respect to a financing statement filed in favor of the Agent without the prior written consent of the Agent and agrees that it will not do so without the prior written consent of the Agent, subject to Grantor’s rights under Section 9-5.13(c) of the UCC.</w:t>
      </w:r>
    </w:p>
    <w:p>
      <w:pPr>
        <w:spacing w:after="0" w:line="97" w:lineRule="exact"/>
        <w:rPr>
          <w:sz w:val="20"/>
          <w:szCs w:val="20"/>
          <w:color w:val="auto"/>
        </w:rPr>
      </w:pPr>
    </w:p>
    <w:p>
      <w:pPr>
        <w:ind w:firstLine="456"/>
        <w:spacing w:after="0" w:line="339" w:lineRule="auto"/>
        <w:rPr>
          <w:sz w:val="20"/>
          <w:szCs w:val="20"/>
          <w:color w:val="auto"/>
        </w:rPr>
      </w:pPr>
      <w:r>
        <w:rPr>
          <w:rFonts w:ascii="Arial" w:cs="Arial" w:eastAsia="Arial" w:hAnsi="Arial"/>
          <w:sz w:val="16"/>
          <w:szCs w:val="16"/>
          <w:color w:val="auto"/>
        </w:rPr>
        <w:t xml:space="preserve">SECTION 11.16 </w:t>
      </w:r>
      <w:r>
        <w:rPr>
          <w:rFonts w:ascii="Arial" w:cs="Arial" w:eastAsia="Arial" w:hAnsi="Arial"/>
          <w:sz w:val="16"/>
          <w:szCs w:val="16"/>
          <w:b w:val="1"/>
          <w:bCs w:val="1"/>
          <w:color w:val="auto"/>
        </w:rPr>
        <w:t>Certain Property.</w:t>
      </w:r>
      <w:r>
        <w:rPr>
          <w:rFonts w:ascii="Arial" w:cs="Arial" w:eastAsia="Arial" w:hAnsi="Arial"/>
          <w:sz w:val="16"/>
          <w:szCs w:val="16"/>
          <w:color w:val="auto"/>
        </w:rPr>
        <w:t xml:space="preserve"> No Grantor owns (a) standing timber that is to be cut and removed under a conveyance or contract for sale, (b) animals, (c) crops grown, growing, or to be grown, even if the crops are produced on trees, vines or bushes, or (d) manufactured homes.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ADMINISTRATIVE AGENT</w:t>
      </w:r>
    </w:p>
    <w:p>
      <w:pPr>
        <w:spacing w:after="0" w:line="78" w:lineRule="exact"/>
        <w:rPr>
          <w:sz w:val="20"/>
          <w:szCs w:val="20"/>
          <w:color w:val="auto"/>
        </w:rPr>
      </w:pPr>
    </w:p>
    <w:p>
      <w:pPr>
        <w:jc w:val="both"/>
        <w:ind w:firstLine="456"/>
        <w:spacing w:after="0" w:line="293" w:lineRule="auto"/>
        <w:rPr>
          <w:sz w:val="20"/>
          <w:szCs w:val="20"/>
          <w:color w:val="auto"/>
        </w:rPr>
      </w:pPr>
      <w:r>
        <w:rPr>
          <w:rFonts w:ascii="Arial" w:cs="Arial" w:eastAsia="Arial" w:hAnsi="Arial"/>
          <w:sz w:val="16"/>
          <w:szCs w:val="16"/>
          <w:color w:val="auto"/>
        </w:rPr>
        <w:t xml:space="preserve">SECTION 12.1 </w:t>
      </w:r>
      <w:r>
        <w:rPr>
          <w:rFonts w:ascii="Arial" w:cs="Arial" w:eastAsia="Arial" w:hAnsi="Arial"/>
          <w:sz w:val="16"/>
          <w:szCs w:val="16"/>
          <w:b w:val="1"/>
          <w:bCs w:val="1"/>
          <w:color w:val="auto"/>
        </w:rPr>
        <w:t>Appointment as Attorney-in-Fact.</w:t>
      </w:r>
      <w:r>
        <w:rPr>
          <w:rFonts w:ascii="Arial" w:cs="Arial" w:eastAsia="Arial" w:hAnsi="Arial"/>
          <w:sz w:val="16"/>
          <w:szCs w:val="16"/>
          <w:color w:val="auto"/>
        </w:rPr>
        <w:t xml:space="preserve"> Each Grantor hereby irrevocably appoints the Administrative Agent and any officer or agent thereof, with full power of substitution, as its true and lawful attorney-in-fact with full irrevocable power and authority in the place and stead of such Grantor and in the name of such Grantor or in its own name, for the purpose of carrying out the terms of this Agreement, to take, upon the occurrence and during the continuance of any Event of Default, any and all appropriate action and to execute any and all documents and instruments that may be necessary or desirable to accomplish the purposes of this Agreement. Without limiting the generality of the foregoing, each Grantor hereby gives the Administrative Agent the power and right, on behalf of such Grantor, without notice to or assent by such Grantor, to do any or all of the following:</w:t>
      </w:r>
    </w:p>
    <w:p>
      <w:pPr>
        <w:spacing w:after="0" w:line="117" w:lineRule="exact"/>
        <w:rPr>
          <w:sz w:val="20"/>
          <w:szCs w:val="20"/>
          <w:color w:val="auto"/>
        </w:rPr>
      </w:pPr>
    </w:p>
    <w:p>
      <w:pPr>
        <w:ind w:left="1200" w:hanging="279"/>
        <w:spacing w:after="0"/>
        <w:tabs>
          <w:tab w:leader="none" w:pos="1200" w:val="left"/>
        </w:tabs>
        <w:numPr>
          <w:ilvl w:val="1"/>
          <w:numId w:val="343"/>
        </w:numPr>
        <w:rPr>
          <w:rFonts w:ascii="Arial" w:cs="Arial" w:eastAsia="Arial" w:hAnsi="Arial"/>
          <w:sz w:val="16"/>
          <w:szCs w:val="16"/>
          <w:color w:val="auto"/>
        </w:rPr>
      </w:pPr>
      <w:r>
        <w:rPr>
          <w:rFonts w:ascii="Arial" w:cs="Arial" w:eastAsia="Arial" w:hAnsi="Arial"/>
          <w:sz w:val="16"/>
          <w:szCs w:val="16"/>
          <w:color w:val="auto"/>
        </w:rPr>
        <w:t>(i) demand payment of its Receivables Collateral; (ii) enforce payments of its Receivables Collateral by legal proceedings or otherwise;</w:t>
      </w:r>
    </w:p>
    <w:p>
      <w:pPr>
        <w:spacing w:after="0" w:line="38" w:lineRule="exact"/>
        <w:rPr>
          <w:rFonts w:ascii="Arial" w:cs="Arial" w:eastAsia="Arial" w:hAnsi="Arial"/>
          <w:sz w:val="16"/>
          <w:szCs w:val="16"/>
          <w:color w:val="auto"/>
        </w:rPr>
      </w:pPr>
    </w:p>
    <w:p>
      <w:pPr>
        <w:jc w:val="both"/>
        <w:ind w:firstLine="8"/>
        <w:spacing w:after="0" w:line="287" w:lineRule="auto"/>
        <w:tabs>
          <w:tab w:leader="none" w:pos="318" w:val="left"/>
        </w:tabs>
        <w:numPr>
          <w:ilvl w:val="0"/>
          <w:numId w:val="344"/>
        </w:numPr>
        <w:rPr>
          <w:rFonts w:ascii="Arial" w:cs="Arial" w:eastAsia="Arial" w:hAnsi="Arial"/>
          <w:sz w:val="16"/>
          <w:szCs w:val="16"/>
          <w:color w:val="auto"/>
        </w:rPr>
      </w:pPr>
      <w:r>
        <w:rPr>
          <w:rFonts w:ascii="Arial" w:cs="Arial" w:eastAsia="Arial" w:hAnsi="Arial"/>
          <w:sz w:val="16"/>
          <w:szCs w:val="16"/>
          <w:color w:val="auto"/>
        </w:rPr>
        <w:t>exercise all of its rights and remedies with respect to proceedings brought to collect its Receivables Collateral; (iv) sell or assign its Receivables Collateral upon such terms, for such amount and at such times as the Administrative Agent deems advisable; (v) settle, adjust, compromise, extend or renew any of its Receivables Collateral; (vi) discharge and release any of its Receivables Collateral; (vii) prepare, file and sign such Grantor’s name on any proof of claim in bankruptcy or other similar document against any obligor of any of its Receivables Collateral; (viii) notify the post office authorities to change the address for delivery of such Grantor’s mail to an address designated by the Administrative Agent, and open and dispose of all mail addressed to such Grantor; (ix) endorse such Grantor’s name upon any Chattel Paper, document, instrument, invoice, or similar document or agreement relating to any Receivables Collateral or any goods pertaining thereto; and (x) endorse such Grantor’s name upon any Chattel Paper, document, instrument, invoice, or similar document or agreement relating to any Receivables Collateral or any goods pertaining thereto;</w:t>
      </w:r>
    </w:p>
    <w:p>
      <w:pPr>
        <w:spacing w:after="0" w:line="124" w:lineRule="exact"/>
        <w:rPr>
          <w:rFonts w:ascii="Arial" w:cs="Arial" w:eastAsia="Arial" w:hAnsi="Arial"/>
          <w:sz w:val="16"/>
          <w:szCs w:val="16"/>
          <w:color w:val="auto"/>
        </w:rPr>
      </w:pPr>
    </w:p>
    <w:p>
      <w:pPr>
        <w:ind w:right="20" w:firstLine="921"/>
        <w:spacing w:after="0" w:line="268" w:lineRule="auto"/>
        <w:tabs>
          <w:tab w:leader="none" w:pos="1176" w:val="left"/>
        </w:tabs>
        <w:numPr>
          <w:ilvl w:val="1"/>
          <w:numId w:val="344"/>
        </w:numPr>
        <w:rPr>
          <w:rFonts w:ascii="Arial" w:cs="Arial" w:eastAsia="Arial" w:hAnsi="Arial"/>
          <w:sz w:val="18"/>
          <w:szCs w:val="18"/>
          <w:color w:val="auto"/>
        </w:rPr>
      </w:pPr>
      <w:r>
        <w:rPr>
          <w:rFonts w:ascii="Arial" w:cs="Arial" w:eastAsia="Arial" w:hAnsi="Arial"/>
          <w:sz w:val="18"/>
          <w:szCs w:val="18"/>
          <w:color w:val="auto"/>
        </w:rPr>
        <w:t>pay or discharge taxes and Liens levied or placed on or threatened against the Collateral, effect any repairs or any insurance called for by the terms of this Agreement and pay all or any part of the premiums therefor and the costs thereof;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3" w:right="239" w:bottom="1440" w:gutter="0" w:footer="0" w:header="0"/>
        </w:sectPr>
      </w:pPr>
    </w:p>
    <w:bookmarkStart w:id="305" w:name="page306"/>
    <w:bookmarkEnd w:id="305"/>
    <w:p>
      <w:pPr>
        <w:ind w:right="20" w:firstLine="921"/>
        <w:spacing w:after="0" w:line="268" w:lineRule="auto"/>
        <w:tabs>
          <w:tab w:leader="none" w:pos="1171" w:val="left"/>
        </w:tabs>
        <w:numPr>
          <w:ilvl w:val="0"/>
          <w:numId w:val="3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execute, in connection with any sale or other disposition provided for in </w:t>
      </w:r>
      <w:r>
        <w:rPr>
          <w:rFonts w:ascii="Arial" w:cs="Arial" w:eastAsia="Arial" w:hAnsi="Arial"/>
          <w:sz w:val="18"/>
          <w:szCs w:val="18"/>
          <w:u w:val="single" w:color="auto"/>
          <w:color w:val="auto"/>
        </w:rPr>
        <w:t>Section 6.1</w:t>
      </w:r>
      <w:r>
        <w:rPr>
          <w:rFonts w:ascii="Arial" w:cs="Arial" w:eastAsia="Arial" w:hAnsi="Arial"/>
          <w:sz w:val="18"/>
          <w:szCs w:val="18"/>
          <w:color w:val="auto"/>
        </w:rPr>
        <w:t>, any endorsements, assignments or other instruments of conveyance or transfer with respect to the Collateral; and</w:t>
      </w:r>
    </w:p>
    <w:p>
      <w:pPr>
        <w:spacing w:after="0" w:line="131" w:lineRule="exact"/>
        <w:rPr>
          <w:rFonts w:ascii="Arial" w:cs="Arial" w:eastAsia="Arial" w:hAnsi="Arial"/>
          <w:sz w:val="18"/>
          <w:szCs w:val="18"/>
          <w:color w:val="auto"/>
        </w:rPr>
      </w:pPr>
    </w:p>
    <w:p>
      <w:pPr>
        <w:jc w:val="both"/>
        <w:ind w:firstLine="921"/>
        <w:spacing w:after="0" w:line="286" w:lineRule="auto"/>
        <w:tabs>
          <w:tab w:leader="none" w:pos="1168" w:val="left"/>
        </w:tabs>
        <w:numPr>
          <w:ilvl w:val="0"/>
          <w:numId w:val="345"/>
        </w:numPr>
        <w:rPr>
          <w:rFonts w:ascii="Arial" w:cs="Arial" w:eastAsia="Arial" w:hAnsi="Arial"/>
          <w:sz w:val="16"/>
          <w:szCs w:val="16"/>
          <w:color w:val="auto"/>
        </w:rPr>
      </w:pPr>
      <w:r>
        <w:rPr>
          <w:rFonts w:ascii="Arial" w:cs="Arial" w:eastAsia="Arial" w:hAnsi="Arial"/>
          <w:sz w:val="16"/>
          <w:szCs w:val="16"/>
          <w:color w:val="auto"/>
        </w:rPr>
        <w:t>(i) direct any party liable for any payment under any of the Collateral to make payment of any and all moneys due or to become due thereunder directly to the Administrative Agent or as the Administrative Agent shall direct; (ii) ask or demand for, collect, and receive payment of and give receipt for, any and all moneys, claims and other amounts due or to become due at any time in respect of or arising out of any Collateral; (iii) sign and indorse any invoices, freight or express bills, bills of lading, storage or warehouse receipts, drafts against debtors, assignments, verifications, notices and other documents in connection with any of the Collateral; (iv) commence and prosecute any suits, actions or proceedings at law or in equity in any court of competent jurisdiction to collect the Collateral or any portion thereof and to enforce any other right in respect of any Collateral; (v) defend any suit, action or proceeding brought against such Grantor with respect to any Collateral; (vi) settle, compromise or adjust any such suit, action or proceeding and, in connection therewith, give such discharges or releases as the Administrative Agent may deem appropriate; (vii) notify, or require any Grantor to notify, Account Debtors to make payment directly to the Administrative Agent and change the post office box number or other address to which the Account Debtors make payments; and (viii) generally, sell, transfer, pledge and make any agreement with respect to or otherwise deal with any of the Collateral as fully and completely as though the Administrative Agent were the absolute owner thereof for all purposes, and do, at the Administrative Agent’s option and such Grantor’s expense, at any time, or from time to time, all acts and things that the Administrative Agent deems necessary to protect, preserve or realize upon the Collateral and the Secured Parties’ security interests therein and to effect the intent of this Agreement, all as fully and effectively as such Grantor might do.</w:t>
      </w:r>
    </w:p>
    <w:p>
      <w:pPr>
        <w:spacing w:after="0" w:line="121"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Each Grantor hereby acknowledges, consents and agrees that the power of attorney granted pursuant to this Section is irrevocable and coupled with an interest.</w:t>
      </w:r>
    </w:p>
    <w:p>
      <w:pPr>
        <w:spacing w:after="0" w:line="126"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color w:val="auto"/>
        </w:rPr>
        <w:t xml:space="preserve">SECTION 12.2 </w:t>
      </w:r>
      <w:r>
        <w:rPr>
          <w:rFonts w:ascii="Arial" w:cs="Arial" w:eastAsia="Arial" w:hAnsi="Arial"/>
          <w:sz w:val="18"/>
          <w:szCs w:val="18"/>
          <w:b w:val="1"/>
          <w:bCs w:val="1"/>
          <w:color w:val="auto"/>
        </w:rPr>
        <w:t>Administrative Agent May Perform.</w:t>
      </w:r>
      <w:r>
        <w:rPr>
          <w:rFonts w:ascii="Arial" w:cs="Arial" w:eastAsia="Arial" w:hAnsi="Arial"/>
          <w:sz w:val="18"/>
          <w:szCs w:val="18"/>
          <w:color w:val="auto"/>
        </w:rPr>
        <w:t xml:space="preserve"> If any Grantor fails to perform any agreement contained herein after any applicable cure period, the Administrative Agent may itself perform, or cause performance of, such agreement, and the reasonable expenses of the Administrative Agent incurred in connection therewith shall be payable by such Grantor pursuant to </w:t>
      </w:r>
      <w:r>
        <w:rPr>
          <w:rFonts w:ascii="Arial" w:cs="Arial" w:eastAsia="Arial" w:hAnsi="Arial"/>
          <w:sz w:val="18"/>
          <w:szCs w:val="18"/>
          <w:u w:val="single" w:color="auto"/>
          <w:color w:val="auto"/>
        </w:rPr>
        <w:t>Section 6.2</w:t>
      </w:r>
      <w:r>
        <w:rPr>
          <w:rFonts w:ascii="Arial" w:cs="Arial" w:eastAsia="Arial" w:hAnsi="Arial"/>
          <w:sz w:val="18"/>
          <w:szCs w:val="18"/>
          <w:color w:val="auto"/>
        </w:rPr>
        <w:t>.</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12.3 </w:t>
      </w:r>
      <w:r>
        <w:rPr>
          <w:rFonts w:ascii="Arial" w:cs="Arial" w:eastAsia="Arial" w:hAnsi="Arial"/>
          <w:sz w:val="18"/>
          <w:szCs w:val="18"/>
          <w:b w:val="1"/>
          <w:bCs w:val="1"/>
          <w:color w:val="auto"/>
        </w:rPr>
        <w:t>Administrative Agent Has No Duty.</w:t>
      </w:r>
    </w:p>
    <w:p>
      <w:pPr>
        <w:spacing w:after="0" w:line="96" w:lineRule="exact"/>
        <w:rPr>
          <w:sz w:val="20"/>
          <w:szCs w:val="20"/>
          <w:color w:val="auto"/>
        </w:rPr>
      </w:pPr>
    </w:p>
    <w:p>
      <w:pPr>
        <w:jc w:val="both"/>
        <w:ind w:firstLine="921"/>
        <w:spacing w:after="0" w:line="254" w:lineRule="auto"/>
        <w:tabs>
          <w:tab w:leader="none" w:pos="1158" w:val="left"/>
        </w:tabs>
        <w:numPr>
          <w:ilvl w:val="0"/>
          <w:numId w:val="346"/>
        </w:numPr>
        <w:rPr>
          <w:rFonts w:ascii="Arial" w:cs="Arial" w:eastAsia="Arial" w:hAnsi="Arial"/>
          <w:sz w:val="18"/>
          <w:szCs w:val="18"/>
          <w:color w:val="auto"/>
        </w:rPr>
      </w:pPr>
      <w:r>
        <w:rPr>
          <w:rFonts w:ascii="Arial" w:cs="Arial" w:eastAsia="Arial" w:hAnsi="Arial"/>
          <w:sz w:val="18"/>
          <w:szCs w:val="18"/>
          <w:color w:val="auto"/>
        </w:rPr>
        <w:t xml:space="preserve">In addition to, and not in limitation of, </w:t>
      </w:r>
      <w:r>
        <w:rPr>
          <w:rFonts w:ascii="Arial" w:cs="Arial" w:eastAsia="Arial" w:hAnsi="Arial"/>
          <w:sz w:val="18"/>
          <w:szCs w:val="18"/>
          <w:u w:val="single" w:color="auto"/>
          <w:color w:val="auto"/>
        </w:rPr>
        <w:t>Section 2.4</w:t>
      </w:r>
      <w:r>
        <w:rPr>
          <w:rFonts w:ascii="Arial" w:cs="Arial" w:eastAsia="Arial" w:hAnsi="Arial"/>
          <w:sz w:val="18"/>
          <w:szCs w:val="18"/>
          <w:color w:val="auto"/>
        </w:rPr>
        <w:t>, the powers conferred on the Administrative Agent hereunder are solely to protect its interest (on behalf of the Secured Parties) in the Collateral and shall not impose any duty or obligation on it to exercise any such powers. Neither the Administrative Agent nor any of its officers, directors, employees or agents shall be liable for failure to demand, collect or realize upon any of the Collateral or for any delay in doing so or shall be under any obligation to sell or otherwise dispose of any Collateral upon the request of any Grantor or any other Person or to take any other action whatsoever with regard to the Collateral or any part thereof (including the taking of any necessary steps to preserve rights against prior parties or any other rights pertaining to any Collateral). Neither the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9" w:right="239" w:bottom="1440" w:gutter="0" w:footer="0" w:header="0"/>
        </w:sectPr>
      </w:pPr>
    </w:p>
    <w:bookmarkStart w:id="306" w:name="page307"/>
    <w:bookmarkEnd w:id="306"/>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Administrative Agent nor any of its officers, directors, employees or agents shall be responsible to any Grantor for any act or failure to act hereunder, except for their own gross negligence or willful misconduct.</w:t>
      </w:r>
    </w:p>
    <w:p>
      <w:pPr>
        <w:spacing w:after="0" w:line="132" w:lineRule="exact"/>
        <w:rPr>
          <w:sz w:val="20"/>
          <w:szCs w:val="20"/>
          <w:color w:val="auto"/>
        </w:rPr>
      </w:pPr>
    </w:p>
    <w:p>
      <w:pPr>
        <w:jc w:val="both"/>
        <w:ind w:firstLine="921"/>
        <w:spacing w:after="0" w:line="306" w:lineRule="auto"/>
        <w:tabs>
          <w:tab w:leader="none" w:pos="1172" w:val="left"/>
        </w:tabs>
        <w:numPr>
          <w:ilvl w:val="0"/>
          <w:numId w:val="347"/>
        </w:numPr>
        <w:rPr>
          <w:rFonts w:ascii="Arial" w:cs="Arial" w:eastAsia="Arial" w:hAnsi="Arial"/>
          <w:sz w:val="16"/>
          <w:szCs w:val="16"/>
          <w:color w:val="auto"/>
        </w:rPr>
      </w:pPr>
      <w:r>
        <w:rPr>
          <w:rFonts w:ascii="Arial" w:cs="Arial" w:eastAsia="Arial" w:hAnsi="Arial"/>
          <w:sz w:val="16"/>
          <w:szCs w:val="16"/>
          <w:color w:val="auto"/>
        </w:rPr>
        <w:t>Each Grantor assumes all responsibility and liability arising from or relating to the use, sale or other disposition of the Collateral. The Secured Obligations shall not be affected by any failure of the Administrative Agent to take any steps to perfect the security interest granted hereunder or to collect or realize upon the Collateral, nor shall loss of or damage to the Collateral release any Grantor from any of its Secured Obligations.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REMEDIES</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13.1 </w:t>
      </w:r>
      <w:r>
        <w:rPr>
          <w:rFonts w:ascii="Arial" w:cs="Arial" w:eastAsia="Arial" w:hAnsi="Arial"/>
          <w:sz w:val="18"/>
          <w:szCs w:val="18"/>
          <w:b w:val="1"/>
          <w:bCs w:val="1"/>
          <w:color w:val="auto"/>
        </w:rPr>
        <w:t>Certain Remedies.</w:t>
      </w:r>
      <w:r>
        <w:rPr>
          <w:rFonts w:ascii="Arial" w:cs="Arial" w:eastAsia="Arial" w:hAnsi="Arial"/>
          <w:sz w:val="18"/>
          <w:szCs w:val="18"/>
          <w:color w:val="auto"/>
        </w:rPr>
        <w:t xml:space="preserve"> If any Event of Default shall have occurred and be continuing:</w:t>
      </w:r>
    </w:p>
    <w:p>
      <w:pPr>
        <w:spacing w:after="0" w:line="177" w:lineRule="exact"/>
        <w:rPr>
          <w:sz w:val="20"/>
          <w:szCs w:val="20"/>
          <w:color w:val="auto"/>
        </w:rPr>
      </w:pPr>
    </w:p>
    <w:p>
      <w:pPr>
        <w:ind w:firstLine="921"/>
        <w:spacing w:after="0" w:line="268" w:lineRule="auto"/>
        <w:tabs>
          <w:tab w:leader="none" w:pos="1169"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The Administrative Agent may exercise in respect of the Collateral, in addition to other rights and remedies provided for herein or otherwise available to it, all the rights and remedies of a secured party on default under the UCC and also may take the following actions:</w:t>
      </w:r>
    </w:p>
    <w:p>
      <w:pPr>
        <w:spacing w:after="0" w:line="131" w:lineRule="exact"/>
        <w:rPr>
          <w:rFonts w:ascii="Arial" w:cs="Arial" w:eastAsia="Arial" w:hAnsi="Arial"/>
          <w:sz w:val="18"/>
          <w:szCs w:val="18"/>
          <w:color w:val="auto"/>
        </w:rPr>
      </w:pPr>
    </w:p>
    <w:p>
      <w:pPr>
        <w:jc w:val="both"/>
        <w:ind w:firstLine="1492"/>
        <w:spacing w:after="0" w:line="306" w:lineRule="auto"/>
        <w:tabs>
          <w:tab w:leader="none" w:pos="1712" w:val="left"/>
        </w:tabs>
        <w:numPr>
          <w:ilvl w:val="1"/>
          <w:numId w:val="348"/>
        </w:numPr>
        <w:rPr>
          <w:rFonts w:ascii="Arial" w:cs="Arial" w:eastAsia="Arial" w:hAnsi="Arial"/>
          <w:sz w:val="16"/>
          <w:szCs w:val="16"/>
          <w:color w:val="auto"/>
        </w:rPr>
      </w:pPr>
      <w:r>
        <w:rPr>
          <w:rFonts w:ascii="Arial" w:cs="Arial" w:eastAsia="Arial" w:hAnsi="Arial"/>
          <w:sz w:val="16"/>
          <w:szCs w:val="16"/>
          <w:color w:val="auto"/>
        </w:rPr>
        <w:t>require each Grantor to, and each Grantor hereby agrees that it will, at its expense and upon the request of the Administrative Agent forthwith, assemble all or part of the Collateral as directed by the Administrative Agent and make it available to the Administrative Agent at its premises or another place designated by the Administrative Agent (whether or not the UCC applies to the affected Collateral);</w:t>
      </w:r>
    </w:p>
    <w:p>
      <w:pPr>
        <w:spacing w:after="0" w:line="106" w:lineRule="exact"/>
        <w:rPr>
          <w:rFonts w:ascii="Arial" w:cs="Arial" w:eastAsia="Arial" w:hAnsi="Arial"/>
          <w:sz w:val="16"/>
          <w:szCs w:val="16"/>
          <w:color w:val="auto"/>
        </w:rPr>
      </w:pPr>
    </w:p>
    <w:p>
      <w:pPr>
        <w:jc w:val="both"/>
        <w:ind w:firstLine="1492"/>
        <w:spacing w:after="0" w:line="288" w:lineRule="auto"/>
        <w:tabs>
          <w:tab w:leader="none" w:pos="1750" w:val="left"/>
        </w:tabs>
        <w:numPr>
          <w:ilvl w:val="1"/>
          <w:numId w:val="348"/>
        </w:numPr>
        <w:rPr>
          <w:rFonts w:ascii="Arial" w:cs="Arial" w:eastAsia="Arial" w:hAnsi="Arial"/>
          <w:sz w:val="16"/>
          <w:szCs w:val="16"/>
          <w:color w:val="auto"/>
        </w:rPr>
      </w:pPr>
      <w:r>
        <w:rPr>
          <w:rFonts w:ascii="Arial" w:cs="Arial" w:eastAsia="Arial" w:hAnsi="Arial"/>
          <w:sz w:val="16"/>
          <w:szCs w:val="16"/>
          <w:color w:val="auto"/>
        </w:rPr>
        <w:t>without demand of performance or other demand, presentment, protest, advertisement or notice of any kind (except any notice required by referred to below) to or upon any Grantor or any other Person (all and each of which demands, defenses, advertisements and notices are hereby waived), sell, lease, assign, give option or options to purchase, or otherwise dispose of and deliver the Collateral or any part thereof (or contract to do any of the foregoing), in one or more parcels at public or private sale, at any of the Administrative Agent’s offices or elsewhere, for cash, on credit or for future delivery, and upon such other terms as the Administrative Agent may deem commercially reasonable. Each Grantor agrees that, to the extent notice of sale shall be required by Law, at least ten days’ prior notice to such Grantor of the time and place of any public sale or the time after which any private sale is to be made shall constitute reasonable notification. The Administrative Agent shall not be obligated to make any sale of Collateral regardless of notice of sale having been given. The Administrative Agent may adjourn any public or private sale from time to time by announcement at the time and place fixed therefor, and such sale may, without further notice, be made at the time and place to which it was so adjourned;</w:t>
      </w:r>
    </w:p>
    <w:p>
      <w:pPr>
        <w:spacing w:after="0" w:line="119" w:lineRule="exact"/>
        <w:rPr>
          <w:rFonts w:ascii="Arial" w:cs="Arial" w:eastAsia="Arial" w:hAnsi="Arial"/>
          <w:sz w:val="16"/>
          <w:szCs w:val="16"/>
          <w:color w:val="auto"/>
        </w:rPr>
      </w:pPr>
    </w:p>
    <w:p>
      <w:pPr>
        <w:ind w:firstLine="1492"/>
        <w:spacing w:after="0" w:line="332" w:lineRule="auto"/>
        <w:tabs>
          <w:tab w:leader="none" w:pos="1813" w:val="left"/>
        </w:tabs>
        <w:numPr>
          <w:ilvl w:val="1"/>
          <w:numId w:val="348"/>
        </w:numPr>
        <w:rPr>
          <w:rFonts w:ascii="Arial" w:cs="Arial" w:eastAsia="Arial" w:hAnsi="Arial"/>
          <w:sz w:val="16"/>
          <w:szCs w:val="16"/>
          <w:color w:val="auto"/>
        </w:rPr>
      </w:pPr>
      <w:r>
        <w:rPr>
          <w:rFonts w:ascii="Arial" w:cs="Arial" w:eastAsia="Arial" w:hAnsi="Arial"/>
          <w:sz w:val="16"/>
          <w:szCs w:val="16"/>
          <w:color w:val="auto"/>
        </w:rPr>
        <w:t>with or without legal process and with or without prior notice or demand for performance, to take possession of the Collateral and without liability for trespass to enter any premises where the Collateral may be located for the purpose of taking possession of or removing the Collateral.</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307" w:name="page308"/>
    <w:bookmarkEnd w:id="307"/>
    <w:p>
      <w:pPr>
        <w:jc w:val="both"/>
        <w:ind w:firstLine="921"/>
        <w:spacing w:after="0" w:line="290" w:lineRule="auto"/>
        <w:tabs>
          <w:tab w:leader="none" w:pos="1167" w:val="left"/>
        </w:tabs>
        <w:numPr>
          <w:ilvl w:val="0"/>
          <w:numId w:val="34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All cash proceeds received by the Administrative Agent in respect of any sale of, collection from, or other realization upon all or any part of the Collateral may, in the discretion of the Administrative Agent, be held, to the extent permitted under applicable Law, by the Administrative Agent as additional collateral security for all or any part of the Secured Obligations, and/or then or at any time thereafter shall be applied (after payment of any amounts payable to the Administrative Agent pursuant to Section 10.04 of the Credit Agreement and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below) in whole or in part by the Administrative Agent for the ratable benefit of the Secured Parties against all or any part of the Secured Obligations in accordance with Section 8.03 of the Credit Agreement. Any surplus of such cash or cash proceeds held by the Administrative Agent and remaining after payment in full of all the Secured Obligations, and the termination of all Commitments, shall be paid over to the Grantors or to whomsoever may be lawfully entitled to receive such surplus.</w:t>
      </w:r>
    </w:p>
    <w:p>
      <w:pPr>
        <w:spacing w:after="0" w:line="118" w:lineRule="exact"/>
        <w:rPr>
          <w:rFonts w:ascii="Arial" w:cs="Arial" w:eastAsia="Arial" w:hAnsi="Arial"/>
          <w:sz w:val="16"/>
          <w:szCs w:val="16"/>
          <w:color w:val="auto"/>
        </w:rPr>
      </w:pPr>
    </w:p>
    <w:p>
      <w:pPr>
        <w:jc w:val="both"/>
        <w:ind w:firstLine="921"/>
        <w:spacing w:after="0" w:line="290" w:lineRule="auto"/>
        <w:tabs>
          <w:tab w:leader="none" w:pos="1155" w:val="left"/>
        </w:tabs>
        <w:numPr>
          <w:ilvl w:val="0"/>
          <w:numId w:val="349"/>
        </w:numPr>
        <w:rPr>
          <w:rFonts w:ascii="Arial" w:cs="Arial" w:eastAsia="Arial" w:hAnsi="Arial"/>
          <w:sz w:val="16"/>
          <w:szCs w:val="16"/>
          <w:color w:val="auto"/>
        </w:rPr>
      </w:pPr>
      <w:r>
        <w:rPr>
          <w:rFonts w:ascii="Arial" w:cs="Arial" w:eastAsia="Arial" w:hAnsi="Arial"/>
          <w:sz w:val="16"/>
          <w:szCs w:val="16"/>
          <w:color w:val="auto"/>
        </w:rPr>
        <w:t>The Administrative Agent may exercise any and all rights and remedies of each Grantor under or in connection with the Collateral, including the right to sue upon or otherwise collect, extend the time for payment of, modify or amend the terms of, compromise or settle for cash, credit, or otherwise upon any terms, grant other indulgences, extensions, renewals, compositions, or releases, and take or omit to take any other action with respect to the Collateral, any security therefor, any agreement relating thereto, any insurance applicable thereto, or any Person liable directly or indirectly in connection with any of the foregoing, without discharging or otherwise affecting the liability of any Grantor for the Obligations or under this Agreement or any other Loan Document and the Material Contracts or otherwise in respect of the Collateral, including any and all rights of such Grantor to demand or otherwise require payment of any amount under, or performance of any provision of, any Collateral.</w:t>
      </w:r>
    </w:p>
    <w:p>
      <w:pPr>
        <w:spacing w:after="0" w:line="11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Administrative Agent shall give the Grantors 10 days’ written notice (which each Grantor agrees is reasonable notice within the meaning of Section 9-612 of the UCC) of the Administrative Agent’s intention to make any sale of Collateral. Such notice, in the case of a public sale, shall state the time and place for such sale and, in the case of a sale at a broker’s board or on a securities exchange, shall state the board or exchange at which such sale is to be made and the day on which the Collateral, or portion thereof, will first be offered for sale at such board or exchange. Any such public sale shall be held at such time or times within ordinary business hours and at such place or places as the Administrative Agent may fix and state in the notice (if any) of such sale. At any such sale, the Collateral, or portion thereof, to be sold may be sold in one lot as an entirety or in separate parcels, as the Administrative Agent may (in its sole and absolute discretion) determine. The Administrative Agent shall not be obligated to make any sale of any Collateral if it shall determine not to do so, regardless of the fact that notice of sale of such Collateral shall have been given. The Administrative Agent may, without notice or publication adjourn any public or private sale or cause the same to be adjourned from time to time by announcement at the time and place fixed for sale, and such sale may, without further notice, be made at the time and place to which the same was so adjourned. In case any sale of all or any part of the Collateral is made on credit or for future delivery, the Collateral so sold may be retained by the Administrative Agent until the sale price is paid by the purchaser or purchasers thereof, but the Administrative Agent shall not incur any liability in case any such purchaser or purchasers shall fail to take up and pay for the Collateral so sold and, in case of any such failure, such Collateral may be sold again upon like notice. At any public (or, to the extent permitted by Law, private) sale made pursuant to this Section, any Secured Party may bid for or purchase, free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9" w:right="239" w:bottom="1440" w:gutter="0" w:footer="0" w:header="0"/>
        </w:sectPr>
      </w:pPr>
    </w:p>
    <w:bookmarkStart w:id="308" w:name="page309"/>
    <w:bookmarkEnd w:id="308"/>
    <w:p>
      <w:pPr>
        <w:jc w:val="both"/>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extent permitted by Law) from any right of redemption, stay, valuation or appraisal on the part of any Grantor (all said rights being also hereby waived and released to the extent permitted by Law), the Collateral or any part thereof offered for sale and may make payment on account thereof by using any claim then due and payable to such Secured Party from any Grantor as a credit against the purchase price, and such Secured Party may upon compliance with the terms of sale, hold, retain and dispose of such property without further accountability to any Grantor therefor. The Secured Obligations shall not be affected by any failure of the Administrative Agent to take any steps to perfect the security interest granted hereunder or to collect or realize upon the Collateral, nor shall loss or damage to the Collateral release any Grantor from any of its Secured Obligations.</w:t>
      </w:r>
    </w:p>
    <w:p>
      <w:pPr>
        <w:spacing w:after="0" w:line="114" w:lineRule="exact"/>
        <w:rPr>
          <w:sz w:val="20"/>
          <w:szCs w:val="20"/>
          <w:color w:val="auto"/>
        </w:rPr>
      </w:pPr>
    </w:p>
    <w:p>
      <w:pPr>
        <w:jc w:val="both"/>
        <w:ind w:firstLine="456"/>
        <w:spacing w:after="0" w:line="283" w:lineRule="auto"/>
        <w:rPr>
          <w:sz w:val="20"/>
          <w:szCs w:val="20"/>
          <w:color w:val="auto"/>
        </w:rPr>
      </w:pPr>
      <w:r>
        <w:rPr>
          <w:rFonts w:ascii="Arial" w:cs="Arial" w:eastAsia="Arial" w:hAnsi="Arial"/>
          <w:sz w:val="16"/>
          <w:szCs w:val="16"/>
          <w:color w:val="auto"/>
        </w:rPr>
        <w:t xml:space="preserve">SECTION 13.2 </w:t>
      </w:r>
      <w:r>
        <w:rPr>
          <w:rFonts w:ascii="Arial" w:cs="Arial" w:eastAsia="Arial" w:hAnsi="Arial"/>
          <w:sz w:val="16"/>
          <w:szCs w:val="16"/>
          <w:b w:val="1"/>
          <w:bCs w:val="1"/>
          <w:color w:val="auto"/>
        </w:rPr>
        <w:t>Indemnity and Expenses.</w:t>
      </w:r>
      <w:r>
        <w:rPr>
          <w:rFonts w:ascii="Arial" w:cs="Arial" w:eastAsia="Arial" w:hAnsi="Arial"/>
          <w:sz w:val="16"/>
          <w:szCs w:val="16"/>
          <w:color w:val="auto"/>
        </w:rPr>
        <w:t xml:space="preserve"> Each Grantor agrees to jointly and severally indemnify and hold harmless the Administrative Agent (and any sub-agent thereof), each other Secured Party, and each Related Party of any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against, and hold each harmless from, any and all losses, claims, damages, liabilities, and related, reasonable, out-of-pocket expenses (including the reasonable fees, charges and disbursements of any counsel for any Indemnitee);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as long as no Default exists Grantors shall engage and pay for defense counsel that is reasonably acceptable to the Secured Parties in connection with claims brought by third parties and Secured Parties may engage separate counsel under such circumstances at their own expense (it being understood that upon the occurrence of an Event of Default, all counsel shall be at the cost and expense of the Grantors), incurred by any Indemnitee or asserted against any Indemnitee by a third party or by the Borrower or any other Loan Party arising out of, in connection with, or as a result of, this Agreement and the other Loan Documents (including enforcement of this Agreement and other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such losses, claims, damages, liabilities and related expenses (x) are determined by a court of competent jurisdiction by final and nonappealable judgment to have resulted from the gross negligence or willful misconduct of such Indemnitee or</w:t>
      </w:r>
    </w:p>
    <w:p>
      <w:pPr>
        <w:spacing w:after="0" w:line="4" w:lineRule="exact"/>
        <w:rPr>
          <w:sz w:val="20"/>
          <w:szCs w:val="20"/>
          <w:color w:val="auto"/>
        </w:rPr>
      </w:pPr>
    </w:p>
    <w:p>
      <w:pPr>
        <w:jc w:val="both"/>
        <w:ind w:firstLine="8"/>
        <w:spacing w:after="0" w:line="295" w:lineRule="auto"/>
        <w:tabs>
          <w:tab w:leader="none" w:pos="251" w:val="left"/>
        </w:tabs>
        <w:numPr>
          <w:ilvl w:val="0"/>
          <w:numId w:val="350"/>
        </w:numPr>
        <w:rPr>
          <w:rFonts w:ascii="Arial" w:cs="Arial" w:eastAsia="Arial" w:hAnsi="Arial"/>
          <w:sz w:val="16"/>
          <w:szCs w:val="16"/>
          <w:color w:val="auto"/>
        </w:rPr>
      </w:pPr>
      <w:r>
        <w:rPr>
          <w:rFonts w:ascii="Arial" w:cs="Arial" w:eastAsia="Arial" w:hAnsi="Arial"/>
          <w:sz w:val="16"/>
          <w:szCs w:val="16"/>
          <w:color w:val="auto"/>
        </w:rPr>
        <w:t>result from a claim brought by a Loan Party against an Indemnitee for breach in bad faith of such Indemnitee’s obligations hereunder or under any other Loan Document, if such Loan Party has obtained a final and nonappealable judgment in its favor of such claim as determined by a court of competent jurisdiction. Each Grantor will upon demand pay to the Administrative Agent the amount of any and all reasonable expenses, including the reasonable fees and disbursements of any experts and agents, which the Administrative Agent may incur in connection with the following:</w:t>
      </w:r>
    </w:p>
    <w:p>
      <w:pPr>
        <w:spacing w:after="0" w:line="115" w:lineRule="exact"/>
        <w:rPr>
          <w:rFonts w:ascii="Arial" w:cs="Arial" w:eastAsia="Arial" w:hAnsi="Arial"/>
          <w:sz w:val="16"/>
          <w:szCs w:val="16"/>
          <w:color w:val="auto"/>
        </w:rPr>
      </w:pPr>
    </w:p>
    <w:p>
      <w:pPr>
        <w:ind w:left="1160" w:hanging="239"/>
        <w:spacing w:after="0"/>
        <w:tabs>
          <w:tab w:leader="none" w:pos="116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the administration of this Agreement and the other Loan Documents;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the custody, preservation, use or operation of, or the sale of, collection from, or other realization upon, any of the Collateral;</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the exercise or enforcement of any of the rights of the Administrative Agent or the Secured Parties hereunder; or</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the failure by any Grantor to perform or observe any of the provisions hereof.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309" w:name="page310"/>
    <w:bookmarkEnd w:id="30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agreements in this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shall survive the termination of the Commitments and the repayment, satisfaction or discharge of the other Obligations.</w:t>
      </w:r>
    </w:p>
    <w:p>
      <w:pPr>
        <w:spacing w:after="0" w:line="188"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 xml:space="preserve">SECTION 13.3 </w:t>
      </w:r>
      <w:r>
        <w:rPr>
          <w:rFonts w:ascii="Arial" w:cs="Arial" w:eastAsia="Arial" w:hAnsi="Arial"/>
          <w:sz w:val="16"/>
          <w:szCs w:val="16"/>
          <w:b w:val="1"/>
          <w:bCs w:val="1"/>
          <w:color w:val="auto"/>
        </w:rPr>
        <w:t>Waivers.</w:t>
      </w:r>
      <w:r>
        <w:rPr>
          <w:rFonts w:ascii="Arial" w:cs="Arial" w:eastAsia="Arial" w:hAnsi="Arial"/>
          <w:sz w:val="16"/>
          <w:szCs w:val="16"/>
          <w:color w:val="auto"/>
        </w:rPr>
        <w:t xml:space="preserve"> Each Grantor hereby waives any right, to the extent permitted by applicable Law, to receive prior notice of or a judicial or other hearing with respect to any action or prejudgment remedy or proceeding by the Administrative Agent to take possession, exercise control over or dispose of any item of Collateral where such action is permitted under the terms of this Agreement or any other Loan Document or by applicable Laws or the time, place or terms of sale in connection with the exercise of the Administrative Agent’s rights hereunder. Each Grantor waives, to the extent permitted by applicable Laws, any bonds, security or sureties required by the Administrative Agent with respect to any of the Collateral. Each Grantor also waives any damages (direct, consequential or otherwise) occasioned by the enforcement of the Administrative Agent’s rights under this Agreement or any other Loan Document, including, the taking of possession of any Collateral or the giving of notice to any Account Debtor or the collection of any Receivables Collateral, all to the extent that such waiver is permitted by applicable Laws. Each Grantor also consents that the Administrative Agent, in connection with the enforcement of the Administrative Agent’s rights and remedies under this Agreement, may enter upon any premises owned by or leased to it without obligations to pay rent or for use and occupancy, through self-help, without judicial process and without having first obtained an order of any court. These waivers and all other waivers provided for in this Agreement and the other Loan Documents have been negotiated by the parties and each Grantor acknowledges that it has been represented by counsel of its own choice and has consulted such counsel with respect to its rights hereunder.</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XIV</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 PROVISIONS</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14.1 </w:t>
      </w:r>
      <w:r>
        <w:rPr>
          <w:rFonts w:ascii="Arial" w:cs="Arial" w:eastAsia="Arial" w:hAnsi="Arial"/>
          <w:sz w:val="18"/>
          <w:szCs w:val="18"/>
          <w:b w:val="1"/>
          <w:bCs w:val="1"/>
          <w:color w:val="auto"/>
        </w:rPr>
        <w:t>Loan Document.</w:t>
      </w:r>
    </w:p>
    <w:p>
      <w:pPr>
        <w:spacing w:after="0" w:line="96" w:lineRule="exact"/>
        <w:rPr>
          <w:sz w:val="20"/>
          <w:szCs w:val="20"/>
          <w:color w:val="auto"/>
        </w:rPr>
      </w:pPr>
    </w:p>
    <w:p>
      <w:pPr>
        <w:ind w:firstLine="921"/>
        <w:spacing w:after="0" w:line="268" w:lineRule="auto"/>
        <w:tabs>
          <w:tab w:leader="none" w:pos="1177"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This Agreement is a Loan Document executed pursuant to the Credit Agreement and shall (unless otherwise expressly indicated herein) be construed, administered and applied in accordance with the terms and provisions thereof.</w:t>
      </w:r>
    </w:p>
    <w:p>
      <w:pPr>
        <w:spacing w:after="0" w:line="131" w:lineRule="exact"/>
        <w:rPr>
          <w:rFonts w:ascii="Arial" w:cs="Arial" w:eastAsia="Arial" w:hAnsi="Arial"/>
          <w:sz w:val="18"/>
          <w:szCs w:val="18"/>
          <w:color w:val="auto"/>
        </w:rPr>
      </w:pPr>
    </w:p>
    <w:p>
      <w:pPr>
        <w:jc w:val="both"/>
        <w:ind w:firstLine="921"/>
        <w:spacing w:after="0" w:line="259" w:lineRule="auto"/>
        <w:tabs>
          <w:tab w:leader="none" w:pos="1166" w:val="left"/>
        </w:tabs>
        <w:numPr>
          <w:ilvl w:val="0"/>
          <w:numId w:val="351"/>
        </w:numPr>
        <w:rPr>
          <w:rFonts w:ascii="Arial" w:cs="Arial" w:eastAsia="Arial" w:hAnsi="Arial"/>
          <w:sz w:val="18"/>
          <w:szCs w:val="18"/>
          <w:color w:val="auto"/>
        </w:rPr>
      </w:pPr>
      <w:r>
        <w:rPr>
          <w:rFonts w:ascii="Arial" w:cs="Arial" w:eastAsia="Arial" w:hAnsi="Arial"/>
          <w:sz w:val="18"/>
          <w:szCs w:val="18"/>
          <w:color w:val="auto"/>
        </w:rPr>
        <w:t>Concurrently herewith certain of the Grantors are executing and delivering the Pledge Agreement pursuant to which such Grantor is pledging all the certificated Investment Property and Instruments of such Grantor. Such pledges shall be governed by the terms of the Pledge Agreement and not by this Agreement.</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14.2 </w:t>
      </w:r>
      <w:r>
        <w:rPr>
          <w:rFonts w:ascii="Arial" w:cs="Arial" w:eastAsia="Arial" w:hAnsi="Arial"/>
          <w:sz w:val="18"/>
          <w:szCs w:val="18"/>
          <w:b w:val="1"/>
          <w:bCs w:val="1"/>
          <w:color w:val="auto"/>
        </w:rPr>
        <w:t>Amendments, etc.; Additional Grantors; Successors and Assigns</w:t>
      </w:r>
      <w:r>
        <w:rPr>
          <w:rFonts w:ascii="Arial" w:cs="Arial" w:eastAsia="Arial" w:hAnsi="Arial"/>
          <w:sz w:val="18"/>
          <w:szCs w:val="18"/>
          <w:color w:val="auto"/>
        </w:rPr>
        <w:t>.</w:t>
      </w:r>
    </w:p>
    <w:p>
      <w:pPr>
        <w:spacing w:after="0" w:line="96" w:lineRule="exact"/>
        <w:rPr>
          <w:sz w:val="20"/>
          <w:szCs w:val="20"/>
          <w:color w:val="auto"/>
        </w:rPr>
      </w:pPr>
    </w:p>
    <w:p>
      <w:pPr>
        <w:jc w:val="both"/>
        <w:ind w:firstLine="921"/>
        <w:spacing w:after="0" w:line="259" w:lineRule="auto"/>
        <w:tabs>
          <w:tab w:leader="none" w:pos="1168" w:val="left"/>
        </w:tabs>
        <w:numPr>
          <w:ilvl w:val="0"/>
          <w:numId w:val="352"/>
        </w:numPr>
        <w:rPr>
          <w:rFonts w:ascii="Arial" w:cs="Arial" w:eastAsia="Arial" w:hAnsi="Arial"/>
          <w:sz w:val="18"/>
          <w:szCs w:val="18"/>
          <w:color w:val="auto"/>
        </w:rPr>
      </w:pPr>
      <w:r>
        <w:rPr>
          <w:rFonts w:ascii="Arial" w:cs="Arial" w:eastAsia="Arial" w:hAnsi="Arial"/>
          <w:sz w:val="18"/>
          <w:szCs w:val="18"/>
          <w:color w:val="auto"/>
        </w:rPr>
        <w:t>No amendment to or waiver of any provision of this Agreement nor consent to any departure by any Grantor herefrom, shall in any event be effective unless the same shall be in writing and signed by the Administrative Agent and, with respect to any such amendment, by the Grantors, and then such waiver or consent shall be effective only in the specific instance and for the specific purpose for which given.</w:t>
      </w:r>
    </w:p>
    <w:p>
      <w:pPr>
        <w:spacing w:after="0" w:line="140" w:lineRule="exact"/>
        <w:rPr>
          <w:rFonts w:ascii="Arial" w:cs="Arial" w:eastAsia="Arial" w:hAnsi="Arial"/>
          <w:sz w:val="18"/>
          <w:szCs w:val="18"/>
          <w:color w:val="auto"/>
        </w:rPr>
      </w:pPr>
    </w:p>
    <w:p>
      <w:pPr>
        <w:ind w:right="20" w:firstLine="921"/>
        <w:spacing w:after="0" w:line="268" w:lineRule="auto"/>
        <w:tabs>
          <w:tab w:leader="none" w:pos="1165" w:val="left"/>
        </w:tabs>
        <w:numPr>
          <w:ilvl w:val="0"/>
          <w:numId w:val="352"/>
        </w:numPr>
        <w:rPr>
          <w:rFonts w:ascii="Arial" w:cs="Arial" w:eastAsia="Arial" w:hAnsi="Arial"/>
          <w:sz w:val="18"/>
          <w:szCs w:val="18"/>
          <w:color w:val="auto"/>
        </w:rPr>
      </w:pPr>
      <w:r>
        <w:rPr>
          <w:rFonts w:ascii="Arial" w:cs="Arial" w:eastAsia="Arial" w:hAnsi="Arial"/>
          <w:sz w:val="18"/>
          <w:szCs w:val="18"/>
          <w:color w:val="auto"/>
        </w:rPr>
        <w:t>Upon the execution and delivery by any Person of a Joinder Agreement, (i) such Person shall be referred to as an “</w:t>
      </w:r>
      <w:r>
        <w:rPr>
          <w:rFonts w:ascii="Arial" w:cs="Arial" w:eastAsia="Arial" w:hAnsi="Arial"/>
          <w:sz w:val="18"/>
          <w:szCs w:val="18"/>
          <w:u w:val="single" w:color="auto"/>
          <w:color w:val="auto"/>
        </w:rPr>
        <w:t>Additional Grantor</w:t>
      </w:r>
      <w:r>
        <w:rPr>
          <w:rFonts w:ascii="Arial" w:cs="Arial" w:eastAsia="Arial" w:hAnsi="Arial"/>
          <w:sz w:val="18"/>
          <w:szCs w:val="18"/>
          <w:color w:val="auto"/>
        </w:rPr>
        <w:t>” and shall be and become 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9" w:right="239" w:bottom="1440" w:gutter="0" w:footer="0" w:header="0"/>
        </w:sectPr>
      </w:pPr>
    </w:p>
    <w:bookmarkStart w:id="310" w:name="page311"/>
    <w:bookmarkEnd w:id="310"/>
    <w:p>
      <w:pPr>
        <w:jc w:val="both"/>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Grantor, and each reference in this Agreement to “Grantor” shall also mean and be a reference to such Additional Grantor and (ii) the schedule supplements attached to each Security Agreement shall be incorporated into and become a part of and supplement </w:t>
      </w:r>
      <w:r>
        <w:rPr>
          <w:rFonts w:ascii="Arial" w:cs="Arial" w:eastAsia="Arial" w:hAnsi="Arial"/>
          <w:sz w:val="18"/>
          <w:szCs w:val="18"/>
          <w:u w:val="single" w:color="auto"/>
          <w:color w:val="auto"/>
        </w:rPr>
        <w:t>Schedules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hereto, as appropriate, and the Administrative Agent may attach such schedule supplements to such Schedules, and each reference to such Schedules shall mean and be a reference to such Schedules, as supplemented pursuant hereto.</w:t>
      </w:r>
    </w:p>
    <w:p>
      <w:pPr>
        <w:spacing w:after="0" w:line="143" w:lineRule="exact"/>
        <w:rPr>
          <w:sz w:val="20"/>
          <w:szCs w:val="20"/>
          <w:color w:val="auto"/>
        </w:rPr>
      </w:pPr>
    </w:p>
    <w:p>
      <w:pPr>
        <w:jc w:val="both"/>
        <w:ind w:firstLine="921"/>
        <w:spacing w:after="0" w:line="256" w:lineRule="auto"/>
        <w:tabs>
          <w:tab w:leader="none" w:pos="1183" w:val="left"/>
        </w:tabs>
        <w:numPr>
          <w:ilvl w:val="0"/>
          <w:numId w:val="353"/>
        </w:numPr>
        <w:rPr>
          <w:rFonts w:ascii="Arial" w:cs="Arial" w:eastAsia="Arial" w:hAnsi="Arial"/>
          <w:sz w:val="18"/>
          <w:szCs w:val="18"/>
          <w:color w:val="auto"/>
        </w:rPr>
      </w:pPr>
      <w:r>
        <w:rPr>
          <w:rFonts w:ascii="Arial" w:cs="Arial" w:eastAsia="Arial" w:hAnsi="Arial"/>
          <w:sz w:val="18"/>
          <w:szCs w:val="18"/>
          <w:color w:val="auto"/>
        </w:rPr>
        <w:t xml:space="preserve">Upon the delivery by the Borrower of each certificate of Responsible Officers certifying supplements to the Schedules to this Agreement pursuant to </w:t>
      </w:r>
      <w:r>
        <w:rPr>
          <w:rFonts w:ascii="Arial" w:cs="Arial" w:eastAsia="Arial" w:hAnsi="Arial"/>
          <w:sz w:val="18"/>
          <w:szCs w:val="18"/>
          <w:u w:val="single" w:color="auto"/>
          <w:color w:val="auto"/>
        </w:rPr>
        <w:t>Section 4.14,</w:t>
      </w:r>
      <w:r>
        <w:rPr>
          <w:rFonts w:ascii="Arial" w:cs="Arial" w:eastAsia="Arial" w:hAnsi="Arial"/>
          <w:sz w:val="18"/>
          <w:szCs w:val="18"/>
          <w:color w:val="auto"/>
        </w:rPr>
        <w:t xml:space="preserve"> the schedule supplements attached to each such certificate shall be incorporated into and become a part of and supplement </w:t>
      </w:r>
      <w:r>
        <w:rPr>
          <w:rFonts w:ascii="Arial" w:cs="Arial" w:eastAsia="Arial" w:hAnsi="Arial"/>
          <w:sz w:val="18"/>
          <w:szCs w:val="18"/>
          <w:u w:val="single" w:color="auto"/>
          <w:color w:val="auto"/>
        </w:rPr>
        <w:t>Schedules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hereto, as appropriate, and the Administrative Agent may attach such schedule supplements to such Schedules, and each reference to such Schedules shall mean and be a reference to such Schedules, as supplemented pursuant hereto.</w:t>
      </w:r>
    </w:p>
    <w:p>
      <w:pPr>
        <w:spacing w:after="0" w:line="143" w:lineRule="exact"/>
        <w:rPr>
          <w:rFonts w:ascii="Arial" w:cs="Arial" w:eastAsia="Arial" w:hAnsi="Arial"/>
          <w:sz w:val="18"/>
          <w:szCs w:val="18"/>
          <w:color w:val="auto"/>
        </w:rPr>
      </w:pPr>
    </w:p>
    <w:p>
      <w:pPr>
        <w:jc w:val="both"/>
        <w:ind w:firstLine="921"/>
        <w:spacing w:after="0" w:line="259" w:lineRule="auto"/>
        <w:tabs>
          <w:tab w:leader="none" w:pos="1162" w:val="left"/>
        </w:tabs>
        <w:numPr>
          <w:ilvl w:val="0"/>
          <w:numId w:val="353"/>
        </w:numPr>
        <w:rPr>
          <w:rFonts w:ascii="Arial" w:cs="Arial" w:eastAsia="Arial" w:hAnsi="Arial"/>
          <w:sz w:val="18"/>
          <w:szCs w:val="18"/>
          <w:color w:val="auto"/>
        </w:rPr>
      </w:pPr>
      <w:r>
        <w:rPr>
          <w:rFonts w:ascii="Arial" w:cs="Arial" w:eastAsia="Arial" w:hAnsi="Arial"/>
          <w:sz w:val="18"/>
          <w:szCs w:val="18"/>
          <w:color w:val="auto"/>
        </w:rPr>
        <w:t xml:space="preserve">This Agreement shall be binding upon each Grantor and its successors, transferees and assigns and shall inure to the benefit of the Administrative Agent and each other Secured Party and their respective successors, transferees and assigns;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Grantor may assign its obligations hereunder without the prior written consent of the Administrative Agent.</w:t>
      </w:r>
    </w:p>
    <w:p>
      <w:pPr>
        <w:spacing w:after="0" w:line="134" w:lineRule="exact"/>
        <w:rPr>
          <w:sz w:val="20"/>
          <w:szCs w:val="20"/>
          <w:color w:val="auto"/>
        </w:rPr>
      </w:pPr>
    </w:p>
    <w:p>
      <w:pPr>
        <w:jc w:val="both"/>
        <w:ind w:firstLine="456"/>
        <w:spacing w:after="0" w:line="258" w:lineRule="auto"/>
        <w:rPr>
          <w:sz w:val="20"/>
          <w:szCs w:val="20"/>
          <w:color w:val="auto"/>
        </w:rPr>
      </w:pPr>
      <w:r>
        <w:rPr>
          <w:rFonts w:ascii="Arial" w:cs="Arial" w:eastAsia="Arial" w:hAnsi="Arial"/>
          <w:sz w:val="18"/>
          <w:szCs w:val="18"/>
          <w:color w:val="auto"/>
        </w:rPr>
        <w:t xml:space="preserve">SECTION 14.3 </w:t>
      </w:r>
      <w:r>
        <w:rPr>
          <w:rFonts w:ascii="Arial" w:cs="Arial" w:eastAsia="Arial" w:hAnsi="Arial"/>
          <w:sz w:val="18"/>
          <w:szCs w:val="18"/>
          <w:b w:val="1"/>
          <w:bCs w:val="1"/>
          <w:color w:val="auto"/>
        </w:rPr>
        <w:t>Addresses for Notices.</w:t>
      </w:r>
      <w:r>
        <w:rPr>
          <w:rFonts w:ascii="Arial" w:cs="Arial" w:eastAsia="Arial" w:hAnsi="Arial"/>
          <w:sz w:val="18"/>
          <w:szCs w:val="18"/>
          <w:color w:val="auto"/>
        </w:rPr>
        <w:t xml:space="preserve"> All notices and other communications provided for hereunder shall be in writing and mailed, delivered or transmitted by telecopier to each party hereto at the address set forth in Section 10.02 of the Credit Agreement (with any notice to a Grantor other than the Borrower being delivered to such Grantor in care of the Borrower). All such notices and other communications shall be deemed to be given or made at the times provided in Section 10.02 of the Credit Agreement.</w:t>
      </w:r>
    </w:p>
    <w:p>
      <w:pPr>
        <w:spacing w:after="0" w:line="136" w:lineRule="exact"/>
        <w:rPr>
          <w:sz w:val="20"/>
          <w:szCs w:val="20"/>
          <w:color w:val="auto"/>
        </w:rPr>
      </w:pPr>
    </w:p>
    <w:p>
      <w:pPr>
        <w:jc w:val="both"/>
        <w:ind w:right="20" w:firstLine="456"/>
        <w:spacing w:after="0" w:line="275" w:lineRule="auto"/>
        <w:rPr>
          <w:sz w:val="20"/>
          <w:szCs w:val="20"/>
          <w:color w:val="auto"/>
        </w:rPr>
      </w:pPr>
      <w:r>
        <w:rPr>
          <w:rFonts w:ascii="Arial" w:cs="Arial" w:eastAsia="Arial" w:hAnsi="Arial"/>
          <w:sz w:val="18"/>
          <w:szCs w:val="18"/>
          <w:color w:val="auto"/>
        </w:rPr>
        <w:t xml:space="preserve">SECTION 14.4 </w:t>
      </w:r>
      <w:r>
        <w:rPr>
          <w:rFonts w:ascii="Arial" w:cs="Arial" w:eastAsia="Arial" w:hAnsi="Arial"/>
          <w:sz w:val="18"/>
          <w:szCs w:val="18"/>
          <w:b w:val="1"/>
          <w:bCs w:val="1"/>
          <w:color w:val="auto"/>
        </w:rPr>
        <w:t>Section Captions.</w:t>
      </w:r>
      <w:r>
        <w:rPr>
          <w:rFonts w:ascii="Arial" w:cs="Arial" w:eastAsia="Arial" w:hAnsi="Arial"/>
          <w:sz w:val="18"/>
          <w:szCs w:val="18"/>
          <w:color w:val="auto"/>
        </w:rPr>
        <w:t xml:space="preserve"> Section captions used in this Agreement are for convenience of reference only, and shall not affect the construction of this Agreement.</w:t>
      </w:r>
    </w:p>
    <w:p>
      <w:pPr>
        <w:spacing w:after="0" w:line="12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 xml:space="preserve">SECTION 14.5 </w:t>
      </w:r>
      <w:r>
        <w:rPr>
          <w:rFonts w:ascii="Arial" w:cs="Arial" w:eastAsia="Arial" w:hAnsi="Arial"/>
          <w:sz w:val="18"/>
          <w:szCs w:val="18"/>
          <w:b w:val="1"/>
          <w:bCs w:val="1"/>
          <w:color w:val="auto"/>
        </w:rPr>
        <w:t>Severability.</w:t>
      </w:r>
      <w:r>
        <w:rPr>
          <w:rFonts w:ascii="Arial" w:cs="Arial" w:eastAsia="Arial" w:hAnsi="Arial"/>
          <w:sz w:val="18"/>
          <w:szCs w:val="18"/>
          <w:color w:val="auto"/>
        </w:rPr>
        <w:t xml:space="preserve"> If any provision of this Agreement is held to be illegal, invalid or unenforceable, (a) the legality, validity and enforceability of the remaining provisions of this Agreement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39" w:lineRule="exact"/>
        <w:rPr>
          <w:sz w:val="20"/>
          <w:szCs w:val="20"/>
          <w:color w:val="auto"/>
        </w:rPr>
      </w:pPr>
    </w:p>
    <w:p>
      <w:pPr>
        <w:jc w:val="both"/>
        <w:ind w:firstLine="456"/>
        <w:spacing w:after="0" w:line="275" w:lineRule="auto"/>
        <w:rPr>
          <w:sz w:val="20"/>
          <w:szCs w:val="20"/>
          <w:color w:val="auto"/>
        </w:rPr>
      </w:pPr>
      <w:r>
        <w:rPr>
          <w:rFonts w:ascii="Arial" w:cs="Arial" w:eastAsia="Arial" w:hAnsi="Arial"/>
          <w:sz w:val="18"/>
          <w:szCs w:val="18"/>
          <w:color w:val="auto"/>
        </w:rPr>
        <w:t xml:space="preserve">SECTION 14.6 </w:t>
      </w:r>
      <w:r>
        <w:rPr>
          <w:rFonts w:ascii="Arial" w:cs="Arial" w:eastAsia="Arial" w:hAnsi="Arial"/>
          <w:sz w:val="18"/>
          <w:szCs w:val="18"/>
          <w:b w:val="1"/>
          <w:bCs w:val="1"/>
          <w:color w:val="auto"/>
        </w:rPr>
        <w:t>Counterparts.</w:t>
      </w:r>
      <w:r>
        <w:rPr>
          <w:rFonts w:ascii="Arial" w:cs="Arial" w:eastAsia="Arial" w:hAnsi="Arial"/>
          <w:sz w:val="18"/>
          <w:szCs w:val="18"/>
          <w:color w:val="auto"/>
        </w:rPr>
        <w:t xml:space="preserve"> This Agreement may be executed in counterparts (and by different parties hereto in different counterparts), each of which shall constitute an original, but all of which when taken together shall constitute a single contract.</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14.7 </w:t>
      </w:r>
      <w:r>
        <w:rPr>
          <w:rFonts w:ascii="Arial" w:cs="Arial" w:eastAsia="Arial" w:hAnsi="Arial"/>
          <w:sz w:val="18"/>
          <w:szCs w:val="18"/>
          <w:b w:val="1"/>
          <w:bCs w:val="1"/>
          <w:color w:val="auto"/>
        </w:rPr>
        <w:t>Governing Law, Etc.</w:t>
      </w:r>
    </w:p>
    <w:p>
      <w:pPr>
        <w:spacing w:after="0" w:line="90" w:lineRule="exact"/>
        <w:rPr>
          <w:sz w:val="20"/>
          <w:szCs w:val="20"/>
          <w:color w:val="auto"/>
        </w:rPr>
      </w:pPr>
    </w:p>
    <w:p>
      <w:pPr>
        <w:jc w:val="both"/>
        <w:ind w:firstLine="921"/>
        <w:spacing w:after="0" w:line="262" w:lineRule="auto"/>
        <w:tabs>
          <w:tab w:leader="none" w:pos="1162" w:val="left"/>
        </w:tabs>
        <w:numPr>
          <w:ilvl w:val="0"/>
          <w:numId w:val="354"/>
        </w:numPr>
        <w:rPr>
          <w:rFonts w:ascii="Arial" w:cs="Arial" w:eastAsia="Arial" w:hAnsi="Arial"/>
          <w:sz w:val="18"/>
          <w:szCs w:val="18"/>
          <w:color w:val="auto"/>
        </w:rPr>
      </w:pPr>
      <w:r>
        <w:rPr>
          <w:rFonts w:ascii="Arial" w:cs="Arial" w:eastAsia="Arial" w:hAnsi="Arial"/>
          <w:sz w:val="18"/>
          <w:szCs w:val="18"/>
          <w:b w:val="1"/>
          <w:bCs w:val="1"/>
          <w:color w:val="auto"/>
        </w:rPr>
        <w:t>THIS AGREEMENT SHALL BE GOVERNED BY AND CONSTRUED IN ACCORDANCE WITH THE LAWS OF THE STATE OF NEW YORK APPLICABLE TO AGREEMENTS MADE AND PERFORMED ENTIRELY WITHIN SUCH STATE, EXCEPT TO THE EXTENT THAT THE VALIDITY OR PERFECTION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9" w:right="239" w:bottom="1440" w:gutter="0" w:footer="0" w:header="0"/>
        </w:sectPr>
      </w:pPr>
    </w:p>
    <w:bookmarkStart w:id="311" w:name="page312"/>
    <w:bookmarkEnd w:id="311"/>
    <w:p>
      <w:pPr>
        <w:jc w:val="both"/>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OF THE SECURITY INTEREST HEREUNDER, OR REMEDIES HEREUNDER, IN RESPECT OF ANY PARTICULAR COLLATERAL ARE GOVERNED BY THE LAWS OF A JURISDICTION OTHER THAN THE STATE OF NEW YORK; </w:t>
      </w:r>
      <w:r>
        <w:rPr>
          <w:rFonts w:ascii="Arial" w:cs="Arial" w:eastAsia="Arial" w:hAnsi="Arial"/>
          <w:sz w:val="18"/>
          <w:szCs w:val="18"/>
          <w:b w:val="1"/>
          <w:bCs w:val="1"/>
          <w:u w:val="single" w:color="auto"/>
          <w:color w:val="auto"/>
        </w:rPr>
        <w:t>PROVIDED</w:t>
      </w:r>
      <w:r>
        <w:rPr>
          <w:rFonts w:ascii="Arial" w:cs="Arial" w:eastAsia="Arial" w:hAnsi="Arial"/>
          <w:sz w:val="18"/>
          <w:szCs w:val="18"/>
          <w:b w:val="1"/>
          <w:bCs w:val="1"/>
          <w:color w:val="auto"/>
        </w:rPr>
        <w:t xml:space="preserve"> THAT THE ADMINISTRATIVE AGENT SHALL RETAIN ALL RIGHTS ARISING UNDER FEDERAL LAW.</w:t>
      </w:r>
    </w:p>
    <w:p>
      <w:pPr>
        <w:spacing w:after="0" w:line="132" w:lineRule="exact"/>
        <w:rPr>
          <w:sz w:val="20"/>
          <w:szCs w:val="20"/>
          <w:color w:val="auto"/>
        </w:rPr>
      </w:pPr>
    </w:p>
    <w:p>
      <w:pPr>
        <w:jc w:val="both"/>
        <w:ind w:firstLine="921"/>
        <w:spacing w:after="0" w:line="252" w:lineRule="auto"/>
        <w:tabs>
          <w:tab w:leader="none" w:pos="1216" w:val="left"/>
        </w:tabs>
        <w:numPr>
          <w:ilvl w:val="0"/>
          <w:numId w:val="355"/>
        </w:numPr>
        <w:rPr>
          <w:rFonts w:ascii="Arial" w:cs="Arial" w:eastAsia="Arial" w:hAnsi="Arial"/>
          <w:sz w:val="18"/>
          <w:szCs w:val="18"/>
          <w:color w:val="auto"/>
        </w:rPr>
      </w:pPr>
      <w:r>
        <w:rPr>
          <w:rFonts w:ascii="Arial" w:cs="Arial" w:eastAsia="Arial" w:hAnsi="Arial"/>
          <w:sz w:val="18"/>
          <w:szCs w:val="18"/>
          <w:b w:val="1"/>
          <w:bCs w:val="1"/>
          <w:color w:val="auto"/>
        </w:rPr>
        <w:t xml:space="preserve">EACH GRANTOR IRREVOCABLY AND UNCONDITIONALLY SUBMITS, FOR ITSELF AND ITS PROPERTY, TO THE NONEXCLUSIVE JURISDICTION OF THE COURTS OF THE STATE OF NEW YORK SITTING IN NEW YORK COUNTY AND OF THE UNITED STATES DISTRICT COURT OF THE SOUTHERN DISTRICT OF NEW YORK, AND ANY APPELLATE COURT FROM ANY THEREOF, IN ANY ACTION OR PROCEEDING ARISING OUT OF OR RELATING TO THIS AGREEMENT OR ANY OTHER LOAN DOCUMENT, OR FOR RECOGNITION OR ENFORCEMENT OF ANY JUDGMENT; </w:t>
      </w:r>
      <w:r>
        <w:rPr>
          <w:rFonts w:ascii="Arial" w:cs="Arial" w:eastAsia="Arial" w:hAnsi="Arial"/>
          <w:sz w:val="18"/>
          <w:szCs w:val="18"/>
          <w:b w:val="1"/>
          <w:bCs w:val="1"/>
          <w:u w:val="single" w:color="auto"/>
          <w:color w:val="auto"/>
        </w:rPr>
        <w:t>PROVIDED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HOWEVER</w:t>
      </w:r>
      <w:r>
        <w:rPr>
          <w:rFonts w:ascii="Arial" w:cs="Arial" w:eastAsia="Arial" w:hAnsi="Arial"/>
          <w:sz w:val="18"/>
          <w:szCs w:val="18"/>
          <w:b w:val="1"/>
          <w:bCs w:val="1"/>
          <w:color w:val="auto"/>
        </w:rPr>
        <w:t>, THAT ANY SUIT SEEKING ENFORCEMENT AGAINST ANY COLLATERAL OR OTHER PROPERTY SHALL BE BROUGHT, AT THE ADMINISTRATIVE AGENT’S OPTION, IN THE COURTS OF ANY JURISDICTION WHERE SUCH COLLATERAL OR OTHER PROPERTY MAY BE FOUND.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OR ANY OTHER SECURED PARTY HERETO MAY OTHERWISE HAVE TO BRING ANY ACTION OR PROCEEDING RELATING TO THIS AGREEMENT OR ANY OTHER LOAN DOCUMENT AGAINST ANY GRANTOR OR ITS PROPERTIES IN THE COURTS OF ANY JURISDICTION.</w:t>
      </w:r>
    </w:p>
    <w:p>
      <w:pPr>
        <w:spacing w:after="0" w:line="143" w:lineRule="exact"/>
        <w:rPr>
          <w:rFonts w:ascii="Arial" w:cs="Arial" w:eastAsia="Arial" w:hAnsi="Arial"/>
          <w:sz w:val="18"/>
          <w:szCs w:val="18"/>
          <w:color w:val="auto"/>
        </w:rPr>
      </w:pPr>
    </w:p>
    <w:p>
      <w:pPr>
        <w:jc w:val="both"/>
        <w:ind w:firstLine="921"/>
        <w:spacing w:after="0" w:line="255" w:lineRule="auto"/>
        <w:tabs>
          <w:tab w:leader="none" w:pos="1206" w:val="left"/>
        </w:tabs>
        <w:numPr>
          <w:ilvl w:val="0"/>
          <w:numId w:val="355"/>
        </w:numPr>
        <w:rPr>
          <w:rFonts w:ascii="Arial" w:cs="Arial" w:eastAsia="Arial" w:hAnsi="Arial"/>
          <w:sz w:val="18"/>
          <w:szCs w:val="18"/>
          <w:color w:val="auto"/>
        </w:rPr>
      </w:pPr>
      <w:r>
        <w:rPr>
          <w:rFonts w:ascii="Arial" w:cs="Arial" w:eastAsia="Arial" w:hAnsi="Arial"/>
          <w:sz w:val="18"/>
          <w:szCs w:val="18"/>
          <w:b w:val="1"/>
          <w:bCs w:val="1"/>
          <w:color w:val="auto"/>
        </w:rPr>
        <w:t>EACH GRANTOR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39" w:lineRule="exact"/>
        <w:rPr>
          <w:rFonts w:ascii="Arial" w:cs="Arial" w:eastAsia="Arial" w:hAnsi="Arial"/>
          <w:sz w:val="18"/>
          <w:szCs w:val="18"/>
          <w:color w:val="auto"/>
        </w:rPr>
      </w:pPr>
    </w:p>
    <w:p>
      <w:pPr>
        <w:jc w:val="both"/>
        <w:ind w:firstLine="921"/>
        <w:spacing w:after="0" w:line="262" w:lineRule="auto"/>
        <w:tabs>
          <w:tab w:leader="none" w:pos="1161" w:val="left"/>
        </w:tabs>
        <w:numPr>
          <w:ilvl w:val="0"/>
          <w:numId w:val="355"/>
        </w:numPr>
        <w:rPr>
          <w:rFonts w:ascii="Arial" w:cs="Arial" w:eastAsia="Arial" w:hAnsi="Arial"/>
          <w:sz w:val="18"/>
          <w:szCs w:val="18"/>
          <w:color w:val="auto"/>
        </w:rPr>
      </w:pPr>
      <w:r>
        <w:rPr>
          <w:rFonts w:ascii="Arial" w:cs="Arial" w:eastAsia="Arial" w:hAnsi="Arial"/>
          <w:sz w:val="18"/>
          <w:szCs w:val="18"/>
          <w:b w:val="1"/>
          <w:bCs w:val="1"/>
          <w:color w:val="auto"/>
        </w:rPr>
        <w:t xml:space="preserve">EACH PARTY HERETO IRREVOCABLY CONSENTS TO SERVICE OF PROCESS IN THE MANNER PROVIDED FOR NOTICES IN </w:t>
      </w:r>
      <w:r>
        <w:rPr>
          <w:rFonts w:ascii="Arial" w:cs="Arial" w:eastAsia="Arial" w:hAnsi="Arial"/>
          <w:sz w:val="18"/>
          <w:szCs w:val="18"/>
          <w:b w:val="1"/>
          <w:bCs w:val="1"/>
          <w:u w:val="single" w:color="auto"/>
          <w:color w:val="auto"/>
        </w:rPr>
        <w:t>SECTION 7.3</w:t>
      </w:r>
      <w:r>
        <w:rPr>
          <w:rFonts w:ascii="Arial" w:cs="Arial" w:eastAsia="Arial" w:hAnsi="Arial"/>
          <w:sz w:val="18"/>
          <w:szCs w:val="18"/>
          <w:b w:val="1"/>
          <w:bCs w:val="1"/>
          <w:color w:val="auto"/>
        </w:rPr>
        <w:t>. NOTHING IN THIS AGREEMENT WILL AFFECT THE RIGHT OF ANY PARTY HERETO TO SERVE PROCESS IN ANY OTHER MANNER PERMITTED BY APPLICABLE LAW.</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312" w:name="page313"/>
    <w:bookmarkEnd w:id="312"/>
    <w:p>
      <w:pPr>
        <w:jc w:val="both"/>
        <w:ind w:firstLine="456"/>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14.8 </w:t>
      </w:r>
      <w:r>
        <w:rPr>
          <w:rFonts w:ascii="Arial" w:cs="Arial" w:eastAsia="Arial" w:hAnsi="Arial"/>
          <w:sz w:val="16"/>
          <w:szCs w:val="16"/>
          <w:b w:val="1"/>
          <w:bCs w:val="1"/>
          <w:color w:val="auto"/>
        </w:rPr>
        <w:t>Waiver of Jury Trial. EACH PARTY HERETO HEREBY IRREVOCABLY WAIVES, TO THE FULLEST EXTENT</w:t>
      </w:r>
      <w:r>
        <w:rPr>
          <w:rFonts w:ascii="Arial" w:cs="Arial" w:eastAsia="Arial" w:hAnsi="Arial"/>
          <w:sz w:val="16"/>
          <w:szCs w:val="16"/>
          <w:color w:val="auto"/>
        </w:rPr>
        <w:t xml:space="preserve"> </w:t>
      </w:r>
      <w:r>
        <w:rPr>
          <w:rFonts w:ascii="Arial" w:cs="Arial" w:eastAsia="Arial" w:hAnsi="Arial"/>
          <w:sz w:val="16"/>
          <w:szCs w:val="16"/>
          <w:b w:val="1"/>
          <w:bCs w:val="1"/>
          <w:color w:val="auto"/>
        </w:rPr>
        <w:t>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w:t>
      </w:r>
    </w:p>
    <w:p>
      <w:pPr>
        <w:spacing w:after="0" w:line="3" w:lineRule="exact"/>
        <w:rPr>
          <w:sz w:val="20"/>
          <w:szCs w:val="20"/>
          <w:color w:val="auto"/>
        </w:rPr>
      </w:pPr>
    </w:p>
    <w:p>
      <w:pPr>
        <w:jc w:val="both"/>
        <w:ind w:firstLine="8"/>
        <w:spacing w:after="0" w:line="253" w:lineRule="auto"/>
        <w:tabs>
          <w:tab w:leader="none" w:pos="312" w:val="left"/>
        </w:tabs>
        <w:numPr>
          <w:ilvl w:val="0"/>
          <w:numId w:val="356"/>
        </w:numPr>
        <w:rPr>
          <w:rFonts w:ascii="Arial" w:cs="Arial" w:eastAsia="Arial" w:hAnsi="Arial"/>
          <w:sz w:val="18"/>
          <w:szCs w:val="18"/>
          <w:b w:val="1"/>
          <w:bCs w:val="1"/>
          <w:color w:val="auto"/>
        </w:rPr>
      </w:pPr>
      <w:r>
        <w:rPr>
          <w:rFonts w:ascii="Arial" w:cs="Arial" w:eastAsia="Arial" w:hAnsi="Arial"/>
          <w:sz w:val="18"/>
          <w:szCs w:val="18"/>
          <w:b w:val="1"/>
          <w:bCs w:val="1"/>
          <w:color w:val="auto"/>
        </w:rPr>
        <w:t>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39" w:lineRule="exact"/>
        <w:rPr>
          <w:sz w:val="20"/>
          <w:szCs w:val="20"/>
          <w:color w:val="auto"/>
        </w:rPr>
      </w:pPr>
    </w:p>
    <w:p>
      <w:pPr>
        <w:jc w:val="both"/>
        <w:ind w:firstLine="456"/>
        <w:spacing w:after="0" w:line="258" w:lineRule="auto"/>
        <w:rPr>
          <w:sz w:val="20"/>
          <w:szCs w:val="20"/>
          <w:color w:val="auto"/>
        </w:rPr>
      </w:pPr>
      <w:r>
        <w:rPr>
          <w:rFonts w:ascii="Arial" w:cs="Arial" w:eastAsia="Arial" w:hAnsi="Arial"/>
          <w:sz w:val="18"/>
          <w:szCs w:val="18"/>
          <w:color w:val="auto"/>
        </w:rPr>
        <w:t xml:space="preserve">SECTION 14.9 </w:t>
      </w:r>
      <w:r>
        <w:rPr>
          <w:rFonts w:ascii="Arial" w:cs="Arial" w:eastAsia="Arial" w:hAnsi="Arial"/>
          <w:sz w:val="18"/>
          <w:szCs w:val="18"/>
          <w:b w:val="1"/>
          <w:bCs w:val="1"/>
          <w:color w:val="auto"/>
        </w:rPr>
        <w:t>Entire Agreement. THIS AGREEMENT AND THE OTHER LOAN DOCUMENTS REPRESENT THE FINAL AGREEMENT</w:t>
      </w:r>
      <w:r>
        <w:rPr>
          <w:rFonts w:ascii="Arial" w:cs="Arial" w:eastAsia="Arial" w:hAnsi="Arial"/>
          <w:sz w:val="18"/>
          <w:szCs w:val="18"/>
          <w:color w:val="auto"/>
        </w:rPr>
        <w:t xml:space="preserve"> </w:t>
      </w:r>
      <w:r>
        <w:rPr>
          <w:rFonts w:ascii="Arial" w:cs="Arial" w:eastAsia="Arial" w:hAnsi="Arial"/>
          <w:sz w:val="18"/>
          <w:szCs w:val="18"/>
          <w:b w:val="1"/>
          <w:bCs w:val="1"/>
          <w:color w:val="auto"/>
        </w:rPr>
        <w:t>AMONG THE PARTIES AND MAY NOT BE CONTRADICTED BY EVIDENCE OF PRIOR, CONTEMPORANEOUS, OR SUBSEQUENT ORAL AGREEMENTS OF THE PARTIES OR BY PRIOR OR CONTEMPORANEOUS WRITTEN AGREEMENTS. THERE ARE NO UNWRITTEN ORAL AGREEMENTS AMONG THE PARTIES.</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14.10 </w:t>
      </w:r>
      <w:r>
        <w:rPr>
          <w:rFonts w:ascii="Arial" w:cs="Arial" w:eastAsia="Arial" w:hAnsi="Arial"/>
          <w:sz w:val="18"/>
          <w:szCs w:val="18"/>
          <w:b w:val="1"/>
          <w:bCs w:val="1"/>
          <w:color w:val="auto"/>
        </w:rPr>
        <w:t>Amendment and Restatement.</w:t>
      </w:r>
    </w:p>
    <w:p>
      <w:pPr>
        <w:spacing w:after="0" w:line="96" w:lineRule="exact"/>
        <w:rPr>
          <w:sz w:val="20"/>
          <w:szCs w:val="20"/>
          <w:color w:val="auto"/>
        </w:rPr>
      </w:pPr>
    </w:p>
    <w:p>
      <w:pPr>
        <w:jc w:val="both"/>
        <w:ind w:firstLine="464"/>
        <w:spacing w:after="0" w:line="255" w:lineRule="auto"/>
        <w:tabs>
          <w:tab w:leader="none" w:pos="702"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The Grantors and the Administrative Agent on behalf of the Secured Parties hereby agree that upon the effectiveness of this Agreement, the terms and provisions of the Existing Security Agreement which in any manner govern or evidence the obligations arising hereunder, the rights and interests of the Secured Parties and any terms, conditions or matters related to any thereof, shall be and hereby are amended and restated in their entirety by the terms, conditions and provisions of this Agreement, and the terms and provisions of the Existing Security Agreement, except as otherwise expressly provided herein, shall be superseded by this Agreement.</w:t>
      </w:r>
    </w:p>
    <w:p>
      <w:pPr>
        <w:spacing w:after="0" w:line="142" w:lineRule="exact"/>
        <w:rPr>
          <w:rFonts w:ascii="Arial" w:cs="Arial" w:eastAsia="Arial" w:hAnsi="Arial"/>
          <w:sz w:val="18"/>
          <w:szCs w:val="18"/>
          <w:color w:val="auto"/>
        </w:rPr>
      </w:pPr>
    </w:p>
    <w:p>
      <w:pPr>
        <w:jc w:val="both"/>
        <w:ind w:firstLine="464"/>
        <w:spacing w:after="0" w:line="291" w:lineRule="auto"/>
        <w:tabs>
          <w:tab w:leader="none" w:pos="721" w:val="left"/>
        </w:tabs>
        <w:numPr>
          <w:ilvl w:val="0"/>
          <w:numId w:val="357"/>
        </w:numPr>
        <w:rPr>
          <w:rFonts w:ascii="Arial" w:cs="Arial" w:eastAsia="Arial" w:hAnsi="Arial"/>
          <w:sz w:val="16"/>
          <w:szCs w:val="16"/>
          <w:color w:val="auto"/>
        </w:rPr>
      </w:pPr>
      <w:r>
        <w:rPr>
          <w:rFonts w:ascii="Arial" w:cs="Arial" w:eastAsia="Arial" w:hAnsi="Arial"/>
          <w:sz w:val="16"/>
          <w:szCs w:val="16"/>
          <w:color w:val="auto"/>
        </w:rPr>
        <w:t xml:space="preserve">Notwithstanding this amendment and restatement of the Existing Security Agreement, including anything in this </w:t>
      </w:r>
      <w:r>
        <w:rPr>
          <w:rFonts w:ascii="Arial" w:cs="Arial" w:eastAsia="Arial" w:hAnsi="Arial"/>
          <w:sz w:val="16"/>
          <w:szCs w:val="16"/>
          <w:u w:val="single" w:color="auto"/>
          <w:color w:val="auto"/>
        </w:rPr>
        <w:t>Section 7.10</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Section 7.10(c)</w:t>
      </w:r>
      <w:r>
        <w:rPr>
          <w:rFonts w:ascii="Arial" w:cs="Arial" w:eastAsia="Arial" w:hAnsi="Arial"/>
          <w:sz w:val="16"/>
          <w:szCs w:val="16"/>
          <w:color w:val="auto"/>
        </w:rPr>
        <w:t xml:space="preserve"> below, (i) all of the indebtedness, liabilities and obligations owing by the Grantors under the Existing Security Agreement shall continue as obligations hereunder and thereunder and shall be and remain secured by this Agreement, (ii) the Existing Security Interest shall continue as a security interest hereunder, and (iii) this Agreement is given as a substitution of, and not as a payment of the indebtedness, liabilities and obligations of the Grantors under the Existing Security Agreement and neither the execution and delivery of this Agreement nor the consummation of any other transaction contemplated hereunder is intended to constitute a novation of the Existing Security Agreement or the Existing Security Interest created thereunder.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3" w:right="239" w:bottom="1440" w:gutter="0" w:footer="0" w:header="0"/>
        </w:sectPr>
      </w:pPr>
    </w:p>
    <w:bookmarkStart w:id="313" w:name="page314"/>
    <w:bookmarkEnd w:id="313"/>
    <w:p>
      <w:pPr>
        <w:ind w:firstLine="464"/>
        <w:spacing w:after="0" w:line="268" w:lineRule="auto"/>
        <w:tabs>
          <w:tab w:leader="none" w:pos="710" w:val="left"/>
        </w:tabs>
        <w:numPr>
          <w:ilvl w:val="0"/>
          <w:numId w:val="3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Effective as of the Closing Date, the Administrative Agent, on behalf of the Secured Parties, hereby terminates, releases and discharges the Existing Security Interests in the Excluded Subsidiary Collateral.</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Paged Follow]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314" w:name="page315"/>
    <w:bookmarkEnd w:id="314"/>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each Grantor has caused this Agreement to be duly executed and delivered by its officer thereunto duly authorized as of the date first above written.</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INTEGRA LIFESCIENCES HOLDINGS</w:t>
      </w:r>
    </w:p>
    <w:p>
      <w:pPr>
        <w:spacing w:after="0" w:line="21" w:lineRule="exact"/>
        <w:rPr>
          <w:sz w:val="20"/>
          <w:szCs w:val="20"/>
          <w:color w:val="auto"/>
        </w:rPr>
      </w:pPr>
    </w:p>
    <w:p>
      <w:pPr>
        <w:ind w:left="7040"/>
        <w:spacing w:after="0"/>
        <w:rPr>
          <w:sz w:val="20"/>
          <w:szCs w:val="20"/>
          <w:color w:val="auto"/>
        </w:rPr>
      </w:pPr>
      <w:r>
        <w:rPr>
          <w:rFonts w:ascii="Arial" w:cs="Arial" w:eastAsia="Arial" w:hAnsi="Arial"/>
          <w:sz w:val="18"/>
          <w:szCs w:val="18"/>
          <w:b w:val="1"/>
          <w:bCs w:val="1"/>
          <w:color w:val="auto"/>
        </w:rPr>
        <w:t xml:space="preserve">CORPORATION, </w:t>
      </w:r>
      <w:r>
        <w:rPr>
          <w:rFonts w:ascii="Arial" w:cs="Arial" w:eastAsia="Arial" w:hAnsi="Arial"/>
          <w:sz w:val="18"/>
          <w:szCs w:val="18"/>
          <w:color w:val="auto"/>
        </w:rPr>
        <w:t>a Delaware corporation</w:t>
      </w:r>
    </w:p>
    <w:p>
      <w:pPr>
        <w:spacing w:after="0" w:line="1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INTEGRA LIFESCIENCES CORPORATION,</w:t>
      </w:r>
    </w:p>
    <w:p>
      <w:pPr>
        <w:spacing w:after="0" w:line="21"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a Delaware corporation</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John B. Henneman, III</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Executive Vice President, Finance and</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Administration &amp; Chief Financial Officer</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ENDOSOLUTIONS, INC</w:t>
      </w:r>
      <w:r>
        <w:rPr>
          <w:rFonts w:ascii="Arial" w:cs="Arial" w:eastAsia="Arial" w:hAnsi="Arial"/>
          <w:sz w:val="18"/>
          <w:szCs w:val="18"/>
          <w:color w:val="auto"/>
        </w:rPr>
        <w:t>., a Delaware</w:t>
      </w:r>
    </w:p>
    <w:p>
      <w:pPr>
        <w:spacing w:after="0" w:line="21"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corporation</w:t>
      </w:r>
    </w:p>
    <w:p>
      <w:pPr>
        <w:spacing w:after="0" w:line="1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 xml:space="preserve">INTEGRA LUXTEC, INC., </w:t>
      </w:r>
      <w:r>
        <w:rPr>
          <w:rFonts w:ascii="Arial" w:cs="Arial" w:eastAsia="Arial" w:hAnsi="Arial"/>
          <w:sz w:val="18"/>
          <w:szCs w:val="18"/>
          <w:color w:val="auto"/>
        </w:rPr>
        <w:t>a Massachusetts</w:t>
      </w:r>
    </w:p>
    <w:p>
      <w:pPr>
        <w:spacing w:after="0" w:line="21"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corporation</w:t>
      </w:r>
    </w:p>
    <w:p>
      <w:pPr>
        <w:spacing w:after="0" w:line="1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INTEGRA NEUROSCIENCES</w:t>
      </w:r>
    </w:p>
    <w:p>
      <w:pPr>
        <w:spacing w:after="0" w:line="21" w:lineRule="exact"/>
        <w:rPr>
          <w:sz w:val="20"/>
          <w:szCs w:val="20"/>
          <w:color w:val="auto"/>
        </w:rPr>
      </w:pPr>
    </w:p>
    <w:p>
      <w:pPr>
        <w:ind w:left="7080"/>
        <w:spacing w:after="0"/>
        <w:rPr>
          <w:sz w:val="20"/>
          <w:szCs w:val="20"/>
          <w:color w:val="auto"/>
        </w:rPr>
      </w:pPr>
      <w:r>
        <w:rPr>
          <w:rFonts w:ascii="Arial" w:cs="Arial" w:eastAsia="Arial" w:hAnsi="Arial"/>
          <w:sz w:val="18"/>
          <w:szCs w:val="18"/>
          <w:b w:val="1"/>
          <w:bCs w:val="1"/>
          <w:color w:val="auto"/>
        </w:rPr>
        <w:t xml:space="preserve">(INTERNATIONAL), INC., </w:t>
      </w:r>
      <w:r>
        <w:rPr>
          <w:rFonts w:ascii="Arial" w:cs="Arial" w:eastAsia="Arial" w:hAnsi="Arial"/>
          <w:sz w:val="18"/>
          <w:szCs w:val="18"/>
          <w:color w:val="auto"/>
        </w:rPr>
        <w:t>a Delaware</w:t>
      </w:r>
    </w:p>
    <w:p>
      <w:pPr>
        <w:spacing w:after="0" w:line="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corporation</w:t>
      </w:r>
    </w:p>
    <w:p>
      <w:pPr>
        <w:spacing w:after="0" w:line="1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 xml:space="preserve">INTEGRA RADIONICS, INC., </w:t>
      </w:r>
      <w:r>
        <w:rPr>
          <w:rFonts w:ascii="Arial" w:cs="Arial" w:eastAsia="Arial" w:hAnsi="Arial"/>
          <w:sz w:val="18"/>
          <w:szCs w:val="18"/>
          <w:color w:val="auto"/>
        </w:rPr>
        <w:t>a Delaware</w:t>
      </w:r>
    </w:p>
    <w:p>
      <w:pPr>
        <w:spacing w:after="0" w:line="21"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corporation</w:t>
      </w:r>
    </w:p>
    <w:p>
      <w:pPr>
        <w:spacing w:after="0" w:line="1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ISOTIS ORTHOBIOLOGICS, INC</w:t>
      </w:r>
      <w:r>
        <w:rPr>
          <w:rFonts w:ascii="Arial" w:cs="Arial" w:eastAsia="Arial" w:hAnsi="Arial"/>
          <w:sz w:val="18"/>
          <w:szCs w:val="18"/>
          <w:color w:val="auto"/>
        </w:rPr>
        <w:t>., a</w:t>
      </w:r>
    </w:p>
    <w:p>
      <w:pPr>
        <w:spacing w:after="0" w:line="21"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Washington corporation</w:t>
      </w:r>
    </w:p>
    <w:p>
      <w:pPr>
        <w:spacing w:after="0" w:line="1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J. JAMNER SURGICAL INSTRUMENTS,</w:t>
      </w:r>
    </w:p>
    <w:p>
      <w:pPr>
        <w:spacing w:after="0" w:line="21" w:lineRule="exact"/>
        <w:rPr>
          <w:sz w:val="20"/>
          <w:szCs w:val="20"/>
          <w:color w:val="auto"/>
        </w:rPr>
      </w:pPr>
    </w:p>
    <w:p>
      <w:pPr>
        <w:ind w:left="7080"/>
        <w:spacing w:after="0"/>
        <w:rPr>
          <w:sz w:val="20"/>
          <w:szCs w:val="20"/>
          <w:color w:val="auto"/>
        </w:rPr>
      </w:pPr>
      <w:r>
        <w:rPr>
          <w:rFonts w:ascii="Arial" w:cs="Arial" w:eastAsia="Arial" w:hAnsi="Arial"/>
          <w:sz w:val="18"/>
          <w:szCs w:val="18"/>
          <w:b w:val="1"/>
          <w:bCs w:val="1"/>
          <w:color w:val="auto"/>
        </w:rPr>
        <w:t xml:space="preserve">INC., </w:t>
      </w:r>
      <w:r>
        <w:rPr>
          <w:rFonts w:ascii="Arial" w:cs="Arial" w:eastAsia="Arial" w:hAnsi="Arial"/>
          <w:sz w:val="18"/>
          <w:szCs w:val="18"/>
          <w:color w:val="auto"/>
        </w:rPr>
        <w:t>a Delaware corporation</w:t>
      </w:r>
    </w:p>
    <w:p>
      <w:pPr>
        <w:spacing w:after="0" w:line="1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MILTEX, INC.</w:t>
      </w:r>
      <w:r>
        <w:rPr>
          <w:rFonts w:ascii="Arial" w:cs="Arial" w:eastAsia="Arial" w:hAnsi="Arial"/>
          <w:sz w:val="18"/>
          <w:szCs w:val="18"/>
          <w:color w:val="auto"/>
        </w:rPr>
        <w:t>, a Delaware corporation</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John B. Henneman, III</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Vice President and Treasurer</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 xml:space="preserve">MINNESOTA SCIENTIFIC, INC., </w:t>
      </w:r>
      <w:r>
        <w:rPr>
          <w:rFonts w:ascii="Arial" w:cs="Arial" w:eastAsia="Arial" w:hAnsi="Arial"/>
          <w:sz w:val="18"/>
          <w:szCs w:val="18"/>
          <w:color w:val="auto"/>
        </w:rPr>
        <w:t>a Minnesota</w:t>
      </w:r>
    </w:p>
    <w:p>
      <w:pPr>
        <w:spacing w:after="0" w:line="21"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corporation</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John B. Henneman, III</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Vice President and Chief Financial Officer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AMENDED AND RESTATED SECURITY AGREEMENT</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1400"/>
          </w:cols>
          <w:pgMar w:left="240" w:top="279" w:right="259" w:bottom="1440" w:gutter="0" w:footer="0" w:header="0"/>
        </w:sectPr>
      </w:pPr>
    </w:p>
    <w:bookmarkStart w:id="315" w:name="page316"/>
    <w:bookmarkEnd w:id="315"/>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THEKEN SPINE, LLC, </w:t>
      </w:r>
      <w:r>
        <w:rPr>
          <w:rFonts w:ascii="Arial" w:cs="Arial" w:eastAsia="Arial" w:hAnsi="Arial"/>
          <w:sz w:val="16"/>
          <w:szCs w:val="16"/>
          <w:color w:val="auto"/>
        </w:rPr>
        <w:t>an Ohio limited liability company</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b w:val="1"/>
          <w:bCs w:val="1"/>
          <w:color w:val="auto"/>
        </w:rPr>
        <w:t>INTEGRA LIFESCIENCES CORPORATION,</w:t>
      </w:r>
      <w:r>
        <w:rPr>
          <w:rFonts w:ascii="Arial" w:cs="Arial" w:eastAsia="Arial" w:hAnsi="Arial"/>
          <w:sz w:val="16"/>
          <w:szCs w:val="16"/>
          <w:color w:val="auto"/>
        </w:rPr>
        <w:t xml:space="preserve"> its sole</w:t>
      </w:r>
    </w:p>
    <w:p>
      <w:pPr>
        <w:spacing w:after="0" w:line="44"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member</w:t>
      </w:r>
    </w:p>
    <w:p>
      <w:pPr>
        <w:spacing w:after="0" w:line="21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4002405</wp:posOffset>
            </wp:positionH>
            <wp:positionV relativeFrom="paragraph">
              <wp:posOffset>10795</wp:posOffset>
            </wp:positionV>
            <wp:extent cx="248729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John B. Henneman, III</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Executive Vice President, Finance</w:t>
      </w:r>
    </w:p>
    <w:p>
      <w:pPr>
        <w:spacing w:after="0" w:line="9"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and Administration &amp; Chief Financial</w:t>
      </w:r>
    </w:p>
    <w:p>
      <w:pPr>
        <w:spacing w:after="0" w:line="9"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Officer</w:t>
      </w:r>
    </w:p>
    <w:p>
      <w:pPr>
        <w:spacing w:after="0" w:line="165" w:lineRule="exact"/>
        <w:rPr>
          <w:sz w:val="20"/>
          <w:szCs w:val="20"/>
          <w:color w:val="auto"/>
        </w:rPr>
      </w:pPr>
    </w:p>
    <w:p>
      <w:pPr>
        <w:jc w:val="center"/>
        <w:ind w:right="1060"/>
        <w:spacing w:after="0"/>
        <w:rPr>
          <w:sz w:val="20"/>
          <w:szCs w:val="20"/>
          <w:color w:val="auto"/>
        </w:rPr>
      </w:pPr>
      <w:r>
        <w:rPr>
          <w:rFonts w:ascii="Arial" w:cs="Arial" w:eastAsia="Arial" w:hAnsi="Arial"/>
          <w:sz w:val="16"/>
          <w:szCs w:val="16"/>
          <w:color w:val="auto"/>
        </w:rPr>
        <w:t>AMENDED AND RESTATED SECURITY AGREEMENT</w:t>
      </w:r>
    </w:p>
    <w:p>
      <w:pPr>
        <w:spacing w:after="0" w:line="38"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100"/>
          </w:cols>
          <w:pgMar w:left="1440" w:top="273" w:right="359" w:bottom="1440" w:gutter="0" w:footer="0" w:header="0"/>
        </w:sectPr>
      </w:pPr>
    </w:p>
    <w:bookmarkStart w:id="316" w:name="page317"/>
    <w:bookmarkEnd w:id="3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ACKNOWLEDGED AND ACCEPTED: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AMERICA, N.A.,</w:t>
      </w:r>
    </w:p>
    <w:p>
      <w:pPr>
        <w:spacing w:after="0" w:line="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as Administrative Agent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AMENDED AND RESTATED SECURITY AGREEMENT</w:t>
      </w:r>
    </w:p>
    <w:p>
      <w:pPr>
        <w:spacing w:after="0" w:line="38"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219"/>
          </w:cols>
          <w:pgMar w:left="240" w:top="280" w:right="1440" w:bottom="1440" w:gutter="0" w:footer="0" w:header="0"/>
        </w:sectPr>
      </w:pPr>
    </w:p>
    <w:bookmarkStart w:id="317" w:name="page318"/>
    <w:bookmarkEnd w:id="317"/>
    <w:p>
      <w:pPr>
        <w:ind w:left="39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 TO SECURITY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A. </w:t>
      </w:r>
      <w:r>
        <w:rPr>
          <w:rFonts w:ascii="Arial" w:cs="Arial" w:eastAsia="Arial" w:hAnsi="Arial"/>
          <w:sz w:val="18"/>
          <w:szCs w:val="18"/>
          <w:b w:val="1"/>
          <w:bCs w:val="1"/>
          <w:color w:val="auto"/>
        </w:rPr>
        <w:t>State of Organization, Identification Number, Chief Executive Office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Grantor; Chief Executive Office</w:t>
            </w:r>
          </w:p>
        </w:tc>
        <w:tc>
          <w:tcPr>
            <w:tcW w:w="68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w:t>
            </w:r>
          </w:p>
        </w:tc>
        <w:tc>
          <w:tcPr>
            <w:tcW w:w="0" w:type="dxa"/>
            <w:vAlign w:val="bottom"/>
          </w:tcPr>
          <w:p>
            <w:pPr>
              <w:spacing w:after="0"/>
              <w:rPr>
                <w:sz w:val="1"/>
                <w:szCs w:val="1"/>
                <w:color w:val="auto"/>
              </w:rPr>
            </w:pPr>
          </w:p>
        </w:tc>
      </w:tr>
      <w:tr>
        <w:trPr>
          <w:trHeight w:val="142"/>
        </w:trPr>
        <w:tc>
          <w:tcPr>
            <w:tcW w:w="8800" w:type="dxa"/>
            <w:vAlign w:val="bottom"/>
            <w:gridSpan w:val="2"/>
            <w:vMerge w:val="restart"/>
          </w:tcPr>
          <w:p>
            <w:pPr>
              <w:spacing w:after="0"/>
              <w:rPr>
                <w:sz w:val="20"/>
                <w:szCs w:val="20"/>
                <w:color w:val="auto"/>
              </w:rPr>
            </w:pPr>
            <w:r>
              <w:rPr>
                <w:rFonts w:ascii="Arial" w:cs="Arial" w:eastAsia="Arial" w:hAnsi="Arial"/>
                <w:sz w:val="18"/>
                <w:szCs w:val="18"/>
                <w:color w:val="auto"/>
              </w:rPr>
              <w:t>Integra LifeSciences Holdings Corporation</w:t>
            </w:r>
          </w:p>
        </w:tc>
        <w:tc>
          <w:tcPr>
            <w:tcW w:w="172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88"/>
              </w:rPr>
              <w:t>State of Organization</w:t>
            </w:r>
          </w:p>
        </w:tc>
        <w:tc>
          <w:tcPr>
            <w:tcW w:w="9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0"/>
              </w:rPr>
              <w:t>Number</w:t>
            </w:r>
          </w:p>
        </w:tc>
        <w:tc>
          <w:tcPr>
            <w:tcW w:w="0" w:type="dxa"/>
            <w:vAlign w:val="bottom"/>
          </w:tcPr>
          <w:p>
            <w:pPr>
              <w:spacing w:after="0"/>
              <w:rPr>
                <w:sz w:val="1"/>
                <w:szCs w:val="1"/>
                <w:color w:val="auto"/>
              </w:rPr>
            </w:pPr>
          </w:p>
        </w:tc>
      </w:tr>
      <w:tr>
        <w:trPr>
          <w:trHeight w:val="188"/>
        </w:trPr>
        <w:tc>
          <w:tcPr>
            <w:tcW w:w="8800" w:type="dxa"/>
            <w:vAlign w:val="bottom"/>
            <w:gridSpan w:val="2"/>
            <w:vMerge w:val="continue"/>
          </w:tcPr>
          <w:p>
            <w:pPr>
              <w:spacing w:after="0"/>
              <w:rPr>
                <w:sz w:val="16"/>
                <w:szCs w:val="16"/>
                <w:color w:val="auto"/>
              </w:rPr>
            </w:pPr>
          </w:p>
        </w:tc>
        <w:tc>
          <w:tcPr>
            <w:tcW w:w="1480" w:type="dxa"/>
            <w:vAlign w:val="bottom"/>
            <w:tcBorders>
              <w:top w:val="single" w:sz="8" w:color="auto"/>
            </w:tcBorders>
          </w:tcPr>
          <w:p>
            <w:pPr>
              <w:jc w:val="center"/>
              <w:spacing w:after="0" w:line="188" w:lineRule="exact"/>
              <w:rPr>
                <w:sz w:val="20"/>
                <w:szCs w:val="20"/>
                <w:color w:val="auto"/>
              </w:rPr>
            </w:pPr>
            <w:r>
              <w:rPr>
                <w:rFonts w:ascii="Arial" w:cs="Arial" w:eastAsia="Arial" w:hAnsi="Arial"/>
                <w:sz w:val="18"/>
                <w:szCs w:val="18"/>
                <w:color w:val="auto"/>
                <w:w w:val="89"/>
              </w:rPr>
              <w:t>Delaware</w:t>
            </w:r>
          </w:p>
        </w:tc>
        <w:tc>
          <w:tcPr>
            <w:tcW w:w="240" w:type="dxa"/>
            <w:vAlign w:val="bottom"/>
          </w:tcPr>
          <w:p>
            <w:pPr>
              <w:spacing w:after="0"/>
              <w:rPr>
                <w:sz w:val="16"/>
                <w:szCs w:val="16"/>
                <w:color w:val="auto"/>
              </w:rPr>
            </w:pPr>
          </w:p>
        </w:tc>
        <w:tc>
          <w:tcPr>
            <w:tcW w:w="900" w:type="dxa"/>
            <w:vAlign w:val="bottom"/>
            <w:tcBorders>
              <w:top w:val="single" w:sz="8" w:color="auto"/>
            </w:tcBorders>
          </w:tcPr>
          <w:p>
            <w:pPr>
              <w:jc w:val="center"/>
              <w:spacing w:after="0" w:line="188" w:lineRule="exact"/>
              <w:rPr>
                <w:sz w:val="20"/>
                <w:szCs w:val="20"/>
                <w:color w:val="auto"/>
              </w:rPr>
            </w:pPr>
            <w:r>
              <w:rPr>
                <w:rFonts w:ascii="Arial" w:cs="Arial" w:eastAsia="Arial" w:hAnsi="Arial"/>
                <w:sz w:val="18"/>
                <w:szCs w:val="18"/>
                <w:color w:val="auto"/>
                <w:w w:val="88"/>
              </w:rPr>
              <w:t>2199700</w:t>
            </w: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311 Enterprise Drive</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00" w:type="dxa"/>
            <w:vAlign w:val="bottom"/>
            <w:gridSpan w:val="2"/>
          </w:tcPr>
          <w:p>
            <w:pPr>
              <w:spacing w:after="0"/>
              <w:rPr>
                <w:sz w:val="20"/>
                <w:szCs w:val="20"/>
                <w:color w:val="auto"/>
              </w:rPr>
            </w:pPr>
            <w:r>
              <w:rPr>
                <w:rFonts w:ascii="Arial" w:cs="Arial" w:eastAsia="Arial" w:hAnsi="Arial"/>
                <w:sz w:val="18"/>
                <w:szCs w:val="18"/>
                <w:color w:val="auto"/>
              </w:rPr>
              <w:t>Plainsboro, NJ 08536</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0" w:type="dxa"/>
            <w:vAlign w:val="bottom"/>
            <w:gridSpan w:val="2"/>
          </w:tcPr>
          <w:p>
            <w:pPr>
              <w:spacing w:after="0"/>
              <w:rPr>
                <w:sz w:val="20"/>
                <w:szCs w:val="20"/>
                <w:color w:val="auto"/>
              </w:rPr>
            </w:pPr>
            <w:r>
              <w:rPr>
                <w:rFonts w:ascii="Arial" w:cs="Arial" w:eastAsia="Arial" w:hAnsi="Arial"/>
                <w:sz w:val="18"/>
                <w:szCs w:val="18"/>
                <w:color w:val="auto"/>
              </w:rPr>
              <w:t>Integra LifeSciences Corporation</w:t>
            </w: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Delaware</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2363821</w:t>
            </w: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311 Enterprise Drive</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00" w:type="dxa"/>
            <w:vAlign w:val="bottom"/>
            <w:gridSpan w:val="2"/>
          </w:tcPr>
          <w:p>
            <w:pPr>
              <w:spacing w:after="0"/>
              <w:rPr>
                <w:sz w:val="20"/>
                <w:szCs w:val="20"/>
                <w:color w:val="auto"/>
              </w:rPr>
            </w:pPr>
            <w:r>
              <w:rPr>
                <w:rFonts w:ascii="Arial" w:cs="Arial" w:eastAsia="Arial" w:hAnsi="Arial"/>
                <w:sz w:val="18"/>
                <w:szCs w:val="18"/>
                <w:color w:val="auto"/>
              </w:rPr>
              <w:t>Plainsboro, NJ 08536</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0" w:type="dxa"/>
            <w:vAlign w:val="bottom"/>
            <w:gridSpan w:val="2"/>
          </w:tcPr>
          <w:p>
            <w:pPr>
              <w:spacing w:after="0"/>
              <w:rPr>
                <w:sz w:val="20"/>
                <w:szCs w:val="20"/>
                <w:color w:val="auto"/>
              </w:rPr>
            </w:pPr>
            <w:r>
              <w:rPr>
                <w:rFonts w:ascii="Arial" w:cs="Arial" w:eastAsia="Arial" w:hAnsi="Arial"/>
                <w:sz w:val="18"/>
                <w:szCs w:val="18"/>
                <w:color w:val="auto"/>
              </w:rPr>
              <w:t>J. Jamner Surgical Instruments, Inc.</w:t>
            </w: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Delaware</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0769265</w:t>
            </w: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9 Skyline Drive</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00" w:type="dxa"/>
            <w:vAlign w:val="bottom"/>
            <w:gridSpan w:val="2"/>
          </w:tcPr>
          <w:p>
            <w:pPr>
              <w:spacing w:after="0"/>
              <w:rPr>
                <w:sz w:val="20"/>
                <w:szCs w:val="20"/>
                <w:color w:val="auto"/>
              </w:rPr>
            </w:pPr>
            <w:r>
              <w:rPr>
                <w:rFonts w:ascii="Arial" w:cs="Arial" w:eastAsia="Arial" w:hAnsi="Arial"/>
                <w:sz w:val="18"/>
                <w:szCs w:val="18"/>
                <w:color w:val="auto"/>
              </w:rPr>
              <w:t>Hawthorne, NY 10532</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0" w:type="dxa"/>
            <w:vAlign w:val="bottom"/>
            <w:gridSpan w:val="2"/>
          </w:tcPr>
          <w:p>
            <w:pPr>
              <w:spacing w:after="0"/>
              <w:rPr>
                <w:sz w:val="20"/>
                <w:szCs w:val="20"/>
                <w:color w:val="auto"/>
              </w:rPr>
            </w:pPr>
            <w:r>
              <w:rPr>
                <w:rFonts w:ascii="Arial" w:cs="Arial" w:eastAsia="Arial" w:hAnsi="Arial"/>
                <w:sz w:val="18"/>
                <w:szCs w:val="18"/>
                <w:color w:val="auto"/>
              </w:rPr>
              <w:t>Integra NeuroSciences (International), Inc.</w:t>
            </w: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Delaware</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2902491</w:t>
            </w: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311 Enterprise Drive</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00" w:type="dxa"/>
            <w:vAlign w:val="bottom"/>
            <w:gridSpan w:val="2"/>
          </w:tcPr>
          <w:p>
            <w:pPr>
              <w:spacing w:after="0"/>
              <w:rPr>
                <w:sz w:val="20"/>
                <w:szCs w:val="20"/>
                <w:color w:val="auto"/>
              </w:rPr>
            </w:pPr>
            <w:r>
              <w:rPr>
                <w:rFonts w:ascii="Arial" w:cs="Arial" w:eastAsia="Arial" w:hAnsi="Arial"/>
                <w:sz w:val="18"/>
                <w:szCs w:val="18"/>
                <w:color w:val="auto"/>
              </w:rPr>
              <w:t>Plainsboro, NJ 08536</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0" w:type="dxa"/>
            <w:vAlign w:val="bottom"/>
            <w:gridSpan w:val="2"/>
          </w:tcPr>
          <w:p>
            <w:pPr>
              <w:spacing w:after="0"/>
              <w:rPr>
                <w:sz w:val="20"/>
                <w:szCs w:val="20"/>
                <w:color w:val="auto"/>
              </w:rPr>
            </w:pPr>
            <w:r>
              <w:rPr>
                <w:rFonts w:ascii="Arial" w:cs="Arial" w:eastAsia="Arial" w:hAnsi="Arial"/>
                <w:sz w:val="18"/>
                <w:szCs w:val="18"/>
                <w:color w:val="auto"/>
              </w:rPr>
              <w:t>Integra Radionics, Inc.</w:t>
            </w: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Delaware</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4077406</w:t>
            </w: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22 Terry Avenue</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00" w:type="dxa"/>
            <w:vAlign w:val="bottom"/>
            <w:gridSpan w:val="2"/>
          </w:tcPr>
          <w:p>
            <w:pPr>
              <w:spacing w:after="0"/>
              <w:rPr>
                <w:sz w:val="20"/>
                <w:szCs w:val="20"/>
                <w:color w:val="auto"/>
              </w:rPr>
            </w:pPr>
            <w:r>
              <w:rPr>
                <w:rFonts w:ascii="Arial" w:cs="Arial" w:eastAsia="Arial" w:hAnsi="Arial"/>
                <w:sz w:val="18"/>
                <w:szCs w:val="18"/>
                <w:color w:val="auto"/>
              </w:rPr>
              <w:t>Burlington, MA 01803</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0" w:type="dxa"/>
            <w:vAlign w:val="bottom"/>
            <w:gridSpan w:val="2"/>
          </w:tcPr>
          <w:p>
            <w:pPr>
              <w:spacing w:after="0"/>
              <w:rPr>
                <w:sz w:val="20"/>
                <w:szCs w:val="20"/>
                <w:color w:val="auto"/>
              </w:rPr>
            </w:pPr>
            <w:r>
              <w:rPr>
                <w:rFonts w:ascii="Arial" w:cs="Arial" w:eastAsia="Arial" w:hAnsi="Arial"/>
                <w:sz w:val="18"/>
                <w:szCs w:val="18"/>
                <w:color w:val="auto"/>
              </w:rPr>
              <w:t>Miltex, Inc.</w:t>
            </w: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Delaware</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4079576</w:t>
            </w: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589 Davies Drive</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00" w:type="dxa"/>
            <w:vAlign w:val="bottom"/>
            <w:gridSpan w:val="2"/>
          </w:tcPr>
          <w:p>
            <w:pPr>
              <w:spacing w:after="0"/>
              <w:rPr>
                <w:sz w:val="20"/>
                <w:szCs w:val="20"/>
                <w:color w:val="auto"/>
              </w:rPr>
            </w:pPr>
            <w:r>
              <w:rPr>
                <w:rFonts w:ascii="Arial" w:cs="Arial" w:eastAsia="Arial" w:hAnsi="Arial"/>
                <w:sz w:val="18"/>
                <w:szCs w:val="18"/>
                <w:color w:val="auto"/>
              </w:rPr>
              <w:t>York, PA 17402</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0" w:type="dxa"/>
            <w:vAlign w:val="bottom"/>
            <w:gridSpan w:val="2"/>
          </w:tcPr>
          <w:p>
            <w:pPr>
              <w:spacing w:after="0"/>
              <w:rPr>
                <w:sz w:val="20"/>
                <w:szCs w:val="20"/>
                <w:color w:val="auto"/>
              </w:rPr>
            </w:pPr>
            <w:r>
              <w:rPr>
                <w:rFonts w:ascii="Arial" w:cs="Arial" w:eastAsia="Arial" w:hAnsi="Arial"/>
                <w:sz w:val="18"/>
                <w:szCs w:val="18"/>
                <w:color w:val="auto"/>
              </w:rPr>
              <w:t>EndoSolutions, Inc.</w:t>
            </w: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Delaware</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3436217</w:t>
            </w: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589 Davies Drive</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00" w:type="dxa"/>
            <w:vAlign w:val="bottom"/>
            <w:gridSpan w:val="2"/>
          </w:tcPr>
          <w:p>
            <w:pPr>
              <w:spacing w:after="0"/>
              <w:rPr>
                <w:sz w:val="20"/>
                <w:szCs w:val="20"/>
                <w:color w:val="auto"/>
              </w:rPr>
            </w:pPr>
            <w:r>
              <w:rPr>
                <w:rFonts w:ascii="Arial" w:cs="Arial" w:eastAsia="Arial" w:hAnsi="Arial"/>
                <w:sz w:val="18"/>
                <w:szCs w:val="18"/>
                <w:color w:val="auto"/>
              </w:rPr>
              <w:t>York, PA 17402</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0" w:type="dxa"/>
            <w:vAlign w:val="bottom"/>
            <w:gridSpan w:val="2"/>
          </w:tcPr>
          <w:p>
            <w:pPr>
              <w:spacing w:after="0"/>
              <w:rPr>
                <w:sz w:val="20"/>
                <w:szCs w:val="20"/>
                <w:color w:val="auto"/>
              </w:rPr>
            </w:pPr>
            <w:r>
              <w:rPr>
                <w:rFonts w:ascii="Arial" w:cs="Arial" w:eastAsia="Arial" w:hAnsi="Arial"/>
                <w:sz w:val="18"/>
                <w:szCs w:val="18"/>
                <w:color w:val="auto"/>
              </w:rPr>
              <w:t>Integra Luxtec, Inc.</w:t>
            </w: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color w:val="auto"/>
                <w:w w:val="84"/>
              </w:rPr>
              <w:t>Massachusetts</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42741310</w:t>
            </w: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311 Enterprise Drive</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00" w:type="dxa"/>
            <w:vAlign w:val="bottom"/>
            <w:gridSpan w:val="2"/>
          </w:tcPr>
          <w:p>
            <w:pPr>
              <w:spacing w:after="0"/>
              <w:rPr>
                <w:sz w:val="20"/>
                <w:szCs w:val="20"/>
                <w:color w:val="auto"/>
              </w:rPr>
            </w:pPr>
            <w:r>
              <w:rPr>
                <w:rFonts w:ascii="Arial" w:cs="Arial" w:eastAsia="Arial" w:hAnsi="Arial"/>
                <w:sz w:val="18"/>
                <w:szCs w:val="18"/>
                <w:color w:val="auto"/>
              </w:rPr>
              <w:t>Plainsboro, NJ 08536</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0" w:type="dxa"/>
            <w:vAlign w:val="bottom"/>
            <w:gridSpan w:val="2"/>
          </w:tcPr>
          <w:p>
            <w:pPr>
              <w:spacing w:after="0"/>
              <w:rPr>
                <w:sz w:val="20"/>
                <w:szCs w:val="20"/>
                <w:color w:val="auto"/>
              </w:rPr>
            </w:pPr>
            <w:r>
              <w:rPr>
                <w:rFonts w:ascii="Arial" w:cs="Arial" w:eastAsia="Arial" w:hAnsi="Arial"/>
                <w:sz w:val="18"/>
                <w:szCs w:val="18"/>
                <w:color w:val="auto"/>
              </w:rPr>
              <w:t>IsoTis OrthoBiologics, Inc.</w:t>
            </w: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Washington</w:t>
            </w:r>
          </w:p>
        </w:tc>
        <w:tc>
          <w:tcPr>
            <w:tcW w:w="900" w:type="dxa"/>
            <w:vAlign w:val="bottom"/>
          </w:tcPr>
          <w:p>
            <w:pPr>
              <w:jc w:val="center"/>
              <w:spacing w:after="0"/>
              <w:rPr>
                <w:sz w:val="20"/>
                <w:szCs w:val="20"/>
                <w:color w:val="auto"/>
              </w:rPr>
            </w:pPr>
            <w:r>
              <w:rPr>
                <w:rFonts w:ascii="Arial" w:cs="Arial" w:eastAsia="Arial" w:hAnsi="Arial"/>
                <w:sz w:val="18"/>
                <w:szCs w:val="18"/>
                <w:color w:val="auto"/>
                <w:w w:val="86"/>
              </w:rPr>
              <w:t>601553620</w:t>
            </w: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1 Goodyear</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00" w:type="dxa"/>
            <w:vAlign w:val="bottom"/>
            <w:gridSpan w:val="2"/>
          </w:tcPr>
          <w:p>
            <w:pPr>
              <w:spacing w:after="0"/>
              <w:rPr>
                <w:sz w:val="20"/>
                <w:szCs w:val="20"/>
                <w:color w:val="auto"/>
              </w:rPr>
            </w:pPr>
            <w:r>
              <w:rPr>
                <w:rFonts w:ascii="Arial" w:cs="Arial" w:eastAsia="Arial" w:hAnsi="Arial"/>
                <w:sz w:val="18"/>
                <w:szCs w:val="18"/>
                <w:color w:val="auto"/>
              </w:rPr>
              <w:t>Irvine, CA 92618</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0" w:type="dxa"/>
            <w:vAlign w:val="bottom"/>
            <w:gridSpan w:val="2"/>
          </w:tcPr>
          <w:p>
            <w:pPr>
              <w:spacing w:after="0"/>
              <w:rPr>
                <w:sz w:val="20"/>
                <w:szCs w:val="20"/>
                <w:color w:val="auto"/>
              </w:rPr>
            </w:pPr>
            <w:r>
              <w:rPr>
                <w:rFonts w:ascii="Arial" w:cs="Arial" w:eastAsia="Arial" w:hAnsi="Arial"/>
                <w:sz w:val="18"/>
                <w:szCs w:val="18"/>
                <w:color w:val="auto"/>
              </w:rPr>
              <w:t>Theken Spine, LLC</w:t>
            </w: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Ohio</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LL10700</w:t>
            </w: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1800 Triplett Boulevard</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00" w:type="dxa"/>
            <w:vAlign w:val="bottom"/>
            <w:gridSpan w:val="2"/>
          </w:tcPr>
          <w:p>
            <w:pPr>
              <w:spacing w:after="0"/>
              <w:rPr>
                <w:sz w:val="20"/>
                <w:szCs w:val="20"/>
                <w:color w:val="auto"/>
              </w:rPr>
            </w:pPr>
            <w:r>
              <w:rPr>
                <w:rFonts w:ascii="Arial" w:cs="Arial" w:eastAsia="Arial" w:hAnsi="Arial"/>
                <w:sz w:val="18"/>
                <w:szCs w:val="18"/>
                <w:color w:val="auto"/>
              </w:rPr>
              <w:t>Akron, OH 44306</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0" w:type="dxa"/>
            <w:vAlign w:val="bottom"/>
            <w:gridSpan w:val="2"/>
          </w:tcPr>
          <w:p>
            <w:pPr>
              <w:spacing w:after="0"/>
              <w:rPr>
                <w:sz w:val="20"/>
                <w:szCs w:val="20"/>
                <w:color w:val="auto"/>
              </w:rPr>
            </w:pPr>
            <w:r>
              <w:rPr>
                <w:rFonts w:ascii="Arial" w:cs="Arial" w:eastAsia="Arial" w:hAnsi="Arial"/>
                <w:sz w:val="18"/>
                <w:szCs w:val="18"/>
                <w:color w:val="auto"/>
              </w:rPr>
              <w:t>Minnesota Scientific, Inc.</w:t>
            </w: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Minnesota</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1X-1191</w:t>
            </w: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4849 White Bear Parkway</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00" w:type="dxa"/>
            <w:vAlign w:val="bottom"/>
            <w:gridSpan w:val="2"/>
          </w:tcPr>
          <w:p>
            <w:pPr>
              <w:spacing w:after="0"/>
              <w:rPr>
                <w:sz w:val="20"/>
                <w:szCs w:val="20"/>
                <w:color w:val="auto"/>
              </w:rPr>
            </w:pPr>
            <w:r>
              <w:rPr>
                <w:rFonts w:ascii="Arial" w:cs="Arial" w:eastAsia="Arial" w:hAnsi="Arial"/>
                <w:sz w:val="18"/>
                <w:szCs w:val="18"/>
                <w:color w:val="auto"/>
              </w:rPr>
              <w:t>St. Paul, MN 55110</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0" w:type="dxa"/>
            <w:vAlign w:val="bottom"/>
            <w:gridSpan w:val="2"/>
          </w:tcPr>
          <w:p>
            <w:pPr>
              <w:spacing w:after="0"/>
              <w:rPr>
                <w:sz w:val="20"/>
                <w:szCs w:val="20"/>
                <w:color w:val="auto"/>
              </w:rPr>
            </w:pPr>
            <w:r>
              <w:rPr>
                <w:rFonts w:ascii="Arial" w:cs="Arial" w:eastAsia="Arial" w:hAnsi="Arial"/>
                <w:sz w:val="18"/>
                <w:szCs w:val="18"/>
                <w:color w:val="auto"/>
              </w:rPr>
              <w:t>Integra LifeSciences Holdings Corporation</w:t>
            </w: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Delaware</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2199700</w:t>
            </w: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311 Enterprise Drive</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00" w:type="dxa"/>
            <w:vAlign w:val="bottom"/>
            <w:gridSpan w:val="2"/>
          </w:tcPr>
          <w:p>
            <w:pPr>
              <w:spacing w:after="0"/>
              <w:rPr>
                <w:sz w:val="20"/>
                <w:szCs w:val="20"/>
                <w:color w:val="auto"/>
              </w:rPr>
            </w:pPr>
            <w:r>
              <w:rPr>
                <w:rFonts w:ascii="Arial" w:cs="Arial" w:eastAsia="Arial" w:hAnsi="Arial"/>
                <w:sz w:val="18"/>
                <w:szCs w:val="18"/>
                <w:color w:val="auto"/>
              </w:rPr>
              <w:t>Plainsboro, NJ 08536</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0" w:type="dxa"/>
            <w:vAlign w:val="bottom"/>
            <w:gridSpan w:val="2"/>
          </w:tcPr>
          <w:p>
            <w:pPr>
              <w:spacing w:after="0"/>
              <w:rPr>
                <w:sz w:val="20"/>
                <w:szCs w:val="20"/>
                <w:color w:val="auto"/>
              </w:rPr>
            </w:pPr>
            <w:r>
              <w:rPr>
                <w:rFonts w:ascii="Arial" w:cs="Arial" w:eastAsia="Arial" w:hAnsi="Arial"/>
                <w:sz w:val="18"/>
                <w:szCs w:val="18"/>
                <w:color w:val="auto"/>
              </w:rPr>
              <w:t>Integra LifeSciences Corporation</w:t>
            </w: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Delaware</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2363821</w:t>
            </w: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311 Enterprise Drive</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00" w:type="dxa"/>
            <w:vAlign w:val="bottom"/>
            <w:gridSpan w:val="2"/>
          </w:tcPr>
          <w:p>
            <w:pPr>
              <w:spacing w:after="0"/>
              <w:rPr>
                <w:sz w:val="20"/>
                <w:szCs w:val="20"/>
                <w:color w:val="auto"/>
              </w:rPr>
            </w:pPr>
            <w:r>
              <w:rPr>
                <w:rFonts w:ascii="Arial" w:cs="Arial" w:eastAsia="Arial" w:hAnsi="Arial"/>
                <w:sz w:val="18"/>
                <w:szCs w:val="18"/>
                <w:color w:val="auto"/>
              </w:rPr>
              <w:t>Plainsboro, NJ 08536</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0" w:type="dxa"/>
            <w:vAlign w:val="bottom"/>
            <w:gridSpan w:val="2"/>
          </w:tcPr>
          <w:p>
            <w:pPr>
              <w:spacing w:after="0"/>
              <w:rPr>
                <w:sz w:val="20"/>
                <w:szCs w:val="20"/>
                <w:color w:val="auto"/>
              </w:rPr>
            </w:pPr>
            <w:r>
              <w:rPr>
                <w:rFonts w:ascii="Arial" w:cs="Arial" w:eastAsia="Arial" w:hAnsi="Arial"/>
                <w:sz w:val="18"/>
                <w:szCs w:val="18"/>
                <w:color w:val="auto"/>
              </w:rPr>
              <w:t>J. Jamner Surgical Instruments, Inc.</w:t>
            </w: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Delaware</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0769265</w:t>
            </w: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9 Skyline Drive</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00" w:type="dxa"/>
            <w:vAlign w:val="bottom"/>
            <w:gridSpan w:val="2"/>
          </w:tcPr>
          <w:p>
            <w:pPr>
              <w:spacing w:after="0"/>
              <w:rPr>
                <w:sz w:val="20"/>
                <w:szCs w:val="20"/>
                <w:color w:val="auto"/>
              </w:rPr>
            </w:pPr>
            <w:r>
              <w:rPr>
                <w:rFonts w:ascii="Arial" w:cs="Arial" w:eastAsia="Arial" w:hAnsi="Arial"/>
                <w:sz w:val="18"/>
                <w:szCs w:val="18"/>
                <w:color w:val="auto"/>
              </w:rPr>
              <w:t>Hawthorne, NY 10532</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0" w:type="dxa"/>
            <w:vAlign w:val="bottom"/>
            <w:gridSpan w:val="2"/>
          </w:tcPr>
          <w:p>
            <w:pPr>
              <w:spacing w:after="0"/>
              <w:rPr>
                <w:sz w:val="20"/>
                <w:szCs w:val="20"/>
                <w:color w:val="auto"/>
              </w:rPr>
            </w:pPr>
            <w:r>
              <w:rPr>
                <w:rFonts w:ascii="Arial" w:cs="Arial" w:eastAsia="Arial" w:hAnsi="Arial"/>
                <w:sz w:val="18"/>
                <w:szCs w:val="18"/>
                <w:color w:val="auto"/>
              </w:rPr>
              <w:t>Integra NeuroSciences (International), Inc.</w:t>
            </w: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Delaware</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2902491</w:t>
            </w: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311 Enterprise Drive</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00" w:type="dxa"/>
            <w:vAlign w:val="bottom"/>
            <w:gridSpan w:val="2"/>
          </w:tcPr>
          <w:p>
            <w:pPr>
              <w:spacing w:after="0"/>
              <w:rPr>
                <w:sz w:val="20"/>
                <w:szCs w:val="20"/>
                <w:color w:val="auto"/>
              </w:rPr>
            </w:pPr>
            <w:r>
              <w:rPr>
                <w:rFonts w:ascii="Arial" w:cs="Arial" w:eastAsia="Arial" w:hAnsi="Arial"/>
                <w:sz w:val="18"/>
                <w:szCs w:val="18"/>
                <w:color w:val="auto"/>
              </w:rPr>
              <w:t>Plainsboro, NJ 08536</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3" w:right="239" w:bottom="1440" w:gutter="0" w:footer="0" w:header="0"/>
        </w:sectPr>
      </w:pPr>
    </w:p>
    <w:bookmarkStart w:id="318" w:name="page319"/>
    <w:bookmarkEnd w:id="3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Item B. </w:t>
      </w:r>
      <w:r>
        <w:rPr>
          <w:rFonts w:ascii="Arial" w:cs="Arial" w:eastAsia="Arial" w:hAnsi="Arial"/>
          <w:sz w:val="18"/>
          <w:szCs w:val="18"/>
          <w:b w:val="1"/>
          <w:bCs w:val="1"/>
          <w:color w:val="auto"/>
        </w:rPr>
        <w:t>Location of Equipment &amp; Inventory (Owned Locations)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460" w:type="dxa"/>
            <w:vAlign w:val="bottom"/>
            <w:gridSpan w:val="2"/>
          </w:tcPr>
          <w:p>
            <w:pPr>
              <w:spacing w:after="0"/>
              <w:rPr>
                <w:sz w:val="20"/>
                <w:szCs w:val="20"/>
                <w:color w:val="auto"/>
              </w:rPr>
            </w:pPr>
            <w:r>
              <w:rPr>
                <w:rFonts w:ascii="Arial" w:cs="Arial" w:eastAsia="Arial" w:hAnsi="Arial"/>
                <w:sz w:val="14"/>
                <w:szCs w:val="14"/>
                <w:b w:val="1"/>
                <w:bCs w:val="1"/>
                <w:color w:val="auto"/>
              </w:rPr>
              <w:t>Grantor Mailing Address</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County</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1"/>
              </w:rPr>
              <w:t>State</w:t>
            </w:r>
          </w:p>
        </w:tc>
      </w:tr>
      <w:tr>
        <w:trPr>
          <w:trHeight w:val="181"/>
        </w:trPr>
        <w:tc>
          <w:tcPr>
            <w:tcW w:w="158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Miltex, Inc.</w:t>
            </w:r>
          </w:p>
        </w:tc>
        <w:tc>
          <w:tcPr>
            <w:tcW w:w="7880" w:type="dxa"/>
            <w:vAlign w:val="bottom"/>
          </w:tcPr>
          <w:p>
            <w:pPr>
              <w:spacing w:after="0"/>
              <w:rPr>
                <w:sz w:val="15"/>
                <w:szCs w:val="15"/>
                <w:color w:val="auto"/>
              </w:rPr>
            </w:pPr>
          </w:p>
        </w:tc>
        <w:tc>
          <w:tcPr>
            <w:tcW w:w="78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1"/>
              </w:rPr>
              <w:t>York</w:t>
            </w:r>
          </w:p>
        </w:tc>
        <w:tc>
          <w:tcPr>
            <w:tcW w:w="100" w:type="dxa"/>
            <w:vAlign w:val="bottom"/>
          </w:tcPr>
          <w:p>
            <w:pPr>
              <w:spacing w:after="0"/>
              <w:rPr>
                <w:sz w:val="15"/>
                <w:szCs w:val="15"/>
                <w:color w:val="auto"/>
              </w:rPr>
            </w:pPr>
          </w:p>
        </w:tc>
        <w:tc>
          <w:tcPr>
            <w:tcW w:w="108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85"/>
              </w:rPr>
              <w:t>Pennsylvania</w:t>
            </w:r>
          </w:p>
        </w:tc>
      </w:tr>
      <w:tr>
        <w:trPr>
          <w:trHeight w:val="216"/>
        </w:trPr>
        <w:tc>
          <w:tcPr>
            <w:tcW w:w="9460" w:type="dxa"/>
            <w:vAlign w:val="bottom"/>
            <w:gridSpan w:val="2"/>
          </w:tcPr>
          <w:p>
            <w:pPr>
              <w:spacing w:after="0"/>
              <w:rPr>
                <w:sz w:val="20"/>
                <w:szCs w:val="20"/>
                <w:color w:val="auto"/>
              </w:rPr>
            </w:pPr>
            <w:r>
              <w:rPr>
                <w:rFonts w:ascii="Arial" w:cs="Arial" w:eastAsia="Arial" w:hAnsi="Arial"/>
                <w:sz w:val="18"/>
                <w:szCs w:val="18"/>
                <w:color w:val="auto"/>
              </w:rPr>
              <w:t>589 Davies Drive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2"/>
        </w:trPr>
        <w:tc>
          <w:tcPr>
            <w:tcW w:w="9460" w:type="dxa"/>
            <w:vAlign w:val="bottom"/>
            <w:gridSpan w:val="2"/>
          </w:tcPr>
          <w:p>
            <w:pPr>
              <w:spacing w:after="0"/>
              <w:rPr>
                <w:sz w:val="20"/>
                <w:szCs w:val="20"/>
                <w:color w:val="auto"/>
              </w:rPr>
            </w:pPr>
            <w:r>
              <w:rPr>
                <w:rFonts w:ascii="Arial" w:cs="Arial" w:eastAsia="Arial" w:hAnsi="Arial"/>
                <w:sz w:val="18"/>
                <w:szCs w:val="18"/>
                <w:color w:val="auto"/>
              </w:rPr>
              <w:t>York, PA 17402</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3"/>
        </w:trPr>
        <w:tc>
          <w:tcPr>
            <w:tcW w:w="9460" w:type="dxa"/>
            <w:vAlign w:val="bottom"/>
            <w:gridSpan w:val="2"/>
          </w:tcPr>
          <w:p>
            <w:pPr>
              <w:spacing w:after="0"/>
              <w:rPr>
                <w:sz w:val="20"/>
                <w:szCs w:val="20"/>
                <w:color w:val="auto"/>
              </w:rPr>
            </w:pPr>
            <w:r>
              <w:rPr>
                <w:rFonts w:ascii="Arial" w:cs="Arial" w:eastAsia="Arial" w:hAnsi="Arial"/>
                <w:sz w:val="18"/>
                <w:szCs w:val="18"/>
                <w:color w:val="auto"/>
              </w:rPr>
              <w:t>Integra LifeSciences Corp.</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Hamilton</w:t>
            </w: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Ohio</w:t>
            </w:r>
          </w:p>
        </w:tc>
      </w:tr>
      <w:tr>
        <w:trPr>
          <w:trHeight w:val="216"/>
        </w:trPr>
        <w:tc>
          <w:tcPr>
            <w:tcW w:w="9460" w:type="dxa"/>
            <w:vAlign w:val="bottom"/>
            <w:gridSpan w:val="2"/>
          </w:tcPr>
          <w:p>
            <w:pPr>
              <w:spacing w:after="0"/>
              <w:rPr>
                <w:sz w:val="20"/>
                <w:szCs w:val="20"/>
                <w:color w:val="auto"/>
              </w:rPr>
            </w:pPr>
            <w:r>
              <w:rPr>
                <w:rFonts w:ascii="Arial" w:cs="Arial" w:eastAsia="Arial" w:hAnsi="Arial"/>
                <w:sz w:val="18"/>
                <w:szCs w:val="18"/>
                <w:color w:val="auto"/>
              </w:rPr>
              <w:t>4900 Charlemar Drive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2"/>
        </w:trPr>
        <w:tc>
          <w:tcPr>
            <w:tcW w:w="9460" w:type="dxa"/>
            <w:vAlign w:val="bottom"/>
            <w:gridSpan w:val="2"/>
          </w:tcPr>
          <w:p>
            <w:pPr>
              <w:spacing w:after="0"/>
              <w:rPr>
                <w:sz w:val="20"/>
                <w:szCs w:val="20"/>
                <w:color w:val="auto"/>
              </w:rPr>
            </w:pPr>
            <w:r>
              <w:rPr>
                <w:rFonts w:ascii="Arial" w:cs="Arial" w:eastAsia="Arial" w:hAnsi="Arial"/>
                <w:sz w:val="18"/>
                <w:szCs w:val="18"/>
                <w:color w:val="auto"/>
              </w:rPr>
              <w:t>Cincinnati, OH 45227</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C. </w:t>
      </w:r>
      <w:r>
        <w:rPr>
          <w:rFonts w:ascii="Arial" w:cs="Arial" w:eastAsia="Arial" w:hAnsi="Arial"/>
          <w:sz w:val="18"/>
          <w:szCs w:val="18"/>
          <w:b w:val="1"/>
          <w:bCs w:val="1"/>
          <w:color w:val="auto"/>
        </w:rPr>
        <w:t>Leased Property; Bailees</w:t>
      </w:r>
    </w:p>
    <w:p>
      <w:pPr>
        <w:spacing w:after="0" w:line="96" w:lineRule="exact"/>
        <w:rPr>
          <w:sz w:val="20"/>
          <w:szCs w:val="20"/>
          <w:color w:val="auto"/>
        </w:rPr>
      </w:pPr>
    </w:p>
    <w:p>
      <w:pPr>
        <w:ind w:left="460" w:hanging="452"/>
        <w:spacing w:after="0"/>
        <w:tabs>
          <w:tab w:leader="none" w:pos="46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Attached - List of consignments for Extremity Reconstruction and Neurosurgery</w:t>
      </w:r>
    </w:p>
    <w:p>
      <w:pPr>
        <w:spacing w:after="0" w:line="90" w:lineRule="exact"/>
        <w:rPr>
          <w:sz w:val="20"/>
          <w:szCs w:val="20"/>
          <w:color w:val="auto"/>
        </w:rPr>
      </w:pPr>
    </w:p>
    <w:p>
      <w:pPr>
        <w:ind w:left="460" w:hanging="452"/>
        <w:spacing w:after="0"/>
        <w:tabs>
          <w:tab w:leader="none" w:pos="46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Attached - List of consignments for OrthoBiologics hospital accounts</w:t>
      </w:r>
    </w:p>
    <w:p>
      <w:pPr>
        <w:spacing w:after="0" w:line="90" w:lineRule="exact"/>
        <w:rPr>
          <w:sz w:val="20"/>
          <w:szCs w:val="20"/>
          <w:color w:val="auto"/>
        </w:rPr>
      </w:pPr>
    </w:p>
    <w:p>
      <w:pPr>
        <w:ind w:right="5880" w:firstLine="8"/>
        <w:spacing w:after="0" w:line="437" w:lineRule="auto"/>
        <w:tabs>
          <w:tab w:leader="none" w:pos="446" w:val="left"/>
        </w:tabs>
        <w:numPr>
          <w:ilvl w:val="0"/>
          <w:numId w:val="361"/>
        </w:numPr>
        <w:rPr>
          <w:rFonts w:ascii="Arial" w:cs="Arial" w:eastAsia="Arial" w:hAnsi="Arial"/>
          <w:sz w:val="16"/>
          <w:szCs w:val="16"/>
          <w:color w:val="auto"/>
        </w:rPr>
      </w:pPr>
      <w:r>
        <w:rPr>
          <w:rFonts w:ascii="Arial" w:cs="Arial" w:eastAsia="Arial" w:hAnsi="Arial"/>
          <w:sz w:val="16"/>
          <w:szCs w:val="16"/>
          <w:color w:val="auto"/>
        </w:rPr>
        <w:t>Attached – List of consignments for OrthoBiologics distributor accounts IV. Attached – List of consignments for Surgical Instruments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D. </w:t>
      </w:r>
      <w:r>
        <w:rPr>
          <w:rFonts w:ascii="Arial" w:cs="Arial" w:eastAsia="Arial" w:hAnsi="Arial"/>
          <w:sz w:val="18"/>
          <w:szCs w:val="18"/>
          <w:b w:val="1"/>
          <w:bCs w:val="1"/>
          <w:color w:val="auto"/>
        </w:rPr>
        <w:t>Trade Names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Grantor</w:t>
            </w:r>
          </w:p>
        </w:tc>
        <w:tc>
          <w:tcPr>
            <w:tcW w:w="3700" w:type="dxa"/>
            <w:vAlign w:val="bottom"/>
            <w:gridSpan w:val="3"/>
          </w:tcPr>
          <w:p>
            <w:pPr>
              <w:ind w:left="2120"/>
              <w:spacing w:after="0"/>
              <w:rPr>
                <w:sz w:val="20"/>
                <w:szCs w:val="20"/>
                <w:color w:val="auto"/>
              </w:rPr>
            </w:pPr>
            <w:r>
              <w:rPr>
                <w:rFonts w:ascii="Arial" w:cs="Arial" w:eastAsia="Arial" w:hAnsi="Arial"/>
                <w:sz w:val="14"/>
                <w:szCs w:val="14"/>
                <w:b w:val="1"/>
                <w:bCs w:val="1"/>
                <w:color w:val="auto"/>
              </w:rPr>
              <w:t>Trade Name</w:t>
            </w:r>
          </w:p>
        </w:tc>
      </w:tr>
      <w:tr>
        <w:trPr>
          <w:trHeight w:val="201"/>
        </w:trPr>
        <w:tc>
          <w:tcPr>
            <w:tcW w:w="4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2"/>
              </w:rPr>
              <w:t>Integra</w:t>
            </w:r>
          </w:p>
        </w:tc>
        <w:tc>
          <w:tcPr>
            <w:tcW w:w="3760" w:type="dxa"/>
            <w:vAlign w:val="bottom"/>
          </w:tcPr>
          <w:p>
            <w:pPr>
              <w:ind w:left="60"/>
              <w:spacing w:after="0" w:line="201" w:lineRule="exact"/>
              <w:rPr>
                <w:sz w:val="20"/>
                <w:szCs w:val="20"/>
                <w:color w:val="auto"/>
              </w:rPr>
            </w:pPr>
            <w:r>
              <w:rPr>
                <w:rFonts w:ascii="Arial" w:cs="Arial" w:eastAsia="Arial" w:hAnsi="Arial"/>
                <w:sz w:val="18"/>
                <w:szCs w:val="18"/>
                <w:color w:val="auto"/>
              </w:rPr>
              <w:t>LifeSciences Corporation</w:t>
            </w:r>
          </w:p>
        </w:tc>
        <w:tc>
          <w:tcPr>
            <w:tcW w:w="2120" w:type="dxa"/>
            <w:vAlign w:val="bottom"/>
          </w:tcPr>
          <w:p>
            <w:pPr>
              <w:ind w:left="1720"/>
              <w:spacing w:after="0"/>
              <w:rPr>
                <w:sz w:val="20"/>
                <w:szCs w:val="20"/>
                <w:color w:val="auto"/>
              </w:rPr>
            </w:pPr>
            <w:r>
              <w:rPr>
                <w:rFonts w:ascii="Arial" w:cs="Arial" w:eastAsia="Arial" w:hAnsi="Arial"/>
                <w:sz w:val="16"/>
                <w:szCs w:val="16"/>
                <w:color w:val="auto"/>
                <w:w w:val="76"/>
              </w:rPr>
              <w:t>Integra</w:t>
            </w:r>
          </w:p>
        </w:tc>
        <w:tc>
          <w:tcPr>
            <w:tcW w:w="700" w:type="dxa"/>
            <w:vAlign w:val="bottom"/>
            <w:tcBorders>
              <w:top w:val="single" w:sz="8" w:color="auto"/>
            </w:tcBorders>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Integra LifeSciences Corporation</w:t>
            </w:r>
          </w:p>
        </w:tc>
        <w:tc>
          <w:tcPr>
            <w:tcW w:w="3700" w:type="dxa"/>
            <w:vAlign w:val="bottom"/>
            <w:gridSpan w:val="3"/>
          </w:tcPr>
          <w:p>
            <w:pPr>
              <w:ind w:left="1720"/>
              <w:spacing w:after="0"/>
              <w:rPr>
                <w:sz w:val="20"/>
                <w:szCs w:val="20"/>
                <w:color w:val="auto"/>
              </w:rPr>
            </w:pPr>
            <w:r>
              <w:rPr>
                <w:rFonts w:ascii="Arial" w:cs="Arial" w:eastAsia="Arial" w:hAnsi="Arial"/>
                <w:sz w:val="18"/>
                <w:szCs w:val="18"/>
                <w:color w:val="auto"/>
              </w:rPr>
              <w:t>Integra LifeSciences</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Integra LifeSciences Corporation</w:t>
            </w:r>
          </w:p>
        </w:tc>
        <w:tc>
          <w:tcPr>
            <w:tcW w:w="3700" w:type="dxa"/>
            <w:vAlign w:val="bottom"/>
            <w:gridSpan w:val="3"/>
          </w:tcPr>
          <w:p>
            <w:pPr>
              <w:ind w:left="1720"/>
              <w:spacing w:after="0"/>
              <w:rPr>
                <w:sz w:val="20"/>
                <w:szCs w:val="20"/>
                <w:color w:val="auto"/>
              </w:rPr>
            </w:pPr>
            <w:r>
              <w:rPr>
                <w:rFonts w:ascii="Arial" w:cs="Arial" w:eastAsia="Arial" w:hAnsi="Arial"/>
                <w:sz w:val="18"/>
                <w:szCs w:val="18"/>
                <w:color w:val="auto"/>
              </w:rPr>
              <w:t>Integra NeuroSciences</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Integra LifeSciences Corporation</w:t>
            </w:r>
          </w:p>
        </w:tc>
        <w:tc>
          <w:tcPr>
            <w:tcW w:w="3700" w:type="dxa"/>
            <w:vAlign w:val="bottom"/>
            <w:gridSpan w:val="3"/>
          </w:tcPr>
          <w:p>
            <w:pPr>
              <w:ind w:left="1720"/>
              <w:spacing w:after="0"/>
              <w:rPr>
                <w:sz w:val="20"/>
                <w:szCs w:val="20"/>
                <w:color w:val="auto"/>
              </w:rPr>
            </w:pPr>
            <w:r>
              <w:rPr>
                <w:rFonts w:ascii="Arial" w:cs="Arial" w:eastAsia="Arial" w:hAnsi="Arial"/>
                <w:sz w:val="18"/>
                <w:szCs w:val="18"/>
                <w:color w:val="auto"/>
                <w:w w:val="87"/>
              </w:rPr>
              <w:t>Integra Neurosupplies (NSI)</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Integra LifeSciences Corporation</w:t>
            </w:r>
          </w:p>
        </w:tc>
        <w:tc>
          <w:tcPr>
            <w:tcW w:w="3700" w:type="dxa"/>
            <w:vAlign w:val="bottom"/>
            <w:gridSpan w:val="3"/>
          </w:tcPr>
          <w:p>
            <w:pPr>
              <w:ind w:left="1720"/>
              <w:spacing w:after="0"/>
              <w:rPr>
                <w:sz w:val="20"/>
                <w:szCs w:val="20"/>
                <w:color w:val="auto"/>
              </w:rPr>
            </w:pPr>
            <w:r>
              <w:rPr>
                <w:rFonts w:ascii="Arial" w:cs="Arial" w:eastAsia="Arial" w:hAnsi="Arial"/>
                <w:sz w:val="18"/>
                <w:szCs w:val="18"/>
                <w:color w:val="auto"/>
                <w:w w:val="94"/>
              </w:rPr>
              <w:t>Integra Pain Management</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J. Jamner Surgical Instruments, Inc.</w:t>
            </w:r>
          </w:p>
        </w:tc>
        <w:tc>
          <w:tcPr>
            <w:tcW w:w="3700" w:type="dxa"/>
            <w:vAlign w:val="bottom"/>
            <w:gridSpan w:val="3"/>
          </w:tcPr>
          <w:p>
            <w:pPr>
              <w:ind w:left="1720"/>
              <w:spacing w:after="0"/>
              <w:rPr>
                <w:sz w:val="20"/>
                <w:szCs w:val="20"/>
                <w:color w:val="auto"/>
              </w:rPr>
            </w:pPr>
            <w:r>
              <w:rPr>
                <w:rFonts w:ascii="Arial" w:cs="Arial" w:eastAsia="Arial" w:hAnsi="Arial"/>
                <w:sz w:val="18"/>
                <w:szCs w:val="18"/>
                <w:color w:val="auto"/>
              </w:rPr>
              <w:t>Jarit Instruments</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IsoTis OrthoBiologics, Inc.</w:t>
            </w:r>
          </w:p>
        </w:tc>
        <w:tc>
          <w:tcPr>
            <w:tcW w:w="3700" w:type="dxa"/>
            <w:vAlign w:val="bottom"/>
            <w:gridSpan w:val="3"/>
          </w:tcPr>
          <w:p>
            <w:pPr>
              <w:ind w:left="1720"/>
              <w:spacing w:after="0"/>
              <w:rPr>
                <w:sz w:val="20"/>
                <w:szCs w:val="20"/>
                <w:color w:val="auto"/>
              </w:rPr>
            </w:pPr>
            <w:r>
              <w:rPr>
                <w:rFonts w:ascii="Arial" w:cs="Arial" w:eastAsia="Arial" w:hAnsi="Arial"/>
                <w:sz w:val="18"/>
                <w:szCs w:val="18"/>
                <w:color w:val="auto"/>
              </w:rPr>
              <w:t>Integra OrthoBiologics</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Miltex, Inc.</w:t>
            </w:r>
          </w:p>
        </w:tc>
        <w:tc>
          <w:tcPr>
            <w:tcW w:w="3700" w:type="dxa"/>
            <w:vAlign w:val="bottom"/>
            <w:gridSpan w:val="3"/>
          </w:tcPr>
          <w:p>
            <w:pPr>
              <w:ind w:left="1720"/>
              <w:spacing w:after="0"/>
              <w:rPr>
                <w:sz w:val="20"/>
                <w:szCs w:val="20"/>
                <w:color w:val="auto"/>
              </w:rPr>
            </w:pPr>
            <w:r>
              <w:rPr>
                <w:rFonts w:ascii="Arial" w:cs="Arial" w:eastAsia="Arial" w:hAnsi="Arial"/>
                <w:sz w:val="18"/>
                <w:szCs w:val="18"/>
                <w:color w:val="auto"/>
              </w:rPr>
              <w:t>Miltex</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Minnesota Scientific, Inc.</w:t>
            </w:r>
          </w:p>
        </w:tc>
        <w:tc>
          <w:tcPr>
            <w:tcW w:w="3700" w:type="dxa"/>
            <w:vAlign w:val="bottom"/>
            <w:gridSpan w:val="3"/>
          </w:tcPr>
          <w:p>
            <w:pPr>
              <w:ind w:left="1720"/>
              <w:spacing w:after="0"/>
              <w:rPr>
                <w:sz w:val="20"/>
                <w:szCs w:val="20"/>
                <w:color w:val="auto"/>
              </w:rPr>
            </w:pPr>
            <w:r>
              <w:rPr>
                <w:rFonts w:ascii="Arial" w:cs="Arial" w:eastAsia="Arial" w:hAnsi="Arial"/>
                <w:sz w:val="18"/>
                <w:szCs w:val="18"/>
                <w:color w:val="auto"/>
              </w:rPr>
              <w:t>Omni-Tract Surgical</w:t>
            </w:r>
          </w:p>
        </w:tc>
      </w:tr>
      <w:tr>
        <w:trPr>
          <w:trHeight w:val="222"/>
        </w:trPr>
        <w:tc>
          <w:tcPr>
            <w:tcW w:w="4240" w:type="dxa"/>
            <w:vAlign w:val="bottom"/>
            <w:gridSpan w:val="2"/>
          </w:tcPr>
          <w:p>
            <w:pPr>
              <w:spacing w:after="0"/>
              <w:rPr>
                <w:sz w:val="20"/>
                <w:szCs w:val="20"/>
                <w:color w:val="auto"/>
              </w:rPr>
            </w:pPr>
            <w:r>
              <w:rPr>
                <w:rFonts w:ascii="Arial" w:cs="Arial" w:eastAsia="Arial" w:hAnsi="Arial"/>
                <w:sz w:val="18"/>
                <w:szCs w:val="18"/>
                <w:color w:val="auto"/>
              </w:rPr>
              <w:t>Theken Spine, LLC</w:t>
            </w:r>
          </w:p>
        </w:tc>
        <w:tc>
          <w:tcPr>
            <w:tcW w:w="3700" w:type="dxa"/>
            <w:vAlign w:val="bottom"/>
            <w:gridSpan w:val="3"/>
          </w:tcPr>
          <w:p>
            <w:pPr>
              <w:ind w:left="1720"/>
              <w:spacing w:after="0"/>
              <w:rPr>
                <w:sz w:val="20"/>
                <w:szCs w:val="20"/>
                <w:color w:val="auto"/>
              </w:rPr>
            </w:pPr>
            <w:r>
              <w:rPr>
                <w:rFonts w:ascii="Arial" w:cs="Arial" w:eastAsia="Arial" w:hAnsi="Arial"/>
                <w:sz w:val="18"/>
                <w:szCs w:val="18"/>
                <w:color w:val="auto"/>
              </w:rPr>
              <w:t>Integra Spine</w:t>
            </w:r>
          </w:p>
        </w:tc>
      </w:tr>
    </w:tbl>
    <w:p>
      <w:pPr>
        <w:sectPr>
          <w:pgSz w:w="11900" w:h="16838" w:orient="portrait"/>
          <w:cols w:equalWidth="0" w:num="1">
            <w:col w:w="11420"/>
          </w:cols>
          <w:pgMar w:left="240" w:top="274" w:right="239" w:bottom="1440" w:gutter="0" w:footer="0" w:header="0"/>
        </w:sectPr>
      </w:pPr>
    </w:p>
    <w:bookmarkStart w:id="319" w:name="page320"/>
    <w:bookmarkEnd w:id="3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Item D. </w:t>
      </w:r>
      <w:r>
        <w:rPr>
          <w:rFonts w:ascii="Arial" w:cs="Arial" w:eastAsia="Arial" w:hAnsi="Arial"/>
          <w:sz w:val="18"/>
          <w:szCs w:val="18"/>
          <w:b w:val="1"/>
          <w:bCs w:val="1"/>
          <w:color w:val="auto"/>
        </w:rPr>
        <w:t>Commercial Tort Claims</w:t>
      </w:r>
    </w:p>
    <w:p>
      <w:pPr>
        <w:spacing w:after="0" w:line="20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7220" w:type="dxa"/>
            <w:vAlign w:val="bottom"/>
          </w:tcPr>
          <w:p>
            <w:pPr>
              <w:jc w:val="center"/>
              <w:ind w:left="6172"/>
              <w:spacing w:after="0"/>
              <w:rPr>
                <w:sz w:val="20"/>
                <w:szCs w:val="20"/>
                <w:color w:val="auto"/>
              </w:rPr>
            </w:pPr>
            <w:r>
              <w:rPr>
                <w:rFonts w:ascii="Arial" w:cs="Arial" w:eastAsia="Arial" w:hAnsi="Arial"/>
                <w:sz w:val="14"/>
                <w:szCs w:val="14"/>
                <w:b w:val="1"/>
                <w:bCs w:val="1"/>
                <w:color w:val="auto"/>
                <w:w w:val="87"/>
              </w:rPr>
              <w:t>Description of</w:t>
            </w:r>
          </w:p>
        </w:tc>
        <w:tc>
          <w:tcPr>
            <w:tcW w:w="0" w:type="dxa"/>
            <w:vAlign w:val="bottom"/>
          </w:tcPr>
          <w:p>
            <w:pPr>
              <w:spacing w:after="0"/>
              <w:rPr>
                <w:sz w:val="1"/>
                <w:szCs w:val="1"/>
                <w:color w:val="auto"/>
              </w:rPr>
            </w:pPr>
          </w:p>
        </w:tc>
      </w:tr>
      <w:tr>
        <w:trPr>
          <w:trHeight w:val="149"/>
        </w:trPr>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w w:val="93"/>
              </w:rPr>
              <w:t>Grantor</w:t>
            </w:r>
          </w:p>
        </w:tc>
        <w:tc>
          <w:tcPr>
            <w:tcW w:w="7220" w:type="dxa"/>
            <w:vAlign w:val="bottom"/>
          </w:tcPr>
          <w:p>
            <w:pPr>
              <w:jc w:val="center"/>
              <w:ind w:left="6152"/>
              <w:spacing w:after="0" w:line="149" w:lineRule="exact"/>
              <w:rPr>
                <w:sz w:val="20"/>
                <w:szCs w:val="20"/>
                <w:color w:val="auto"/>
              </w:rPr>
            </w:pPr>
            <w:r>
              <w:rPr>
                <w:rFonts w:ascii="Arial" w:cs="Arial" w:eastAsia="Arial" w:hAnsi="Arial"/>
                <w:sz w:val="14"/>
                <w:szCs w:val="14"/>
                <w:b w:val="1"/>
                <w:bCs w:val="1"/>
                <w:color w:val="auto"/>
                <w:w w:val="89"/>
              </w:rPr>
              <w:t>Commercial Tort</w:t>
            </w:r>
          </w:p>
        </w:tc>
        <w:tc>
          <w:tcPr>
            <w:tcW w:w="0" w:type="dxa"/>
            <w:vAlign w:val="bottom"/>
          </w:tcPr>
          <w:p>
            <w:pPr>
              <w:spacing w:after="0"/>
              <w:rPr>
                <w:sz w:val="1"/>
                <w:szCs w:val="1"/>
                <w:color w:val="auto"/>
              </w:rPr>
            </w:pPr>
          </w:p>
        </w:tc>
      </w:tr>
      <w:tr>
        <w:trPr>
          <w:trHeight w:val="153"/>
        </w:trPr>
        <w:tc>
          <w:tcPr>
            <w:tcW w:w="500" w:type="dxa"/>
            <w:vAlign w:val="bottom"/>
            <w:tcBorders>
              <w:bottom w:val="single" w:sz="8" w:color="auto"/>
            </w:tcBorders>
            <w:vMerge w:val="continue"/>
          </w:tcPr>
          <w:p>
            <w:pPr>
              <w:spacing w:after="0"/>
              <w:rPr>
                <w:sz w:val="12"/>
                <w:szCs w:val="12"/>
                <w:color w:val="auto"/>
              </w:rPr>
            </w:pPr>
          </w:p>
        </w:tc>
        <w:tc>
          <w:tcPr>
            <w:tcW w:w="7220" w:type="dxa"/>
            <w:vAlign w:val="bottom"/>
          </w:tcPr>
          <w:p>
            <w:pPr>
              <w:jc w:val="center"/>
              <w:ind w:left="6192"/>
              <w:spacing w:after="0" w:line="148" w:lineRule="exact"/>
              <w:rPr>
                <w:sz w:val="20"/>
                <w:szCs w:val="20"/>
                <w:color w:val="auto"/>
              </w:rPr>
            </w:pPr>
            <w:r>
              <w:rPr>
                <w:rFonts w:ascii="Arial" w:cs="Arial" w:eastAsia="Arial" w:hAnsi="Arial"/>
                <w:sz w:val="14"/>
                <w:szCs w:val="14"/>
                <w:b w:val="1"/>
                <w:bCs w:val="1"/>
                <w:color w:val="auto"/>
                <w:w w:val="94"/>
              </w:rPr>
              <w:t>Claim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0</wp:posOffset>
            </wp:positionV>
            <wp:extent cx="65151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219"/>
          </w:cols>
          <w:pgMar w:left="240" w:top="274" w:right="1440" w:bottom="1440" w:gutter="0" w:footer="0" w:header="0"/>
        </w:sectPr>
      </w:pPr>
    </w:p>
    <w:bookmarkStart w:id="320" w:name="page321"/>
    <w:bookmarkEnd w:id="3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Item C. </w:t>
      </w:r>
      <w:r>
        <w:rPr>
          <w:rFonts w:ascii="Arial" w:cs="Arial" w:eastAsia="Arial" w:hAnsi="Arial"/>
          <w:sz w:val="18"/>
          <w:szCs w:val="18"/>
          <w:b w:val="1"/>
          <w:bCs w:val="1"/>
          <w:color w:val="auto"/>
        </w:rPr>
        <w:t>Leased Property; Bailees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Extremity Reconstruction &amp; Neurosurgery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320" w:type="dxa"/>
            <w:vAlign w:val="bottom"/>
          </w:tcPr>
          <w:p>
            <w:pPr>
              <w:jc w:val="center"/>
              <w:spacing w:after="0"/>
              <w:rPr>
                <w:sz w:val="20"/>
                <w:szCs w:val="20"/>
                <w:color w:val="auto"/>
              </w:rPr>
            </w:pPr>
            <w:r>
              <w:rPr>
                <w:rFonts w:ascii="Arial" w:cs="Arial" w:eastAsia="Arial" w:hAnsi="Arial"/>
                <w:sz w:val="14"/>
                <w:szCs w:val="14"/>
                <w:b w:val="1"/>
                <w:bCs w:val="1"/>
                <w:color w:val="auto"/>
                <w:w w:val="86"/>
              </w:rPr>
              <w:t>Name of</w:t>
            </w:r>
          </w:p>
        </w:tc>
      </w:tr>
      <w:tr>
        <w:trPr>
          <w:trHeight w:val="181"/>
        </w:trPr>
        <w:tc>
          <w:tcPr>
            <w:tcW w:w="3060" w:type="dxa"/>
            <w:vAlign w:val="bottom"/>
            <w:gridSpan w:val="2"/>
          </w:tcPr>
          <w:p>
            <w:pPr>
              <w:spacing w:after="0"/>
              <w:rPr>
                <w:sz w:val="20"/>
                <w:szCs w:val="20"/>
                <w:color w:val="auto"/>
              </w:rPr>
            </w:pPr>
            <w:r>
              <w:rPr>
                <w:rFonts w:ascii="Arial" w:cs="Arial" w:eastAsia="Arial" w:hAnsi="Arial"/>
                <w:sz w:val="14"/>
                <w:szCs w:val="14"/>
                <w:b w:val="1"/>
                <w:bCs w:val="1"/>
                <w:color w:val="auto"/>
              </w:rPr>
              <w:t>Grantor</w:t>
            </w:r>
          </w:p>
        </w:tc>
        <w:tc>
          <w:tcPr>
            <w:tcW w:w="700" w:type="dxa"/>
            <w:vAlign w:val="bottom"/>
          </w:tcPr>
          <w:p>
            <w:pPr>
              <w:spacing w:after="0"/>
              <w:rPr>
                <w:sz w:val="15"/>
                <w:szCs w:val="15"/>
                <w:color w:val="auto"/>
              </w:rPr>
            </w:pPr>
          </w:p>
        </w:tc>
        <w:tc>
          <w:tcPr>
            <w:tcW w:w="3320" w:type="dxa"/>
            <w:vAlign w:val="bottom"/>
          </w:tcPr>
          <w:p>
            <w:pPr>
              <w:jc w:val="center"/>
              <w:spacing w:after="0"/>
              <w:rPr>
                <w:sz w:val="20"/>
                <w:szCs w:val="20"/>
                <w:color w:val="auto"/>
              </w:rPr>
            </w:pPr>
            <w:r>
              <w:rPr>
                <w:rFonts w:ascii="Arial" w:cs="Arial" w:eastAsia="Arial" w:hAnsi="Arial"/>
                <w:sz w:val="14"/>
                <w:szCs w:val="14"/>
                <w:b w:val="1"/>
                <w:bCs w:val="1"/>
                <w:color w:val="auto"/>
                <w:w w:val="89"/>
              </w:rPr>
              <w:t>Landlord/Bailee</w:t>
            </w:r>
          </w:p>
        </w:tc>
      </w:tr>
      <w:tr>
        <w:trPr>
          <w:trHeight w:val="209"/>
        </w:trPr>
        <w:tc>
          <w:tcPr>
            <w:tcW w:w="50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w w:val="85"/>
              </w:rPr>
              <w:t>Integra</w:t>
            </w:r>
          </w:p>
        </w:tc>
        <w:tc>
          <w:tcPr>
            <w:tcW w:w="2560" w:type="dxa"/>
            <w:vAlign w:val="bottom"/>
          </w:tcPr>
          <w:p>
            <w:pPr>
              <w:ind w:left="40"/>
              <w:spacing w:after="0" w:line="188" w:lineRule="exact"/>
              <w:rPr>
                <w:sz w:val="20"/>
                <w:szCs w:val="20"/>
                <w:color w:val="auto"/>
              </w:rPr>
            </w:pPr>
            <w:r>
              <w:rPr>
                <w:rFonts w:ascii="Arial" w:cs="Arial" w:eastAsia="Arial" w:hAnsi="Arial"/>
                <w:sz w:val="18"/>
                <w:szCs w:val="18"/>
                <w:color w:val="auto"/>
              </w:rPr>
              <w:t>LifeSciences Corporation</w:t>
            </w:r>
          </w:p>
        </w:tc>
        <w:tc>
          <w:tcPr>
            <w:tcW w:w="700" w:type="dxa"/>
            <w:vAlign w:val="bottom"/>
          </w:tcPr>
          <w:p>
            <w:pPr>
              <w:spacing w:after="0"/>
              <w:rPr>
                <w:sz w:val="18"/>
                <w:szCs w:val="18"/>
                <w:color w:val="auto"/>
              </w:rPr>
            </w:pPr>
          </w:p>
        </w:tc>
        <w:tc>
          <w:tcPr>
            <w:tcW w:w="3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AESTHETIC SURGERY CENTER</w:t>
            </w:r>
          </w:p>
        </w:tc>
      </w:tr>
      <w:tr>
        <w:trPr>
          <w:trHeight w:val="437"/>
        </w:trPr>
        <w:tc>
          <w:tcPr>
            <w:tcW w:w="3060" w:type="dxa"/>
            <w:vAlign w:val="bottom"/>
            <w:gridSpan w:val="2"/>
          </w:tcPr>
          <w:p>
            <w:pPr>
              <w:spacing w:after="0"/>
              <w:rPr>
                <w:sz w:val="20"/>
                <w:szCs w:val="20"/>
                <w:color w:val="auto"/>
              </w:rPr>
            </w:pPr>
            <w:r>
              <w:rPr>
                <w:rFonts w:ascii="Arial" w:cs="Arial" w:eastAsia="Arial" w:hAnsi="Arial"/>
                <w:sz w:val="18"/>
                <w:szCs w:val="18"/>
                <w:color w:val="auto"/>
              </w:rPr>
              <w:t>Integra LifeSciences Corporation</w:t>
            </w:r>
          </w:p>
        </w:tc>
        <w:tc>
          <w:tcPr>
            <w:tcW w:w="4020" w:type="dxa"/>
            <w:vAlign w:val="bottom"/>
            <w:gridSpan w:val="2"/>
          </w:tcPr>
          <w:p>
            <w:pPr>
              <w:ind w:left="700"/>
              <w:spacing w:after="0"/>
              <w:rPr>
                <w:sz w:val="20"/>
                <w:szCs w:val="20"/>
                <w:color w:val="auto"/>
              </w:rPr>
            </w:pPr>
            <w:r>
              <w:rPr>
                <w:rFonts w:ascii="Arial" w:cs="Arial" w:eastAsia="Arial" w:hAnsi="Arial"/>
                <w:sz w:val="18"/>
                <w:szCs w:val="18"/>
                <w:color w:val="auto"/>
              </w:rPr>
              <w:t>GRAMERCY PARK SURGERY, P.C.</w:t>
            </w:r>
          </w:p>
        </w:tc>
      </w:tr>
      <w:tr>
        <w:trPr>
          <w:trHeight w:val="446"/>
        </w:trPr>
        <w:tc>
          <w:tcPr>
            <w:tcW w:w="3060" w:type="dxa"/>
            <w:vAlign w:val="bottom"/>
            <w:gridSpan w:val="2"/>
          </w:tcPr>
          <w:p>
            <w:pPr>
              <w:spacing w:after="0"/>
              <w:rPr>
                <w:sz w:val="20"/>
                <w:szCs w:val="20"/>
                <w:color w:val="auto"/>
              </w:rPr>
            </w:pPr>
            <w:r>
              <w:rPr>
                <w:rFonts w:ascii="Arial" w:cs="Arial" w:eastAsia="Arial" w:hAnsi="Arial"/>
                <w:sz w:val="18"/>
                <w:szCs w:val="18"/>
                <w:color w:val="auto"/>
              </w:rPr>
              <w:t>Integra LifeSciences Corporation</w:t>
            </w:r>
          </w:p>
        </w:tc>
        <w:tc>
          <w:tcPr>
            <w:tcW w:w="4020" w:type="dxa"/>
            <w:vAlign w:val="bottom"/>
            <w:gridSpan w:val="2"/>
          </w:tcPr>
          <w:p>
            <w:pPr>
              <w:ind w:left="700"/>
              <w:spacing w:after="0"/>
              <w:rPr>
                <w:sz w:val="20"/>
                <w:szCs w:val="20"/>
                <w:color w:val="auto"/>
              </w:rPr>
            </w:pPr>
            <w:r>
              <w:rPr>
                <w:rFonts w:ascii="Arial" w:cs="Arial" w:eastAsia="Arial" w:hAnsi="Arial"/>
                <w:sz w:val="18"/>
                <w:szCs w:val="18"/>
                <w:color w:val="auto"/>
              </w:rPr>
              <w:t>ADVANCED AMBULATORY S/C</w:t>
            </w:r>
          </w:p>
        </w:tc>
      </w:tr>
      <w:tr>
        <w:trPr>
          <w:trHeight w:val="446"/>
        </w:trPr>
        <w:tc>
          <w:tcPr>
            <w:tcW w:w="3060" w:type="dxa"/>
            <w:vAlign w:val="bottom"/>
            <w:gridSpan w:val="2"/>
          </w:tcPr>
          <w:p>
            <w:pPr>
              <w:spacing w:after="0"/>
              <w:rPr>
                <w:sz w:val="20"/>
                <w:szCs w:val="20"/>
                <w:color w:val="auto"/>
              </w:rPr>
            </w:pPr>
            <w:r>
              <w:rPr>
                <w:rFonts w:ascii="Arial" w:cs="Arial" w:eastAsia="Arial" w:hAnsi="Arial"/>
                <w:sz w:val="18"/>
                <w:szCs w:val="18"/>
                <w:color w:val="auto"/>
              </w:rPr>
              <w:t>Integra LifeSciences Corporation</w:t>
            </w:r>
          </w:p>
        </w:tc>
        <w:tc>
          <w:tcPr>
            <w:tcW w:w="4020" w:type="dxa"/>
            <w:vAlign w:val="bottom"/>
            <w:gridSpan w:val="2"/>
          </w:tcPr>
          <w:p>
            <w:pPr>
              <w:ind w:left="700"/>
              <w:spacing w:after="0"/>
              <w:rPr>
                <w:sz w:val="20"/>
                <w:szCs w:val="20"/>
                <w:color w:val="auto"/>
              </w:rPr>
            </w:pPr>
            <w:r>
              <w:rPr>
                <w:rFonts w:ascii="Arial" w:cs="Arial" w:eastAsia="Arial" w:hAnsi="Arial"/>
                <w:sz w:val="18"/>
                <w:szCs w:val="18"/>
                <w:color w:val="auto"/>
              </w:rPr>
              <w:t>UCSD MEDICAL CENTER</w:t>
            </w:r>
          </w:p>
        </w:tc>
      </w:tr>
      <w:tr>
        <w:trPr>
          <w:trHeight w:val="446"/>
        </w:trPr>
        <w:tc>
          <w:tcPr>
            <w:tcW w:w="3060" w:type="dxa"/>
            <w:vAlign w:val="bottom"/>
            <w:gridSpan w:val="2"/>
          </w:tcPr>
          <w:p>
            <w:pPr>
              <w:spacing w:after="0"/>
              <w:rPr>
                <w:sz w:val="20"/>
                <w:szCs w:val="20"/>
                <w:color w:val="auto"/>
              </w:rPr>
            </w:pPr>
            <w:r>
              <w:rPr>
                <w:rFonts w:ascii="Arial" w:cs="Arial" w:eastAsia="Arial" w:hAnsi="Arial"/>
                <w:sz w:val="18"/>
                <w:szCs w:val="18"/>
                <w:color w:val="auto"/>
              </w:rPr>
              <w:t>Integra LifeSciences Corporation</w:t>
            </w:r>
          </w:p>
        </w:tc>
        <w:tc>
          <w:tcPr>
            <w:tcW w:w="4020" w:type="dxa"/>
            <w:vAlign w:val="bottom"/>
            <w:gridSpan w:val="2"/>
          </w:tcPr>
          <w:p>
            <w:pPr>
              <w:ind w:left="700"/>
              <w:spacing w:after="0"/>
              <w:rPr>
                <w:sz w:val="20"/>
                <w:szCs w:val="20"/>
                <w:color w:val="auto"/>
              </w:rPr>
            </w:pPr>
            <w:r>
              <w:rPr>
                <w:rFonts w:ascii="Arial" w:cs="Arial" w:eastAsia="Arial" w:hAnsi="Arial"/>
                <w:sz w:val="18"/>
                <w:szCs w:val="18"/>
                <w:color w:val="auto"/>
              </w:rPr>
              <w:t>PALO PINTO GEN HOSPITAL</w:t>
            </w:r>
          </w:p>
        </w:tc>
      </w:tr>
      <w:tr>
        <w:trPr>
          <w:trHeight w:val="446"/>
        </w:trPr>
        <w:tc>
          <w:tcPr>
            <w:tcW w:w="3060" w:type="dxa"/>
            <w:vAlign w:val="bottom"/>
            <w:gridSpan w:val="2"/>
          </w:tcPr>
          <w:p>
            <w:pPr>
              <w:spacing w:after="0"/>
              <w:rPr>
                <w:sz w:val="20"/>
                <w:szCs w:val="20"/>
                <w:color w:val="auto"/>
              </w:rPr>
            </w:pPr>
            <w:r>
              <w:rPr>
                <w:rFonts w:ascii="Arial" w:cs="Arial" w:eastAsia="Arial" w:hAnsi="Arial"/>
                <w:sz w:val="18"/>
                <w:szCs w:val="18"/>
                <w:color w:val="auto"/>
              </w:rPr>
              <w:t>Integra LifeSciences Corporation</w:t>
            </w:r>
          </w:p>
        </w:tc>
        <w:tc>
          <w:tcPr>
            <w:tcW w:w="4020" w:type="dxa"/>
            <w:vAlign w:val="bottom"/>
            <w:gridSpan w:val="2"/>
          </w:tcPr>
          <w:p>
            <w:pPr>
              <w:ind w:left="700"/>
              <w:spacing w:after="0"/>
              <w:rPr>
                <w:sz w:val="20"/>
                <w:szCs w:val="20"/>
                <w:color w:val="auto"/>
              </w:rPr>
            </w:pPr>
            <w:r>
              <w:rPr>
                <w:rFonts w:ascii="Arial" w:cs="Arial" w:eastAsia="Arial" w:hAnsi="Arial"/>
                <w:sz w:val="18"/>
                <w:szCs w:val="18"/>
                <w:color w:val="auto"/>
              </w:rPr>
              <w:t>QUEENS HOSPITAL CENTER</w:t>
            </w:r>
          </w:p>
        </w:tc>
      </w:tr>
      <w:tr>
        <w:trPr>
          <w:trHeight w:val="446"/>
        </w:trPr>
        <w:tc>
          <w:tcPr>
            <w:tcW w:w="3060" w:type="dxa"/>
            <w:vAlign w:val="bottom"/>
            <w:gridSpan w:val="2"/>
          </w:tcPr>
          <w:p>
            <w:pPr>
              <w:spacing w:after="0"/>
              <w:rPr>
                <w:sz w:val="20"/>
                <w:szCs w:val="20"/>
                <w:color w:val="auto"/>
              </w:rPr>
            </w:pPr>
            <w:r>
              <w:rPr>
                <w:rFonts w:ascii="Arial" w:cs="Arial" w:eastAsia="Arial" w:hAnsi="Arial"/>
                <w:sz w:val="18"/>
                <w:szCs w:val="18"/>
                <w:color w:val="auto"/>
              </w:rPr>
              <w:t>Integra LifeSciences Corporation</w:t>
            </w:r>
          </w:p>
        </w:tc>
        <w:tc>
          <w:tcPr>
            <w:tcW w:w="4020" w:type="dxa"/>
            <w:vAlign w:val="bottom"/>
            <w:gridSpan w:val="2"/>
          </w:tcPr>
          <w:p>
            <w:pPr>
              <w:ind w:left="700"/>
              <w:spacing w:after="0"/>
              <w:rPr>
                <w:sz w:val="20"/>
                <w:szCs w:val="20"/>
                <w:color w:val="auto"/>
              </w:rPr>
            </w:pPr>
            <w:r>
              <w:rPr>
                <w:rFonts w:ascii="Arial" w:cs="Arial" w:eastAsia="Arial" w:hAnsi="Arial"/>
                <w:sz w:val="18"/>
                <w:szCs w:val="18"/>
                <w:color w:val="auto"/>
              </w:rPr>
              <w:t>CABRINI MEDICAL CENTER</w:t>
            </w:r>
          </w:p>
        </w:tc>
      </w:tr>
      <w:tr>
        <w:trPr>
          <w:trHeight w:val="446"/>
        </w:trPr>
        <w:tc>
          <w:tcPr>
            <w:tcW w:w="3060" w:type="dxa"/>
            <w:vAlign w:val="bottom"/>
            <w:gridSpan w:val="2"/>
          </w:tcPr>
          <w:p>
            <w:pPr>
              <w:spacing w:after="0"/>
              <w:rPr>
                <w:sz w:val="20"/>
                <w:szCs w:val="20"/>
                <w:color w:val="auto"/>
              </w:rPr>
            </w:pPr>
            <w:r>
              <w:rPr>
                <w:rFonts w:ascii="Arial" w:cs="Arial" w:eastAsia="Arial" w:hAnsi="Arial"/>
                <w:sz w:val="18"/>
                <w:szCs w:val="18"/>
                <w:color w:val="auto"/>
              </w:rPr>
              <w:t>Integra LifeSciences Corporation</w:t>
            </w:r>
          </w:p>
        </w:tc>
        <w:tc>
          <w:tcPr>
            <w:tcW w:w="4020" w:type="dxa"/>
            <w:vAlign w:val="bottom"/>
            <w:gridSpan w:val="2"/>
          </w:tcPr>
          <w:p>
            <w:pPr>
              <w:ind w:left="700"/>
              <w:spacing w:after="0"/>
              <w:rPr>
                <w:sz w:val="20"/>
                <w:szCs w:val="20"/>
                <w:color w:val="auto"/>
              </w:rPr>
            </w:pPr>
            <w:r>
              <w:rPr>
                <w:rFonts w:ascii="Arial" w:cs="Arial" w:eastAsia="Arial" w:hAnsi="Arial"/>
                <w:sz w:val="18"/>
                <w:szCs w:val="18"/>
                <w:color w:val="auto"/>
              </w:rPr>
              <w:t>HEALTH ALLIANCE JEWISH HOSP</w:t>
            </w:r>
          </w:p>
        </w:tc>
      </w:tr>
      <w:tr>
        <w:trPr>
          <w:trHeight w:val="446"/>
        </w:trPr>
        <w:tc>
          <w:tcPr>
            <w:tcW w:w="3060" w:type="dxa"/>
            <w:vAlign w:val="bottom"/>
            <w:gridSpan w:val="2"/>
          </w:tcPr>
          <w:p>
            <w:pPr>
              <w:spacing w:after="0"/>
              <w:rPr>
                <w:sz w:val="20"/>
                <w:szCs w:val="20"/>
                <w:color w:val="auto"/>
              </w:rPr>
            </w:pPr>
            <w:r>
              <w:rPr>
                <w:rFonts w:ascii="Arial" w:cs="Arial" w:eastAsia="Arial" w:hAnsi="Arial"/>
                <w:sz w:val="18"/>
                <w:szCs w:val="18"/>
                <w:color w:val="auto"/>
              </w:rPr>
              <w:t>Integra LifeSciences Corporation</w:t>
            </w:r>
          </w:p>
        </w:tc>
        <w:tc>
          <w:tcPr>
            <w:tcW w:w="4020" w:type="dxa"/>
            <w:vAlign w:val="bottom"/>
            <w:gridSpan w:val="2"/>
          </w:tcPr>
          <w:p>
            <w:pPr>
              <w:ind w:left="700"/>
              <w:spacing w:after="0"/>
              <w:rPr>
                <w:sz w:val="20"/>
                <w:szCs w:val="20"/>
                <w:color w:val="auto"/>
              </w:rPr>
            </w:pPr>
            <w:r>
              <w:rPr>
                <w:rFonts w:ascii="Arial" w:cs="Arial" w:eastAsia="Arial" w:hAnsi="Arial"/>
                <w:sz w:val="18"/>
                <w:szCs w:val="18"/>
                <w:color w:val="auto"/>
              </w:rPr>
              <w:t>BOULEVARD SURGICAL CENTER</w:t>
            </w:r>
          </w:p>
        </w:tc>
      </w:tr>
      <w:tr>
        <w:trPr>
          <w:trHeight w:val="446"/>
        </w:trPr>
        <w:tc>
          <w:tcPr>
            <w:tcW w:w="3060" w:type="dxa"/>
            <w:vAlign w:val="bottom"/>
            <w:gridSpan w:val="2"/>
          </w:tcPr>
          <w:p>
            <w:pPr>
              <w:spacing w:after="0"/>
              <w:rPr>
                <w:sz w:val="20"/>
                <w:szCs w:val="20"/>
                <w:color w:val="auto"/>
              </w:rPr>
            </w:pPr>
            <w:r>
              <w:rPr>
                <w:rFonts w:ascii="Arial" w:cs="Arial" w:eastAsia="Arial" w:hAnsi="Arial"/>
                <w:sz w:val="18"/>
                <w:szCs w:val="18"/>
                <w:color w:val="auto"/>
              </w:rPr>
              <w:t>Integra LifeSciences Corporation</w:t>
            </w:r>
          </w:p>
        </w:tc>
        <w:tc>
          <w:tcPr>
            <w:tcW w:w="4020" w:type="dxa"/>
            <w:vAlign w:val="bottom"/>
            <w:gridSpan w:val="2"/>
          </w:tcPr>
          <w:p>
            <w:pPr>
              <w:ind w:left="700"/>
              <w:spacing w:after="0"/>
              <w:rPr>
                <w:sz w:val="20"/>
                <w:szCs w:val="20"/>
                <w:color w:val="auto"/>
              </w:rPr>
            </w:pPr>
            <w:r>
              <w:rPr>
                <w:rFonts w:ascii="Arial" w:cs="Arial" w:eastAsia="Arial" w:hAnsi="Arial"/>
                <w:sz w:val="18"/>
                <w:szCs w:val="18"/>
                <w:color w:val="auto"/>
              </w:rPr>
              <w:t>MAYO CLINIC FOUNDATION</w:t>
            </w:r>
          </w:p>
        </w:tc>
      </w:tr>
      <w:tr>
        <w:trPr>
          <w:trHeight w:val="446"/>
        </w:trPr>
        <w:tc>
          <w:tcPr>
            <w:tcW w:w="3060" w:type="dxa"/>
            <w:vAlign w:val="bottom"/>
            <w:gridSpan w:val="2"/>
          </w:tcPr>
          <w:p>
            <w:pPr>
              <w:spacing w:after="0"/>
              <w:rPr>
                <w:sz w:val="20"/>
                <w:szCs w:val="20"/>
                <w:color w:val="auto"/>
              </w:rPr>
            </w:pPr>
            <w:r>
              <w:rPr>
                <w:rFonts w:ascii="Arial" w:cs="Arial" w:eastAsia="Arial" w:hAnsi="Arial"/>
                <w:sz w:val="18"/>
                <w:szCs w:val="18"/>
                <w:color w:val="auto"/>
              </w:rPr>
              <w:t>Integra LifeSciences Corporation</w:t>
            </w:r>
          </w:p>
        </w:tc>
        <w:tc>
          <w:tcPr>
            <w:tcW w:w="4020" w:type="dxa"/>
            <w:vAlign w:val="bottom"/>
            <w:gridSpan w:val="2"/>
          </w:tcPr>
          <w:p>
            <w:pPr>
              <w:ind w:left="700"/>
              <w:spacing w:after="0"/>
              <w:rPr>
                <w:sz w:val="20"/>
                <w:szCs w:val="20"/>
                <w:color w:val="auto"/>
              </w:rPr>
            </w:pPr>
            <w:r>
              <w:rPr>
                <w:rFonts w:ascii="Arial" w:cs="Arial" w:eastAsia="Arial" w:hAnsi="Arial"/>
                <w:sz w:val="18"/>
                <w:szCs w:val="18"/>
                <w:color w:val="auto"/>
              </w:rPr>
              <w:t>SYCAMORE SPRINGS CENTER</w:t>
            </w:r>
          </w:p>
        </w:tc>
      </w:tr>
      <w:tr>
        <w:trPr>
          <w:trHeight w:val="446"/>
        </w:trPr>
        <w:tc>
          <w:tcPr>
            <w:tcW w:w="3060" w:type="dxa"/>
            <w:vAlign w:val="bottom"/>
            <w:gridSpan w:val="2"/>
          </w:tcPr>
          <w:p>
            <w:pPr>
              <w:spacing w:after="0"/>
              <w:rPr>
                <w:sz w:val="20"/>
                <w:szCs w:val="20"/>
                <w:color w:val="auto"/>
              </w:rPr>
            </w:pPr>
            <w:r>
              <w:rPr>
                <w:rFonts w:ascii="Arial" w:cs="Arial" w:eastAsia="Arial" w:hAnsi="Arial"/>
                <w:sz w:val="18"/>
                <w:szCs w:val="18"/>
                <w:color w:val="auto"/>
              </w:rPr>
              <w:t>Integra LifeSciences Corporation</w:t>
            </w:r>
          </w:p>
        </w:tc>
        <w:tc>
          <w:tcPr>
            <w:tcW w:w="4020" w:type="dxa"/>
            <w:vAlign w:val="bottom"/>
            <w:gridSpan w:val="2"/>
          </w:tcPr>
          <w:p>
            <w:pPr>
              <w:ind w:left="700"/>
              <w:spacing w:after="0"/>
              <w:rPr>
                <w:sz w:val="20"/>
                <w:szCs w:val="20"/>
                <w:color w:val="auto"/>
              </w:rPr>
            </w:pPr>
            <w:r>
              <w:rPr>
                <w:rFonts w:ascii="Arial" w:cs="Arial" w:eastAsia="Arial" w:hAnsi="Arial"/>
                <w:sz w:val="18"/>
                <w:szCs w:val="18"/>
                <w:color w:val="auto"/>
              </w:rPr>
              <w:t>MERCY MEDICAL CENTER</w:t>
            </w:r>
          </w:p>
        </w:tc>
      </w:tr>
      <w:tr>
        <w:trPr>
          <w:trHeight w:val="446"/>
        </w:trPr>
        <w:tc>
          <w:tcPr>
            <w:tcW w:w="3060" w:type="dxa"/>
            <w:vAlign w:val="bottom"/>
            <w:gridSpan w:val="2"/>
          </w:tcPr>
          <w:p>
            <w:pPr>
              <w:spacing w:after="0"/>
              <w:rPr>
                <w:sz w:val="20"/>
                <w:szCs w:val="20"/>
                <w:color w:val="auto"/>
              </w:rPr>
            </w:pPr>
            <w:r>
              <w:rPr>
                <w:rFonts w:ascii="Arial" w:cs="Arial" w:eastAsia="Arial" w:hAnsi="Arial"/>
                <w:sz w:val="18"/>
                <w:szCs w:val="18"/>
                <w:color w:val="auto"/>
              </w:rPr>
              <w:t>Integra LifeSciences Corporation</w:t>
            </w:r>
          </w:p>
        </w:tc>
        <w:tc>
          <w:tcPr>
            <w:tcW w:w="4020" w:type="dxa"/>
            <w:vAlign w:val="bottom"/>
            <w:gridSpan w:val="2"/>
          </w:tcPr>
          <w:p>
            <w:pPr>
              <w:ind w:left="700"/>
              <w:spacing w:after="0"/>
              <w:rPr>
                <w:sz w:val="20"/>
                <w:szCs w:val="20"/>
                <w:color w:val="auto"/>
              </w:rPr>
            </w:pPr>
            <w:r>
              <w:rPr>
                <w:rFonts w:ascii="Arial" w:cs="Arial" w:eastAsia="Arial" w:hAnsi="Arial"/>
                <w:sz w:val="18"/>
                <w:szCs w:val="18"/>
                <w:color w:val="auto"/>
              </w:rPr>
              <w:t>MUNSON MEDICAL CENTER</w:t>
            </w:r>
          </w:p>
        </w:tc>
      </w:tr>
      <w:tr>
        <w:trPr>
          <w:trHeight w:val="446"/>
        </w:trPr>
        <w:tc>
          <w:tcPr>
            <w:tcW w:w="3060" w:type="dxa"/>
            <w:vAlign w:val="bottom"/>
            <w:gridSpan w:val="2"/>
          </w:tcPr>
          <w:p>
            <w:pPr>
              <w:spacing w:after="0"/>
              <w:rPr>
                <w:sz w:val="20"/>
                <w:szCs w:val="20"/>
                <w:color w:val="auto"/>
              </w:rPr>
            </w:pPr>
            <w:r>
              <w:rPr>
                <w:rFonts w:ascii="Arial" w:cs="Arial" w:eastAsia="Arial" w:hAnsi="Arial"/>
                <w:sz w:val="18"/>
                <w:szCs w:val="18"/>
                <w:color w:val="auto"/>
              </w:rPr>
              <w:t>Integra LifeSciences Corporation</w:t>
            </w:r>
          </w:p>
        </w:tc>
        <w:tc>
          <w:tcPr>
            <w:tcW w:w="4020" w:type="dxa"/>
            <w:vAlign w:val="bottom"/>
            <w:gridSpan w:val="2"/>
          </w:tcPr>
          <w:p>
            <w:pPr>
              <w:ind w:left="700"/>
              <w:spacing w:after="0"/>
              <w:rPr>
                <w:sz w:val="20"/>
                <w:szCs w:val="20"/>
                <w:color w:val="auto"/>
              </w:rPr>
            </w:pPr>
            <w:r>
              <w:rPr>
                <w:rFonts w:ascii="Arial" w:cs="Arial" w:eastAsia="Arial" w:hAnsi="Arial"/>
                <w:sz w:val="18"/>
                <w:szCs w:val="18"/>
                <w:color w:val="auto"/>
              </w:rPr>
              <w:t>REGION’S HOSPITAL</w:t>
            </w:r>
          </w:p>
        </w:tc>
      </w:tr>
      <w:tr>
        <w:trPr>
          <w:trHeight w:val="446"/>
        </w:trPr>
        <w:tc>
          <w:tcPr>
            <w:tcW w:w="3060" w:type="dxa"/>
            <w:vAlign w:val="bottom"/>
            <w:gridSpan w:val="2"/>
          </w:tcPr>
          <w:p>
            <w:pPr>
              <w:spacing w:after="0"/>
              <w:rPr>
                <w:sz w:val="20"/>
                <w:szCs w:val="20"/>
                <w:color w:val="auto"/>
              </w:rPr>
            </w:pPr>
            <w:r>
              <w:rPr>
                <w:rFonts w:ascii="Arial" w:cs="Arial" w:eastAsia="Arial" w:hAnsi="Arial"/>
                <w:sz w:val="18"/>
                <w:szCs w:val="18"/>
                <w:color w:val="auto"/>
              </w:rPr>
              <w:t>Integra LifeSciences Corporation</w:t>
            </w:r>
          </w:p>
        </w:tc>
        <w:tc>
          <w:tcPr>
            <w:tcW w:w="4020" w:type="dxa"/>
            <w:vAlign w:val="bottom"/>
            <w:gridSpan w:val="2"/>
          </w:tcPr>
          <w:p>
            <w:pPr>
              <w:ind w:left="700"/>
              <w:spacing w:after="0"/>
              <w:rPr>
                <w:sz w:val="20"/>
                <w:szCs w:val="20"/>
                <w:color w:val="auto"/>
              </w:rPr>
            </w:pPr>
            <w:r>
              <w:rPr>
                <w:rFonts w:ascii="Arial" w:cs="Arial" w:eastAsia="Arial" w:hAnsi="Arial"/>
                <w:sz w:val="18"/>
                <w:szCs w:val="18"/>
                <w:color w:val="auto"/>
              </w:rPr>
              <w:t>GENESYS REGIONAL MEDICAL CTR</w:t>
            </w:r>
          </w:p>
        </w:tc>
      </w:tr>
      <w:tr>
        <w:trPr>
          <w:trHeight w:val="446"/>
        </w:trPr>
        <w:tc>
          <w:tcPr>
            <w:tcW w:w="3060" w:type="dxa"/>
            <w:vAlign w:val="bottom"/>
            <w:gridSpan w:val="2"/>
          </w:tcPr>
          <w:p>
            <w:pPr>
              <w:spacing w:after="0"/>
              <w:rPr>
                <w:sz w:val="20"/>
                <w:szCs w:val="20"/>
                <w:color w:val="auto"/>
              </w:rPr>
            </w:pPr>
            <w:r>
              <w:rPr>
                <w:rFonts w:ascii="Arial" w:cs="Arial" w:eastAsia="Arial" w:hAnsi="Arial"/>
                <w:sz w:val="18"/>
                <w:szCs w:val="18"/>
                <w:color w:val="auto"/>
              </w:rPr>
              <w:t>Integra LifeSciences Corporation</w:t>
            </w:r>
          </w:p>
        </w:tc>
        <w:tc>
          <w:tcPr>
            <w:tcW w:w="4020" w:type="dxa"/>
            <w:vAlign w:val="bottom"/>
            <w:gridSpan w:val="2"/>
          </w:tcPr>
          <w:p>
            <w:pPr>
              <w:ind w:left="700"/>
              <w:spacing w:after="0"/>
              <w:rPr>
                <w:sz w:val="20"/>
                <w:szCs w:val="20"/>
                <w:color w:val="auto"/>
              </w:rPr>
            </w:pPr>
            <w:r>
              <w:rPr>
                <w:rFonts w:ascii="Arial" w:cs="Arial" w:eastAsia="Arial" w:hAnsi="Arial"/>
                <w:sz w:val="18"/>
                <w:szCs w:val="18"/>
                <w:color w:val="auto"/>
              </w:rPr>
              <w:t>KAISER HOSPITAL - 01-KAIS005</w:t>
            </w:r>
          </w:p>
        </w:tc>
      </w:tr>
      <w:tr>
        <w:trPr>
          <w:trHeight w:val="446"/>
        </w:trPr>
        <w:tc>
          <w:tcPr>
            <w:tcW w:w="3060" w:type="dxa"/>
            <w:vAlign w:val="bottom"/>
            <w:gridSpan w:val="2"/>
          </w:tcPr>
          <w:p>
            <w:pPr>
              <w:spacing w:after="0"/>
              <w:rPr>
                <w:sz w:val="20"/>
                <w:szCs w:val="20"/>
                <w:color w:val="auto"/>
              </w:rPr>
            </w:pPr>
            <w:r>
              <w:rPr>
                <w:rFonts w:ascii="Arial" w:cs="Arial" w:eastAsia="Arial" w:hAnsi="Arial"/>
                <w:sz w:val="18"/>
                <w:szCs w:val="18"/>
                <w:color w:val="auto"/>
              </w:rPr>
              <w:t>Integra LifeSciences Corporation</w:t>
            </w:r>
          </w:p>
        </w:tc>
        <w:tc>
          <w:tcPr>
            <w:tcW w:w="4020" w:type="dxa"/>
            <w:vAlign w:val="bottom"/>
            <w:gridSpan w:val="2"/>
          </w:tcPr>
          <w:p>
            <w:pPr>
              <w:ind w:left="700"/>
              <w:spacing w:after="0"/>
              <w:rPr>
                <w:sz w:val="20"/>
                <w:szCs w:val="20"/>
                <w:color w:val="auto"/>
              </w:rPr>
            </w:pPr>
            <w:r>
              <w:rPr>
                <w:rFonts w:ascii="Arial" w:cs="Arial" w:eastAsia="Arial" w:hAnsi="Arial"/>
                <w:sz w:val="18"/>
                <w:szCs w:val="18"/>
                <w:color w:val="auto"/>
              </w:rPr>
              <w:t>ST RITA’S MEDICAL CENTER</w:t>
            </w:r>
          </w:p>
        </w:tc>
      </w:tr>
      <w:tr>
        <w:trPr>
          <w:trHeight w:val="446"/>
        </w:trPr>
        <w:tc>
          <w:tcPr>
            <w:tcW w:w="3060" w:type="dxa"/>
            <w:vAlign w:val="bottom"/>
            <w:gridSpan w:val="2"/>
          </w:tcPr>
          <w:p>
            <w:pPr>
              <w:spacing w:after="0"/>
              <w:rPr>
                <w:sz w:val="20"/>
                <w:szCs w:val="20"/>
                <w:color w:val="auto"/>
              </w:rPr>
            </w:pPr>
            <w:r>
              <w:rPr>
                <w:rFonts w:ascii="Arial" w:cs="Arial" w:eastAsia="Arial" w:hAnsi="Arial"/>
                <w:sz w:val="18"/>
                <w:szCs w:val="18"/>
                <w:color w:val="auto"/>
              </w:rPr>
              <w:t>Integra LifeSciences Corporation</w:t>
            </w:r>
          </w:p>
        </w:tc>
        <w:tc>
          <w:tcPr>
            <w:tcW w:w="4020" w:type="dxa"/>
            <w:vAlign w:val="bottom"/>
            <w:gridSpan w:val="2"/>
          </w:tcPr>
          <w:p>
            <w:pPr>
              <w:ind w:left="700"/>
              <w:spacing w:after="0"/>
              <w:rPr>
                <w:sz w:val="20"/>
                <w:szCs w:val="20"/>
                <w:color w:val="auto"/>
              </w:rPr>
            </w:pPr>
            <w:r>
              <w:rPr>
                <w:rFonts w:ascii="Arial" w:cs="Arial" w:eastAsia="Arial" w:hAnsi="Arial"/>
                <w:sz w:val="18"/>
                <w:szCs w:val="18"/>
                <w:color w:val="auto"/>
              </w:rPr>
              <w:t>STEVENS MEMORIAL HOSPITAL</w:t>
            </w:r>
          </w:p>
        </w:tc>
      </w:tr>
      <w:tr>
        <w:trPr>
          <w:trHeight w:val="446"/>
        </w:trPr>
        <w:tc>
          <w:tcPr>
            <w:tcW w:w="3060" w:type="dxa"/>
            <w:vAlign w:val="bottom"/>
            <w:gridSpan w:val="2"/>
          </w:tcPr>
          <w:p>
            <w:pPr>
              <w:spacing w:after="0"/>
              <w:rPr>
                <w:sz w:val="20"/>
                <w:szCs w:val="20"/>
                <w:color w:val="auto"/>
              </w:rPr>
            </w:pPr>
            <w:r>
              <w:rPr>
                <w:rFonts w:ascii="Arial" w:cs="Arial" w:eastAsia="Arial" w:hAnsi="Arial"/>
                <w:sz w:val="18"/>
                <w:szCs w:val="18"/>
                <w:color w:val="auto"/>
              </w:rPr>
              <w:t>Integra LifeSciences Corporation</w:t>
            </w:r>
          </w:p>
        </w:tc>
        <w:tc>
          <w:tcPr>
            <w:tcW w:w="4020" w:type="dxa"/>
            <w:vAlign w:val="bottom"/>
            <w:gridSpan w:val="2"/>
          </w:tcPr>
          <w:p>
            <w:pPr>
              <w:ind w:left="700"/>
              <w:spacing w:after="0"/>
              <w:rPr>
                <w:sz w:val="20"/>
                <w:szCs w:val="20"/>
                <w:color w:val="auto"/>
              </w:rPr>
            </w:pPr>
            <w:r>
              <w:rPr>
                <w:rFonts w:ascii="Arial" w:cs="Arial" w:eastAsia="Arial" w:hAnsi="Arial"/>
                <w:sz w:val="18"/>
                <w:szCs w:val="18"/>
                <w:color w:val="auto"/>
              </w:rPr>
              <w:t>OLIVE SURGERY CENTER</w:t>
            </w:r>
          </w:p>
        </w:tc>
      </w:tr>
      <w:tr>
        <w:trPr>
          <w:trHeight w:val="446"/>
        </w:trPr>
        <w:tc>
          <w:tcPr>
            <w:tcW w:w="3060" w:type="dxa"/>
            <w:vAlign w:val="bottom"/>
            <w:gridSpan w:val="2"/>
          </w:tcPr>
          <w:p>
            <w:pPr>
              <w:spacing w:after="0"/>
              <w:rPr>
                <w:sz w:val="20"/>
                <w:szCs w:val="20"/>
                <w:color w:val="auto"/>
              </w:rPr>
            </w:pPr>
            <w:r>
              <w:rPr>
                <w:rFonts w:ascii="Arial" w:cs="Arial" w:eastAsia="Arial" w:hAnsi="Arial"/>
                <w:sz w:val="18"/>
                <w:szCs w:val="18"/>
                <w:color w:val="auto"/>
              </w:rPr>
              <w:t>Integra LifeSciences Corporation</w:t>
            </w:r>
          </w:p>
        </w:tc>
        <w:tc>
          <w:tcPr>
            <w:tcW w:w="4020" w:type="dxa"/>
            <w:vAlign w:val="bottom"/>
            <w:gridSpan w:val="2"/>
          </w:tcPr>
          <w:p>
            <w:pPr>
              <w:ind w:left="700"/>
              <w:spacing w:after="0"/>
              <w:rPr>
                <w:sz w:val="20"/>
                <w:szCs w:val="20"/>
                <w:color w:val="auto"/>
              </w:rPr>
            </w:pPr>
            <w:r>
              <w:rPr>
                <w:rFonts w:ascii="Arial" w:cs="Arial" w:eastAsia="Arial" w:hAnsi="Arial"/>
                <w:sz w:val="18"/>
                <w:szCs w:val="18"/>
                <w:color w:val="auto"/>
              </w:rPr>
              <w:t>GOOD SHEPARD HOSPITAL</w:t>
            </w:r>
          </w:p>
        </w:tc>
      </w:tr>
      <w:tr>
        <w:trPr>
          <w:trHeight w:val="446"/>
        </w:trPr>
        <w:tc>
          <w:tcPr>
            <w:tcW w:w="3060" w:type="dxa"/>
            <w:vAlign w:val="bottom"/>
            <w:gridSpan w:val="2"/>
          </w:tcPr>
          <w:p>
            <w:pPr>
              <w:spacing w:after="0"/>
              <w:rPr>
                <w:sz w:val="20"/>
                <w:szCs w:val="20"/>
                <w:color w:val="auto"/>
              </w:rPr>
            </w:pPr>
            <w:r>
              <w:rPr>
                <w:rFonts w:ascii="Arial" w:cs="Arial" w:eastAsia="Arial" w:hAnsi="Arial"/>
                <w:sz w:val="18"/>
                <w:szCs w:val="18"/>
                <w:color w:val="auto"/>
              </w:rPr>
              <w:t>Integra LifeSciences Corporation</w:t>
            </w:r>
          </w:p>
        </w:tc>
        <w:tc>
          <w:tcPr>
            <w:tcW w:w="4020" w:type="dxa"/>
            <w:vAlign w:val="bottom"/>
            <w:gridSpan w:val="2"/>
          </w:tcPr>
          <w:p>
            <w:pPr>
              <w:ind w:left="700"/>
              <w:spacing w:after="0"/>
              <w:rPr>
                <w:sz w:val="20"/>
                <w:szCs w:val="20"/>
                <w:color w:val="auto"/>
              </w:rPr>
            </w:pPr>
            <w:r>
              <w:rPr>
                <w:rFonts w:ascii="Arial" w:cs="Arial" w:eastAsia="Arial" w:hAnsi="Arial"/>
                <w:sz w:val="18"/>
                <w:szCs w:val="18"/>
                <w:color w:val="auto"/>
              </w:rPr>
              <w:t>BELLAIRE SURGERY CENTER</w:t>
            </w:r>
          </w:p>
        </w:tc>
      </w:tr>
      <w:tr>
        <w:trPr>
          <w:trHeight w:val="446"/>
        </w:trPr>
        <w:tc>
          <w:tcPr>
            <w:tcW w:w="3060" w:type="dxa"/>
            <w:vAlign w:val="bottom"/>
            <w:gridSpan w:val="2"/>
          </w:tcPr>
          <w:p>
            <w:pPr>
              <w:spacing w:after="0"/>
              <w:rPr>
                <w:sz w:val="20"/>
                <w:szCs w:val="20"/>
                <w:color w:val="auto"/>
              </w:rPr>
            </w:pPr>
            <w:r>
              <w:rPr>
                <w:rFonts w:ascii="Arial" w:cs="Arial" w:eastAsia="Arial" w:hAnsi="Arial"/>
                <w:sz w:val="18"/>
                <w:szCs w:val="18"/>
                <w:color w:val="auto"/>
              </w:rPr>
              <w:t>Integra LifeSciences Corporation</w:t>
            </w:r>
          </w:p>
        </w:tc>
        <w:tc>
          <w:tcPr>
            <w:tcW w:w="4020" w:type="dxa"/>
            <w:vAlign w:val="bottom"/>
            <w:gridSpan w:val="2"/>
          </w:tcPr>
          <w:p>
            <w:pPr>
              <w:ind w:left="700"/>
              <w:spacing w:after="0"/>
              <w:rPr>
                <w:sz w:val="20"/>
                <w:szCs w:val="20"/>
                <w:color w:val="auto"/>
              </w:rPr>
            </w:pPr>
            <w:r>
              <w:rPr>
                <w:rFonts w:ascii="Arial" w:cs="Arial" w:eastAsia="Arial" w:hAnsi="Arial"/>
                <w:sz w:val="18"/>
                <w:szCs w:val="18"/>
                <w:color w:val="auto"/>
              </w:rPr>
              <w:t>HEALTHSOUTH OUTPATIENT S/C</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420" w:type="dxa"/>
            <w:vAlign w:val="bottom"/>
            <w:gridSpan w:val="2"/>
            <w:vMerge w:val="restart"/>
          </w:tcPr>
          <w:p>
            <w:pPr>
              <w:ind w:left="1420"/>
              <w:spacing w:after="0"/>
              <w:rPr>
                <w:sz w:val="20"/>
                <w:szCs w:val="20"/>
                <w:color w:val="auto"/>
              </w:rPr>
            </w:pPr>
            <w:r>
              <w:rPr>
                <w:rFonts w:ascii="Arial" w:cs="Arial" w:eastAsia="Arial" w:hAnsi="Arial"/>
                <w:sz w:val="14"/>
                <w:szCs w:val="14"/>
                <w:b w:val="1"/>
                <w:bCs w:val="1"/>
                <w:color w:val="auto"/>
              </w:rPr>
              <w:t>Address</w:t>
            </w:r>
          </w:p>
        </w:tc>
        <w:tc>
          <w:tcPr>
            <w:tcW w:w="820" w:type="dxa"/>
            <w:vAlign w:val="bottom"/>
          </w:tcPr>
          <w:p>
            <w:pPr>
              <w:ind w:left="40"/>
              <w:spacing w:after="0"/>
              <w:rPr>
                <w:sz w:val="20"/>
                <w:szCs w:val="20"/>
                <w:color w:val="auto"/>
              </w:rPr>
            </w:pPr>
            <w:r>
              <w:rPr>
                <w:rFonts w:ascii="Arial" w:cs="Arial" w:eastAsia="Arial" w:hAnsi="Arial"/>
                <w:sz w:val="14"/>
                <w:szCs w:val="14"/>
                <w:b w:val="1"/>
                <w:bCs w:val="1"/>
                <w:color w:val="auto"/>
                <w:w w:val="90"/>
              </w:rPr>
              <w:t>Relationship</w:t>
            </w:r>
          </w:p>
        </w:tc>
        <w:tc>
          <w:tcPr>
            <w:tcW w:w="0" w:type="dxa"/>
            <w:vAlign w:val="bottom"/>
          </w:tcPr>
          <w:p>
            <w:pPr>
              <w:spacing w:after="0"/>
              <w:rPr>
                <w:sz w:val="1"/>
                <w:szCs w:val="1"/>
                <w:color w:val="auto"/>
              </w:rPr>
            </w:pPr>
          </w:p>
        </w:tc>
      </w:tr>
      <w:tr>
        <w:trPr>
          <w:trHeight w:val="161"/>
        </w:trPr>
        <w:tc>
          <w:tcPr>
            <w:tcW w:w="3420" w:type="dxa"/>
            <w:vAlign w:val="bottom"/>
            <w:gridSpan w:val="2"/>
            <w:vMerge w:val="continue"/>
          </w:tcPr>
          <w:p>
            <w:pPr>
              <w:spacing w:after="0"/>
              <w:rPr>
                <w:sz w:val="14"/>
                <w:szCs w:val="14"/>
                <w:color w:val="auto"/>
              </w:rPr>
            </w:pPr>
          </w:p>
        </w:tc>
        <w:tc>
          <w:tcPr>
            <w:tcW w:w="820" w:type="dxa"/>
            <w:vAlign w:val="bottom"/>
          </w:tcPr>
          <w:p>
            <w:pPr>
              <w:ind w:left="100"/>
              <w:spacing w:after="0"/>
              <w:rPr>
                <w:sz w:val="20"/>
                <w:szCs w:val="20"/>
                <w:color w:val="auto"/>
              </w:rPr>
            </w:pPr>
            <w:r>
              <w:rPr>
                <w:rFonts w:ascii="Arial" w:cs="Arial" w:eastAsia="Arial" w:hAnsi="Arial"/>
                <w:sz w:val="14"/>
                <w:szCs w:val="14"/>
                <w:b w:val="1"/>
                <w:bCs w:val="1"/>
                <w:color w:val="auto"/>
              </w:rPr>
              <w:t>to Grantor</w:t>
            </w:r>
          </w:p>
        </w:tc>
        <w:tc>
          <w:tcPr>
            <w:tcW w:w="0" w:type="dxa"/>
            <w:vAlign w:val="bottom"/>
          </w:tcPr>
          <w:p>
            <w:pPr>
              <w:spacing w:after="0"/>
              <w:rPr>
                <w:sz w:val="1"/>
                <w:szCs w:val="1"/>
                <w:color w:val="auto"/>
              </w:rPr>
            </w:pPr>
          </w:p>
        </w:tc>
      </w:tr>
      <w:tr>
        <w:trPr>
          <w:trHeight w:val="201"/>
        </w:trPr>
        <w:tc>
          <w:tcPr>
            <w:tcW w:w="33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30260 Rancho Viejo Road</w:t>
            </w:r>
          </w:p>
        </w:tc>
        <w:tc>
          <w:tcPr>
            <w:tcW w:w="120" w:type="dxa"/>
            <w:vAlign w:val="bottom"/>
          </w:tcPr>
          <w:p>
            <w:pPr>
              <w:spacing w:after="0"/>
              <w:rPr>
                <w:sz w:val="17"/>
                <w:szCs w:val="17"/>
                <w:color w:val="auto"/>
              </w:rPr>
            </w:pPr>
          </w:p>
        </w:tc>
        <w:tc>
          <w:tcPr>
            <w:tcW w:w="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2"/>
              </w:rPr>
              <w:t>Consignee</w:t>
            </w:r>
          </w:p>
        </w:tc>
        <w:tc>
          <w:tcPr>
            <w:tcW w:w="0" w:type="dxa"/>
            <w:vAlign w:val="bottom"/>
          </w:tcPr>
          <w:p>
            <w:pPr>
              <w:spacing w:after="0"/>
              <w:rPr>
                <w:sz w:val="1"/>
                <w:szCs w:val="1"/>
                <w:color w:val="auto"/>
              </w:rPr>
            </w:pPr>
          </w:p>
        </w:tc>
      </w:tr>
      <w:tr>
        <w:trPr>
          <w:trHeight w:val="222"/>
        </w:trPr>
        <w:tc>
          <w:tcPr>
            <w:tcW w:w="3420" w:type="dxa"/>
            <w:vAlign w:val="bottom"/>
            <w:gridSpan w:val="2"/>
          </w:tcPr>
          <w:p>
            <w:pPr>
              <w:spacing w:after="0"/>
              <w:rPr>
                <w:sz w:val="20"/>
                <w:szCs w:val="20"/>
                <w:color w:val="auto"/>
              </w:rPr>
            </w:pPr>
            <w:r>
              <w:rPr>
                <w:rFonts w:ascii="Arial" w:cs="Arial" w:eastAsia="Arial" w:hAnsi="Arial"/>
                <w:sz w:val="18"/>
                <w:szCs w:val="18"/>
                <w:color w:val="auto"/>
              </w:rPr>
              <w:t>San Juan Capistrano, CA 92675</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color w:val="auto"/>
              </w:rPr>
              <w:t>67 Irving Place</w:t>
            </w:r>
          </w:p>
        </w:tc>
        <w:tc>
          <w:tcPr>
            <w:tcW w:w="820" w:type="dxa"/>
            <w:vAlign w:val="bottom"/>
          </w:tcPr>
          <w:p>
            <w:pPr>
              <w:spacing w:after="0"/>
              <w:rPr>
                <w:sz w:val="20"/>
                <w:szCs w:val="20"/>
                <w:color w:val="auto"/>
              </w:rPr>
            </w:pPr>
            <w:r>
              <w:rPr>
                <w:rFonts w:ascii="Arial" w:cs="Arial" w:eastAsia="Arial" w:hAnsi="Arial"/>
                <w:sz w:val="18"/>
                <w:szCs w:val="18"/>
                <w:color w:val="auto"/>
                <w:w w:val="92"/>
              </w:rPr>
              <w:t>Consignee</w:t>
            </w:r>
          </w:p>
        </w:tc>
        <w:tc>
          <w:tcPr>
            <w:tcW w:w="0" w:type="dxa"/>
            <w:vAlign w:val="bottom"/>
          </w:tcPr>
          <w:p>
            <w:pPr>
              <w:spacing w:after="0"/>
              <w:rPr>
                <w:sz w:val="1"/>
                <w:szCs w:val="1"/>
                <w:color w:val="auto"/>
              </w:rPr>
            </w:pPr>
          </w:p>
        </w:tc>
      </w:tr>
      <w:tr>
        <w:trPr>
          <w:trHeight w:val="222"/>
        </w:trPr>
        <w:tc>
          <w:tcPr>
            <w:tcW w:w="3420" w:type="dxa"/>
            <w:vAlign w:val="bottom"/>
            <w:gridSpan w:val="2"/>
          </w:tcPr>
          <w:p>
            <w:pPr>
              <w:spacing w:after="0"/>
              <w:rPr>
                <w:sz w:val="20"/>
                <w:szCs w:val="20"/>
                <w:color w:val="auto"/>
              </w:rPr>
            </w:pPr>
            <w:r>
              <w:rPr>
                <w:rFonts w:ascii="Arial" w:cs="Arial" w:eastAsia="Arial" w:hAnsi="Arial"/>
                <w:sz w:val="18"/>
                <w:szCs w:val="18"/>
                <w:color w:val="auto"/>
              </w:rPr>
              <w:t>New York, NY 10003</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color w:val="auto"/>
              </w:rPr>
              <w:t>2333 North Harlem Ave</w:t>
            </w:r>
          </w:p>
        </w:tc>
        <w:tc>
          <w:tcPr>
            <w:tcW w:w="820" w:type="dxa"/>
            <w:vAlign w:val="bottom"/>
          </w:tcPr>
          <w:p>
            <w:pPr>
              <w:spacing w:after="0"/>
              <w:rPr>
                <w:sz w:val="20"/>
                <w:szCs w:val="20"/>
                <w:color w:val="auto"/>
              </w:rPr>
            </w:pPr>
            <w:r>
              <w:rPr>
                <w:rFonts w:ascii="Arial" w:cs="Arial" w:eastAsia="Arial" w:hAnsi="Arial"/>
                <w:sz w:val="18"/>
                <w:szCs w:val="18"/>
                <w:color w:val="auto"/>
                <w:w w:val="92"/>
              </w:rPr>
              <w:t>Consignee</w:t>
            </w:r>
          </w:p>
        </w:tc>
        <w:tc>
          <w:tcPr>
            <w:tcW w:w="0" w:type="dxa"/>
            <w:vAlign w:val="bottom"/>
          </w:tcPr>
          <w:p>
            <w:pPr>
              <w:spacing w:after="0"/>
              <w:rPr>
                <w:sz w:val="1"/>
                <w:szCs w:val="1"/>
                <w:color w:val="auto"/>
              </w:rPr>
            </w:pPr>
          </w:p>
        </w:tc>
      </w:tr>
      <w:tr>
        <w:trPr>
          <w:trHeight w:val="222"/>
        </w:trPr>
        <w:tc>
          <w:tcPr>
            <w:tcW w:w="3420" w:type="dxa"/>
            <w:vAlign w:val="bottom"/>
            <w:gridSpan w:val="2"/>
          </w:tcPr>
          <w:p>
            <w:pPr>
              <w:spacing w:after="0"/>
              <w:rPr>
                <w:sz w:val="20"/>
                <w:szCs w:val="20"/>
                <w:color w:val="auto"/>
              </w:rPr>
            </w:pPr>
            <w:r>
              <w:rPr>
                <w:rFonts w:ascii="Arial" w:cs="Arial" w:eastAsia="Arial" w:hAnsi="Arial"/>
                <w:sz w:val="18"/>
                <w:szCs w:val="18"/>
                <w:color w:val="auto"/>
              </w:rPr>
              <w:t>Chicago, IL 60707</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color w:val="auto"/>
              </w:rPr>
              <w:t>7197 Convoy Court</w:t>
            </w:r>
          </w:p>
        </w:tc>
        <w:tc>
          <w:tcPr>
            <w:tcW w:w="820" w:type="dxa"/>
            <w:vAlign w:val="bottom"/>
          </w:tcPr>
          <w:p>
            <w:pPr>
              <w:spacing w:after="0"/>
              <w:rPr>
                <w:sz w:val="20"/>
                <w:szCs w:val="20"/>
                <w:color w:val="auto"/>
              </w:rPr>
            </w:pPr>
            <w:r>
              <w:rPr>
                <w:rFonts w:ascii="Arial" w:cs="Arial" w:eastAsia="Arial" w:hAnsi="Arial"/>
                <w:sz w:val="18"/>
                <w:szCs w:val="18"/>
                <w:color w:val="auto"/>
                <w:w w:val="92"/>
              </w:rPr>
              <w:t>Consignee</w:t>
            </w:r>
          </w:p>
        </w:tc>
        <w:tc>
          <w:tcPr>
            <w:tcW w:w="0" w:type="dxa"/>
            <w:vAlign w:val="bottom"/>
          </w:tcPr>
          <w:p>
            <w:pPr>
              <w:spacing w:after="0"/>
              <w:rPr>
                <w:sz w:val="1"/>
                <w:szCs w:val="1"/>
                <w:color w:val="auto"/>
              </w:rPr>
            </w:pPr>
          </w:p>
        </w:tc>
      </w:tr>
      <w:tr>
        <w:trPr>
          <w:trHeight w:val="222"/>
        </w:trPr>
        <w:tc>
          <w:tcPr>
            <w:tcW w:w="3420" w:type="dxa"/>
            <w:vAlign w:val="bottom"/>
            <w:gridSpan w:val="2"/>
          </w:tcPr>
          <w:p>
            <w:pPr>
              <w:spacing w:after="0"/>
              <w:rPr>
                <w:sz w:val="20"/>
                <w:szCs w:val="20"/>
                <w:color w:val="auto"/>
              </w:rPr>
            </w:pPr>
            <w:r>
              <w:rPr>
                <w:rFonts w:ascii="Arial" w:cs="Arial" w:eastAsia="Arial" w:hAnsi="Arial"/>
                <w:sz w:val="18"/>
                <w:szCs w:val="18"/>
                <w:color w:val="auto"/>
              </w:rPr>
              <w:t>San Diego, CA 92111</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color w:val="auto"/>
              </w:rPr>
              <w:t>400 Southwest 25th Avenue</w:t>
            </w:r>
          </w:p>
        </w:tc>
        <w:tc>
          <w:tcPr>
            <w:tcW w:w="820" w:type="dxa"/>
            <w:vAlign w:val="bottom"/>
          </w:tcPr>
          <w:p>
            <w:pPr>
              <w:spacing w:after="0"/>
              <w:rPr>
                <w:sz w:val="20"/>
                <w:szCs w:val="20"/>
                <w:color w:val="auto"/>
              </w:rPr>
            </w:pPr>
            <w:r>
              <w:rPr>
                <w:rFonts w:ascii="Arial" w:cs="Arial" w:eastAsia="Arial" w:hAnsi="Arial"/>
                <w:sz w:val="18"/>
                <w:szCs w:val="18"/>
                <w:color w:val="auto"/>
                <w:w w:val="92"/>
              </w:rPr>
              <w:t>Consignee</w:t>
            </w:r>
          </w:p>
        </w:tc>
        <w:tc>
          <w:tcPr>
            <w:tcW w:w="0" w:type="dxa"/>
            <w:vAlign w:val="bottom"/>
          </w:tcPr>
          <w:p>
            <w:pPr>
              <w:spacing w:after="0"/>
              <w:rPr>
                <w:sz w:val="1"/>
                <w:szCs w:val="1"/>
                <w:color w:val="auto"/>
              </w:rPr>
            </w:pPr>
          </w:p>
        </w:tc>
      </w:tr>
      <w:tr>
        <w:trPr>
          <w:trHeight w:val="222"/>
        </w:trPr>
        <w:tc>
          <w:tcPr>
            <w:tcW w:w="3420" w:type="dxa"/>
            <w:vAlign w:val="bottom"/>
            <w:gridSpan w:val="2"/>
          </w:tcPr>
          <w:p>
            <w:pPr>
              <w:spacing w:after="0"/>
              <w:rPr>
                <w:sz w:val="20"/>
                <w:szCs w:val="20"/>
                <w:color w:val="auto"/>
              </w:rPr>
            </w:pPr>
            <w:r>
              <w:rPr>
                <w:rFonts w:ascii="Arial" w:cs="Arial" w:eastAsia="Arial" w:hAnsi="Arial"/>
                <w:sz w:val="18"/>
                <w:szCs w:val="18"/>
                <w:color w:val="auto"/>
              </w:rPr>
              <w:t>Mineral Wells, TX 76067</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color w:val="auto"/>
              </w:rPr>
              <w:t>82-70 164</w:t>
            </w:r>
            <w:r>
              <w:rPr>
                <w:rFonts w:ascii="Arial" w:cs="Arial" w:eastAsia="Arial" w:hAnsi="Arial"/>
                <w:sz w:val="11"/>
                <w:szCs w:val="11"/>
                <w:color w:val="auto"/>
              </w:rPr>
              <w:t>th</w:t>
            </w:r>
            <w:r>
              <w:rPr>
                <w:rFonts w:ascii="Arial" w:cs="Arial" w:eastAsia="Arial" w:hAnsi="Arial"/>
                <w:sz w:val="18"/>
                <w:szCs w:val="18"/>
                <w:color w:val="auto"/>
              </w:rPr>
              <w:t xml:space="preserve"> Street</w:t>
            </w:r>
          </w:p>
        </w:tc>
        <w:tc>
          <w:tcPr>
            <w:tcW w:w="820" w:type="dxa"/>
            <w:vAlign w:val="bottom"/>
          </w:tcPr>
          <w:p>
            <w:pPr>
              <w:spacing w:after="0"/>
              <w:rPr>
                <w:sz w:val="20"/>
                <w:szCs w:val="20"/>
                <w:color w:val="auto"/>
              </w:rPr>
            </w:pPr>
            <w:r>
              <w:rPr>
                <w:rFonts w:ascii="Arial" w:cs="Arial" w:eastAsia="Arial" w:hAnsi="Arial"/>
                <w:sz w:val="18"/>
                <w:szCs w:val="18"/>
                <w:color w:val="auto"/>
                <w:w w:val="92"/>
              </w:rPr>
              <w:t>Consignee</w:t>
            </w:r>
          </w:p>
        </w:tc>
        <w:tc>
          <w:tcPr>
            <w:tcW w:w="0" w:type="dxa"/>
            <w:vAlign w:val="bottom"/>
          </w:tcPr>
          <w:p>
            <w:pPr>
              <w:spacing w:after="0"/>
              <w:rPr>
                <w:sz w:val="1"/>
                <w:szCs w:val="1"/>
                <w:color w:val="auto"/>
              </w:rPr>
            </w:pPr>
          </w:p>
        </w:tc>
      </w:tr>
      <w:tr>
        <w:trPr>
          <w:trHeight w:val="222"/>
        </w:trPr>
        <w:tc>
          <w:tcPr>
            <w:tcW w:w="3420" w:type="dxa"/>
            <w:vAlign w:val="bottom"/>
            <w:gridSpan w:val="2"/>
          </w:tcPr>
          <w:p>
            <w:pPr>
              <w:spacing w:after="0"/>
              <w:rPr>
                <w:sz w:val="20"/>
                <w:szCs w:val="20"/>
                <w:color w:val="auto"/>
              </w:rPr>
            </w:pPr>
            <w:r>
              <w:rPr>
                <w:rFonts w:ascii="Arial" w:cs="Arial" w:eastAsia="Arial" w:hAnsi="Arial"/>
                <w:sz w:val="18"/>
                <w:szCs w:val="18"/>
                <w:color w:val="auto"/>
              </w:rPr>
              <w:t>Jamaica, NY 11432</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color w:val="auto"/>
              </w:rPr>
              <w:t>227 E. 19</w:t>
            </w:r>
            <w:r>
              <w:rPr>
                <w:rFonts w:ascii="Arial" w:cs="Arial" w:eastAsia="Arial" w:hAnsi="Arial"/>
                <w:sz w:val="11"/>
                <w:szCs w:val="11"/>
                <w:color w:val="auto"/>
              </w:rPr>
              <w:t>th</w:t>
            </w:r>
            <w:r>
              <w:rPr>
                <w:rFonts w:ascii="Arial" w:cs="Arial" w:eastAsia="Arial" w:hAnsi="Arial"/>
                <w:sz w:val="18"/>
                <w:szCs w:val="18"/>
                <w:color w:val="auto"/>
              </w:rPr>
              <w:t xml:space="preserve"> Street</w:t>
            </w:r>
          </w:p>
        </w:tc>
        <w:tc>
          <w:tcPr>
            <w:tcW w:w="820" w:type="dxa"/>
            <w:vAlign w:val="bottom"/>
          </w:tcPr>
          <w:p>
            <w:pPr>
              <w:spacing w:after="0"/>
              <w:rPr>
                <w:sz w:val="20"/>
                <w:szCs w:val="20"/>
                <w:color w:val="auto"/>
              </w:rPr>
            </w:pPr>
            <w:r>
              <w:rPr>
                <w:rFonts w:ascii="Arial" w:cs="Arial" w:eastAsia="Arial" w:hAnsi="Arial"/>
                <w:sz w:val="18"/>
                <w:szCs w:val="18"/>
                <w:color w:val="auto"/>
                <w:w w:val="92"/>
              </w:rPr>
              <w:t>Consignee</w:t>
            </w:r>
          </w:p>
        </w:tc>
        <w:tc>
          <w:tcPr>
            <w:tcW w:w="0" w:type="dxa"/>
            <w:vAlign w:val="bottom"/>
          </w:tcPr>
          <w:p>
            <w:pPr>
              <w:spacing w:after="0"/>
              <w:rPr>
                <w:sz w:val="1"/>
                <w:szCs w:val="1"/>
                <w:color w:val="auto"/>
              </w:rPr>
            </w:pPr>
          </w:p>
        </w:tc>
      </w:tr>
      <w:tr>
        <w:trPr>
          <w:trHeight w:val="222"/>
        </w:trPr>
        <w:tc>
          <w:tcPr>
            <w:tcW w:w="3420" w:type="dxa"/>
            <w:vAlign w:val="bottom"/>
            <w:gridSpan w:val="2"/>
          </w:tcPr>
          <w:p>
            <w:pPr>
              <w:spacing w:after="0"/>
              <w:rPr>
                <w:sz w:val="20"/>
                <w:szCs w:val="20"/>
                <w:color w:val="auto"/>
              </w:rPr>
            </w:pPr>
            <w:r>
              <w:rPr>
                <w:rFonts w:ascii="Arial" w:cs="Arial" w:eastAsia="Arial" w:hAnsi="Arial"/>
                <w:sz w:val="18"/>
                <w:szCs w:val="18"/>
                <w:color w:val="auto"/>
              </w:rPr>
              <w:t>New York, NY 10003</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color w:val="auto"/>
              </w:rPr>
              <w:t>4777 W Galbraith Rd</w:t>
            </w:r>
          </w:p>
        </w:tc>
        <w:tc>
          <w:tcPr>
            <w:tcW w:w="820" w:type="dxa"/>
            <w:vAlign w:val="bottom"/>
          </w:tcPr>
          <w:p>
            <w:pPr>
              <w:spacing w:after="0"/>
              <w:rPr>
                <w:sz w:val="20"/>
                <w:szCs w:val="20"/>
                <w:color w:val="auto"/>
              </w:rPr>
            </w:pPr>
            <w:r>
              <w:rPr>
                <w:rFonts w:ascii="Arial" w:cs="Arial" w:eastAsia="Arial" w:hAnsi="Arial"/>
                <w:sz w:val="18"/>
                <w:szCs w:val="18"/>
                <w:color w:val="auto"/>
                <w:w w:val="92"/>
              </w:rPr>
              <w:t>Consignee</w:t>
            </w:r>
          </w:p>
        </w:tc>
        <w:tc>
          <w:tcPr>
            <w:tcW w:w="0" w:type="dxa"/>
            <w:vAlign w:val="bottom"/>
          </w:tcPr>
          <w:p>
            <w:pPr>
              <w:spacing w:after="0"/>
              <w:rPr>
                <w:sz w:val="1"/>
                <w:szCs w:val="1"/>
                <w:color w:val="auto"/>
              </w:rPr>
            </w:pPr>
          </w:p>
        </w:tc>
      </w:tr>
      <w:tr>
        <w:trPr>
          <w:trHeight w:val="222"/>
        </w:trPr>
        <w:tc>
          <w:tcPr>
            <w:tcW w:w="3420" w:type="dxa"/>
            <w:vAlign w:val="bottom"/>
            <w:gridSpan w:val="2"/>
          </w:tcPr>
          <w:p>
            <w:pPr>
              <w:spacing w:after="0"/>
              <w:rPr>
                <w:sz w:val="20"/>
                <w:szCs w:val="20"/>
                <w:color w:val="auto"/>
              </w:rPr>
            </w:pPr>
            <w:r>
              <w:rPr>
                <w:rFonts w:ascii="Arial" w:cs="Arial" w:eastAsia="Arial" w:hAnsi="Arial"/>
                <w:sz w:val="18"/>
                <w:szCs w:val="18"/>
                <w:color w:val="auto"/>
              </w:rPr>
              <w:t>Cincinnati, OH 45236</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color w:val="auto"/>
              </w:rPr>
              <w:t>46-04 31st. Ave.</w:t>
            </w:r>
          </w:p>
        </w:tc>
        <w:tc>
          <w:tcPr>
            <w:tcW w:w="820" w:type="dxa"/>
            <w:vAlign w:val="bottom"/>
          </w:tcPr>
          <w:p>
            <w:pPr>
              <w:spacing w:after="0"/>
              <w:rPr>
                <w:sz w:val="20"/>
                <w:szCs w:val="20"/>
                <w:color w:val="auto"/>
              </w:rPr>
            </w:pPr>
            <w:r>
              <w:rPr>
                <w:rFonts w:ascii="Arial" w:cs="Arial" w:eastAsia="Arial" w:hAnsi="Arial"/>
                <w:sz w:val="18"/>
                <w:szCs w:val="18"/>
                <w:color w:val="auto"/>
                <w:w w:val="92"/>
              </w:rPr>
              <w:t>Consignee</w:t>
            </w:r>
          </w:p>
        </w:tc>
        <w:tc>
          <w:tcPr>
            <w:tcW w:w="0" w:type="dxa"/>
            <w:vAlign w:val="bottom"/>
          </w:tcPr>
          <w:p>
            <w:pPr>
              <w:spacing w:after="0"/>
              <w:rPr>
                <w:sz w:val="1"/>
                <w:szCs w:val="1"/>
                <w:color w:val="auto"/>
              </w:rPr>
            </w:pPr>
          </w:p>
        </w:tc>
      </w:tr>
      <w:tr>
        <w:trPr>
          <w:trHeight w:val="222"/>
        </w:trPr>
        <w:tc>
          <w:tcPr>
            <w:tcW w:w="3420" w:type="dxa"/>
            <w:vAlign w:val="bottom"/>
            <w:gridSpan w:val="2"/>
          </w:tcPr>
          <w:p>
            <w:pPr>
              <w:spacing w:after="0"/>
              <w:rPr>
                <w:sz w:val="20"/>
                <w:szCs w:val="20"/>
                <w:color w:val="auto"/>
              </w:rPr>
            </w:pPr>
            <w:r>
              <w:rPr>
                <w:rFonts w:ascii="Arial" w:cs="Arial" w:eastAsia="Arial" w:hAnsi="Arial"/>
                <w:sz w:val="18"/>
                <w:szCs w:val="18"/>
                <w:color w:val="auto"/>
              </w:rPr>
              <w:t>Long Island City, NY 11103</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color w:val="auto"/>
              </w:rPr>
              <w:t>221 Fourth Avenue SW</w:t>
            </w:r>
          </w:p>
        </w:tc>
        <w:tc>
          <w:tcPr>
            <w:tcW w:w="820" w:type="dxa"/>
            <w:vAlign w:val="bottom"/>
          </w:tcPr>
          <w:p>
            <w:pPr>
              <w:spacing w:after="0"/>
              <w:rPr>
                <w:sz w:val="20"/>
                <w:szCs w:val="20"/>
                <w:color w:val="auto"/>
              </w:rPr>
            </w:pPr>
            <w:r>
              <w:rPr>
                <w:rFonts w:ascii="Arial" w:cs="Arial" w:eastAsia="Arial" w:hAnsi="Arial"/>
                <w:sz w:val="18"/>
                <w:szCs w:val="18"/>
                <w:color w:val="auto"/>
                <w:w w:val="92"/>
              </w:rPr>
              <w:t>Consignee</w:t>
            </w:r>
          </w:p>
        </w:tc>
        <w:tc>
          <w:tcPr>
            <w:tcW w:w="0" w:type="dxa"/>
            <w:vAlign w:val="bottom"/>
          </w:tcPr>
          <w:p>
            <w:pPr>
              <w:spacing w:after="0"/>
              <w:rPr>
                <w:sz w:val="1"/>
                <w:szCs w:val="1"/>
                <w:color w:val="auto"/>
              </w:rPr>
            </w:pPr>
          </w:p>
        </w:tc>
      </w:tr>
      <w:tr>
        <w:trPr>
          <w:trHeight w:val="222"/>
        </w:trPr>
        <w:tc>
          <w:tcPr>
            <w:tcW w:w="3420" w:type="dxa"/>
            <w:vAlign w:val="bottom"/>
            <w:gridSpan w:val="2"/>
          </w:tcPr>
          <w:p>
            <w:pPr>
              <w:spacing w:after="0"/>
              <w:rPr>
                <w:sz w:val="20"/>
                <w:szCs w:val="20"/>
                <w:color w:val="auto"/>
              </w:rPr>
            </w:pPr>
            <w:r>
              <w:rPr>
                <w:rFonts w:ascii="Arial" w:cs="Arial" w:eastAsia="Arial" w:hAnsi="Arial"/>
                <w:sz w:val="18"/>
                <w:szCs w:val="18"/>
                <w:color w:val="auto"/>
              </w:rPr>
              <w:t>Rochester, MN 55902</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color w:val="auto"/>
              </w:rPr>
              <w:t>4715 Statesmen; Ste A</w:t>
            </w:r>
          </w:p>
        </w:tc>
        <w:tc>
          <w:tcPr>
            <w:tcW w:w="820" w:type="dxa"/>
            <w:vAlign w:val="bottom"/>
          </w:tcPr>
          <w:p>
            <w:pPr>
              <w:spacing w:after="0"/>
              <w:rPr>
                <w:sz w:val="20"/>
                <w:szCs w:val="20"/>
                <w:color w:val="auto"/>
              </w:rPr>
            </w:pPr>
            <w:r>
              <w:rPr>
                <w:rFonts w:ascii="Arial" w:cs="Arial" w:eastAsia="Arial" w:hAnsi="Arial"/>
                <w:sz w:val="18"/>
                <w:szCs w:val="18"/>
                <w:color w:val="auto"/>
                <w:w w:val="92"/>
              </w:rPr>
              <w:t>Consignee</w:t>
            </w:r>
          </w:p>
        </w:tc>
        <w:tc>
          <w:tcPr>
            <w:tcW w:w="0" w:type="dxa"/>
            <w:vAlign w:val="bottom"/>
          </w:tcPr>
          <w:p>
            <w:pPr>
              <w:spacing w:after="0"/>
              <w:rPr>
                <w:sz w:val="1"/>
                <w:szCs w:val="1"/>
                <w:color w:val="auto"/>
              </w:rPr>
            </w:pPr>
          </w:p>
        </w:tc>
      </w:tr>
      <w:tr>
        <w:trPr>
          <w:trHeight w:val="222"/>
        </w:trPr>
        <w:tc>
          <w:tcPr>
            <w:tcW w:w="3420" w:type="dxa"/>
            <w:vAlign w:val="bottom"/>
            <w:gridSpan w:val="2"/>
          </w:tcPr>
          <w:p>
            <w:pPr>
              <w:spacing w:after="0"/>
              <w:rPr>
                <w:sz w:val="20"/>
                <w:szCs w:val="20"/>
                <w:color w:val="auto"/>
              </w:rPr>
            </w:pPr>
            <w:r>
              <w:rPr>
                <w:rFonts w:ascii="Arial" w:cs="Arial" w:eastAsia="Arial" w:hAnsi="Arial"/>
                <w:sz w:val="18"/>
                <w:szCs w:val="18"/>
                <w:color w:val="auto"/>
              </w:rPr>
              <w:t>Indianapolis, IN 46250</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color w:val="auto"/>
              </w:rPr>
              <w:t>301 St. Paul Place</w:t>
            </w:r>
          </w:p>
        </w:tc>
        <w:tc>
          <w:tcPr>
            <w:tcW w:w="820" w:type="dxa"/>
            <w:vAlign w:val="bottom"/>
          </w:tcPr>
          <w:p>
            <w:pPr>
              <w:spacing w:after="0"/>
              <w:rPr>
                <w:sz w:val="20"/>
                <w:szCs w:val="20"/>
                <w:color w:val="auto"/>
              </w:rPr>
            </w:pPr>
            <w:r>
              <w:rPr>
                <w:rFonts w:ascii="Arial" w:cs="Arial" w:eastAsia="Arial" w:hAnsi="Arial"/>
                <w:sz w:val="18"/>
                <w:szCs w:val="18"/>
                <w:color w:val="auto"/>
                <w:w w:val="92"/>
              </w:rPr>
              <w:t>Consignee</w:t>
            </w:r>
          </w:p>
        </w:tc>
        <w:tc>
          <w:tcPr>
            <w:tcW w:w="0" w:type="dxa"/>
            <w:vAlign w:val="bottom"/>
          </w:tcPr>
          <w:p>
            <w:pPr>
              <w:spacing w:after="0"/>
              <w:rPr>
                <w:sz w:val="1"/>
                <w:szCs w:val="1"/>
                <w:color w:val="auto"/>
              </w:rPr>
            </w:pPr>
          </w:p>
        </w:tc>
      </w:tr>
      <w:tr>
        <w:trPr>
          <w:trHeight w:val="222"/>
        </w:trPr>
        <w:tc>
          <w:tcPr>
            <w:tcW w:w="3420" w:type="dxa"/>
            <w:vAlign w:val="bottom"/>
            <w:gridSpan w:val="2"/>
          </w:tcPr>
          <w:p>
            <w:pPr>
              <w:spacing w:after="0"/>
              <w:rPr>
                <w:sz w:val="20"/>
                <w:szCs w:val="20"/>
                <w:color w:val="auto"/>
              </w:rPr>
            </w:pPr>
            <w:r>
              <w:rPr>
                <w:rFonts w:ascii="Arial" w:cs="Arial" w:eastAsia="Arial" w:hAnsi="Arial"/>
                <w:sz w:val="18"/>
                <w:szCs w:val="18"/>
                <w:color w:val="auto"/>
              </w:rPr>
              <w:t>Baltimore, MD 21202</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color w:val="auto"/>
              </w:rPr>
              <w:t>1105 Sixth Avenue</w:t>
            </w:r>
          </w:p>
        </w:tc>
        <w:tc>
          <w:tcPr>
            <w:tcW w:w="820" w:type="dxa"/>
            <w:vAlign w:val="bottom"/>
          </w:tcPr>
          <w:p>
            <w:pPr>
              <w:spacing w:after="0"/>
              <w:rPr>
                <w:sz w:val="20"/>
                <w:szCs w:val="20"/>
                <w:color w:val="auto"/>
              </w:rPr>
            </w:pPr>
            <w:r>
              <w:rPr>
                <w:rFonts w:ascii="Arial" w:cs="Arial" w:eastAsia="Arial" w:hAnsi="Arial"/>
                <w:sz w:val="18"/>
                <w:szCs w:val="18"/>
                <w:color w:val="auto"/>
                <w:w w:val="92"/>
              </w:rPr>
              <w:t>Consignee</w:t>
            </w:r>
          </w:p>
        </w:tc>
        <w:tc>
          <w:tcPr>
            <w:tcW w:w="0" w:type="dxa"/>
            <w:vAlign w:val="bottom"/>
          </w:tcPr>
          <w:p>
            <w:pPr>
              <w:spacing w:after="0"/>
              <w:rPr>
                <w:sz w:val="1"/>
                <w:szCs w:val="1"/>
                <w:color w:val="auto"/>
              </w:rPr>
            </w:pPr>
          </w:p>
        </w:tc>
      </w:tr>
      <w:tr>
        <w:trPr>
          <w:trHeight w:val="222"/>
        </w:trPr>
        <w:tc>
          <w:tcPr>
            <w:tcW w:w="3420" w:type="dxa"/>
            <w:vAlign w:val="bottom"/>
            <w:gridSpan w:val="2"/>
          </w:tcPr>
          <w:p>
            <w:pPr>
              <w:spacing w:after="0"/>
              <w:rPr>
                <w:sz w:val="20"/>
                <w:szCs w:val="20"/>
                <w:color w:val="auto"/>
              </w:rPr>
            </w:pPr>
            <w:r>
              <w:rPr>
                <w:rFonts w:ascii="Arial" w:cs="Arial" w:eastAsia="Arial" w:hAnsi="Arial"/>
                <w:sz w:val="18"/>
                <w:szCs w:val="18"/>
                <w:color w:val="auto"/>
              </w:rPr>
              <w:t>Traverse City, MI 49684</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color w:val="auto"/>
              </w:rPr>
              <w:t>640 Jackson Street Ste 180</w:t>
            </w:r>
          </w:p>
        </w:tc>
        <w:tc>
          <w:tcPr>
            <w:tcW w:w="820" w:type="dxa"/>
            <w:vAlign w:val="bottom"/>
          </w:tcPr>
          <w:p>
            <w:pPr>
              <w:spacing w:after="0"/>
              <w:rPr>
                <w:sz w:val="20"/>
                <w:szCs w:val="20"/>
                <w:color w:val="auto"/>
              </w:rPr>
            </w:pPr>
            <w:r>
              <w:rPr>
                <w:rFonts w:ascii="Arial" w:cs="Arial" w:eastAsia="Arial" w:hAnsi="Arial"/>
                <w:sz w:val="18"/>
                <w:szCs w:val="18"/>
                <w:color w:val="auto"/>
                <w:w w:val="92"/>
              </w:rPr>
              <w:t>Consignee</w:t>
            </w:r>
          </w:p>
        </w:tc>
        <w:tc>
          <w:tcPr>
            <w:tcW w:w="0" w:type="dxa"/>
            <w:vAlign w:val="bottom"/>
          </w:tcPr>
          <w:p>
            <w:pPr>
              <w:spacing w:after="0"/>
              <w:rPr>
                <w:sz w:val="1"/>
                <w:szCs w:val="1"/>
                <w:color w:val="auto"/>
              </w:rPr>
            </w:pPr>
          </w:p>
        </w:tc>
      </w:tr>
      <w:tr>
        <w:trPr>
          <w:trHeight w:val="222"/>
        </w:trPr>
        <w:tc>
          <w:tcPr>
            <w:tcW w:w="3420" w:type="dxa"/>
            <w:vAlign w:val="bottom"/>
            <w:gridSpan w:val="2"/>
          </w:tcPr>
          <w:p>
            <w:pPr>
              <w:spacing w:after="0"/>
              <w:rPr>
                <w:sz w:val="20"/>
                <w:szCs w:val="20"/>
                <w:color w:val="auto"/>
              </w:rPr>
            </w:pPr>
            <w:r>
              <w:rPr>
                <w:rFonts w:ascii="Arial" w:cs="Arial" w:eastAsia="Arial" w:hAnsi="Arial"/>
                <w:sz w:val="18"/>
                <w:szCs w:val="18"/>
                <w:color w:val="auto"/>
              </w:rPr>
              <w:t>San Diego, CA 92009</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color w:val="auto"/>
              </w:rPr>
              <w:t>P.O. Box 2031</w:t>
            </w:r>
          </w:p>
        </w:tc>
        <w:tc>
          <w:tcPr>
            <w:tcW w:w="820" w:type="dxa"/>
            <w:vAlign w:val="bottom"/>
          </w:tcPr>
          <w:p>
            <w:pPr>
              <w:spacing w:after="0"/>
              <w:rPr>
                <w:sz w:val="20"/>
                <w:szCs w:val="20"/>
                <w:color w:val="auto"/>
              </w:rPr>
            </w:pPr>
            <w:r>
              <w:rPr>
                <w:rFonts w:ascii="Arial" w:cs="Arial" w:eastAsia="Arial" w:hAnsi="Arial"/>
                <w:sz w:val="18"/>
                <w:szCs w:val="18"/>
                <w:color w:val="auto"/>
                <w:w w:val="92"/>
              </w:rPr>
              <w:t>Consignee</w:t>
            </w:r>
          </w:p>
        </w:tc>
        <w:tc>
          <w:tcPr>
            <w:tcW w:w="0" w:type="dxa"/>
            <w:vAlign w:val="bottom"/>
          </w:tcPr>
          <w:p>
            <w:pPr>
              <w:spacing w:after="0"/>
              <w:rPr>
                <w:sz w:val="1"/>
                <w:szCs w:val="1"/>
                <w:color w:val="auto"/>
              </w:rPr>
            </w:pPr>
          </w:p>
        </w:tc>
      </w:tr>
      <w:tr>
        <w:trPr>
          <w:trHeight w:val="222"/>
        </w:trPr>
        <w:tc>
          <w:tcPr>
            <w:tcW w:w="3420" w:type="dxa"/>
            <w:vAlign w:val="bottom"/>
            <w:gridSpan w:val="2"/>
          </w:tcPr>
          <w:p>
            <w:pPr>
              <w:spacing w:after="0"/>
              <w:rPr>
                <w:sz w:val="20"/>
                <w:szCs w:val="20"/>
                <w:color w:val="auto"/>
              </w:rPr>
            </w:pPr>
            <w:r>
              <w:rPr>
                <w:rFonts w:ascii="Arial" w:cs="Arial" w:eastAsia="Arial" w:hAnsi="Arial"/>
                <w:sz w:val="18"/>
                <w:szCs w:val="18"/>
                <w:color w:val="auto"/>
              </w:rPr>
              <w:t>Flint, MI 48503</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color w:val="auto"/>
              </w:rPr>
              <w:t>P.O. Box 41906</w:t>
            </w:r>
          </w:p>
        </w:tc>
        <w:tc>
          <w:tcPr>
            <w:tcW w:w="820" w:type="dxa"/>
            <w:vAlign w:val="bottom"/>
          </w:tcPr>
          <w:p>
            <w:pPr>
              <w:spacing w:after="0"/>
              <w:rPr>
                <w:sz w:val="20"/>
                <w:szCs w:val="20"/>
                <w:color w:val="auto"/>
              </w:rPr>
            </w:pPr>
            <w:r>
              <w:rPr>
                <w:rFonts w:ascii="Arial" w:cs="Arial" w:eastAsia="Arial" w:hAnsi="Arial"/>
                <w:sz w:val="18"/>
                <w:szCs w:val="18"/>
                <w:color w:val="auto"/>
                <w:w w:val="92"/>
              </w:rPr>
              <w:t>Consignee</w:t>
            </w:r>
          </w:p>
        </w:tc>
        <w:tc>
          <w:tcPr>
            <w:tcW w:w="0" w:type="dxa"/>
            <w:vAlign w:val="bottom"/>
          </w:tcPr>
          <w:p>
            <w:pPr>
              <w:spacing w:after="0"/>
              <w:rPr>
                <w:sz w:val="1"/>
                <w:szCs w:val="1"/>
                <w:color w:val="auto"/>
              </w:rPr>
            </w:pPr>
          </w:p>
        </w:tc>
      </w:tr>
      <w:tr>
        <w:trPr>
          <w:trHeight w:val="222"/>
        </w:trPr>
        <w:tc>
          <w:tcPr>
            <w:tcW w:w="3420" w:type="dxa"/>
            <w:vAlign w:val="bottom"/>
            <w:gridSpan w:val="2"/>
          </w:tcPr>
          <w:p>
            <w:pPr>
              <w:spacing w:after="0"/>
              <w:rPr>
                <w:sz w:val="20"/>
                <w:szCs w:val="20"/>
                <w:color w:val="auto"/>
              </w:rPr>
            </w:pPr>
            <w:r>
              <w:rPr>
                <w:rFonts w:ascii="Arial" w:cs="Arial" w:eastAsia="Arial" w:hAnsi="Arial"/>
                <w:sz w:val="18"/>
                <w:szCs w:val="18"/>
                <w:color w:val="auto"/>
              </w:rPr>
              <w:t>Los Angeles, CA 90041-0906</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color w:val="auto"/>
              </w:rPr>
              <w:t>730 West Market Street</w:t>
            </w:r>
          </w:p>
        </w:tc>
        <w:tc>
          <w:tcPr>
            <w:tcW w:w="820" w:type="dxa"/>
            <w:vAlign w:val="bottom"/>
          </w:tcPr>
          <w:p>
            <w:pPr>
              <w:spacing w:after="0"/>
              <w:rPr>
                <w:sz w:val="20"/>
                <w:szCs w:val="20"/>
                <w:color w:val="auto"/>
              </w:rPr>
            </w:pPr>
            <w:r>
              <w:rPr>
                <w:rFonts w:ascii="Arial" w:cs="Arial" w:eastAsia="Arial" w:hAnsi="Arial"/>
                <w:sz w:val="18"/>
                <w:szCs w:val="18"/>
                <w:color w:val="auto"/>
                <w:w w:val="92"/>
              </w:rPr>
              <w:t>Consignee</w:t>
            </w:r>
          </w:p>
        </w:tc>
        <w:tc>
          <w:tcPr>
            <w:tcW w:w="0" w:type="dxa"/>
            <w:vAlign w:val="bottom"/>
          </w:tcPr>
          <w:p>
            <w:pPr>
              <w:spacing w:after="0"/>
              <w:rPr>
                <w:sz w:val="1"/>
                <w:szCs w:val="1"/>
                <w:color w:val="auto"/>
              </w:rPr>
            </w:pPr>
          </w:p>
        </w:tc>
      </w:tr>
      <w:tr>
        <w:trPr>
          <w:trHeight w:val="222"/>
        </w:trPr>
        <w:tc>
          <w:tcPr>
            <w:tcW w:w="3420" w:type="dxa"/>
            <w:vAlign w:val="bottom"/>
            <w:gridSpan w:val="2"/>
          </w:tcPr>
          <w:p>
            <w:pPr>
              <w:spacing w:after="0"/>
              <w:rPr>
                <w:sz w:val="20"/>
                <w:szCs w:val="20"/>
                <w:color w:val="auto"/>
              </w:rPr>
            </w:pPr>
            <w:r>
              <w:rPr>
                <w:rFonts w:ascii="Arial" w:cs="Arial" w:eastAsia="Arial" w:hAnsi="Arial"/>
                <w:sz w:val="18"/>
                <w:szCs w:val="18"/>
                <w:color w:val="auto"/>
              </w:rPr>
              <w:t>Lima, OH 45801</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color w:val="auto"/>
              </w:rPr>
              <w:t>21601 76th Ave Northeast</w:t>
            </w:r>
          </w:p>
        </w:tc>
        <w:tc>
          <w:tcPr>
            <w:tcW w:w="820" w:type="dxa"/>
            <w:vAlign w:val="bottom"/>
          </w:tcPr>
          <w:p>
            <w:pPr>
              <w:spacing w:after="0"/>
              <w:rPr>
                <w:sz w:val="20"/>
                <w:szCs w:val="20"/>
                <w:color w:val="auto"/>
              </w:rPr>
            </w:pPr>
            <w:r>
              <w:rPr>
                <w:rFonts w:ascii="Arial" w:cs="Arial" w:eastAsia="Arial" w:hAnsi="Arial"/>
                <w:sz w:val="18"/>
                <w:szCs w:val="18"/>
                <w:color w:val="auto"/>
                <w:w w:val="92"/>
              </w:rPr>
              <w:t>Consignee</w:t>
            </w:r>
          </w:p>
        </w:tc>
        <w:tc>
          <w:tcPr>
            <w:tcW w:w="0" w:type="dxa"/>
            <w:vAlign w:val="bottom"/>
          </w:tcPr>
          <w:p>
            <w:pPr>
              <w:spacing w:after="0"/>
              <w:rPr>
                <w:sz w:val="1"/>
                <w:szCs w:val="1"/>
                <w:color w:val="auto"/>
              </w:rPr>
            </w:pPr>
          </w:p>
        </w:tc>
      </w:tr>
      <w:tr>
        <w:trPr>
          <w:trHeight w:val="222"/>
        </w:trPr>
        <w:tc>
          <w:tcPr>
            <w:tcW w:w="3420" w:type="dxa"/>
            <w:vAlign w:val="bottom"/>
            <w:gridSpan w:val="2"/>
          </w:tcPr>
          <w:p>
            <w:pPr>
              <w:spacing w:after="0"/>
              <w:rPr>
                <w:sz w:val="20"/>
                <w:szCs w:val="20"/>
                <w:color w:val="auto"/>
              </w:rPr>
            </w:pPr>
            <w:r>
              <w:rPr>
                <w:rFonts w:ascii="Arial" w:cs="Arial" w:eastAsia="Arial" w:hAnsi="Arial"/>
                <w:sz w:val="18"/>
                <w:szCs w:val="18"/>
                <w:color w:val="auto"/>
              </w:rPr>
              <w:t>Edmonds, WA 98206</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color w:val="auto"/>
              </w:rPr>
              <w:t>12101 Woodcrest Exec Dr.#101</w:t>
            </w:r>
          </w:p>
        </w:tc>
        <w:tc>
          <w:tcPr>
            <w:tcW w:w="820" w:type="dxa"/>
            <w:vAlign w:val="bottom"/>
          </w:tcPr>
          <w:p>
            <w:pPr>
              <w:spacing w:after="0"/>
              <w:rPr>
                <w:sz w:val="20"/>
                <w:szCs w:val="20"/>
                <w:color w:val="auto"/>
              </w:rPr>
            </w:pPr>
            <w:r>
              <w:rPr>
                <w:rFonts w:ascii="Arial" w:cs="Arial" w:eastAsia="Arial" w:hAnsi="Arial"/>
                <w:sz w:val="18"/>
                <w:szCs w:val="18"/>
                <w:color w:val="auto"/>
                <w:w w:val="92"/>
              </w:rPr>
              <w:t>Consignee</w:t>
            </w:r>
          </w:p>
        </w:tc>
        <w:tc>
          <w:tcPr>
            <w:tcW w:w="0" w:type="dxa"/>
            <w:vAlign w:val="bottom"/>
          </w:tcPr>
          <w:p>
            <w:pPr>
              <w:spacing w:after="0"/>
              <w:rPr>
                <w:sz w:val="1"/>
                <w:szCs w:val="1"/>
                <w:color w:val="auto"/>
              </w:rPr>
            </w:pPr>
          </w:p>
        </w:tc>
      </w:tr>
      <w:tr>
        <w:trPr>
          <w:trHeight w:val="222"/>
        </w:trPr>
        <w:tc>
          <w:tcPr>
            <w:tcW w:w="3420" w:type="dxa"/>
            <w:vAlign w:val="bottom"/>
            <w:gridSpan w:val="2"/>
          </w:tcPr>
          <w:p>
            <w:pPr>
              <w:spacing w:after="0"/>
              <w:rPr>
                <w:sz w:val="20"/>
                <w:szCs w:val="20"/>
                <w:color w:val="auto"/>
              </w:rPr>
            </w:pPr>
            <w:r>
              <w:rPr>
                <w:rFonts w:ascii="Arial" w:cs="Arial" w:eastAsia="Arial" w:hAnsi="Arial"/>
                <w:sz w:val="18"/>
                <w:szCs w:val="18"/>
                <w:color w:val="auto"/>
              </w:rPr>
              <w:t>St. Louis, MO 63141</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color w:val="auto"/>
              </w:rPr>
              <w:t>450 West Highway 22</w:t>
            </w:r>
          </w:p>
        </w:tc>
        <w:tc>
          <w:tcPr>
            <w:tcW w:w="820" w:type="dxa"/>
            <w:vAlign w:val="bottom"/>
          </w:tcPr>
          <w:p>
            <w:pPr>
              <w:spacing w:after="0"/>
              <w:rPr>
                <w:sz w:val="20"/>
                <w:szCs w:val="20"/>
                <w:color w:val="auto"/>
              </w:rPr>
            </w:pPr>
            <w:r>
              <w:rPr>
                <w:rFonts w:ascii="Arial" w:cs="Arial" w:eastAsia="Arial" w:hAnsi="Arial"/>
                <w:sz w:val="18"/>
                <w:szCs w:val="18"/>
                <w:color w:val="auto"/>
                <w:w w:val="92"/>
              </w:rPr>
              <w:t>Consignee</w:t>
            </w:r>
          </w:p>
        </w:tc>
        <w:tc>
          <w:tcPr>
            <w:tcW w:w="0" w:type="dxa"/>
            <w:vAlign w:val="bottom"/>
          </w:tcPr>
          <w:p>
            <w:pPr>
              <w:spacing w:after="0"/>
              <w:rPr>
                <w:sz w:val="1"/>
                <w:szCs w:val="1"/>
                <w:color w:val="auto"/>
              </w:rPr>
            </w:pPr>
          </w:p>
        </w:tc>
      </w:tr>
      <w:tr>
        <w:trPr>
          <w:trHeight w:val="222"/>
        </w:trPr>
        <w:tc>
          <w:tcPr>
            <w:tcW w:w="3420" w:type="dxa"/>
            <w:vAlign w:val="bottom"/>
            <w:gridSpan w:val="2"/>
          </w:tcPr>
          <w:p>
            <w:pPr>
              <w:spacing w:after="0"/>
              <w:rPr>
                <w:sz w:val="20"/>
                <w:szCs w:val="20"/>
                <w:color w:val="auto"/>
              </w:rPr>
            </w:pPr>
            <w:r>
              <w:rPr>
                <w:rFonts w:ascii="Arial" w:cs="Arial" w:eastAsia="Arial" w:hAnsi="Arial"/>
                <w:sz w:val="18"/>
                <w:szCs w:val="18"/>
                <w:color w:val="auto"/>
              </w:rPr>
              <w:t>Barrington, IL 60010</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color w:val="auto"/>
              </w:rPr>
              <w:t>5521 Bellaire Drive South</w:t>
            </w:r>
          </w:p>
        </w:tc>
        <w:tc>
          <w:tcPr>
            <w:tcW w:w="820" w:type="dxa"/>
            <w:vAlign w:val="bottom"/>
          </w:tcPr>
          <w:p>
            <w:pPr>
              <w:spacing w:after="0"/>
              <w:rPr>
                <w:sz w:val="20"/>
                <w:szCs w:val="20"/>
                <w:color w:val="auto"/>
              </w:rPr>
            </w:pPr>
            <w:r>
              <w:rPr>
                <w:rFonts w:ascii="Arial" w:cs="Arial" w:eastAsia="Arial" w:hAnsi="Arial"/>
                <w:sz w:val="18"/>
                <w:szCs w:val="18"/>
                <w:color w:val="auto"/>
                <w:w w:val="92"/>
              </w:rPr>
              <w:t>Consignee</w:t>
            </w:r>
          </w:p>
        </w:tc>
        <w:tc>
          <w:tcPr>
            <w:tcW w:w="0" w:type="dxa"/>
            <w:vAlign w:val="bottom"/>
          </w:tcPr>
          <w:p>
            <w:pPr>
              <w:spacing w:after="0"/>
              <w:rPr>
                <w:sz w:val="1"/>
                <w:szCs w:val="1"/>
                <w:color w:val="auto"/>
              </w:rPr>
            </w:pPr>
          </w:p>
        </w:tc>
      </w:tr>
      <w:tr>
        <w:trPr>
          <w:trHeight w:val="222"/>
        </w:trPr>
        <w:tc>
          <w:tcPr>
            <w:tcW w:w="3420" w:type="dxa"/>
            <w:vAlign w:val="bottom"/>
            <w:gridSpan w:val="2"/>
          </w:tcPr>
          <w:p>
            <w:pPr>
              <w:spacing w:after="0"/>
              <w:rPr>
                <w:sz w:val="20"/>
                <w:szCs w:val="20"/>
                <w:color w:val="auto"/>
              </w:rPr>
            </w:pPr>
            <w:r>
              <w:rPr>
                <w:rFonts w:ascii="Arial" w:cs="Arial" w:eastAsia="Arial" w:hAnsi="Arial"/>
                <w:sz w:val="18"/>
                <w:szCs w:val="18"/>
                <w:color w:val="auto"/>
              </w:rPr>
              <w:t>Fort Worth, TX 75109</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color w:val="auto"/>
              </w:rPr>
              <w:t>450 North New Ballas Road</w:t>
            </w:r>
          </w:p>
        </w:tc>
        <w:tc>
          <w:tcPr>
            <w:tcW w:w="820" w:type="dxa"/>
            <w:vAlign w:val="bottom"/>
          </w:tcPr>
          <w:p>
            <w:pPr>
              <w:spacing w:after="0"/>
              <w:rPr>
                <w:sz w:val="20"/>
                <w:szCs w:val="20"/>
                <w:color w:val="auto"/>
              </w:rPr>
            </w:pPr>
            <w:r>
              <w:rPr>
                <w:rFonts w:ascii="Arial" w:cs="Arial" w:eastAsia="Arial" w:hAnsi="Arial"/>
                <w:sz w:val="18"/>
                <w:szCs w:val="18"/>
                <w:color w:val="auto"/>
                <w:w w:val="92"/>
              </w:rPr>
              <w:t>Consignee</w:t>
            </w:r>
          </w:p>
        </w:tc>
        <w:tc>
          <w:tcPr>
            <w:tcW w:w="0" w:type="dxa"/>
            <w:vAlign w:val="bottom"/>
          </w:tcPr>
          <w:p>
            <w:pPr>
              <w:spacing w:after="0"/>
              <w:rPr>
                <w:sz w:val="1"/>
                <w:szCs w:val="1"/>
                <w:color w:val="auto"/>
              </w:rPr>
            </w:pPr>
          </w:p>
        </w:tc>
      </w:tr>
      <w:tr>
        <w:trPr>
          <w:trHeight w:val="222"/>
        </w:trPr>
        <w:tc>
          <w:tcPr>
            <w:tcW w:w="3420" w:type="dxa"/>
            <w:vAlign w:val="bottom"/>
            <w:gridSpan w:val="2"/>
          </w:tcPr>
          <w:p>
            <w:pPr>
              <w:spacing w:after="0"/>
              <w:rPr>
                <w:sz w:val="20"/>
                <w:szCs w:val="20"/>
                <w:color w:val="auto"/>
              </w:rPr>
            </w:pPr>
            <w:r>
              <w:rPr>
                <w:rFonts w:ascii="Arial" w:cs="Arial" w:eastAsia="Arial" w:hAnsi="Arial"/>
                <w:sz w:val="18"/>
                <w:szCs w:val="18"/>
                <w:color w:val="auto"/>
              </w:rPr>
              <w:t>Saint Louis, MO 63141</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2">
            <w:col w:w="7080" w:space="100"/>
            <w:col w:w="4240"/>
          </w:cols>
          <w:pgMar w:left="240" w:top="274" w:right="239" w:bottom="1440" w:gutter="0" w:footer="0" w:header="0"/>
        </w:sectPr>
      </w:pPr>
    </w:p>
    <w:bookmarkStart w:id="321" w:name="page322"/>
    <w:bookmarkEnd w:id="32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980" w:type="dxa"/>
            <w:vAlign w:val="bottom"/>
          </w:tcPr>
          <w:p>
            <w:pPr>
              <w:ind w:left="700"/>
              <w:spacing w:after="0"/>
              <w:rPr>
                <w:sz w:val="20"/>
                <w:szCs w:val="20"/>
                <w:color w:val="auto"/>
              </w:rPr>
            </w:pPr>
            <w:r>
              <w:rPr>
                <w:rFonts w:ascii="Arial" w:cs="Arial" w:eastAsia="Arial" w:hAnsi="Arial"/>
                <w:sz w:val="18"/>
                <w:szCs w:val="18"/>
                <w:color w:val="auto"/>
              </w:rPr>
              <w:t>COLUMBUS HOSPITAL</w:t>
            </w:r>
          </w:p>
        </w:tc>
        <w:tc>
          <w:tcPr>
            <w:tcW w:w="3020" w:type="dxa"/>
            <w:vAlign w:val="bottom"/>
          </w:tcPr>
          <w:p>
            <w:pPr>
              <w:ind w:left="140"/>
              <w:spacing w:after="0"/>
              <w:rPr>
                <w:sz w:val="20"/>
                <w:szCs w:val="20"/>
                <w:color w:val="auto"/>
              </w:rPr>
            </w:pPr>
            <w:r>
              <w:rPr>
                <w:rFonts w:ascii="Arial" w:cs="Arial" w:eastAsia="Arial" w:hAnsi="Arial"/>
                <w:sz w:val="18"/>
                <w:szCs w:val="18"/>
                <w:color w:val="auto"/>
              </w:rPr>
              <w:t>495 North 13th Street</w:t>
            </w:r>
          </w:p>
        </w:tc>
        <w:tc>
          <w:tcPr>
            <w:tcW w:w="1280" w:type="dxa"/>
            <w:vAlign w:val="bottom"/>
          </w:tcPr>
          <w:p>
            <w:pPr>
              <w:ind w:left="540"/>
              <w:spacing w:after="0"/>
              <w:rPr>
                <w:sz w:val="20"/>
                <w:szCs w:val="20"/>
                <w:color w:val="auto"/>
              </w:rPr>
            </w:pPr>
            <w:r>
              <w:rPr>
                <w:rFonts w:ascii="Arial" w:cs="Arial" w:eastAsia="Arial" w:hAnsi="Arial"/>
                <w:sz w:val="18"/>
                <w:szCs w:val="18"/>
                <w:color w:val="auto"/>
                <w:w w:val="83"/>
              </w:rPr>
              <w:t>Consignee</w:t>
            </w:r>
          </w:p>
        </w:tc>
      </w:tr>
      <w:tr>
        <w:trPr>
          <w:trHeight w:val="222"/>
        </w:trPr>
        <w:tc>
          <w:tcPr>
            <w:tcW w:w="306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3020" w:type="dxa"/>
            <w:vAlign w:val="bottom"/>
          </w:tcPr>
          <w:p>
            <w:pPr>
              <w:ind w:left="140"/>
              <w:spacing w:after="0"/>
              <w:rPr>
                <w:sz w:val="20"/>
                <w:szCs w:val="20"/>
                <w:color w:val="auto"/>
              </w:rPr>
            </w:pPr>
            <w:r>
              <w:rPr>
                <w:rFonts w:ascii="Arial" w:cs="Arial" w:eastAsia="Arial" w:hAnsi="Arial"/>
                <w:sz w:val="18"/>
                <w:szCs w:val="18"/>
                <w:color w:val="auto"/>
              </w:rPr>
              <w:t>Newark, NJ 07107</w:t>
            </w:r>
          </w:p>
        </w:tc>
        <w:tc>
          <w:tcPr>
            <w:tcW w:w="1280" w:type="dxa"/>
            <w:vAlign w:val="bottom"/>
          </w:tcPr>
          <w:p>
            <w:pPr>
              <w:spacing w:after="0"/>
              <w:rPr>
                <w:sz w:val="19"/>
                <w:szCs w:val="19"/>
                <w:color w:val="auto"/>
              </w:rPr>
            </w:pPr>
          </w:p>
        </w:tc>
      </w:tr>
      <w:tr>
        <w:trPr>
          <w:trHeight w:val="223"/>
        </w:trPr>
        <w:tc>
          <w:tcPr>
            <w:tcW w:w="306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980" w:type="dxa"/>
            <w:vAlign w:val="bottom"/>
          </w:tcPr>
          <w:p>
            <w:pPr>
              <w:ind w:left="700"/>
              <w:spacing w:after="0"/>
              <w:rPr>
                <w:sz w:val="20"/>
                <w:szCs w:val="20"/>
                <w:color w:val="auto"/>
              </w:rPr>
            </w:pPr>
            <w:r>
              <w:rPr>
                <w:rFonts w:ascii="Arial" w:cs="Arial" w:eastAsia="Arial" w:hAnsi="Arial"/>
                <w:sz w:val="18"/>
                <w:szCs w:val="18"/>
                <w:color w:val="auto"/>
              </w:rPr>
              <w:t>WALLA WALLA CLINIC</w:t>
            </w:r>
          </w:p>
        </w:tc>
        <w:tc>
          <w:tcPr>
            <w:tcW w:w="3020" w:type="dxa"/>
            <w:vAlign w:val="bottom"/>
          </w:tcPr>
          <w:p>
            <w:pPr>
              <w:ind w:left="140"/>
              <w:spacing w:after="0"/>
              <w:rPr>
                <w:sz w:val="20"/>
                <w:szCs w:val="20"/>
                <w:color w:val="auto"/>
              </w:rPr>
            </w:pPr>
            <w:r>
              <w:rPr>
                <w:rFonts w:ascii="Arial" w:cs="Arial" w:eastAsia="Arial" w:hAnsi="Arial"/>
                <w:sz w:val="18"/>
                <w:szCs w:val="18"/>
                <w:color w:val="auto"/>
              </w:rPr>
              <w:t>55 West Tietan</w:t>
            </w:r>
          </w:p>
        </w:tc>
        <w:tc>
          <w:tcPr>
            <w:tcW w:w="1280" w:type="dxa"/>
            <w:vAlign w:val="bottom"/>
          </w:tcPr>
          <w:p>
            <w:pPr>
              <w:ind w:left="540"/>
              <w:spacing w:after="0"/>
              <w:rPr>
                <w:sz w:val="20"/>
                <w:szCs w:val="20"/>
                <w:color w:val="auto"/>
              </w:rPr>
            </w:pPr>
            <w:r>
              <w:rPr>
                <w:rFonts w:ascii="Arial" w:cs="Arial" w:eastAsia="Arial" w:hAnsi="Arial"/>
                <w:sz w:val="18"/>
                <w:szCs w:val="18"/>
                <w:color w:val="auto"/>
                <w:w w:val="83"/>
              </w:rPr>
              <w:t>Consignee</w:t>
            </w:r>
          </w:p>
        </w:tc>
      </w:tr>
      <w:tr>
        <w:trPr>
          <w:trHeight w:val="222"/>
        </w:trPr>
        <w:tc>
          <w:tcPr>
            <w:tcW w:w="306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3020" w:type="dxa"/>
            <w:vAlign w:val="bottom"/>
          </w:tcPr>
          <w:p>
            <w:pPr>
              <w:ind w:left="140"/>
              <w:spacing w:after="0"/>
              <w:rPr>
                <w:sz w:val="20"/>
                <w:szCs w:val="20"/>
                <w:color w:val="auto"/>
              </w:rPr>
            </w:pPr>
            <w:r>
              <w:rPr>
                <w:rFonts w:ascii="Arial" w:cs="Arial" w:eastAsia="Arial" w:hAnsi="Arial"/>
                <w:sz w:val="18"/>
                <w:szCs w:val="18"/>
                <w:color w:val="auto"/>
              </w:rPr>
              <w:t>Walla Walla, WA 99362</w:t>
            </w:r>
          </w:p>
        </w:tc>
        <w:tc>
          <w:tcPr>
            <w:tcW w:w="1280" w:type="dxa"/>
            <w:vAlign w:val="bottom"/>
          </w:tcPr>
          <w:p>
            <w:pPr>
              <w:spacing w:after="0"/>
              <w:rPr>
                <w:sz w:val="19"/>
                <w:szCs w:val="19"/>
                <w:color w:val="auto"/>
              </w:rPr>
            </w:pPr>
          </w:p>
        </w:tc>
      </w:tr>
      <w:tr>
        <w:trPr>
          <w:trHeight w:val="223"/>
        </w:trPr>
        <w:tc>
          <w:tcPr>
            <w:tcW w:w="306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980" w:type="dxa"/>
            <w:vAlign w:val="bottom"/>
          </w:tcPr>
          <w:p>
            <w:pPr>
              <w:ind w:left="700"/>
              <w:spacing w:after="0"/>
              <w:rPr>
                <w:sz w:val="20"/>
                <w:szCs w:val="20"/>
                <w:color w:val="auto"/>
              </w:rPr>
            </w:pPr>
            <w:r>
              <w:rPr>
                <w:rFonts w:ascii="Arial" w:cs="Arial" w:eastAsia="Arial" w:hAnsi="Arial"/>
                <w:sz w:val="18"/>
                <w:szCs w:val="18"/>
                <w:color w:val="auto"/>
              </w:rPr>
              <w:t>ST. MARY’S MEDICAL CENTER</w:t>
            </w:r>
          </w:p>
        </w:tc>
        <w:tc>
          <w:tcPr>
            <w:tcW w:w="3020" w:type="dxa"/>
            <w:vAlign w:val="bottom"/>
          </w:tcPr>
          <w:p>
            <w:pPr>
              <w:ind w:left="140"/>
              <w:spacing w:after="0"/>
              <w:rPr>
                <w:sz w:val="20"/>
                <w:szCs w:val="20"/>
                <w:color w:val="auto"/>
              </w:rPr>
            </w:pPr>
            <w:r>
              <w:rPr>
                <w:rFonts w:ascii="Arial" w:cs="Arial" w:eastAsia="Arial" w:hAnsi="Arial"/>
                <w:sz w:val="18"/>
                <w:szCs w:val="18"/>
                <w:color w:val="auto"/>
              </w:rPr>
              <w:t>401 W. Poplar</w:t>
            </w:r>
          </w:p>
        </w:tc>
        <w:tc>
          <w:tcPr>
            <w:tcW w:w="1280" w:type="dxa"/>
            <w:vAlign w:val="bottom"/>
          </w:tcPr>
          <w:p>
            <w:pPr>
              <w:ind w:left="540"/>
              <w:spacing w:after="0"/>
              <w:rPr>
                <w:sz w:val="20"/>
                <w:szCs w:val="20"/>
                <w:color w:val="auto"/>
              </w:rPr>
            </w:pPr>
            <w:r>
              <w:rPr>
                <w:rFonts w:ascii="Arial" w:cs="Arial" w:eastAsia="Arial" w:hAnsi="Arial"/>
                <w:sz w:val="18"/>
                <w:szCs w:val="18"/>
                <w:color w:val="auto"/>
                <w:w w:val="83"/>
              </w:rPr>
              <w:t>Consignee</w:t>
            </w:r>
          </w:p>
        </w:tc>
      </w:tr>
      <w:tr>
        <w:trPr>
          <w:trHeight w:val="222"/>
        </w:trPr>
        <w:tc>
          <w:tcPr>
            <w:tcW w:w="306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3020" w:type="dxa"/>
            <w:vAlign w:val="bottom"/>
          </w:tcPr>
          <w:p>
            <w:pPr>
              <w:ind w:left="140"/>
              <w:spacing w:after="0"/>
              <w:rPr>
                <w:sz w:val="20"/>
                <w:szCs w:val="20"/>
                <w:color w:val="auto"/>
              </w:rPr>
            </w:pPr>
            <w:r>
              <w:rPr>
                <w:rFonts w:ascii="Arial" w:cs="Arial" w:eastAsia="Arial" w:hAnsi="Arial"/>
                <w:sz w:val="18"/>
                <w:szCs w:val="18"/>
                <w:color w:val="auto"/>
              </w:rPr>
              <w:t>Walla Walla, WA 99362</w:t>
            </w:r>
          </w:p>
        </w:tc>
        <w:tc>
          <w:tcPr>
            <w:tcW w:w="1280" w:type="dxa"/>
            <w:vAlign w:val="bottom"/>
          </w:tcPr>
          <w:p>
            <w:pPr>
              <w:spacing w:after="0"/>
              <w:rPr>
                <w:sz w:val="19"/>
                <w:szCs w:val="19"/>
                <w:color w:val="auto"/>
              </w:rPr>
            </w:pPr>
          </w:p>
        </w:tc>
      </w:tr>
      <w:tr>
        <w:trPr>
          <w:trHeight w:val="223"/>
        </w:trPr>
        <w:tc>
          <w:tcPr>
            <w:tcW w:w="306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980" w:type="dxa"/>
            <w:vAlign w:val="bottom"/>
          </w:tcPr>
          <w:p>
            <w:pPr>
              <w:ind w:left="700"/>
              <w:spacing w:after="0"/>
              <w:rPr>
                <w:sz w:val="20"/>
                <w:szCs w:val="20"/>
                <w:color w:val="auto"/>
              </w:rPr>
            </w:pPr>
            <w:r>
              <w:rPr>
                <w:rFonts w:ascii="Arial" w:cs="Arial" w:eastAsia="Arial" w:hAnsi="Arial"/>
                <w:sz w:val="18"/>
                <w:szCs w:val="18"/>
                <w:color w:val="auto"/>
              </w:rPr>
              <w:t>ST MARY’S HOSPITAL</w:t>
            </w:r>
          </w:p>
        </w:tc>
        <w:tc>
          <w:tcPr>
            <w:tcW w:w="3020" w:type="dxa"/>
            <w:vAlign w:val="bottom"/>
          </w:tcPr>
          <w:p>
            <w:pPr>
              <w:ind w:left="140"/>
              <w:spacing w:after="0"/>
              <w:rPr>
                <w:sz w:val="20"/>
                <w:szCs w:val="20"/>
                <w:color w:val="auto"/>
              </w:rPr>
            </w:pPr>
            <w:r>
              <w:rPr>
                <w:rFonts w:ascii="Arial" w:cs="Arial" w:eastAsia="Arial" w:hAnsi="Arial"/>
                <w:sz w:val="18"/>
                <w:szCs w:val="18"/>
                <w:color w:val="auto"/>
              </w:rPr>
              <w:t>305 S. 5</w:t>
            </w:r>
            <w:r>
              <w:rPr>
                <w:rFonts w:ascii="Arial" w:cs="Arial" w:eastAsia="Arial" w:hAnsi="Arial"/>
                <w:sz w:val="11"/>
                <w:szCs w:val="11"/>
                <w:color w:val="auto"/>
              </w:rPr>
              <w:t>th</w:t>
            </w:r>
          </w:p>
        </w:tc>
        <w:tc>
          <w:tcPr>
            <w:tcW w:w="1280" w:type="dxa"/>
            <w:vAlign w:val="bottom"/>
          </w:tcPr>
          <w:p>
            <w:pPr>
              <w:ind w:left="540"/>
              <w:spacing w:after="0"/>
              <w:rPr>
                <w:sz w:val="20"/>
                <w:szCs w:val="20"/>
                <w:color w:val="auto"/>
              </w:rPr>
            </w:pPr>
            <w:r>
              <w:rPr>
                <w:rFonts w:ascii="Arial" w:cs="Arial" w:eastAsia="Arial" w:hAnsi="Arial"/>
                <w:sz w:val="18"/>
                <w:szCs w:val="18"/>
                <w:color w:val="auto"/>
                <w:w w:val="83"/>
              </w:rPr>
              <w:t>Consignee</w:t>
            </w:r>
          </w:p>
        </w:tc>
      </w:tr>
      <w:tr>
        <w:trPr>
          <w:trHeight w:val="222"/>
        </w:trPr>
        <w:tc>
          <w:tcPr>
            <w:tcW w:w="306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3020" w:type="dxa"/>
            <w:vAlign w:val="bottom"/>
          </w:tcPr>
          <w:p>
            <w:pPr>
              <w:ind w:left="140"/>
              <w:spacing w:after="0"/>
              <w:rPr>
                <w:sz w:val="20"/>
                <w:szCs w:val="20"/>
                <w:color w:val="auto"/>
              </w:rPr>
            </w:pPr>
            <w:r>
              <w:rPr>
                <w:rFonts w:ascii="Arial" w:cs="Arial" w:eastAsia="Arial" w:hAnsi="Arial"/>
                <w:sz w:val="18"/>
                <w:szCs w:val="18"/>
                <w:color w:val="auto"/>
              </w:rPr>
              <w:t>Enid, OK 73120</w:t>
            </w:r>
          </w:p>
        </w:tc>
        <w:tc>
          <w:tcPr>
            <w:tcW w:w="1280" w:type="dxa"/>
            <w:vAlign w:val="bottom"/>
          </w:tcPr>
          <w:p>
            <w:pPr>
              <w:spacing w:after="0"/>
              <w:rPr>
                <w:sz w:val="19"/>
                <w:szCs w:val="19"/>
                <w:color w:val="auto"/>
              </w:rPr>
            </w:pPr>
          </w:p>
        </w:tc>
      </w:tr>
      <w:tr>
        <w:trPr>
          <w:trHeight w:val="223"/>
        </w:trPr>
        <w:tc>
          <w:tcPr>
            <w:tcW w:w="306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980" w:type="dxa"/>
            <w:vAlign w:val="bottom"/>
          </w:tcPr>
          <w:p>
            <w:pPr>
              <w:ind w:left="700"/>
              <w:spacing w:after="0"/>
              <w:rPr>
                <w:sz w:val="20"/>
                <w:szCs w:val="20"/>
                <w:color w:val="auto"/>
              </w:rPr>
            </w:pPr>
            <w:r>
              <w:rPr>
                <w:rFonts w:ascii="Arial" w:cs="Arial" w:eastAsia="Arial" w:hAnsi="Arial"/>
                <w:sz w:val="18"/>
                <w:szCs w:val="18"/>
                <w:color w:val="auto"/>
              </w:rPr>
              <w:t>MISSION AMBULATORY S/C</w:t>
            </w:r>
          </w:p>
        </w:tc>
        <w:tc>
          <w:tcPr>
            <w:tcW w:w="3020" w:type="dxa"/>
            <w:vAlign w:val="bottom"/>
          </w:tcPr>
          <w:p>
            <w:pPr>
              <w:ind w:left="140"/>
              <w:spacing w:after="0"/>
              <w:rPr>
                <w:sz w:val="20"/>
                <w:szCs w:val="20"/>
                <w:color w:val="auto"/>
              </w:rPr>
            </w:pPr>
            <w:r>
              <w:rPr>
                <w:rFonts w:ascii="Arial" w:cs="Arial" w:eastAsia="Arial" w:hAnsi="Arial"/>
                <w:sz w:val="18"/>
                <w:szCs w:val="18"/>
                <w:color w:val="auto"/>
              </w:rPr>
              <w:t>26730 Crown Valley Parkway</w:t>
            </w:r>
          </w:p>
        </w:tc>
        <w:tc>
          <w:tcPr>
            <w:tcW w:w="1280" w:type="dxa"/>
            <w:vAlign w:val="bottom"/>
          </w:tcPr>
          <w:p>
            <w:pPr>
              <w:ind w:left="540"/>
              <w:spacing w:after="0"/>
              <w:rPr>
                <w:sz w:val="20"/>
                <w:szCs w:val="20"/>
                <w:color w:val="auto"/>
              </w:rPr>
            </w:pPr>
            <w:r>
              <w:rPr>
                <w:rFonts w:ascii="Arial" w:cs="Arial" w:eastAsia="Arial" w:hAnsi="Arial"/>
                <w:sz w:val="18"/>
                <w:szCs w:val="18"/>
                <w:color w:val="auto"/>
                <w:w w:val="83"/>
              </w:rPr>
              <w:t>Consignee</w:t>
            </w:r>
          </w:p>
        </w:tc>
      </w:tr>
      <w:tr>
        <w:trPr>
          <w:trHeight w:val="222"/>
        </w:trPr>
        <w:tc>
          <w:tcPr>
            <w:tcW w:w="306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3020" w:type="dxa"/>
            <w:vAlign w:val="bottom"/>
          </w:tcPr>
          <w:p>
            <w:pPr>
              <w:ind w:left="140"/>
              <w:spacing w:after="0"/>
              <w:rPr>
                <w:sz w:val="20"/>
                <w:szCs w:val="20"/>
                <w:color w:val="auto"/>
              </w:rPr>
            </w:pPr>
            <w:r>
              <w:rPr>
                <w:rFonts w:ascii="Arial" w:cs="Arial" w:eastAsia="Arial" w:hAnsi="Arial"/>
                <w:sz w:val="18"/>
                <w:szCs w:val="18"/>
                <w:color w:val="auto"/>
              </w:rPr>
              <w:t>Mission Viejo, CA 92691</w:t>
            </w:r>
          </w:p>
        </w:tc>
        <w:tc>
          <w:tcPr>
            <w:tcW w:w="1280" w:type="dxa"/>
            <w:vAlign w:val="bottom"/>
          </w:tcPr>
          <w:p>
            <w:pPr>
              <w:spacing w:after="0"/>
              <w:rPr>
                <w:sz w:val="19"/>
                <w:szCs w:val="19"/>
                <w:color w:val="auto"/>
              </w:rPr>
            </w:pPr>
          </w:p>
        </w:tc>
      </w:tr>
      <w:tr>
        <w:trPr>
          <w:trHeight w:val="223"/>
        </w:trPr>
        <w:tc>
          <w:tcPr>
            <w:tcW w:w="306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980" w:type="dxa"/>
            <w:vAlign w:val="bottom"/>
          </w:tcPr>
          <w:p>
            <w:pPr>
              <w:ind w:left="700"/>
              <w:spacing w:after="0"/>
              <w:rPr>
                <w:sz w:val="20"/>
                <w:szCs w:val="20"/>
                <w:color w:val="auto"/>
              </w:rPr>
            </w:pPr>
            <w:r>
              <w:rPr>
                <w:rFonts w:ascii="Arial" w:cs="Arial" w:eastAsia="Arial" w:hAnsi="Arial"/>
                <w:sz w:val="18"/>
                <w:szCs w:val="18"/>
                <w:color w:val="auto"/>
              </w:rPr>
              <w:t>HACKENSACK UNIVERSITY M/C</w:t>
            </w:r>
          </w:p>
        </w:tc>
        <w:tc>
          <w:tcPr>
            <w:tcW w:w="3020" w:type="dxa"/>
            <w:vAlign w:val="bottom"/>
          </w:tcPr>
          <w:p>
            <w:pPr>
              <w:ind w:left="140"/>
              <w:spacing w:after="0"/>
              <w:rPr>
                <w:sz w:val="20"/>
                <w:szCs w:val="20"/>
                <w:color w:val="auto"/>
              </w:rPr>
            </w:pPr>
            <w:r>
              <w:rPr>
                <w:rFonts w:ascii="Arial" w:cs="Arial" w:eastAsia="Arial" w:hAnsi="Arial"/>
                <w:sz w:val="18"/>
                <w:szCs w:val="18"/>
                <w:color w:val="auto"/>
              </w:rPr>
              <w:t>30 Prospect Avenue</w:t>
            </w:r>
          </w:p>
        </w:tc>
        <w:tc>
          <w:tcPr>
            <w:tcW w:w="1280" w:type="dxa"/>
            <w:vAlign w:val="bottom"/>
          </w:tcPr>
          <w:p>
            <w:pPr>
              <w:ind w:left="540"/>
              <w:spacing w:after="0"/>
              <w:rPr>
                <w:sz w:val="20"/>
                <w:szCs w:val="20"/>
                <w:color w:val="auto"/>
              </w:rPr>
            </w:pPr>
            <w:r>
              <w:rPr>
                <w:rFonts w:ascii="Arial" w:cs="Arial" w:eastAsia="Arial" w:hAnsi="Arial"/>
                <w:sz w:val="18"/>
                <w:szCs w:val="18"/>
                <w:color w:val="auto"/>
                <w:w w:val="83"/>
              </w:rPr>
              <w:t>Consignee</w:t>
            </w:r>
          </w:p>
        </w:tc>
      </w:tr>
      <w:tr>
        <w:trPr>
          <w:trHeight w:val="222"/>
        </w:trPr>
        <w:tc>
          <w:tcPr>
            <w:tcW w:w="306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3020" w:type="dxa"/>
            <w:vAlign w:val="bottom"/>
          </w:tcPr>
          <w:p>
            <w:pPr>
              <w:ind w:left="140"/>
              <w:spacing w:after="0"/>
              <w:rPr>
                <w:sz w:val="20"/>
                <w:szCs w:val="20"/>
                <w:color w:val="auto"/>
              </w:rPr>
            </w:pPr>
            <w:r>
              <w:rPr>
                <w:rFonts w:ascii="Arial" w:cs="Arial" w:eastAsia="Arial" w:hAnsi="Arial"/>
                <w:sz w:val="18"/>
                <w:szCs w:val="18"/>
                <w:color w:val="auto"/>
              </w:rPr>
              <w:t>Hackensack, NJ 07601</w:t>
            </w:r>
          </w:p>
        </w:tc>
        <w:tc>
          <w:tcPr>
            <w:tcW w:w="1280" w:type="dxa"/>
            <w:vAlign w:val="bottom"/>
          </w:tcPr>
          <w:p>
            <w:pPr>
              <w:spacing w:after="0"/>
              <w:rPr>
                <w:sz w:val="19"/>
                <w:szCs w:val="19"/>
                <w:color w:val="auto"/>
              </w:rPr>
            </w:pPr>
          </w:p>
        </w:tc>
      </w:tr>
      <w:tr>
        <w:trPr>
          <w:trHeight w:val="223"/>
        </w:trPr>
        <w:tc>
          <w:tcPr>
            <w:tcW w:w="306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980" w:type="dxa"/>
            <w:vAlign w:val="bottom"/>
          </w:tcPr>
          <w:p>
            <w:pPr>
              <w:ind w:left="700"/>
              <w:spacing w:after="0"/>
              <w:rPr>
                <w:sz w:val="20"/>
                <w:szCs w:val="20"/>
                <w:color w:val="auto"/>
              </w:rPr>
            </w:pPr>
            <w:r>
              <w:rPr>
                <w:rFonts w:ascii="Arial" w:cs="Arial" w:eastAsia="Arial" w:hAnsi="Arial"/>
                <w:sz w:val="18"/>
                <w:szCs w:val="18"/>
                <w:color w:val="auto"/>
              </w:rPr>
              <w:t>NORTH HILLS SURGERY CENTER</w:t>
            </w:r>
          </w:p>
        </w:tc>
        <w:tc>
          <w:tcPr>
            <w:tcW w:w="3020" w:type="dxa"/>
            <w:vAlign w:val="bottom"/>
          </w:tcPr>
          <w:p>
            <w:pPr>
              <w:ind w:left="140"/>
              <w:spacing w:after="0"/>
              <w:rPr>
                <w:sz w:val="20"/>
                <w:szCs w:val="20"/>
                <w:color w:val="auto"/>
              </w:rPr>
            </w:pPr>
            <w:r>
              <w:rPr>
                <w:rFonts w:ascii="Arial" w:cs="Arial" w:eastAsia="Arial" w:hAnsi="Arial"/>
                <w:sz w:val="18"/>
                <w:szCs w:val="18"/>
                <w:color w:val="auto"/>
              </w:rPr>
              <w:t>3271 Wimberly Drive</w:t>
            </w:r>
          </w:p>
        </w:tc>
        <w:tc>
          <w:tcPr>
            <w:tcW w:w="1280" w:type="dxa"/>
            <w:vAlign w:val="bottom"/>
          </w:tcPr>
          <w:p>
            <w:pPr>
              <w:ind w:left="540"/>
              <w:spacing w:after="0"/>
              <w:rPr>
                <w:sz w:val="20"/>
                <w:szCs w:val="20"/>
                <w:color w:val="auto"/>
              </w:rPr>
            </w:pPr>
            <w:r>
              <w:rPr>
                <w:rFonts w:ascii="Arial" w:cs="Arial" w:eastAsia="Arial" w:hAnsi="Arial"/>
                <w:sz w:val="18"/>
                <w:szCs w:val="18"/>
                <w:color w:val="auto"/>
                <w:w w:val="83"/>
              </w:rPr>
              <w:t>Consignee</w:t>
            </w:r>
          </w:p>
        </w:tc>
      </w:tr>
      <w:tr>
        <w:trPr>
          <w:trHeight w:val="222"/>
        </w:trPr>
        <w:tc>
          <w:tcPr>
            <w:tcW w:w="306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3020" w:type="dxa"/>
            <w:vAlign w:val="bottom"/>
          </w:tcPr>
          <w:p>
            <w:pPr>
              <w:ind w:left="140"/>
              <w:spacing w:after="0"/>
              <w:rPr>
                <w:sz w:val="20"/>
                <w:szCs w:val="20"/>
                <w:color w:val="auto"/>
              </w:rPr>
            </w:pPr>
            <w:r>
              <w:rPr>
                <w:rFonts w:ascii="Arial" w:cs="Arial" w:eastAsia="Arial" w:hAnsi="Arial"/>
                <w:sz w:val="18"/>
                <w:szCs w:val="18"/>
                <w:color w:val="auto"/>
              </w:rPr>
              <w:t>Fayetteville, AR 72703</w:t>
            </w:r>
          </w:p>
        </w:tc>
        <w:tc>
          <w:tcPr>
            <w:tcW w:w="1280" w:type="dxa"/>
            <w:vAlign w:val="bottom"/>
          </w:tcPr>
          <w:p>
            <w:pPr>
              <w:spacing w:after="0"/>
              <w:rPr>
                <w:sz w:val="19"/>
                <w:szCs w:val="19"/>
                <w:color w:val="auto"/>
              </w:rPr>
            </w:pPr>
          </w:p>
        </w:tc>
      </w:tr>
      <w:tr>
        <w:trPr>
          <w:trHeight w:val="223"/>
        </w:trPr>
        <w:tc>
          <w:tcPr>
            <w:tcW w:w="306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980" w:type="dxa"/>
            <w:vAlign w:val="bottom"/>
          </w:tcPr>
          <w:p>
            <w:pPr>
              <w:ind w:left="700"/>
              <w:spacing w:after="0"/>
              <w:rPr>
                <w:sz w:val="20"/>
                <w:szCs w:val="20"/>
                <w:color w:val="auto"/>
              </w:rPr>
            </w:pPr>
            <w:r>
              <w:rPr>
                <w:rFonts w:ascii="Arial" w:cs="Arial" w:eastAsia="Arial" w:hAnsi="Arial"/>
                <w:sz w:val="18"/>
                <w:szCs w:val="18"/>
                <w:color w:val="auto"/>
              </w:rPr>
              <w:t>UNITED HEALTH SERVICES</w:t>
            </w:r>
          </w:p>
        </w:tc>
        <w:tc>
          <w:tcPr>
            <w:tcW w:w="3020" w:type="dxa"/>
            <w:vAlign w:val="bottom"/>
          </w:tcPr>
          <w:p>
            <w:pPr>
              <w:ind w:left="140"/>
              <w:spacing w:after="0"/>
              <w:rPr>
                <w:sz w:val="20"/>
                <w:szCs w:val="20"/>
                <w:color w:val="auto"/>
              </w:rPr>
            </w:pPr>
            <w:r>
              <w:rPr>
                <w:rFonts w:ascii="Arial" w:cs="Arial" w:eastAsia="Arial" w:hAnsi="Arial"/>
                <w:sz w:val="18"/>
                <w:szCs w:val="18"/>
                <w:color w:val="auto"/>
              </w:rPr>
              <w:t>25 Park Avenue</w:t>
            </w:r>
          </w:p>
        </w:tc>
        <w:tc>
          <w:tcPr>
            <w:tcW w:w="1280" w:type="dxa"/>
            <w:vAlign w:val="bottom"/>
          </w:tcPr>
          <w:p>
            <w:pPr>
              <w:ind w:left="540"/>
              <w:spacing w:after="0"/>
              <w:rPr>
                <w:sz w:val="20"/>
                <w:szCs w:val="20"/>
                <w:color w:val="auto"/>
              </w:rPr>
            </w:pPr>
            <w:r>
              <w:rPr>
                <w:rFonts w:ascii="Arial" w:cs="Arial" w:eastAsia="Arial" w:hAnsi="Arial"/>
                <w:sz w:val="18"/>
                <w:szCs w:val="18"/>
                <w:color w:val="auto"/>
                <w:w w:val="83"/>
              </w:rPr>
              <w:t>Consignee</w:t>
            </w:r>
          </w:p>
        </w:tc>
      </w:tr>
      <w:tr>
        <w:trPr>
          <w:trHeight w:val="222"/>
        </w:trPr>
        <w:tc>
          <w:tcPr>
            <w:tcW w:w="306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3020" w:type="dxa"/>
            <w:vAlign w:val="bottom"/>
          </w:tcPr>
          <w:p>
            <w:pPr>
              <w:ind w:left="140"/>
              <w:spacing w:after="0"/>
              <w:rPr>
                <w:sz w:val="20"/>
                <w:szCs w:val="20"/>
                <w:color w:val="auto"/>
              </w:rPr>
            </w:pPr>
            <w:r>
              <w:rPr>
                <w:rFonts w:ascii="Arial" w:cs="Arial" w:eastAsia="Arial" w:hAnsi="Arial"/>
                <w:sz w:val="18"/>
                <w:szCs w:val="18"/>
                <w:color w:val="auto"/>
              </w:rPr>
              <w:t>Binghamton, NY 13902</w:t>
            </w:r>
          </w:p>
        </w:tc>
        <w:tc>
          <w:tcPr>
            <w:tcW w:w="1280" w:type="dxa"/>
            <w:vAlign w:val="bottom"/>
          </w:tcPr>
          <w:p>
            <w:pPr>
              <w:spacing w:after="0"/>
              <w:rPr>
                <w:sz w:val="19"/>
                <w:szCs w:val="19"/>
                <w:color w:val="auto"/>
              </w:rPr>
            </w:pPr>
          </w:p>
        </w:tc>
      </w:tr>
      <w:tr>
        <w:trPr>
          <w:trHeight w:val="223"/>
        </w:trPr>
        <w:tc>
          <w:tcPr>
            <w:tcW w:w="306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980" w:type="dxa"/>
            <w:vAlign w:val="bottom"/>
          </w:tcPr>
          <w:p>
            <w:pPr>
              <w:ind w:left="700"/>
              <w:spacing w:after="0"/>
              <w:rPr>
                <w:sz w:val="20"/>
                <w:szCs w:val="20"/>
                <w:color w:val="auto"/>
              </w:rPr>
            </w:pPr>
            <w:r>
              <w:rPr>
                <w:rFonts w:ascii="Arial" w:cs="Arial" w:eastAsia="Arial" w:hAnsi="Arial"/>
                <w:sz w:val="18"/>
                <w:szCs w:val="18"/>
                <w:color w:val="auto"/>
              </w:rPr>
              <w:t>MEDICAL COLLEGE OF OHIO</w:t>
            </w:r>
          </w:p>
        </w:tc>
        <w:tc>
          <w:tcPr>
            <w:tcW w:w="3020" w:type="dxa"/>
            <w:vAlign w:val="bottom"/>
          </w:tcPr>
          <w:p>
            <w:pPr>
              <w:ind w:left="140"/>
              <w:spacing w:after="0"/>
              <w:rPr>
                <w:sz w:val="20"/>
                <w:szCs w:val="20"/>
                <w:color w:val="auto"/>
              </w:rPr>
            </w:pPr>
            <w:r>
              <w:rPr>
                <w:rFonts w:ascii="Arial" w:cs="Arial" w:eastAsia="Arial" w:hAnsi="Arial"/>
                <w:sz w:val="18"/>
                <w:szCs w:val="18"/>
                <w:color w:val="auto"/>
              </w:rPr>
              <w:t>365 Arlington Ave</w:t>
            </w:r>
          </w:p>
        </w:tc>
        <w:tc>
          <w:tcPr>
            <w:tcW w:w="1280" w:type="dxa"/>
            <w:vAlign w:val="bottom"/>
          </w:tcPr>
          <w:p>
            <w:pPr>
              <w:ind w:left="540"/>
              <w:spacing w:after="0"/>
              <w:rPr>
                <w:sz w:val="20"/>
                <w:szCs w:val="20"/>
                <w:color w:val="auto"/>
              </w:rPr>
            </w:pPr>
            <w:r>
              <w:rPr>
                <w:rFonts w:ascii="Arial" w:cs="Arial" w:eastAsia="Arial" w:hAnsi="Arial"/>
                <w:sz w:val="18"/>
                <w:szCs w:val="18"/>
                <w:color w:val="auto"/>
                <w:w w:val="83"/>
              </w:rPr>
              <w:t>Consignee</w:t>
            </w:r>
          </w:p>
        </w:tc>
      </w:tr>
      <w:tr>
        <w:trPr>
          <w:trHeight w:val="222"/>
        </w:trPr>
        <w:tc>
          <w:tcPr>
            <w:tcW w:w="306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3020" w:type="dxa"/>
            <w:vAlign w:val="bottom"/>
          </w:tcPr>
          <w:p>
            <w:pPr>
              <w:ind w:left="140"/>
              <w:spacing w:after="0"/>
              <w:rPr>
                <w:sz w:val="20"/>
                <w:szCs w:val="20"/>
                <w:color w:val="auto"/>
              </w:rPr>
            </w:pPr>
            <w:r>
              <w:rPr>
                <w:rFonts w:ascii="Arial" w:cs="Arial" w:eastAsia="Arial" w:hAnsi="Arial"/>
                <w:sz w:val="18"/>
                <w:szCs w:val="18"/>
                <w:color w:val="auto"/>
              </w:rPr>
              <w:t>Dowling Hall Room #50</w:t>
            </w:r>
          </w:p>
        </w:tc>
        <w:tc>
          <w:tcPr>
            <w:tcW w:w="1280" w:type="dxa"/>
            <w:vAlign w:val="bottom"/>
          </w:tcPr>
          <w:p>
            <w:pPr>
              <w:spacing w:after="0"/>
              <w:rPr>
                <w:sz w:val="19"/>
                <w:szCs w:val="19"/>
                <w:color w:val="auto"/>
              </w:rPr>
            </w:pPr>
          </w:p>
        </w:tc>
      </w:tr>
      <w:tr>
        <w:trPr>
          <w:trHeight w:val="223"/>
        </w:trPr>
        <w:tc>
          <w:tcPr>
            <w:tcW w:w="306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980" w:type="dxa"/>
            <w:vAlign w:val="bottom"/>
          </w:tcPr>
          <w:p>
            <w:pPr>
              <w:ind w:left="700"/>
              <w:spacing w:after="0"/>
              <w:rPr>
                <w:sz w:val="20"/>
                <w:szCs w:val="20"/>
                <w:color w:val="auto"/>
              </w:rPr>
            </w:pPr>
            <w:r>
              <w:rPr>
                <w:rFonts w:ascii="Arial" w:cs="Arial" w:eastAsia="Arial" w:hAnsi="Arial"/>
                <w:sz w:val="18"/>
                <w:szCs w:val="18"/>
                <w:color w:val="auto"/>
              </w:rPr>
              <w:t>SOUTHERN INDIANA SURGERY CTR</w:t>
            </w:r>
          </w:p>
        </w:tc>
        <w:tc>
          <w:tcPr>
            <w:tcW w:w="3020" w:type="dxa"/>
            <w:vAlign w:val="bottom"/>
          </w:tcPr>
          <w:p>
            <w:pPr>
              <w:ind w:left="140"/>
              <w:spacing w:after="0"/>
              <w:rPr>
                <w:sz w:val="20"/>
                <w:szCs w:val="20"/>
                <w:color w:val="auto"/>
              </w:rPr>
            </w:pPr>
            <w:r>
              <w:rPr>
                <w:rFonts w:ascii="Arial" w:cs="Arial" w:eastAsia="Arial" w:hAnsi="Arial"/>
                <w:sz w:val="18"/>
                <w:szCs w:val="18"/>
                <w:color w:val="auto"/>
              </w:rPr>
              <w:t>2800 Rex Grossman Blvd.</w:t>
            </w:r>
          </w:p>
        </w:tc>
        <w:tc>
          <w:tcPr>
            <w:tcW w:w="1280" w:type="dxa"/>
            <w:vAlign w:val="bottom"/>
          </w:tcPr>
          <w:p>
            <w:pPr>
              <w:ind w:left="540"/>
              <w:spacing w:after="0"/>
              <w:rPr>
                <w:sz w:val="20"/>
                <w:szCs w:val="20"/>
                <w:color w:val="auto"/>
              </w:rPr>
            </w:pPr>
            <w:r>
              <w:rPr>
                <w:rFonts w:ascii="Arial" w:cs="Arial" w:eastAsia="Arial" w:hAnsi="Arial"/>
                <w:sz w:val="18"/>
                <w:szCs w:val="18"/>
                <w:color w:val="auto"/>
                <w:w w:val="83"/>
              </w:rPr>
              <w:t>Consignee</w:t>
            </w:r>
          </w:p>
        </w:tc>
      </w:tr>
      <w:tr>
        <w:trPr>
          <w:trHeight w:val="222"/>
        </w:trPr>
        <w:tc>
          <w:tcPr>
            <w:tcW w:w="306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3020" w:type="dxa"/>
            <w:vAlign w:val="bottom"/>
          </w:tcPr>
          <w:p>
            <w:pPr>
              <w:ind w:left="140"/>
              <w:spacing w:after="0"/>
              <w:rPr>
                <w:sz w:val="20"/>
                <w:szCs w:val="20"/>
                <w:color w:val="auto"/>
              </w:rPr>
            </w:pPr>
            <w:r>
              <w:rPr>
                <w:rFonts w:ascii="Arial" w:cs="Arial" w:eastAsia="Arial" w:hAnsi="Arial"/>
                <w:sz w:val="18"/>
                <w:szCs w:val="18"/>
                <w:color w:val="auto"/>
              </w:rPr>
              <w:t>Bloomington, IN 47403</w:t>
            </w:r>
          </w:p>
        </w:tc>
        <w:tc>
          <w:tcPr>
            <w:tcW w:w="1280" w:type="dxa"/>
            <w:vAlign w:val="bottom"/>
          </w:tcPr>
          <w:p>
            <w:pPr>
              <w:spacing w:after="0"/>
              <w:rPr>
                <w:sz w:val="19"/>
                <w:szCs w:val="19"/>
                <w:color w:val="auto"/>
              </w:rPr>
            </w:pPr>
          </w:p>
        </w:tc>
      </w:tr>
      <w:tr>
        <w:trPr>
          <w:trHeight w:val="223"/>
        </w:trPr>
        <w:tc>
          <w:tcPr>
            <w:tcW w:w="306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980" w:type="dxa"/>
            <w:vAlign w:val="bottom"/>
          </w:tcPr>
          <w:p>
            <w:pPr>
              <w:ind w:left="700"/>
              <w:spacing w:after="0"/>
              <w:rPr>
                <w:sz w:val="20"/>
                <w:szCs w:val="20"/>
                <w:color w:val="auto"/>
              </w:rPr>
            </w:pPr>
            <w:r>
              <w:rPr>
                <w:rFonts w:ascii="Arial" w:cs="Arial" w:eastAsia="Arial" w:hAnsi="Arial"/>
                <w:sz w:val="18"/>
                <w:szCs w:val="18"/>
                <w:color w:val="auto"/>
              </w:rPr>
              <w:t>RHODE ISLAND ASC</w:t>
            </w:r>
          </w:p>
        </w:tc>
        <w:tc>
          <w:tcPr>
            <w:tcW w:w="3020" w:type="dxa"/>
            <w:vAlign w:val="bottom"/>
          </w:tcPr>
          <w:p>
            <w:pPr>
              <w:ind w:left="140"/>
              <w:spacing w:after="0"/>
              <w:rPr>
                <w:sz w:val="20"/>
                <w:szCs w:val="20"/>
                <w:color w:val="auto"/>
              </w:rPr>
            </w:pPr>
            <w:r>
              <w:rPr>
                <w:rFonts w:ascii="Arial" w:cs="Arial" w:eastAsia="Arial" w:hAnsi="Arial"/>
                <w:sz w:val="18"/>
                <w:szCs w:val="18"/>
                <w:color w:val="auto"/>
              </w:rPr>
              <w:t>ASC Dudley Street</w:t>
            </w:r>
          </w:p>
        </w:tc>
        <w:tc>
          <w:tcPr>
            <w:tcW w:w="1280" w:type="dxa"/>
            <w:vAlign w:val="bottom"/>
          </w:tcPr>
          <w:p>
            <w:pPr>
              <w:ind w:left="540"/>
              <w:spacing w:after="0"/>
              <w:rPr>
                <w:sz w:val="20"/>
                <w:szCs w:val="20"/>
                <w:color w:val="auto"/>
              </w:rPr>
            </w:pPr>
            <w:r>
              <w:rPr>
                <w:rFonts w:ascii="Arial" w:cs="Arial" w:eastAsia="Arial" w:hAnsi="Arial"/>
                <w:sz w:val="18"/>
                <w:szCs w:val="18"/>
                <w:color w:val="auto"/>
                <w:w w:val="83"/>
              </w:rPr>
              <w:t>Consignee</w:t>
            </w:r>
          </w:p>
        </w:tc>
      </w:tr>
      <w:tr>
        <w:trPr>
          <w:trHeight w:val="222"/>
        </w:trPr>
        <w:tc>
          <w:tcPr>
            <w:tcW w:w="306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3020" w:type="dxa"/>
            <w:vAlign w:val="bottom"/>
          </w:tcPr>
          <w:p>
            <w:pPr>
              <w:ind w:left="140"/>
              <w:spacing w:after="0"/>
              <w:rPr>
                <w:sz w:val="20"/>
                <w:szCs w:val="20"/>
                <w:color w:val="auto"/>
              </w:rPr>
            </w:pPr>
            <w:r>
              <w:rPr>
                <w:rFonts w:ascii="Arial" w:cs="Arial" w:eastAsia="Arial" w:hAnsi="Arial"/>
                <w:sz w:val="18"/>
                <w:szCs w:val="18"/>
                <w:color w:val="auto"/>
              </w:rPr>
              <w:t>Providence, RI 02903</w:t>
            </w:r>
          </w:p>
        </w:tc>
        <w:tc>
          <w:tcPr>
            <w:tcW w:w="1280" w:type="dxa"/>
            <w:vAlign w:val="bottom"/>
          </w:tcPr>
          <w:p>
            <w:pPr>
              <w:spacing w:after="0"/>
              <w:rPr>
                <w:sz w:val="19"/>
                <w:szCs w:val="19"/>
                <w:color w:val="auto"/>
              </w:rPr>
            </w:pPr>
          </w:p>
        </w:tc>
      </w:tr>
      <w:tr>
        <w:trPr>
          <w:trHeight w:val="223"/>
        </w:trPr>
        <w:tc>
          <w:tcPr>
            <w:tcW w:w="306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980" w:type="dxa"/>
            <w:vAlign w:val="bottom"/>
          </w:tcPr>
          <w:p>
            <w:pPr>
              <w:ind w:left="700"/>
              <w:spacing w:after="0"/>
              <w:rPr>
                <w:sz w:val="20"/>
                <w:szCs w:val="20"/>
                <w:color w:val="auto"/>
              </w:rPr>
            </w:pPr>
            <w:r>
              <w:rPr>
                <w:rFonts w:ascii="Arial" w:cs="Arial" w:eastAsia="Arial" w:hAnsi="Arial"/>
                <w:sz w:val="18"/>
                <w:szCs w:val="18"/>
                <w:color w:val="auto"/>
              </w:rPr>
              <w:t>MERCY HOSPITAL 01-MERC016</w:t>
            </w:r>
          </w:p>
        </w:tc>
        <w:tc>
          <w:tcPr>
            <w:tcW w:w="3020" w:type="dxa"/>
            <w:vAlign w:val="bottom"/>
          </w:tcPr>
          <w:p>
            <w:pPr>
              <w:ind w:left="140"/>
              <w:spacing w:after="0"/>
              <w:rPr>
                <w:sz w:val="20"/>
                <w:szCs w:val="20"/>
                <w:color w:val="auto"/>
              </w:rPr>
            </w:pPr>
            <w:r>
              <w:rPr>
                <w:rFonts w:ascii="Arial" w:cs="Arial" w:eastAsia="Arial" w:hAnsi="Arial"/>
                <w:sz w:val="18"/>
                <w:szCs w:val="18"/>
                <w:color w:val="auto"/>
              </w:rPr>
              <w:t>144 State Street</w:t>
            </w:r>
          </w:p>
        </w:tc>
        <w:tc>
          <w:tcPr>
            <w:tcW w:w="1280" w:type="dxa"/>
            <w:vAlign w:val="bottom"/>
          </w:tcPr>
          <w:p>
            <w:pPr>
              <w:ind w:left="540"/>
              <w:spacing w:after="0"/>
              <w:rPr>
                <w:sz w:val="20"/>
                <w:szCs w:val="20"/>
                <w:color w:val="auto"/>
              </w:rPr>
            </w:pPr>
            <w:r>
              <w:rPr>
                <w:rFonts w:ascii="Arial" w:cs="Arial" w:eastAsia="Arial" w:hAnsi="Arial"/>
                <w:sz w:val="18"/>
                <w:szCs w:val="18"/>
                <w:color w:val="auto"/>
                <w:w w:val="83"/>
              </w:rPr>
              <w:t>Consignee</w:t>
            </w:r>
          </w:p>
        </w:tc>
      </w:tr>
      <w:tr>
        <w:trPr>
          <w:trHeight w:val="222"/>
        </w:trPr>
        <w:tc>
          <w:tcPr>
            <w:tcW w:w="306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3020" w:type="dxa"/>
            <w:vAlign w:val="bottom"/>
          </w:tcPr>
          <w:p>
            <w:pPr>
              <w:ind w:left="140"/>
              <w:spacing w:after="0"/>
              <w:rPr>
                <w:sz w:val="20"/>
                <w:szCs w:val="20"/>
                <w:color w:val="auto"/>
              </w:rPr>
            </w:pPr>
            <w:r>
              <w:rPr>
                <w:rFonts w:ascii="Arial" w:cs="Arial" w:eastAsia="Arial" w:hAnsi="Arial"/>
                <w:sz w:val="18"/>
                <w:szCs w:val="18"/>
                <w:color w:val="auto"/>
              </w:rPr>
              <w:t>Portland, ME</w:t>
            </w:r>
          </w:p>
        </w:tc>
        <w:tc>
          <w:tcPr>
            <w:tcW w:w="1280" w:type="dxa"/>
            <w:vAlign w:val="bottom"/>
          </w:tcPr>
          <w:p>
            <w:pPr>
              <w:spacing w:after="0"/>
              <w:rPr>
                <w:sz w:val="19"/>
                <w:szCs w:val="19"/>
                <w:color w:val="auto"/>
              </w:rPr>
            </w:pPr>
          </w:p>
        </w:tc>
      </w:tr>
      <w:tr>
        <w:trPr>
          <w:trHeight w:val="223"/>
        </w:trPr>
        <w:tc>
          <w:tcPr>
            <w:tcW w:w="306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980" w:type="dxa"/>
            <w:vAlign w:val="bottom"/>
          </w:tcPr>
          <w:p>
            <w:pPr>
              <w:ind w:left="700"/>
              <w:spacing w:after="0"/>
              <w:rPr>
                <w:sz w:val="20"/>
                <w:szCs w:val="20"/>
                <w:color w:val="auto"/>
              </w:rPr>
            </w:pPr>
            <w:r>
              <w:rPr>
                <w:rFonts w:ascii="Arial" w:cs="Arial" w:eastAsia="Arial" w:hAnsi="Arial"/>
                <w:sz w:val="18"/>
                <w:szCs w:val="18"/>
                <w:color w:val="auto"/>
              </w:rPr>
              <w:t>MEMORIAL HOSPITAL</w:t>
            </w:r>
          </w:p>
        </w:tc>
        <w:tc>
          <w:tcPr>
            <w:tcW w:w="3020" w:type="dxa"/>
            <w:vAlign w:val="bottom"/>
          </w:tcPr>
          <w:p>
            <w:pPr>
              <w:ind w:left="140"/>
              <w:spacing w:after="0"/>
              <w:rPr>
                <w:sz w:val="20"/>
                <w:szCs w:val="20"/>
                <w:color w:val="auto"/>
              </w:rPr>
            </w:pPr>
            <w:r>
              <w:rPr>
                <w:rFonts w:ascii="Arial" w:cs="Arial" w:eastAsia="Arial" w:hAnsi="Arial"/>
                <w:sz w:val="18"/>
                <w:szCs w:val="18"/>
                <w:color w:val="auto"/>
              </w:rPr>
              <w:t>710 Fairbanks Street</w:t>
            </w:r>
          </w:p>
        </w:tc>
        <w:tc>
          <w:tcPr>
            <w:tcW w:w="1280" w:type="dxa"/>
            <w:vAlign w:val="bottom"/>
          </w:tcPr>
          <w:p>
            <w:pPr>
              <w:ind w:left="540"/>
              <w:spacing w:after="0"/>
              <w:rPr>
                <w:sz w:val="20"/>
                <w:szCs w:val="20"/>
                <w:color w:val="auto"/>
              </w:rPr>
            </w:pPr>
            <w:r>
              <w:rPr>
                <w:rFonts w:ascii="Arial" w:cs="Arial" w:eastAsia="Arial" w:hAnsi="Arial"/>
                <w:sz w:val="18"/>
                <w:szCs w:val="18"/>
                <w:color w:val="auto"/>
                <w:w w:val="83"/>
              </w:rPr>
              <w:t>Consignee</w:t>
            </w:r>
          </w:p>
        </w:tc>
      </w:tr>
      <w:tr>
        <w:trPr>
          <w:trHeight w:val="222"/>
        </w:trPr>
        <w:tc>
          <w:tcPr>
            <w:tcW w:w="306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3020" w:type="dxa"/>
            <w:vAlign w:val="bottom"/>
          </w:tcPr>
          <w:p>
            <w:pPr>
              <w:ind w:left="140"/>
              <w:spacing w:after="0"/>
              <w:rPr>
                <w:sz w:val="20"/>
                <w:szCs w:val="20"/>
                <w:color w:val="auto"/>
              </w:rPr>
            </w:pPr>
            <w:r>
              <w:rPr>
                <w:rFonts w:ascii="Arial" w:cs="Arial" w:eastAsia="Arial" w:hAnsi="Arial"/>
                <w:sz w:val="18"/>
                <w:szCs w:val="18"/>
                <w:color w:val="auto"/>
              </w:rPr>
              <w:t>Chicago, IL 60611</w:t>
            </w:r>
          </w:p>
        </w:tc>
        <w:tc>
          <w:tcPr>
            <w:tcW w:w="1280" w:type="dxa"/>
            <w:vAlign w:val="bottom"/>
          </w:tcPr>
          <w:p>
            <w:pPr>
              <w:spacing w:after="0"/>
              <w:rPr>
                <w:sz w:val="19"/>
                <w:szCs w:val="19"/>
                <w:color w:val="auto"/>
              </w:rPr>
            </w:pPr>
          </w:p>
        </w:tc>
      </w:tr>
      <w:tr>
        <w:trPr>
          <w:trHeight w:val="223"/>
        </w:trPr>
        <w:tc>
          <w:tcPr>
            <w:tcW w:w="306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980" w:type="dxa"/>
            <w:vAlign w:val="bottom"/>
          </w:tcPr>
          <w:p>
            <w:pPr>
              <w:ind w:left="700"/>
              <w:spacing w:after="0"/>
              <w:rPr>
                <w:sz w:val="20"/>
                <w:szCs w:val="20"/>
                <w:color w:val="auto"/>
              </w:rPr>
            </w:pPr>
            <w:r>
              <w:rPr>
                <w:rFonts w:ascii="Arial" w:cs="Arial" w:eastAsia="Arial" w:hAnsi="Arial"/>
                <w:sz w:val="18"/>
                <w:szCs w:val="18"/>
                <w:color w:val="auto"/>
              </w:rPr>
              <w:t>NORTHERN MICHIGAN HOSPITAL</w:t>
            </w:r>
          </w:p>
        </w:tc>
        <w:tc>
          <w:tcPr>
            <w:tcW w:w="3020" w:type="dxa"/>
            <w:vAlign w:val="bottom"/>
          </w:tcPr>
          <w:p>
            <w:pPr>
              <w:ind w:left="140"/>
              <w:spacing w:after="0"/>
              <w:rPr>
                <w:sz w:val="20"/>
                <w:szCs w:val="20"/>
                <w:color w:val="auto"/>
              </w:rPr>
            </w:pPr>
            <w:r>
              <w:rPr>
                <w:rFonts w:ascii="Arial" w:cs="Arial" w:eastAsia="Arial" w:hAnsi="Arial"/>
                <w:sz w:val="18"/>
                <w:szCs w:val="18"/>
                <w:color w:val="auto"/>
              </w:rPr>
              <w:t>416 Connable Ave</w:t>
            </w:r>
          </w:p>
        </w:tc>
        <w:tc>
          <w:tcPr>
            <w:tcW w:w="1280" w:type="dxa"/>
            <w:vAlign w:val="bottom"/>
          </w:tcPr>
          <w:p>
            <w:pPr>
              <w:ind w:left="540"/>
              <w:spacing w:after="0"/>
              <w:rPr>
                <w:sz w:val="20"/>
                <w:szCs w:val="20"/>
                <w:color w:val="auto"/>
              </w:rPr>
            </w:pPr>
            <w:r>
              <w:rPr>
                <w:rFonts w:ascii="Arial" w:cs="Arial" w:eastAsia="Arial" w:hAnsi="Arial"/>
                <w:sz w:val="18"/>
                <w:szCs w:val="18"/>
                <w:color w:val="auto"/>
                <w:w w:val="83"/>
              </w:rPr>
              <w:t>Consignee</w:t>
            </w:r>
          </w:p>
        </w:tc>
      </w:tr>
      <w:tr>
        <w:trPr>
          <w:trHeight w:val="222"/>
        </w:trPr>
        <w:tc>
          <w:tcPr>
            <w:tcW w:w="306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3020" w:type="dxa"/>
            <w:vAlign w:val="bottom"/>
          </w:tcPr>
          <w:p>
            <w:pPr>
              <w:ind w:left="140"/>
              <w:spacing w:after="0"/>
              <w:rPr>
                <w:sz w:val="20"/>
                <w:szCs w:val="20"/>
                <w:color w:val="auto"/>
              </w:rPr>
            </w:pPr>
            <w:r>
              <w:rPr>
                <w:rFonts w:ascii="Arial" w:cs="Arial" w:eastAsia="Arial" w:hAnsi="Arial"/>
                <w:sz w:val="18"/>
                <w:szCs w:val="18"/>
                <w:color w:val="auto"/>
              </w:rPr>
              <w:t>Petoskey, MI 49770</w:t>
            </w:r>
          </w:p>
        </w:tc>
        <w:tc>
          <w:tcPr>
            <w:tcW w:w="1280" w:type="dxa"/>
            <w:vAlign w:val="bottom"/>
          </w:tcPr>
          <w:p>
            <w:pPr>
              <w:spacing w:after="0"/>
              <w:rPr>
                <w:sz w:val="19"/>
                <w:szCs w:val="19"/>
                <w:color w:val="auto"/>
              </w:rPr>
            </w:pPr>
          </w:p>
        </w:tc>
      </w:tr>
      <w:tr>
        <w:trPr>
          <w:trHeight w:val="223"/>
        </w:trPr>
        <w:tc>
          <w:tcPr>
            <w:tcW w:w="306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980" w:type="dxa"/>
            <w:vAlign w:val="bottom"/>
          </w:tcPr>
          <w:p>
            <w:pPr>
              <w:ind w:left="700"/>
              <w:spacing w:after="0"/>
              <w:rPr>
                <w:sz w:val="20"/>
                <w:szCs w:val="20"/>
                <w:color w:val="auto"/>
              </w:rPr>
            </w:pPr>
            <w:r>
              <w:rPr>
                <w:rFonts w:ascii="Arial" w:cs="Arial" w:eastAsia="Arial" w:hAnsi="Arial"/>
                <w:sz w:val="18"/>
                <w:szCs w:val="18"/>
                <w:color w:val="auto"/>
              </w:rPr>
              <w:t>SPECTRUM HEALTH - BLODGETT</w:t>
            </w:r>
          </w:p>
        </w:tc>
        <w:tc>
          <w:tcPr>
            <w:tcW w:w="3020" w:type="dxa"/>
            <w:vAlign w:val="bottom"/>
          </w:tcPr>
          <w:p>
            <w:pPr>
              <w:ind w:left="140"/>
              <w:spacing w:after="0"/>
              <w:rPr>
                <w:sz w:val="20"/>
                <w:szCs w:val="20"/>
                <w:color w:val="auto"/>
              </w:rPr>
            </w:pPr>
            <w:r>
              <w:rPr>
                <w:rFonts w:ascii="Arial" w:cs="Arial" w:eastAsia="Arial" w:hAnsi="Arial"/>
                <w:sz w:val="18"/>
                <w:szCs w:val="18"/>
                <w:color w:val="auto"/>
              </w:rPr>
              <w:t>1840 Wealthy Street SE</w:t>
            </w:r>
          </w:p>
        </w:tc>
        <w:tc>
          <w:tcPr>
            <w:tcW w:w="1280" w:type="dxa"/>
            <w:vAlign w:val="bottom"/>
          </w:tcPr>
          <w:p>
            <w:pPr>
              <w:ind w:left="540"/>
              <w:spacing w:after="0"/>
              <w:rPr>
                <w:sz w:val="20"/>
                <w:szCs w:val="20"/>
                <w:color w:val="auto"/>
              </w:rPr>
            </w:pPr>
            <w:r>
              <w:rPr>
                <w:rFonts w:ascii="Arial" w:cs="Arial" w:eastAsia="Arial" w:hAnsi="Arial"/>
                <w:sz w:val="18"/>
                <w:szCs w:val="18"/>
                <w:color w:val="auto"/>
                <w:w w:val="83"/>
              </w:rPr>
              <w:t>Consignee</w:t>
            </w:r>
          </w:p>
        </w:tc>
      </w:tr>
      <w:tr>
        <w:trPr>
          <w:trHeight w:val="222"/>
        </w:trPr>
        <w:tc>
          <w:tcPr>
            <w:tcW w:w="306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3020" w:type="dxa"/>
            <w:vAlign w:val="bottom"/>
          </w:tcPr>
          <w:p>
            <w:pPr>
              <w:ind w:left="140"/>
              <w:spacing w:after="0"/>
              <w:rPr>
                <w:sz w:val="20"/>
                <w:szCs w:val="20"/>
                <w:color w:val="auto"/>
              </w:rPr>
            </w:pPr>
            <w:r>
              <w:rPr>
                <w:rFonts w:ascii="Arial" w:cs="Arial" w:eastAsia="Arial" w:hAnsi="Arial"/>
                <w:sz w:val="18"/>
                <w:szCs w:val="18"/>
                <w:color w:val="auto"/>
              </w:rPr>
              <w:t>Grand Rapids, MI 49506</w:t>
            </w:r>
          </w:p>
        </w:tc>
        <w:tc>
          <w:tcPr>
            <w:tcW w:w="1280" w:type="dxa"/>
            <w:vAlign w:val="bottom"/>
          </w:tcPr>
          <w:p>
            <w:pPr>
              <w:spacing w:after="0"/>
              <w:rPr>
                <w:sz w:val="19"/>
                <w:szCs w:val="19"/>
                <w:color w:val="auto"/>
              </w:rPr>
            </w:pPr>
          </w:p>
        </w:tc>
      </w:tr>
      <w:tr>
        <w:trPr>
          <w:trHeight w:val="223"/>
        </w:trPr>
        <w:tc>
          <w:tcPr>
            <w:tcW w:w="306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980" w:type="dxa"/>
            <w:vAlign w:val="bottom"/>
          </w:tcPr>
          <w:p>
            <w:pPr>
              <w:ind w:left="700"/>
              <w:spacing w:after="0"/>
              <w:rPr>
                <w:sz w:val="20"/>
                <w:szCs w:val="20"/>
                <w:color w:val="auto"/>
              </w:rPr>
            </w:pPr>
            <w:r>
              <w:rPr>
                <w:rFonts w:ascii="Arial" w:cs="Arial" w:eastAsia="Arial" w:hAnsi="Arial"/>
                <w:sz w:val="18"/>
                <w:szCs w:val="18"/>
                <w:color w:val="auto"/>
              </w:rPr>
              <w:t>PROVIDENCE SURGICAL CENTER</w:t>
            </w:r>
          </w:p>
        </w:tc>
        <w:tc>
          <w:tcPr>
            <w:tcW w:w="3020" w:type="dxa"/>
            <w:vAlign w:val="bottom"/>
          </w:tcPr>
          <w:p>
            <w:pPr>
              <w:ind w:left="140"/>
              <w:spacing w:after="0"/>
              <w:rPr>
                <w:sz w:val="20"/>
                <w:szCs w:val="20"/>
                <w:color w:val="auto"/>
              </w:rPr>
            </w:pPr>
            <w:r>
              <w:rPr>
                <w:rFonts w:ascii="Arial" w:cs="Arial" w:eastAsia="Arial" w:hAnsi="Arial"/>
                <w:sz w:val="18"/>
                <w:szCs w:val="18"/>
                <w:color w:val="auto"/>
              </w:rPr>
              <w:t>29877 Telegraph Road, Suite 200</w:t>
            </w:r>
          </w:p>
        </w:tc>
        <w:tc>
          <w:tcPr>
            <w:tcW w:w="1280" w:type="dxa"/>
            <w:vAlign w:val="bottom"/>
          </w:tcPr>
          <w:p>
            <w:pPr>
              <w:ind w:left="540"/>
              <w:spacing w:after="0"/>
              <w:rPr>
                <w:sz w:val="20"/>
                <w:szCs w:val="20"/>
                <w:color w:val="auto"/>
              </w:rPr>
            </w:pPr>
            <w:r>
              <w:rPr>
                <w:rFonts w:ascii="Arial" w:cs="Arial" w:eastAsia="Arial" w:hAnsi="Arial"/>
                <w:sz w:val="18"/>
                <w:szCs w:val="18"/>
                <w:color w:val="auto"/>
                <w:w w:val="83"/>
              </w:rPr>
              <w:t>Consignee</w:t>
            </w:r>
          </w:p>
        </w:tc>
      </w:tr>
      <w:tr>
        <w:trPr>
          <w:trHeight w:val="222"/>
        </w:trPr>
        <w:tc>
          <w:tcPr>
            <w:tcW w:w="306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3020" w:type="dxa"/>
            <w:vAlign w:val="bottom"/>
          </w:tcPr>
          <w:p>
            <w:pPr>
              <w:ind w:left="140"/>
              <w:spacing w:after="0"/>
              <w:rPr>
                <w:sz w:val="20"/>
                <w:szCs w:val="20"/>
                <w:color w:val="auto"/>
              </w:rPr>
            </w:pPr>
            <w:r>
              <w:rPr>
                <w:rFonts w:ascii="Arial" w:cs="Arial" w:eastAsia="Arial" w:hAnsi="Arial"/>
                <w:sz w:val="18"/>
                <w:szCs w:val="18"/>
                <w:color w:val="auto"/>
              </w:rPr>
              <w:t>Southfield, MI 48034</w:t>
            </w:r>
          </w:p>
        </w:tc>
        <w:tc>
          <w:tcPr>
            <w:tcW w:w="1280" w:type="dxa"/>
            <w:vAlign w:val="bottom"/>
          </w:tcPr>
          <w:p>
            <w:pPr>
              <w:spacing w:after="0"/>
              <w:rPr>
                <w:sz w:val="19"/>
                <w:szCs w:val="19"/>
                <w:color w:val="auto"/>
              </w:rPr>
            </w:pPr>
          </w:p>
        </w:tc>
      </w:tr>
      <w:tr>
        <w:trPr>
          <w:trHeight w:val="223"/>
        </w:trPr>
        <w:tc>
          <w:tcPr>
            <w:tcW w:w="306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980" w:type="dxa"/>
            <w:vAlign w:val="bottom"/>
          </w:tcPr>
          <w:p>
            <w:pPr>
              <w:ind w:left="700"/>
              <w:spacing w:after="0"/>
              <w:rPr>
                <w:sz w:val="20"/>
                <w:szCs w:val="20"/>
                <w:color w:val="auto"/>
              </w:rPr>
            </w:pPr>
            <w:r>
              <w:rPr>
                <w:rFonts w:ascii="Arial" w:cs="Arial" w:eastAsia="Arial" w:hAnsi="Arial"/>
                <w:sz w:val="18"/>
                <w:szCs w:val="18"/>
                <w:color w:val="auto"/>
              </w:rPr>
              <w:t>SURGERY ONE CENTER</w:t>
            </w:r>
          </w:p>
        </w:tc>
        <w:tc>
          <w:tcPr>
            <w:tcW w:w="3020" w:type="dxa"/>
            <w:vAlign w:val="bottom"/>
          </w:tcPr>
          <w:p>
            <w:pPr>
              <w:ind w:left="140"/>
              <w:spacing w:after="0"/>
              <w:rPr>
                <w:sz w:val="20"/>
                <w:szCs w:val="20"/>
                <w:color w:val="auto"/>
              </w:rPr>
            </w:pPr>
            <w:r>
              <w:rPr>
                <w:rFonts w:ascii="Arial" w:cs="Arial" w:eastAsia="Arial" w:hAnsi="Arial"/>
                <w:sz w:val="18"/>
                <w:szCs w:val="18"/>
                <w:color w:val="auto"/>
              </w:rPr>
              <w:t>5052 North Clinton</w:t>
            </w:r>
          </w:p>
        </w:tc>
        <w:tc>
          <w:tcPr>
            <w:tcW w:w="1280" w:type="dxa"/>
            <w:vAlign w:val="bottom"/>
          </w:tcPr>
          <w:p>
            <w:pPr>
              <w:ind w:left="540"/>
              <w:spacing w:after="0"/>
              <w:rPr>
                <w:sz w:val="20"/>
                <w:szCs w:val="20"/>
                <w:color w:val="auto"/>
              </w:rPr>
            </w:pPr>
            <w:r>
              <w:rPr>
                <w:rFonts w:ascii="Arial" w:cs="Arial" w:eastAsia="Arial" w:hAnsi="Arial"/>
                <w:sz w:val="18"/>
                <w:szCs w:val="18"/>
                <w:color w:val="auto"/>
                <w:w w:val="83"/>
              </w:rPr>
              <w:t>Consignee</w:t>
            </w:r>
          </w:p>
        </w:tc>
      </w:tr>
      <w:tr>
        <w:trPr>
          <w:trHeight w:val="222"/>
        </w:trPr>
        <w:tc>
          <w:tcPr>
            <w:tcW w:w="306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3020" w:type="dxa"/>
            <w:vAlign w:val="bottom"/>
          </w:tcPr>
          <w:p>
            <w:pPr>
              <w:ind w:left="140"/>
              <w:spacing w:after="0"/>
              <w:rPr>
                <w:sz w:val="20"/>
                <w:szCs w:val="20"/>
                <w:color w:val="auto"/>
              </w:rPr>
            </w:pPr>
            <w:r>
              <w:rPr>
                <w:rFonts w:ascii="Arial" w:cs="Arial" w:eastAsia="Arial" w:hAnsi="Arial"/>
                <w:sz w:val="18"/>
                <w:szCs w:val="18"/>
                <w:color w:val="auto"/>
              </w:rPr>
              <w:t>Fort Wayne, IN 46825-5822</w:t>
            </w:r>
          </w:p>
        </w:tc>
        <w:tc>
          <w:tcPr>
            <w:tcW w:w="1280" w:type="dxa"/>
            <w:vAlign w:val="bottom"/>
          </w:tcPr>
          <w:p>
            <w:pPr>
              <w:spacing w:after="0"/>
              <w:rPr>
                <w:sz w:val="19"/>
                <w:szCs w:val="19"/>
                <w:color w:val="auto"/>
              </w:rPr>
            </w:pPr>
          </w:p>
        </w:tc>
      </w:tr>
      <w:tr>
        <w:trPr>
          <w:trHeight w:val="223"/>
        </w:trPr>
        <w:tc>
          <w:tcPr>
            <w:tcW w:w="306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980" w:type="dxa"/>
            <w:vAlign w:val="bottom"/>
          </w:tcPr>
          <w:p>
            <w:pPr>
              <w:ind w:left="700"/>
              <w:spacing w:after="0"/>
              <w:rPr>
                <w:sz w:val="20"/>
                <w:szCs w:val="20"/>
                <w:color w:val="auto"/>
              </w:rPr>
            </w:pPr>
            <w:r>
              <w:rPr>
                <w:rFonts w:ascii="Arial" w:cs="Arial" w:eastAsia="Arial" w:hAnsi="Arial"/>
                <w:sz w:val="18"/>
                <w:szCs w:val="18"/>
                <w:color w:val="auto"/>
                <w:w w:val="97"/>
              </w:rPr>
              <w:t>MERCY GENERAL HEALTH PARTNERS</w:t>
            </w:r>
          </w:p>
        </w:tc>
        <w:tc>
          <w:tcPr>
            <w:tcW w:w="3020" w:type="dxa"/>
            <w:vAlign w:val="bottom"/>
          </w:tcPr>
          <w:p>
            <w:pPr>
              <w:ind w:left="140"/>
              <w:spacing w:after="0"/>
              <w:rPr>
                <w:sz w:val="20"/>
                <w:szCs w:val="20"/>
                <w:color w:val="auto"/>
              </w:rPr>
            </w:pPr>
            <w:r>
              <w:rPr>
                <w:rFonts w:ascii="Arial" w:cs="Arial" w:eastAsia="Arial" w:hAnsi="Arial"/>
                <w:sz w:val="18"/>
                <w:szCs w:val="18"/>
                <w:color w:val="auto"/>
              </w:rPr>
              <w:t>1700 Oak Ave</w:t>
            </w:r>
          </w:p>
        </w:tc>
        <w:tc>
          <w:tcPr>
            <w:tcW w:w="1280" w:type="dxa"/>
            <w:vAlign w:val="bottom"/>
          </w:tcPr>
          <w:p>
            <w:pPr>
              <w:ind w:left="540"/>
              <w:spacing w:after="0"/>
              <w:rPr>
                <w:sz w:val="20"/>
                <w:szCs w:val="20"/>
                <w:color w:val="auto"/>
              </w:rPr>
            </w:pPr>
            <w:r>
              <w:rPr>
                <w:rFonts w:ascii="Arial" w:cs="Arial" w:eastAsia="Arial" w:hAnsi="Arial"/>
                <w:sz w:val="18"/>
                <w:szCs w:val="18"/>
                <w:color w:val="auto"/>
                <w:w w:val="83"/>
              </w:rPr>
              <w:t>Consignee</w:t>
            </w:r>
          </w:p>
        </w:tc>
      </w:tr>
      <w:tr>
        <w:trPr>
          <w:trHeight w:val="222"/>
        </w:trPr>
        <w:tc>
          <w:tcPr>
            <w:tcW w:w="306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3020" w:type="dxa"/>
            <w:vAlign w:val="bottom"/>
          </w:tcPr>
          <w:p>
            <w:pPr>
              <w:ind w:left="140"/>
              <w:spacing w:after="0"/>
              <w:rPr>
                <w:sz w:val="20"/>
                <w:szCs w:val="20"/>
                <w:color w:val="auto"/>
              </w:rPr>
            </w:pPr>
            <w:r>
              <w:rPr>
                <w:rFonts w:ascii="Arial" w:cs="Arial" w:eastAsia="Arial" w:hAnsi="Arial"/>
                <w:sz w:val="18"/>
                <w:szCs w:val="18"/>
                <w:color w:val="auto"/>
              </w:rPr>
              <w:t>Muskegon, MI 49442</w:t>
            </w:r>
          </w:p>
        </w:tc>
        <w:tc>
          <w:tcPr>
            <w:tcW w:w="1280" w:type="dxa"/>
            <w:vAlign w:val="bottom"/>
          </w:tcPr>
          <w:p>
            <w:pPr>
              <w:spacing w:after="0"/>
              <w:rPr>
                <w:sz w:val="19"/>
                <w:szCs w:val="19"/>
                <w:color w:val="auto"/>
              </w:rPr>
            </w:pPr>
          </w:p>
        </w:tc>
      </w:tr>
      <w:tr>
        <w:trPr>
          <w:trHeight w:val="223"/>
        </w:trPr>
        <w:tc>
          <w:tcPr>
            <w:tcW w:w="306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980" w:type="dxa"/>
            <w:vAlign w:val="bottom"/>
          </w:tcPr>
          <w:p>
            <w:pPr>
              <w:ind w:left="700"/>
              <w:spacing w:after="0"/>
              <w:rPr>
                <w:sz w:val="20"/>
                <w:szCs w:val="20"/>
                <w:color w:val="auto"/>
              </w:rPr>
            </w:pPr>
            <w:r>
              <w:rPr>
                <w:rFonts w:ascii="Arial" w:cs="Arial" w:eastAsia="Arial" w:hAnsi="Arial"/>
                <w:sz w:val="18"/>
                <w:szCs w:val="18"/>
                <w:color w:val="auto"/>
                <w:w w:val="97"/>
              </w:rPr>
              <w:t>UPPER ARLINGTON OUTPATIENT CTR</w:t>
            </w:r>
          </w:p>
        </w:tc>
        <w:tc>
          <w:tcPr>
            <w:tcW w:w="3020" w:type="dxa"/>
            <w:vAlign w:val="bottom"/>
          </w:tcPr>
          <w:p>
            <w:pPr>
              <w:ind w:left="140"/>
              <w:spacing w:after="0"/>
              <w:rPr>
                <w:sz w:val="20"/>
                <w:szCs w:val="20"/>
                <w:color w:val="auto"/>
              </w:rPr>
            </w:pPr>
            <w:r>
              <w:rPr>
                <w:rFonts w:ascii="Arial" w:cs="Arial" w:eastAsia="Arial" w:hAnsi="Arial"/>
                <w:sz w:val="18"/>
                <w:szCs w:val="18"/>
                <w:color w:val="auto"/>
              </w:rPr>
              <w:t>2240 North Bank Drive</w:t>
            </w:r>
          </w:p>
        </w:tc>
        <w:tc>
          <w:tcPr>
            <w:tcW w:w="1280" w:type="dxa"/>
            <w:vAlign w:val="bottom"/>
          </w:tcPr>
          <w:p>
            <w:pPr>
              <w:ind w:left="540"/>
              <w:spacing w:after="0"/>
              <w:rPr>
                <w:sz w:val="20"/>
                <w:szCs w:val="20"/>
                <w:color w:val="auto"/>
              </w:rPr>
            </w:pPr>
            <w:r>
              <w:rPr>
                <w:rFonts w:ascii="Arial" w:cs="Arial" w:eastAsia="Arial" w:hAnsi="Arial"/>
                <w:sz w:val="18"/>
                <w:szCs w:val="18"/>
                <w:color w:val="auto"/>
                <w:w w:val="83"/>
              </w:rPr>
              <w:t>Consignee</w:t>
            </w:r>
          </w:p>
        </w:tc>
      </w:tr>
      <w:tr>
        <w:trPr>
          <w:trHeight w:val="222"/>
        </w:trPr>
        <w:tc>
          <w:tcPr>
            <w:tcW w:w="306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3020" w:type="dxa"/>
            <w:vAlign w:val="bottom"/>
          </w:tcPr>
          <w:p>
            <w:pPr>
              <w:ind w:left="140"/>
              <w:spacing w:after="0"/>
              <w:rPr>
                <w:sz w:val="20"/>
                <w:szCs w:val="20"/>
                <w:color w:val="auto"/>
              </w:rPr>
            </w:pPr>
            <w:r>
              <w:rPr>
                <w:rFonts w:ascii="Arial" w:cs="Arial" w:eastAsia="Arial" w:hAnsi="Arial"/>
                <w:sz w:val="18"/>
                <w:szCs w:val="18"/>
                <w:color w:val="auto"/>
              </w:rPr>
              <w:t>Upper Arlington, OH 43220</w:t>
            </w:r>
          </w:p>
        </w:tc>
        <w:tc>
          <w:tcPr>
            <w:tcW w:w="1280" w:type="dxa"/>
            <w:vAlign w:val="bottom"/>
          </w:tcPr>
          <w:p>
            <w:pPr>
              <w:spacing w:after="0"/>
              <w:rPr>
                <w:sz w:val="19"/>
                <w:szCs w:val="19"/>
                <w:color w:val="auto"/>
              </w:rPr>
            </w:pPr>
          </w:p>
        </w:tc>
      </w:tr>
      <w:tr>
        <w:trPr>
          <w:trHeight w:val="223"/>
        </w:trPr>
        <w:tc>
          <w:tcPr>
            <w:tcW w:w="306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980" w:type="dxa"/>
            <w:vAlign w:val="bottom"/>
          </w:tcPr>
          <w:p>
            <w:pPr>
              <w:ind w:left="700"/>
              <w:spacing w:after="0"/>
              <w:rPr>
                <w:sz w:val="20"/>
                <w:szCs w:val="20"/>
                <w:color w:val="auto"/>
              </w:rPr>
            </w:pPr>
            <w:r>
              <w:rPr>
                <w:rFonts w:ascii="Arial" w:cs="Arial" w:eastAsia="Arial" w:hAnsi="Arial"/>
                <w:sz w:val="18"/>
                <w:szCs w:val="18"/>
                <w:color w:val="auto"/>
              </w:rPr>
              <w:t>YAKIMA VALLEY MEMORIAL HOSP</w:t>
            </w:r>
          </w:p>
        </w:tc>
        <w:tc>
          <w:tcPr>
            <w:tcW w:w="3020" w:type="dxa"/>
            <w:vAlign w:val="bottom"/>
          </w:tcPr>
          <w:p>
            <w:pPr>
              <w:ind w:left="140"/>
              <w:spacing w:after="0"/>
              <w:rPr>
                <w:sz w:val="20"/>
                <w:szCs w:val="20"/>
                <w:color w:val="auto"/>
              </w:rPr>
            </w:pPr>
            <w:r>
              <w:rPr>
                <w:rFonts w:ascii="Arial" w:cs="Arial" w:eastAsia="Arial" w:hAnsi="Arial"/>
                <w:sz w:val="18"/>
                <w:szCs w:val="18"/>
                <w:color w:val="auto"/>
              </w:rPr>
              <w:t>2811 Tieton Drive</w:t>
            </w:r>
          </w:p>
        </w:tc>
        <w:tc>
          <w:tcPr>
            <w:tcW w:w="1280" w:type="dxa"/>
            <w:vAlign w:val="bottom"/>
          </w:tcPr>
          <w:p>
            <w:pPr>
              <w:ind w:left="540"/>
              <w:spacing w:after="0"/>
              <w:rPr>
                <w:sz w:val="20"/>
                <w:szCs w:val="20"/>
                <w:color w:val="auto"/>
              </w:rPr>
            </w:pPr>
            <w:r>
              <w:rPr>
                <w:rFonts w:ascii="Arial" w:cs="Arial" w:eastAsia="Arial" w:hAnsi="Arial"/>
                <w:sz w:val="18"/>
                <w:szCs w:val="18"/>
                <w:color w:val="auto"/>
                <w:w w:val="83"/>
              </w:rPr>
              <w:t>Consignee</w:t>
            </w:r>
          </w:p>
        </w:tc>
      </w:tr>
      <w:tr>
        <w:trPr>
          <w:trHeight w:val="222"/>
        </w:trPr>
        <w:tc>
          <w:tcPr>
            <w:tcW w:w="306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3020" w:type="dxa"/>
            <w:vAlign w:val="bottom"/>
          </w:tcPr>
          <w:p>
            <w:pPr>
              <w:ind w:left="140"/>
              <w:spacing w:after="0"/>
              <w:rPr>
                <w:sz w:val="20"/>
                <w:szCs w:val="20"/>
                <w:color w:val="auto"/>
              </w:rPr>
            </w:pPr>
            <w:r>
              <w:rPr>
                <w:rFonts w:ascii="Arial" w:cs="Arial" w:eastAsia="Arial" w:hAnsi="Arial"/>
                <w:sz w:val="18"/>
                <w:szCs w:val="18"/>
                <w:color w:val="auto"/>
              </w:rPr>
              <w:t>Yakima, WA 98902</w:t>
            </w:r>
          </w:p>
        </w:tc>
        <w:tc>
          <w:tcPr>
            <w:tcW w:w="1280" w:type="dxa"/>
            <w:vAlign w:val="bottom"/>
          </w:tcPr>
          <w:p>
            <w:pPr>
              <w:spacing w:after="0"/>
              <w:rPr>
                <w:sz w:val="19"/>
                <w:szCs w:val="19"/>
                <w:color w:val="auto"/>
              </w:rPr>
            </w:pPr>
          </w:p>
        </w:tc>
      </w:tr>
      <w:tr>
        <w:trPr>
          <w:trHeight w:val="223"/>
        </w:trPr>
        <w:tc>
          <w:tcPr>
            <w:tcW w:w="306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980" w:type="dxa"/>
            <w:vAlign w:val="bottom"/>
          </w:tcPr>
          <w:p>
            <w:pPr>
              <w:ind w:left="700"/>
              <w:spacing w:after="0"/>
              <w:rPr>
                <w:sz w:val="20"/>
                <w:szCs w:val="20"/>
                <w:color w:val="auto"/>
              </w:rPr>
            </w:pPr>
            <w:r>
              <w:rPr>
                <w:rFonts w:ascii="Arial" w:cs="Arial" w:eastAsia="Arial" w:hAnsi="Arial"/>
                <w:sz w:val="18"/>
                <w:szCs w:val="18"/>
                <w:color w:val="auto"/>
              </w:rPr>
              <w:t>POMONA VALLEY HOSPITAL</w:t>
            </w:r>
          </w:p>
        </w:tc>
        <w:tc>
          <w:tcPr>
            <w:tcW w:w="3020" w:type="dxa"/>
            <w:vAlign w:val="bottom"/>
          </w:tcPr>
          <w:p>
            <w:pPr>
              <w:ind w:left="140"/>
              <w:spacing w:after="0"/>
              <w:rPr>
                <w:sz w:val="20"/>
                <w:szCs w:val="20"/>
                <w:color w:val="auto"/>
              </w:rPr>
            </w:pPr>
            <w:r>
              <w:rPr>
                <w:rFonts w:ascii="Arial" w:cs="Arial" w:eastAsia="Arial" w:hAnsi="Arial"/>
                <w:sz w:val="18"/>
                <w:szCs w:val="18"/>
                <w:color w:val="auto"/>
              </w:rPr>
              <w:t>1798 N. Garey Ave</w:t>
            </w:r>
          </w:p>
        </w:tc>
        <w:tc>
          <w:tcPr>
            <w:tcW w:w="1280" w:type="dxa"/>
            <w:vAlign w:val="bottom"/>
          </w:tcPr>
          <w:p>
            <w:pPr>
              <w:ind w:left="540"/>
              <w:spacing w:after="0"/>
              <w:rPr>
                <w:sz w:val="20"/>
                <w:szCs w:val="20"/>
                <w:color w:val="auto"/>
              </w:rPr>
            </w:pPr>
            <w:r>
              <w:rPr>
                <w:rFonts w:ascii="Arial" w:cs="Arial" w:eastAsia="Arial" w:hAnsi="Arial"/>
                <w:sz w:val="18"/>
                <w:szCs w:val="18"/>
                <w:color w:val="auto"/>
                <w:w w:val="83"/>
              </w:rPr>
              <w:t>Consignee</w:t>
            </w:r>
          </w:p>
        </w:tc>
      </w:tr>
      <w:tr>
        <w:trPr>
          <w:trHeight w:val="222"/>
        </w:trPr>
        <w:tc>
          <w:tcPr>
            <w:tcW w:w="306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3020" w:type="dxa"/>
            <w:vAlign w:val="bottom"/>
          </w:tcPr>
          <w:p>
            <w:pPr>
              <w:ind w:left="140"/>
              <w:spacing w:after="0"/>
              <w:rPr>
                <w:sz w:val="20"/>
                <w:szCs w:val="20"/>
                <w:color w:val="auto"/>
              </w:rPr>
            </w:pPr>
            <w:r>
              <w:rPr>
                <w:rFonts w:ascii="Arial" w:cs="Arial" w:eastAsia="Arial" w:hAnsi="Arial"/>
                <w:sz w:val="18"/>
                <w:szCs w:val="18"/>
                <w:color w:val="auto"/>
              </w:rPr>
              <w:t>Pomona, CA 91767</w:t>
            </w:r>
          </w:p>
        </w:tc>
        <w:tc>
          <w:tcPr>
            <w:tcW w:w="1280" w:type="dxa"/>
            <w:vAlign w:val="bottom"/>
          </w:tcPr>
          <w:p>
            <w:pPr>
              <w:spacing w:after="0"/>
              <w:rPr>
                <w:sz w:val="19"/>
                <w:szCs w:val="19"/>
                <w:color w:val="auto"/>
              </w:rPr>
            </w:pPr>
          </w:p>
        </w:tc>
      </w:tr>
      <w:tr>
        <w:trPr>
          <w:trHeight w:val="223"/>
        </w:trPr>
        <w:tc>
          <w:tcPr>
            <w:tcW w:w="306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980" w:type="dxa"/>
            <w:vAlign w:val="bottom"/>
          </w:tcPr>
          <w:p>
            <w:pPr>
              <w:ind w:left="700"/>
              <w:spacing w:after="0"/>
              <w:rPr>
                <w:sz w:val="20"/>
                <w:szCs w:val="20"/>
                <w:color w:val="auto"/>
              </w:rPr>
            </w:pPr>
            <w:r>
              <w:rPr>
                <w:rFonts w:ascii="Arial" w:cs="Arial" w:eastAsia="Arial" w:hAnsi="Arial"/>
                <w:sz w:val="18"/>
                <w:szCs w:val="18"/>
                <w:color w:val="auto"/>
              </w:rPr>
              <w:t>ST. JOHN SURGERY CENTER</w:t>
            </w:r>
          </w:p>
        </w:tc>
        <w:tc>
          <w:tcPr>
            <w:tcW w:w="3020" w:type="dxa"/>
            <w:vAlign w:val="bottom"/>
          </w:tcPr>
          <w:p>
            <w:pPr>
              <w:ind w:left="140"/>
              <w:spacing w:after="0"/>
              <w:rPr>
                <w:sz w:val="20"/>
                <w:szCs w:val="20"/>
                <w:color w:val="auto"/>
              </w:rPr>
            </w:pPr>
            <w:r>
              <w:rPr>
                <w:rFonts w:ascii="Arial" w:cs="Arial" w:eastAsia="Arial" w:hAnsi="Arial"/>
                <w:sz w:val="18"/>
                <w:szCs w:val="18"/>
                <w:color w:val="auto"/>
              </w:rPr>
              <w:t>21000 12 Mile Road</w:t>
            </w:r>
          </w:p>
        </w:tc>
        <w:tc>
          <w:tcPr>
            <w:tcW w:w="1280" w:type="dxa"/>
            <w:vAlign w:val="bottom"/>
          </w:tcPr>
          <w:p>
            <w:pPr>
              <w:ind w:left="540"/>
              <w:spacing w:after="0"/>
              <w:rPr>
                <w:sz w:val="20"/>
                <w:szCs w:val="20"/>
                <w:color w:val="auto"/>
              </w:rPr>
            </w:pPr>
            <w:r>
              <w:rPr>
                <w:rFonts w:ascii="Arial" w:cs="Arial" w:eastAsia="Arial" w:hAnsi="Arial"/>
                <w:sz w:val="18"/>
                <w:szCs w:val="18"/>
                <w:color w:val="auto"/>
                <w:w w:val="83"/>
              </w:rPr>
              <w:t>Consignee</w:t>
            </w:r>
          </w:p>
        </w:tc>
      </w:tr>
      <w:tr>
        <w:trPr>
          <w:trHeight w:val="222"/>
        </w:trPr>
        <w:tc>
          <w:tcPr>
            <w:tcW w:w="306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3020" w:type="dxa"/>
            <w:vAlign w:val="bottom"/>
          </w:tcPr>
          <w:p>
            <w:pPr>
              <w:ind w:left="140"/>
              <w:spacing w:after="0"/>
              <w:rPr>
                <w:sz w:val="20"/>
                <w:szCs w:val="20"/>
                <w:color w:val="auto"/>
              </w:rPr>
            </w:pPr>
            <w:r>
              <w:rPr>
                <w:rFonts w:ascii="Arial" w:cs="Arial" w:eastAsia="Arial" w:hAnsi="Arial"/>
                <w:sz w:val="18"/>
                <w:szCs w:val="18"/>
                <w:color w:val="auto"/>
              </w:rPr>
              <w:t>St. Clair Shore, MI 48081</w:t>
            </w:r>
          </w:p>
        </w:tc>
        <w:tc>
          <w:tcPr>
            <w:tcW w:w="1280" w:type="dxa"/>
            <w:vAlign w:val="bottom"/>
          </w:tcPr>
          <w:p>
            <w:pPr>
              <w:spacing w:after="0"/>
              <w:rPr>
                <w:sz w:val="19"/>
                <w:szCs w:val="19"/>
                <w:color w:val="auto"/>
              </w:rPr>
            </w:pPr>
          </w:p>
        </w:tc>
      </w:tr>
      <w:tr>
        <w:trPr>
          <w:trHeight w:val="223"/>
        </w:trPr>
        <w:tc>
          <w:tcPr>
            <w:tcW w:w="306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980" w:type="dxa"/>
            <w:vAlign w:val="bottom"/>
          </w:tcPr>
          <w:p>
            <w:pPr>
              <w:ind w:left="700"/>
              <w:spacing w:after="0"/>
              <w:rPr>
                <w:sz w:val="20"/>
                <w:szCs w:val="20"/>
                <w:color w:val="auto"/>
              </w:rPr>
            </w:pPr>
            <w:r>
              <w:rPr>
                <w:rFonts w:ascii="Arial" w:cs="Arial" w:eastAsia="Arial" w:hAnsi="Arial"/>
                <w:sz w:val="18"/>
                <w:szCs w:val="18"/>
                <w:color w:val="auto"/>
              </w:rPr>
              <w:t>ST. LUCIE SURGERY CENTER</w:t>
            </w:r>
          </w:p>
        </w:tc>
        <w:tc>
          <w:tcPr>
            <w:tcW w:w="3020" w:type="dxa"/>
            <w:vAlign w:val="bottom"/>
          </w:tcPr>
          <w:p>
            <w:pPr>
              <w:ind w:left="140"/>
              <w:spacing w:after="0"/>
              <w:rPr>
                <w:sz w:val="20"/>
                <w:szCs w:val="20"/>
                <w:color w:val="auto"/>
              </w:rPr>
            </w:pPr>
            <w:r>
              <w:rPr>
                <w:rFonts w:ascii="Arial" w:cs="Arial" w:eastAsia="Arial" w:hAnsi="Arial"/>
                <w:sz w:val="18"/>
                <w:szCs w:val="18"/>
                <w:color w:val="auto"/>
              </w:rPr>
              <w:t>1310 S.E West Star Ave</w:t>
            </w:r>
          </w:p>
        </w:tc>
        <w:tc>
          <w:tcPr>
            <w:tcW w:w="1280" w:type="dxa"/>
            <w:vAlign w:val="bottom"/>
          </w:tcPr>
          <w:p>
            <w:pPr>
              <w:ind w:left="540"/>
              <w:spacing w:after="0"/>
              <w:rPr>
                <w:sz w:val="20"/>
                <w:szCs w:val="20"/>
                <w:color w:val="auto"/>
              </w:rPr>
            </w:pPr>
            <w:r>
              <w:rPr>
                <w:rFonts w:ascii="Arial" w:cs="Arial" w:eastAsia="Arial" w:hAnsi="Arial"/>
                <w:sz w:val="18"/>
                <w:szCs w:val="18"/>
                <w:color w:val="auto"/>
                <w:w w:val="83"/>
              </w:rPr>
              <w:t>Consignee</w:t>
            </w:r>
          </w:p>
        </w:tc>
      </w:tr>
      <w:tr>
        <w:trPr>
          <w:trHeight w:val="222"/>
        </w:trPr>
        <w:tc>
          <w:tcPr>
            <w:tcW w:w="306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3020" w:type="dxa"/>
            <w:vAlign w:val="bottom"/>
          </w:tcPr>
          <w:p>
            <w:pPr>
              <w:ind w:left="140"/>
              <w:spacing w:after="0"/>
              <w:rPr>
                <w:sz w:val="20"/>
                <w:szCs w:val="20"/>
                <w:color w:val="auto"/>
              </w:rPr>
            </w:pPr>
            <w:r>
              <w:rPr>
                <w:rFonts w:ascii="Arial" w:cs="Arial" w:eastAsia="Arial" w:hAnsi="Arial"/>
                <w:sz w:val="18"/>
                <w:szCs w:val="18"/>
                <w:color w:val="auto"/>
              </w:rPr>
              <w:t>Port St. Lucie, FL 34952</w:t>
            </w:r>
          </w:p>
        </w:tc>
        <w:tc>
          <w:tcPr>
            <w:tcW w:w="1280" w:type="dxa"/>
            <w:vAlign w:val="bottom"/>
          </w:tcPr>
          <w:p>
            <w:pPr>
              <w:spacing w:after="0"/>
              <w:rPr>
                <w:sz w:val="19"/>
                <w:szCs w:val="19"/>
                <w:color w:val="auto"/>
              </w:rPr>
            </w:pPr>
          </w:p>
        </w:tc>
      </w:tr>
      <w:tr>
        <w:trPr>
          <w:trHeight w:val="223"/>
        </w:trPr>
        <w:tc>
          <w:tcPr>
            <w:tcW w:w="306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980" w:type="dxa"/>
            <w:vAlign w:val="bottom"/>
          </w:tcPr>
          <w:p>
            <w:pPr>
              <w:ind w:left="700"/>
              <w:spacing w:after="0"/>
              <w:rPr>
                <w:sz w:val="20"/>
                <w:szCs w:val="20"/>
                <w:color w:val="auto"/>
              </w:rPr>
            </w:pPr>
            <w:r>
              <w:rPr>
                <w:rFonts w:ascii="Arial" w:cs="Arial" w:eastAsia="Arial" w:hAnsi="Arial"/>
                <w:sz w:val="18"/>
                <w:szCs w:val="18"/>
                <w:color w:val="auto"/>
              </w:rPr>
              <w:t>FLORIDA HOSPITAL - EAST</w:t>
            </w:r>
          </w:p>
        </w:tc>
        <w:tc>
          <w:tcPr>
            <w:tcW w:w="3020" w:type="dxa"/>
            <w:vAlign w:val="bottom"/>
          </w:tcPr>
          <w:p>
            <w:pPr>
              <w:ind w:left="140"/>
              <w:spacing w:after="0"/>
              <w:rPr>
                <w:sz w:val="20"/>
                <w:szCs w:val="20"/>
                <w:color w:val="auto"/>
              </w:rPr>
            </w:pPr>
            <w:r>
              <w:rPr>
                <w:rFonts w:ascii="Arial" w:cs="Arial" w:eastAsia="Arial" w:hAnsi="Arial"/>
                <w:sz w:val="18"/>
                <w:szCs w:val="18"/>
                <w:color w:val="auto"/>
              </w:rPr>
              <w:t>7727 Lake Underhill Drive</w:t>
            </w:r>
          </w:p>
        </w:tc>
        <w:tc>
          <w:tcPr>
            <w:tcW w:w="1280" w:type="dxa"/>
            <w:vAlign w:val="bottom"/>
          </w:tcPr>
          <w:p>
            <w:pPr>
              <w:ind w:left="540"/>
              <w:spacing w:after="0"/>
              <w:rPr>
                <w:sz w:val="20"/>
                <w:szCs w:val="20"/>
                <w:color w:val="auto"/>
              </w:rPr>
            </w:pPr>
            <w:r>
              <w:rPr>
                <w:rFonts w:ascii="Arial" w:cs="Arial" w:eastAsia="Arial" w:hAnsi="Arial"/>
                <w:sz w:val="18"/>
                <w:szCs w:val="18"/>
                <w:color w:val="auto"/>
                <w:w w:val="83"/>
              </w:rPr>
              <w:t>Consignee</w:t>
            </w:r>
          </w:p>
        </w:tc>
      </w:tr>
      <w:tr>
        <w:trPr>
          <w:trHeight w:val="222"/>
        </w:trPr>
        <w:tc>
          <w:tcPr>
            <w:tcW w:w="306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3020" w:type="dxa"/>
            <w:vAlign w:val="bottom"/>
          </w:tcPr>
          <w:p>
            <w:pPr>
              <w:ind w:left="140"/>
              <w:spacing w:after="0"/>
              <w:rPr>
                <w:sz w:val="20"/>
                <w:szCs w:val="20"/>
                <w:color w:val="auto"/>
              </w:rPr>
            </w:pPr>
            <w:r>
              <w:rPr>
                <w:rFonts w:ascii="Arial" w:cs="Arial" w:eastAsia="Arial" w:hAnsi="Arial"/>
                <w:sz w:val="18"/>
                <w:szCs w:val="18"/>
                <w:color w:val="auto"/>
              </w:rPr>
              <w:t>Orlando, FL 32822</w:t>
            </w:r>
          </w:p>
        </w:tc>
        <w:tc>
          <w:tcPr>
            <w:tcW w:w="1280" w:type="dxa"/>
            <w:vAlign w:val="bottom"/>
          </w:tcPr>
          <w:p>
            <w:pPr>
              <w:spacing w:after="0"/>
              <w:rPr>
                <w:sz w:val="19"/>
                <w:szCs w:val="19"/>
                <w:color w:val="auto"/>
              </w:rPr>
            </w:pPr>
          </w:p>
        </w:tc>
      </w:tr>
    </w:tbl>
    <w:p>
      <w:pPr>
        <w:sectPr>
          <w:pgSz w:w="11900" w:h="16838" w:orient="portrait"/>
          <w:cols w:equalWidth="0" w:num="1">
            <w:col w:w="11340"/>
          </w:cols>
          <w:pgMar w:left="240" w:top="280" w:right="319" w:bottom="1440" w:gutter="0" w:footer="0" w:header="0"/>
        </w:sectPr>
      </w:pPr>
    </w:p>
    <w:bookmarkStart w:id="322" w:name="page323"/>
    <w:bookmarkEnd w:id="32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JOHN A. PARODI</w:t>
            </w:r>
          </w:p>
        </w:tc>
        <w:tc>
          <w:tcPr>
            <w:tcW w:w="2720" w:type="dxa"/>
            <w:vAlign w:val="bottom"/>
          </w:tcPr>
          <w:p>
            <w:pPr>
              <w:ind w:left="60"/>
              <w:spacing w:after="0"/>
              <w:rPr>
                <w:sz w:val="20"/>
                <w:szCs w:val="20"/>
                <w:color w:val="auto"/>
              </w:rPr>
            </w:pPr>
            <w:r>
              <w:rPr>
                <w:rFonts w:ascii="Arial" w:cs="Arial" w:eastAsia="Arial" w:hAnsi="Arial"/>
                <w:sz w:val="18"/>
                <w:szCs w:val="18"/>
                <w:color w:val="auto"/>
              </w:rPr>
              <w:t>105 South Main Ave</w:t>
            </w:r>
          </w:p>
        </w:tc>
        <w:tc>
          <w:tcPr>
            <w:tcW w:w="920" w:type="dxa"/>
            <w:vAlign w:val="bottom"/>
          </w:tcPr>
          <w:p>
            <w:pPr>
              <w:ind w:left="18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720" w:type="dxa"/>
            <w:vAlign w:val="bottom"/>
          </w:tcPr>
          <w:p>
            <w:pPr>
              <w:ind w:left="60"/>
              <w:spacing w:after="0"/>
              <w:rPr>
                <w:sz w:val="20"/>
                <w:szCs w:val="20"/>
                <w:color w:val="auto"/>
              </w:rPr>
            </w:pPr>
            <w:r>
              <w:rPr>
                <w:rFonts w:ascii="Arial" w:cs="Arial" w:eastAsia="Arial" w:hAnsi="Arial"/>
                <w:sz w:val="18"/>
                <w:szCs w:val="18"/>
                <w:color w:val="auto"/>
              </w:rPr>
              <w:t>Albany, NY 12208</w:t>
            </w:r>
          </w:p>
        </w:tc>
        <w:tc>
          <w:tcPr>
            <w:tcW w:w="92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GATEWAY SC HOSPITAL</w:t>
            </w:r>
          </w:p>
        </w:tc>
        <w:tc>
          <w:tcPr>
            <w:tcW w:w="2720" w:type="dxa"/>
            <w:vAlign w:val="bottom"/>
          </w:tcPr>
          <w:p>
            <w:pPr>
              <w:ind w:left="60"/>
              <w:spacing w:after="0"/>
              <w:rPr>
                <w:sz w:val="20"/>
                <w:szCs w:val="20"/>
                <w:color w:val="auto"/>
              </w:rPr>
            </w:pPr>
            <w:r>
              <w:rPr>
                <w:rFonts w:ascii="Arial" w:cs="Arial" w:eastAsia="Arial" w:hAnsi="Arial"/>
                <w:sz w:val="18"/>
                <w:szCs w:val="18"/>
                <w:color w:val="auto"/>
                <w:w w:val="94"/>
              </w:rPr>
              <w:t>690 N. Cofco Center Ct Suite #150</w:t>
            </w:r>
          </w:p>
        </w:tc>
        <w:tc>
          <w:tcPr>
            <w:tcW w:w="920" w:type="dxa"/>
            <w:vAlign w:val="bottom"/>
          </w:tcPr>
          <w:p>
            <w:pPr>
              <w:ind w:left="18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720" w:type="dxa"/>
            <w:vAlign w:val="bottom"/>
          </w:tcPr>
          <w:p>
            <w:pPr>
              <w:ind w:left="60"/>
              <w:spacing w:after="0"/>
              <w:rPr>
                <w:sz w:val="20"/>
                <w:szCs w:val="20"/>
                <w:color w:val="auto"/>
              </w:rPr>
            </w:pPr>
            <w:r>
              <w:rPr>
                <w:rFonts w:ascii="Arial" w:cs="Arial" w:eastAsia="Arial" w:hAnsi="Arial"/>
                <w:sz w:val="18"/>
                <w:szCs w:val="18"/>
                <w:color w:val="auto"/>
              </w:rPr>
              <w:t>Phoenix, AZ 85008</w:t>
            </w:r>
          </w:p>
        </w:tc>
        <w:tc>
          <w:tcPr>
            <w:tcW w:w="92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SCOTTSDALE HEALTHCARE</w:t>
            </w:r>
          </w:p>
        </w:tc>
        <w:tc>
          <w:tcPr>
            <w:tcW w:w="2720" w:type="dxa"/>
            <w:vAlign w:val="bottom"/>
          </w:tcPr>
          <w:p>
            <w:pPr>
              <w:ind w:left="60"/>
              <w:spacing w:after="0"/>
              <w:rPr>
                <w:sz w:val="20"/>
                <w:szCs w:val="20"/>
                <w:color w:val="auto"/>
              </w:rPr>
            </w:pPr>
            <w:r>
              <w:rPr>
                <w:rFonts w:ascii="Arial" w:cs="Arial" w:eastAsia="Arial" w:hAnsi="Arial"/>
                <w:sz w:val="18"/>
                <w:szCs w:val="18"/>
                <w:color w:val="auto"/>
              </w:rPr>
              <w:t>7400 East Osborn Road</w:t>
            </w:r>
          </w:p>
        </w:tc>
        <w:tc>
          <w:tcPr>
            <w:tcW w:w="920" w:type="dxa"/>
            <w:vAlign w:val="bottom"/>
          </w:tcPr>
          <w:p>
            <w:pPr>
              <w:ind w:left="18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ind w:left="380"/>
              <w:spacing w:after="0"/>
              <w:rPr>
                <w:sz w:val="20"/>
                <w:szCs w:val="20"/>
                <w:color w:val="auto"/>
              </w:rPr>
            </w:pPr>
            <w:r>
              <w:rPr>
                <w:rFonts w:ascii="Arial" w:cs="Arial" w:eastAsia="Arial" w:hAnsi="Arial"/>
                <w:sz w:val="18"/>
                <w:szCs w:val="18"/>
                <w:color w:val="auto"/>
              </w:rPr>
              <w:t>OSBORN HOSPITAL</w:t>
            </w:r>
          </w:p>
        </w:tc>
        <w:tc>
          <w:tcPr>
            <w:tcW w:w="2720" w:type="dxa"/>
            <w:vAlign w:val="bottom"/>
          </w:tcPr>
          <w:p>
            <w:pPr>
              <w:ind w:left="60"/>
              <w:spacing w:after="0"/>
              <w:rPr>
                <w:sz w:val="20"/>
                <w:szCs w:val="20"/>
                <w:color w:val="auto"/>
              </w:rPr>
            </w:pPr>
            <w:r>
              <w:rPr>
                <w:rFonts w:ascii="Arial" w:cs="Arial" w:eastAsia="Arial" w:hAnsi="Arial"/>
                <w:sz w:val="18"/>
                <w:szCs w:val="18"/>
                <w:color w:val="auto"/>
              </w:rPr>
              <w:t>Scottsdale, AZ 85251</w:t>
            </w:r>
          </w:p>
        </w:tc>
        <w:tc>
          <w:tcPr>
            <w:tcW w:w="92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UNIVERSITY MEDICAL CENTER</w:t>
            </w:r>
          </w:p>
        </w:tc>
        <w:tc>
          <w:tcPr>
            <w:tcW w:w="2720" w:type="dxa"/>
            <w:vAlign w:val="bottom"/>
          </w:tcPr>
          <w:p>
            <w:pPr>
              <w:ind w:left="60"/>
              <w:spacing w:after="0"/>
              <w:rPr>
                <w:sz w:val="20"/>
                <w:szCs w:val="20"/>
                <w:color w:val="auto"/>
              </w:rPr>
            </w:pPr>
            <w:r>
              <w:rPr>
                <w:rFonts w:ascii="Arial" w:cs="Arial" w:eastAsia="Arial" w:hAnsi="Arial"/>
                <w:sz w:val="18"/>
                <w:szCs w:val="18"/>
                <w:color w:val="auto"/>
              </w:rPr>
              <w:t>1501 N Campbell Ave</w:t>
            </w:r>
          </w:p>
        </w:tc>
        <w:tc>
          <w:tcPr>
            <w:tcW w:w="920" w:type="dxa"/>
            <w:vAlign w:val="bottom"/>
          </w:tcPr>
          <w:p>
            <w:pPr>
              <w:ind w:left="18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720" w:type="dxa"/>
            <w:vAlign w:val="bottom"/>
          </w:tcPr>
          <w:p>
            <w:pPr>
              <w:ind w:left="60"/>
              <w:spacing w:after="0"/>
              <w:rPr>
                <w:sz w:val="20"/>
                <w:szCs w:val="20"/>
                <w:color w:val="auto"/>
              </w:rPr>
            </w:pPr>
            <w:r>
              <w:rPr>
                <w:rFonts w:ascii="Arial" w:cs="Arial" w:eastAsia="Arial" w:hAnsi="Arial"/>
                <w:sz w:val="18"/>
                <w:szCs w:val="18"/>
                <w:color w:val="auto"/>
              </w:rPr>
              <w:t>Tucson, AZ 85724</w:t>
            </w:r>
          </w:p>
        </w:tc>
        <w:tc>
          <w:tcPr>
            <w:tcW w:w="92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MIRIAM HOSPITAL</w:t>
            </w:r>
          </w:p>
        </w:tc>
        <w:tc>
          <w:tcPr>
            <w:tcW w:w="2720" w:type="dxa"/>
            <w:vAlign w:val="bottom"/>
          </w:tcPr>
          <w:p>
            <w:pPr>
              <w:ind w:left="60"/>
              <w:spacing w:after="0"/>
              <w:rPr>
                <w:sz w:val="20"/>
                <w:szCs w:val="20"/>
                <w:color w:val="auto"/>
              </w:rPr>
            </w:pPr>
            <w:r>
              <w:rPr>
                <w:rFonts w:ascii="Arial" w:cs="Arial" w:eastAsia="Arial" w:hAnsi="Arial"/>
                <w:sz w:val="18"/>
                <w:szCs w:val="18"/>
                <w:color w:val="auto"/>
              </w:rPr>
              <w:t>164 Summit Avenue</w:t>
            </w:r>
          </w:p>
        </w:tc>
        <w:tc>
          <w:tcPr>
            <w:tcW w:w="920" w:type="dxa"/>
            <w:vAlign w:val="bottom"/>
          </w:tcPr>
          <w:p>
            <w:pPr>
              <w:ind w:left="18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720" w:type="dxa"/>
            <w:vAlign w:val="bottom"/>
          </w:tcPr>
          <w:p>
            <w:pPr>
              <w:ind w:left="60"/>
              <w:spacing w:after="0"/>
              <w:rPr>
                <w:sz w:val="20"/>
                <w:szCs w:val="20"/>
                <w:color w:val="auto"/>
              </w:rPr>
            </w:pPr>
            <w:r>
              <w:rPr>
                <w:rFonts w:ascii="Arial" w:cs="Arial" w:eastAsia="Arial" w:hAnsi="Arial"/>
                <w:sz w:val="18"/>
                <w:szCs w:val="18"/>
                <w:color w:val="auto"/>
              </w:rPr>
              <w:t>Providence, RI 02906</w:t>
            </w:r>
          </w:p>
        </w:tc>
        <w:tc>
          <w:tcPr>
            <w:tcW w:w="92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NORTH ADAMS HOSPITAL</w:t>
            </w:r>
          </w:p>
        </w:tc>
        <w:tc>
          <w:tcPr>
            <w:tcW w:w="2720" w:type="dxa"/>
            <w:vAlign w:val="bottom"/>
          </w:tcPr>
          <w:p>
            <w:pPr>
              <w:ind w:left="60"/>
              <w:spacing w:after="0"/>
              <w:rPr>
                <w:sz w:val="20"/>
                <w:szCs w:val="20"/>
                <w:color w:val="auto"/>
              </w:rPr>
            </w:pPr>
            <w:r>
              <w:rPr>
                <w:rFonts w:ascii="Arial" w:cs="Arial" w:eastAsia="Arial" w:hAnsi="Arial"/>
                <w:sz w:val="18"/>
                <w:szCs w:val="18"/>
                <w:color w:val="auto"/>
              </w:rPr>
              <w:t>71 Hospital Avenue</w:t>
            </w:r>
          </w:p>
        </w:tc>
        <w:tc>
          <w:tcPr>
            <w:tcW w:w="920" w:type="dxa"/>
            <w:vAlign w:val="bottom"/>
          </w:tcPr>
          <w:p>
            <w:pPr>
              <w:ind w:left="18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720" w:type="dxa"/>
            <w:vAlign w:val="bottom"/>
          </w:tcPr>
          <w:p>
            <w:pPr>
              <w:ind w:left="60"/>
              <w:spacing w:after="0"/>
              <w:rPr>
                <w:sz w:val="20"/>
                <w:szCs w:val="20"/>
                <w:color w:val="auto"/>
              </w:rPr>
            </w:pPr>
            <w:r>
              <w:rPr>
                <w:rFonts w:ascii="Arial" w:cs="Arial" w:eastAsia="Arial" w:hAnsi="Arial"/>
                <w:sz w:val="18"/>
                <w:szCs w:val="18"/>
                <w:color w:val="auto"/>
              </w:rPr>
              <w:t>North Adams, MA 02147</w:t>
            </w:r>
          </w:p>
        </w:tc>
        <w:tc>
          <w:tcPr>
            <w:tcW w:w="92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STURDY HOSPITAL</w:t>
            </w:r>
          </w:p>
        </w:tc>
        <w:tc>
          <w:tcPr>
            <w:tcW w:w="2720" w:type="dxa"/>
            <w:vAlign w:val="bottom"/>
          </w:tcPr>
          <w:p>
            <w:pPr>
              <w:ind w:left="60"/>
              <w:spacing w:after="0"/>
              <w:rPr>
                <w:sz w:val="20"/>
                <w:szCs w:val="20"/>
                <w:color w:val="auto"/>
              </w:rPr>
            </w:pPr>
            <w:r>
              <w:rPr>
                <w:rFonts w:ascii="Arial" w:cs="Arial" w:eastAsia="Arial" w:hAnsi="Arial"/>
                <w:sz w:val="18"/>
                <w:szCs w:val="18"/>
                <w:color w:val="auto"/>
              </w:rPr>
              <w:t>211 Park Street</w:t>
            </w:r>
          </w:p>
        </w:tc>
        <w:tc>
          <w:tcPr>
            <w:tcW w:w="920" w:type="dxa"/>
            <w:vAlign w:val="bottom"/>
          </w:tcPr>
          <w:p>
            <w:pPr>
              <w:ind w:left="18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720" w:type="dxa"/>
            <w:vAlign w:val="bottom"/>
          </w:tcPr>
          <w:p>
            <w:pPr>
              <w:ind w:left="60"/>
              <w:spacing w:after="0"/>
              <w:rPr>
                <w:sz w:val="20"/>
                <w:szCs w:val="20"/>
                <w:color w:val="auto"/>
              </w:rPr>
            </w:pPr>
            <w:r>
              <w:rPr>
                <w:rFonts w:ascii="Arial" w:cs="Arial" w:eastAsia="Arial" w:hAnsi="Arial"/>
                <w:sz w:val="18"/>
                <w:szCs w:val="18"/>
                <w:color w:val="auto"/>
              </w:rPr>
              <w:t>Attleboro, MA 02703</w:t>
            </w:r>
          </w:p>
        </w:tc>
        <w:tc>
          <w:tcPr>
            <w:tcW w:w="92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w w:val="96"/>
              </w:rPr>
              <w:t>NAPERVILLE SURGICAL CENTER</w:t>
            </w:r>
          </w:p>
        </w:tc>
        <w:tc>
          <w:tcPr>
            <w:tcW w:w="2720" w:type="dxa"/>
            <w:vAlign w:val="bottom"/>
          </w:tcPr>
          <w:p>
            <w:pPr>
              <w:ind w:left="60"/>
              <w:spacing w:after="0"/>
              <w:rPr>
                <w:sz w:val="20"/>
                <w:szCs w:val="20"/>
                <w:color w:val="auto"/>
              </w:rPr>
            </w:pPr>
            <w:r>
              <w:rPr>
                <w:rFonts w:ascii="Arial" w:cs="Arial" w:eastAsia="Arial" w:hAnsi="Arial"/>
                <w:sz w:val="18"/>
                <w:szCs w:val="18"/>
                <w:color w:val="auto"/>
              </w:rPr>
              <w:t>1263 Ruckert Drive</w:t>
            </w:r>
          </w:p>
        </w:tc>
        <w:tc>
          <w:tcPr>
            <w:tcW w:w="920" w:type="dxa"/>
            <w:vAlign w:val="bottom"/>
          </w:tcPr>
          <w:p>
            <w:pPr>
              <w:ind w:left="18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720" w:type="dxa"/>
            <w:vAlign w:val="bottom"/>
          </w:tcPr>
          <w:p>
            <w:pPr>
              <w:ind w:left="60"/>
              <w:spacing w:after="0"/>
              <w:rPr>
                <w:sz w:val="20"/>
                <w:szCs w:val="20"/>
                <w:color w:val="auto"/>
              </w:rPr>
            </w:pPr>
            <w:r>
              <w:rPr>
                <w:rFonts w:ascii="Arial" w:cs="Arial" w:eastAsia="Arial" w:hAnsi="Arial"/>
                <w:sz w:val="18"/>
                <w:szCs w:val="18"/>
                <w:color w:val="auto"/>
              </w:rPr>
              <w:t>Naperville, IL 60540</w:t>
            </w:r>
          </w:p>
        </w:tc>
        <w:tc>
          <w:tcPr>
            <w:tcW w:w="92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ASPIRUS WAUSAU HOSPITAL</w:t>
            </w:r>
          </w:p>
        </w:tc>
        <w:tc>
          <w:tcPr>
            <w:tcW w:w="2720" w:type="dxa"/>
            <w:vAlign w:val="bottom"/>
          </w:tcPr>
          <w:p>
            <w:pPr>
              <w:ind w:left="60"/>
              <w:spacing w:after="0"/>
              <w:rPr>
                <w:sz w:val="20"/>
                <w:szCs w:val="20"/>
                <w:color w:val="auto"/>
              </w:rPr>
            </w:pPr>
            <w:r>
              <w:rPr>
                <w:rFonts w:ascii="Arial" w:cs="Arial" w:eastAsia="Arial" w:hAnsi="Arial"/>
                <w:sz w:val="18"/>
                <w:szCs w:val="18"/>
                <w:color w:val="auto"/>
              </w:rPr>
              <w:t>333 Pine Ridge Blvd.</w:t>
            </w:r>
          </w:p>
        </w:tc>
        <w:tc>
          <w:tcPr>
            <w:tcW w:w="920" w:type="dxa"/>
            <w:vAlign w:val="bottom"/>
          </w:tcPr>
          <w:p>
            <w:pPr>
              <w:ind w:left="18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720" w:type="dxa"/>
            <w:vAlign w:val="bottom"/>
          </w:tcPr>
          <w:p>
            <w:pPr>
              <w:ind w:left="60"/>
              <w:spacing w:after="0"/>
              <w:rPr>
                <w:sz w:val="20"/>
                <w:szCs w:val="20"/>
                <w:color w:val="auto"/>
              </w:rPr>
            </w:pPr>
            <w:r>
              <w:rPr>
                <w:rFonts w:ascii="Arial" w:cs="Arial" w:eastAsia="Arial" w:hAnsi="Arial"/>
                <w:sz w:val="18"/>
                <w:szCs w:val="18"/>
                <w:color w:val="auto"/>
              </w:rPr>
              <w:t>Wausau, WI 54401</w:t>
            </w:r>
          </w:p>
        </w:tc>
        <w:tc>
          <w:tcPr>
            <w:tcW w:w="92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w w:val="99"/>
              </w:rPr>
              <w:t>BAYLOR UNIVERSITY HOSPITAL</w:t>
            </w:r>
          </w:p>
        </w:tc>
        <w:tc>
          <w:tcPr>
            <w:tcW w:w="2720" w:type="dxa"/>
            <w:vAlign w:val="bottom"/>
          </w:tcPr>
          <w:p>
            <w:pPr>
              <w:ind w:left="60"/>
              <w:spacing w:after="0"/>
              <w:rPr>
                <w:sz w:val="20"/>
                <w:szCs w:val="20"/>
                <w:color w:val="auto"/>
              </w:rPr>
            </w:pPr>
            <w:r>
              <w:rPr>
                <w:rFonts w:ascii="Arial" w:cs="Arial" w:eastAsia="Arial" w:hAnsi="Arial"/>
                <w:sz w:val="18"/>
                <w:szCs w:val="18"/>
                <w:color w:val="auto"/>
              </w:rPr>
              <w:t>3500 Gaston Avenue</w:t>
            </w:r>
          </w:p>
        </w:tc>
        <w:tc>
          <w:tcPr>
            <w:tcW w:w="920" w:type="dxa"/>
            <w:vAlign w:val="bottom"/>
          </w:tcPr>
          <w:p>
            <w:pPr>
              <w:ind w:left="180"/>
              <w:spacing w:after="0"/>
              <w:rPr>
                <w:sz w:val="20"/>
                <w:szCs w:val="20"/>
                <w:color w:val="auto"/>
              </w:rPr>
            </w:pPr>
            <w:r>
              <w:rPr>
                <w:rFonts w:ascii="Arial" w:cs="Arial" w:eastAsia="Arial" w:hAnsi="Arial"/>
                <w:sz w:val="18"/>
                <w:szCs w:val="18"/>
                <w:color w:val="auto"/>
                <w:w w:val="83"/>
              </w:rPr>
              <w:t>Consignee</w:t>
            </w:r>
          </w:p>
        </w:tc>
      </w:tr>
      <w:tr>
        <w:trPr>
          <w:trHeight w:val="216"/>
        </w:trPr>
        <w:tc>
          <w:tcPr>
            <w:tcW w:w="27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720" w:type="dxa"/>
            <w:vAlign w:val="bottom"/>
          </w:tcPr>
          <w:p>
            <w:pPr>
              <w:ind w:left="60"/>
              <w:spacing w:after="0"/>
              <w:rPr>
                <w:sz w:val="20"/>
                <w:szCs w:val="20"/>
                <w:color w:val="auto"/>
              </w:rPr>
            </w:pPr>
            <w:r>
              <w:rPr>
                <w:rFonts w:ascii="Arial" w:cs="Arial" w:eastAsia="Arial" w:hAnsi="Arial"/>
                <w:sz w:val="18"/>
                <w:szCs w:val="18"/>
                <w:color w:val="auto"/>
              </w:rPr>
              <w:t>5</w:t>
            </w:r>
            <w:r>
              <w:rPr>
                <w:rFonts w:ascii="Arial" w:cs="Arial" w:eastAsia="Arial" w:hAnsi="Arial"/>
                <w:sz w:val="11"/>
                <w:szCs w:val="11"/>
                <w:color w:val="auto"/>
              </w:rPr>
              <w:t>th</w:t>
            </w:r>
            <w:r>
              <w:rPr>
                <w:rFonts w:ascii="Arial" w:cs="Arial" w:eastAsia="Arial" w:hAnsi="Arial"/>
                <w:sz w:val="18"/>
                <w:szCs w:val="18"/>
                <w:color w:val="auto"/>
              </w:rPr>
              <w:t xml:space="preserve"> Floor Truett Building</w:t>
            </w:r>
          </w:p>
        </w:tc>
        <w:tc>
          <w:tcPr>
            <w:tcW w:w="920" w:type="dxa"/>
            <w:vAlign w:val="bottom"/>
          </w:tcPr>
          <w:p>
            <w:pPr>
              <w:spacing w:after="0"/>
              <w:rPr>
                <w:sz w:val="18"/>
                <w:szCs w:val="18"/>
                <w:color w:val="auto"/>
              </w:rPr>
            </w:pPr>
          </w:p>
        </w:tc>
      </w:tr>
      <w:tr>
        <w:trPr>
          <w:trHeight w:val="222"/>
        </w:trPr>
        <w:tc>
          <w:tcPr>
            <w:tcW w:w="27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720" w:type="dxa"/>
            <w:vAlign w:val="bottom"/>
          </w:tcPr>
          <w:p>
            <w:pPr>
              <w:ind w:left="60"/>
              <w:spacing w:after="0"/>
              <w:rPr>
                <w:sz w:val="20"/>
                <w:szCs w:val="20"/>
                <w:color w:val="auto"/>
              </w:rPr>
            </w:pPr>
            <w:r>
              <w:rPr>
                <w:rFonts w:ascii="Arial" w:cs="Arial" w:eastAsia="Arial" w:hAnsi="Arial"/>
                <w:sz w:val="18"/>
                <w:szCs w:val="18"/>
                <w:color w:val="auto"/>
              </w:rPr>
              <w:t>Dallas, TX 75246</w:t>
            </w:r>
          </w:p>
        </w:tc>
        <w:tc>
          <w:tcPr>
            <w:tcW w:w="92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HILLCREST BAPTIST MEDICAL</w:t>
            </w:r>
          </w:p>
        </w:tc>
        <w:tc>
          <w:tcPr>
            <w:tcW w:w="2720" w:type="dxa"/>
            <w:vAlign w:val="bottom"/>
          </w:tcPr>
          <w:p>
            <w:pPr>
              <w:ind w:left="60"/>
              <w:spacing w:after="0"/>
              <w:rPr>
                <w:sz w:val="20"/>
                <w:szCs w:val="20"/>
                <w:color w:val="auto"/>
              </w:rPr>
            </w:pPr>
            <w:r>
              <w:rPr>
                <w:rFonts w:ascii="Arial" w:cs="Arial" w:eastAsia="Arial" w:hAnsi="Arial"/>
                <w:sz w:val="18"/>
                <w:szCs w:val="18"/>
                <w:color w:val="auto"/>
              </w:rPr>
              <w:t>3000 Herring Avenue</w:t>
            </w:r>
          </w:p>
        </w:tc>
        <w:tc>
          <w:tcPr>
            <w:tcW w:w="920" w:type="dxa"/>
            <w:vAlign w:val="bottom"/>
          </w:tcPr>
          <w:p>
            <w:pPr>
              <w:ind w:left="18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ind w:left="380"/>
              <w:spacing w:after="0"/>
              <w:rPr>
                <w:sz w:val="20"/>
                <w:szCs w:val="20"/>
                <w:color w:val="auto"/>
              </w:rPr>
            </w:pPr>
            <w:r>
              <w:rPr>
                <w:rFonts w:ascii="Arial" w:cs="Arial" w:eastAsia="Arial" w:hAnsi="Arial"/>
                <w:sz w:val="18"/>
                <w:szCs w:val="18"/>
                <w:color w:val="auto"/>
              </w:rPr>
              <w:t>CENTER</w:t>
            </w:r>
          </w:p>
        </w:tc>
        <w:tc>
          <w:tcPr>
            <w:tcW w:w="2720" w:type="dxa"/>
            <w:vAlign w:val="bottom"/>
          </w:tcPr>
          <w:p>
            <w:pPr>
              <w:ind w:left="60"/>
              <w:spacing w:after="0"/>
              <w:rPr>
                <w:sz w:val="20"/>
                <w:szCs w:val="20"/>
                <w:color w:val="auto"/>
              </w:rPr>
            </w:pPr>
            <w:r>
              <w:rPr>
                <w:rFonts w:ascii="Arial" w:cs="Arial" w:eastAsia="Arial" w:hAnsi="Arial"/>
                <w:sz w:val="18"/>
                <w:szCs w:val="18"/>
                <w:color w:val="auto"/>
              </w:rPr>
              <w:t>Waco, TX 76708-0100</w:t>
            </w:r>
          </w:p>
        </w:tc>
        <w:tc>
          <w:tcPr>
            <w:tcW w:w="92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MERCEY MEDICAL CENTER</w:t>
            </w:r>
          </w:p>
        </w:tc>
        <w:tc>
          <w:tcPr>
            <w:tcW w:w="2720" w:type="dxa"/>
            <w:vAlign w:val="bottom"/>
          </w:tcPr>
          <w:p>
            <w:pPr>
              <w:ind w:left="60"/>
              <w:spacing w:after="0"/>
              <w:rPr>
                <w:sz w:val="20"/>
                <w:szCs w:val="20"/>
                <w:color w:val="auto"/>
              </w:rPr>
            </w:pPr>
            <w:r>
              <w:rPr>
                <w:rFonts w:ascii="Arial" w:cs="Arial" w:eastAsia="Arial" w:hAnsi="Arial"/>
                <w:sz w:val="18"/>
                <w:szCs w:val="18"/>
                <w:color w:val="auto"/>
              </w:rPr>
              <w:t>271 Carew Street</w:t>
            </w:r>
          </w:p>
        </w:tc>
        <w:tc>
          <w:tcPr>
            <w:tcW w:w="920" w:type="dxa"/>
            <w:vAlign w:val="bottom"/>
          </w:tcPr>
          <w:p>
            <w:pPr>
              <w:ind w:left="18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720" w:type="dxa"/>
            <w:vAlign w:val="bottom"/>
          </w:tcPr>
          <w:p>
            <w:pPr>
              <w:ind w:left="60"/>
              <w:spacing w:after="0"/>
              <w:rPr>
                <w:sz w:val="20"/>
                <w:szCs w:val="20"/>
                <w:color w:val="auto"/>
              </w:rPr>
            </w:pPr>
            <w:r>
              <w:rPr>
                <w:rFonts w:ascii="Arial" w:cs="Arial" w:eastAsia="Arial" w:hAnsi="Arial"/>
                <w:sz w:val="18"/>
                <w:szCs w:val="18"/>
                <w:color w:val="auto"/>
              </w:rPr>
              <w:t>Springfield, MA 01102</w:t>
            </w:r>
          </w:p>
        </w:tc>
        <w:tc>
          <w:tcPr>
            <w:tcW w:w="92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VANDERBILT UNIVERSITY</w:t>
            </w:r>
          </w:p>
        </w:tc>
        <w:tc>
          <w:tcPr>
            <w:tcW w:w="2720" w:type="dxa"/>
            <w:vAlign w:val="bottom"/>
          </w:tcPr>
          <w:p>
            <w:pPr>
              <w:ind w:left="60"/>
              <w:spacing w:after="0"/>
              <w:rPr>
                <w:sz w:val="20"/>
                <w:szCs w:val="20"/>
                <w:color w:val="auto"/>
              </w:rPr>
            </w:pPr>
            <w:r>
              <w:rPr>
                <w:rFonts w:ascii="Arial" w:cs="Arial" w:eastAsia="Arial" w:hAnsi="Arial"/>
                <w:sz w:val="18"/>
                <w:szCs w:val="18"/>
                <w:color w:val="auto"/>
              </w:rPr>
              <w:t>1126 22</w:t>
            </w:r>
            <w:r>
              <w:rPr>
                <w:rFonts w:ascii="Arial" w:cs="Arial" w:eastAsia="Arial" w:hAnsi="Arial"/>
                <w:sz w:val="11"/>
                <w:szCs w:val="11"/>
                <w:color w:val="auto"/>
              </w:rPr>
              <w:t>nd</w:t>
            </w:r>
            <w:r>
              <w:rPr>
                <w:rFonts w:ascii="Arial" w:cs="Arial" w:eastAsia="Arial" w:hAnsi="Arial"/>
                <w:sz w:val="18"/>
                <w:szCs w:val="18"/>
                <w:color w:val="auto"/>
              </w:rPr>
              <w:t xml:space="preserve"> Avenue South</w:t>
            </w:r>
          </w:p>
        </w:tc>
        <w:tc>
          <w:tcPr>
            <w:tcW w:w="920" w:type="dxa"/>
            <w:vAlign w:val="bottom"/>
          </w:tcPr>
          <w:p>
            <w:pPr>
              <w:ind w:left="18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ind w:left="380"/>
              <w:spacing w:after="0"/>
              <w:rPr>
                <w:sz w:val="20"/>
                <w:szCs w:val="20"/>
                <w:color w:val="auto"/>
              </w:rPr>
            </w:pPr>
            <w:r>
              <w:rPr>
                <w:rFonts w:ascii="Arial" w:cs="Arial" w:eastAsia="Arial" w:hAnsi="Arial"/>
                <w:sz w:val="18"/>
                <w:szCs w:val="18"/>
                <w:color w:val="auto"/>
              </w:rPr>
              <w:t>HOSPITAL</w:t>
            </w:r>
          </w:p>
        </w:tc>
        <w:tc>
          <w:tcPr>
            <w:tcW w:w="2720" w:type="dxa"/>
            <w:vAlign w:val="bottom"/>
          </w:tcPr>
          <w:p>
            <w:pPr>
              <w:ind w:left="60"/>
              <w:spacing w:after="0"/>
              <w:rPr>
                <w:sz w:val="20"/>
                <w:szCs w:val="20"/>
                <w:color w:val="auto"/>
              </w:rPr>
            </w:pPr>
            <w:r>
              <w:rPr>
                <w:rFonts w:ascii="Arial" w:cs="Arial" w:eastAsia="Arial" w:hAnsi="Arial"/>
                <w:sz w:val="18"/>
                <w:szCs w:val="18"/>
                <w:color w:val="auto"/>
              </w:rPr>
              <w:t>Nashville, TN 37232</w:t>
            </w:r>
          </w:p>
        </w:tc>
        <w:tc>
          <w:tcPr>
            <w:tcW w:w="92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TEXAS CHILDREN’S HOSPITAL</w:t>
            </w:r>
          </w:p>
        </w:tc>
        <w:tc>
          <w:tcPr>
            <w:tcW w:w="2720" w:type="dxa"/>
            <w:vAlign w:val="bottom"/>
          </w:tcPr>
          <w:p>
            <w:pPr>
              <w:ind w:left="60"/>
              <w:spacing w:after="0"/>
              <w:rPr>
                <w:sz w:val="20"/>
                <w:szCs w:val="20"/>
                <w:color w:val="auto"/>
              </w:rPr>
            </w:pPr>
            <w:r>
              <w:rPr>
                <w:rFonts w:ascii="Arial" w:cs="Arial" w:eastAsia="Arial" w:hAnsi="Arial"/>
                <w:sz w:val="18"/>
                <w:szCs w:val="18"/>
                <w:color w:val="auto"/>
              </w:rPr>
              <w:t>6621 Fannin Street</w:t>
            </w:r>
          </w:p>
        </w:tc>
        <w:tc>
          <w:tcPr>
            <w:tcW w:w="920" w:type="dxa"/>
            <w:vAlign w:val="bottom"/>
          </w:tcPr>
          <w:p>
            <w:pPr>
              <w:ind w:left="18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720" w:type="dxa"/>
            <w:vAlign w:val="bottom"/>
          </w:tcPr>
          <w:p>
            <w:pPr>
              <w:ind w:left="60"/>
              <w:spacing w:after="0"/>
              <w:rPr>
                <w:sz w:val="20"/>
                <w:szCs w:val="20"/>
                <w:color w:val="auto"/>
              </w:rPr>
            </w:pPr>
            <w:r>
              <w:rPr>
                <w:rFonts w:ascii="Arial" w:cs="Arial" w:eastAsia="Arial" w:hAnsi="Arial"/>
                <w:sz w:val="18"/>
                <w:szCs w:val="18"/>
                <w:color w:val="auto"/>
              </w:rPr>
              <w:t>Houston, TX 77030</w:t>
            </w:r>
          </w:p>
        </w:tc>
        <w:tc>
          <w:tcPr>
            <w:tcW w:w="92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MISSISSIPPI BAPTIST MEDICAL</w:t>
            </w:r>
          </w:p>
        </w:tc>
        <w:tc>
          <w:tcPr>
            <w:tcW w:w="2720" w:type="dxa"/>
            <w:vAlign w:val="bottom"/>
          </w:tcPr>
          <w:p>
            <w:pPr>
              <w:ind w:left="60"/>
              <w:spacing w:after="0"/>
              <w:rPr>
                <w:sz w:val="20"/>
                <w:szCs w:val="20"/>
                <w:color w:val="auto"/>
              </w:rPr>
            </w:pPr>
            <w:r>
              <w:rPr>
                <w:rFonts w:ascii="Arial" w:cs="Arial" w:eastAsia="Arial" w:hAnsi="Arial"/>
                <w:sz w:val="18"/>
                <w:szCs w:val="18"/>
                <w:color w:val="auto"/>
              </w:rPr>
              <w:t>1225 N State Street</w:t>
            </w:r>
          </w:p>
        </w:tc>
        <w:tc>
          <w:tcPr>
            <w:tcW w:w="920" w:type="dxa"/>
            <w:vAlign w:val="bottom"/>
          </w:tcPr>
          <w:p>
            <w:pPr>
              <w:ind w:left="18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ind w:left="380"/>
              <w:spacing w:after="0"/>
              <w:rPr>
                <w:sz w:val="20"/>
                <w:szCs w:val="20"/>
                <w:color w:val="auto"/>
              </w:rPr>
            </w:pPr>
            <w:r>
              <w:rPr>
                <w:rFonts w:ascii="Arial" w:cs="Arial" w:eastAsia="Arial" w:hAnsi="Arial"/>
                <w:sz w:val="18"/>
                <w:szCs w:val="18"/>
                <w:color w:val="auto"/>
              </w:rPr>
              <w:t>CENTER (HOSPITAL)</w:t>
            </w:r>
          </w:p>
        </w:tc>
        <w:tc>
          <w:tcPr>
            <w:tcW w:w="2720" w:type="dxa"/>
            <w:vAlign w:val="bottom"/>
          </w:tcPr>
          <w:p>
            <w:pPr>
              <w:ind w:left="60"/>
              <w:spacing w:after="0"/>
              <w:rPr>
                <w:sz w:val="20"/>
                <w:szCs w:val="20"/>
                <w:color w:val="auto"/>
              </w:rPr>
            </w:pPr>
            <w:r>
              <w:rPr>
                <w:rFonts w:ascii="Arial" w:cs="Arial" w:eastAsia="Arial" w:hAnsi="Arial"/>
                <w:sz w:val="18"/>
                <w:szCs w:val="18"/>
                <w:color w:val="auto"/>
              </w:rPr>
              <w:t>Jackson, MS 39202</w:t>
            </w:r>
          </w:p>
        </w:tc>
        <w:tc>
          <w:tcPr>
            <w:tcW w:w="92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BEAUFORT COUNTY HOSPITAL</w:t>
            </w:r>
          </w:p>
        </w:tc>
        <w:tc>
          <w:tcPr>
            <w:tcW w:w="2720" w:type="dxa"/>
            <w:vAlign w:val="bottom"/>
          </w:tcPr>
          <w:p>
            <w:pPr>
              <w:ind w:left="60"/>
              <w:spacing w:after="0"/>
              <w:rPr>
                <w:sz w:val="20"/>
                <w:szCs w:val="20"/>
                <w:color w:val="auto"/>
              </w:rPr>
            </w:pPr>
            <w:r>
              <w:rPr>
                <w:rFonts w:ascii="Arial" w:cs="Arial" w:eastAsia="Arial" w:hAnsi="Arial"/>
                <w:sz w:val="18"/>
                <w:szCs w:val="18"/>
                <w:color w:val="auto"/>
              </w:rPr>
              <w:t>628 E. 12</w:t>
            </w:r>
            <w:r>
              <w:rPr>
                <w:rFonts w:ascii="Arial" w:cs="Arial" w:eastAsia="Arial" w:hAnsi="Arial"/>
                <w:sz w:val="11"/>
                <w:szCs w:val="11"/>
                <w:color w:val="auto"/>
              </w:rPr>
              <w:t>th</w:t>
            </w:r>
            <w:r>
              <w:rPr>
                <w:rFonts w:ascii="Arial" w:cs="Arial" w:eastAsia="Arial" w:hAnsi="Arial"/>
                <w:sz w:val="18"/>
                <w:szCs w:val="18"/>
                <w:color w:val="auto"/>
              </w:rPr>
              <w:t xml:space="preserve"> Street</w:t>
            </w:r>
          </w:p>
        </w:tc>
        <w:tc>
          <w:tcPr>
            <w:tcW w:w="920" w:type="dxa"/>
            <w:vAlign w:val="bottom"/>
          </w:tcPr>
          <w:p>
            <w:pPr>
              <w:ind w:left="18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720" w:type="dxa"/>
            <w:vAlign w:val="bottom"/>
          </w:tcPr>
          <w:p>
            <w:pPr>
              <w:ind w:left="60"/>
              <w:spacing w:after="0"/>
              <w:rPr>
                <w:sz w:val="20"/>
                <w:szCs w:val="20"/>
                <w:color w:val="auto"/>
              </w:rPr>
            </w:pPr>
            <w:r>
              <w:rPr>
                <w:rFonts w:ascii="Arial" w:cs="Arial" w:eastAsia="Arial" w:hAnsi="Arial"/>
                <w:sz w:val="18"/>
                <w:szCs w:val="18"/>
                <w:color w:val="auto"/>
              </w:rPr>
              <w:t>Washington, NC 27889</w:t>
            </w:r>
          </w:p>
        </w:tc>
        <w:tc>
          <w:tcPr>
            <w:tcW w:w="92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CHILDREN’S HOSPTIAL</w:t>
            </w:r>
          </w:p>
        </w:tc>
        <w:tc>
          <w:tcPr>
            <w:tcW w:w="2720" w:type="dxa"/>
            <w:vAlign w:val="bottom"/>
          </w:tcPr>
          <w:p>
            <w:pPr>
              <w:ind w:left="60"/>
              <w:spacing w:after="0"/>
              <w:rPr>
                <w:sz w:val="20"/>
                <w:szCs w:val="20"/>
                <w:color w:val="auto"/>
              </w:rPr>
            </w:pPr>
            <w:r>
              <w:rPr>
                <w:rFonts w:ascii="Arial" w:cs="Arial" w:eastAsia="Arial" w:hAnsi="Arial"/>
                <w:sz w:val="18"/>
                <w:szCs w:val="18"/>
                <w:color w:val="auto"/>
              </w:rPr>
              <w:t>9000 W. Wisconsin Ave</w:t>
            </w:r>
          </w:p>
        </w:tc>
        <w:tc>
          <w:tcPr>
            <w:tcW w:w="920" w:type="dxa"/>
            <w:vAlign w:val="bottom"/>
          </w:tcPr>
          <w:p>
            <w:pPr>
              <w:ind w:left="18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720" w:type="dxa"/>
            <w:vAlign w:val="bottom"/>
          </w:tcPr>
          <w:p>
            <w:pPr>
              <w:ind w:left="60"/>
              <w:spacing w:after="0"/>
              <w:rPr>
                <w:sz w:val="20"/>
                <w:szCs w:val="20"/>
                <w:color w:val="auto"/>
              </w:rPr>
            </w:pPr>
            <w:r>
              <w:rPr>
                <w:rFonts w:ascii="Arial" w:cs="Arial" w:eastAsia="Arial" w:hAnsi="Arial"/>
                <w:sz w:val="18"/>
                <w:szCs w:val="18"/>
                <w:color w:val="auto"/>
              </w:rPr>
              <w:t>Milwaukee, WI 53226</w:t>
            </w:r>
          </w:p>
        </w:tc>
        <w:tc>
          <w:tcPr>
            <w:tcW w:w="92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COMMUNITY HOSPITAL</w:t>
            </w:r>
          </w:p>
        </w:tc>
        <w:tc>
          <w:tcPr>
            <w:tcW w:w="2720" w:type="dxa"/>
            <w:vAlign w:val="bottom"/>
          </w:tcPr>
          <w:p>
            <w:pPr>
              <w:ind w:left="60"/>
              <w:spacing w:after="0"/>
              <w:rPr>
                <w:sz w:val="20"/>
                <w:szCs w:val="20"/>
                <w:color w:val="auto"/>
              </w:rPr>
            </w:pPr>
            <w:r>
              <w:rPr>
                <w:rFonts w:ascii="Arial" w:cs="Arial" w:eastAsia="Arial" w:hAnsi="Arial"/>
                <w:sz w:val="18"/>
                <w:szCs w:val="18"/>
                <w:color w:val="auto"/>
              </w:rPr>
              <w:t>W180 N 8045 Town Hall Rd</w:t>
            </w:r>
          </w:p>
        </w:tc>
        <w:tc>
          <w:tcPr>
            <w:tcW w:w="920" w:type="dxa"/>
            <w:vAlign w:val="bottom"/>
          </w:tcPr>
          <w:p>
            <w:pPr>
              <w:ind w:left="18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720" w:type="dxa"/>
            <w:vAlign w:val="bottom"/>
          </w:tcPr>
          <w:p>
            <w:pPr>
              <w:ind w:left="60"/>
              <w:spacing w:after="0"/>
              <w:rPr>
                <w:sz w:val="20"/>
                <w:szCs w:val="20"/>
                <w:color w:val="auto"/>
              </w:rPr>
            </w:pPr>
            <w:r>
              <w:rPr>
                <w:rFonts w:ascii="Arial" w:cs="Arial" w:eastAsia="Arial" w:hAnsi="Arial"/>
                <w:sz w:val="18"/>
                <w:szCs w:val="18"/>
                <w:color w:val="auto"/>
              </w:rPr>
              <w:t>Menomoner Falls, WI 53051</w:t>
            </w:r>
          </w:p>
        </w:tc>
        <w:tc>
          <w:tcPr>
            <w:tcW w:w="92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DEARBORN SURGERY CENTER</w:t>
            </w:r>
          </w:p>
        </w:tc>
        <w:tc>
          <w:tcPr>
            <w:tcW w:w="2720" w:type="dxa"/>
            <w:vAlign w:val="bottom"/>
          </w:tcPr>
          <w:p>
            <w:pPr>
              <w:ind w:left="60"/>
              <w:spacing w:after="0"/>
              <w:rPr>
                <w:sz w:val="20"/>
                <w:szCs w:val="20"/>
                <w:color w:val="auto"/>
              </w:rPr>
            </w:pPr>
            <w:r>
              <w:rPr>
                <w:rFonts w:ascii="Arial" w:cs="Arial" w:eastAsia="Arial" w:hAnsi="Arial"/>
                <w:sz w:val="18"/>
                <w:szCs w:val="18"/>
                <w:color w:val="auto"/>
              </w:rPr>
              <w:t>18100 Oakwood Blvd</w:t>
            </w:r>
          </w:p>
        </w:tc>
        <w:tc>
          <w:tcPr>
            <w:tcW w:w="920" w:type="dxa"/>
            <w:vAlign w:val="bottom"/>
          </w:tcPr>
          <w:p>
            <w:pPr>
              <w:ind w:left="180"/>
              <w:spacing w:after="0"/>
              <w:rPr>
                <w:sz w:val="20"/>
                <w:szCs w:val="20"/>
                <w:color w:val="auto"/>
              </w:rPr>
            </w:pPr>
            <w:r>
              <w:rPr>
                <w:rFonts w:ascii="Arial" w:cs="Arial" w:eastAsia="Arial" w:hAnsi="Arial"/>
                <w:sz w:val="18"/>
                <w:szCs w:val="18"/>
                <w:color w:val="auto"/>
                <w:w w:val="83"/>
              </w:rPr>
              <w:t>Consignee</w:t>
            </w:r>
          </w:p>
        </w:tc>
      </w:tr>
      <w:tr>
        <w:trPr>
          <w:trHeight w:val="216"/>
        </w:trPr>
        <w:tc>
          <w:tcPr>
            <w:tcW w:w="27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720" w:type="dxa"/>
            <w:vAlign w:val="bottom"/>
          </w:tcPr>
          <w:p>
            <w:pPr>
              <w:ind w:left="60"/>
              <w:spacing w:after="0"/>
              <w:rPr>
                <w:sz w:val="20"/>
                <w:szCs w:val="20"/>
                <w:color w:val="auto"/>
              </w:rPr>
            </w:pPr>
            <w:r>
              <w:rPr>
                <w:rFonts w:ascii="Arial" w:cs="Arial" w:eastAsia="Arial" w:hAnsi="Arial"/>
                <w:sz w:val="18"/>
                <w:szCs w:val="18"/>
                <w:color w:val="auto"/>
              </w:rPr>
              <w:t>Ste 100</w:t>
            </w:r>
          </w:p>
        </w:tc>
        <w:tc>
          <w:tcPr>
            <w:tcW w:w="920" w:type="dxa"/>
            <w:vAlign w:val="bottom"/>
          </w:tcPr>
          <w:p>
            <w:pPr>
              <w:spacing w:after="0"/>
              <w:rPr>
                <w:sz w:val="18"/>
                <w:szCs w:val="18"/>
                <w:color w:val="auto"/>
              </w:rPr>
            </w:pPr>
          </w:p>
        </w:tc>
      </w:tr>
      <w:tr>
        <w:trPr>
          <w:trHeight w:val="222"/>
        </w:trPr>
        <w:tc>
          <w:tcPr>
            <w:tcW w:w="27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720" w:type="dxa"/>
            <w:vAlign w:val="bottom"/>
          </w:tcPr>
          <w:p>
            <w:pPr>
              <w:ind w:left="60"/>
              <w:spacing w:after="0"/>
              <w:rPr>
                <w:sz w:val="20"/>
                <w:szCs w:val="20"/>
                <w:color w:val="auto"/>
              </w:rPr>
            </w:pPr>
            <w:r>
              <w:rPr>
                <w:rFonts w:ascii="Arial" w:cs="Arial" w:eastAsia="Arial" w:hAnsi="Arial"/>
                <w:sz w:val="18"/>
                <w:szCs w:val="18"/>
                <w:color w:val="auto"/>
              </w:rPr>
              <w:t>Dearborn, MI 48124</w:t>
            </w:r>
          </w:p>
        </w:tc>
        <w:tc>
          <w:tcPr>
            <w:tcW w:w="92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FROEDTERT HOSPTIAL</w:t>
            </w:r>
          </w:p>
        </w:tc>
        <w:tc>
          <w:tcPr>
            <w:tcW w:w="2720" w:type="dxa"/>
            <w:vAlign w:val="bottom"/>
          </w:tcPr>
          <w:p>
            <w:pPr>
              <w:ind w:left="60"/>
              <w:spacing w:after="0"/>
              <w:rPr>
                <w:sz w:val="20"/>
                <w:szCs w:val="20"/>
                <w:color w:val="auto"/>
              </w:rPr>
            </w:pPr>
            <w:r>
              <w:rPr>
                <w:rFonts w:ascii="Arial" w:cs="Arial" w:eastAsia="Arial" w:hAnsi="Arial"/>
                <w:sz w:val="18"/>
                <w:szCs w:val="18"/>
                <w:color w:val="auto"/>
              </w:rPr>
              <w:t>9200 W. Wisconsin Ave</w:t>
            </w:r>
          </w:p>
        </w:tc>
        <w:tc>
          <w:tcPr>
            <w:tcW w:w="920" w:type="dxa"/>
            <w:vAlign w:val="bottom"/>
          </w:tcPr>
          <w:p>
            <w:pPr>
              <w:ind w:left="18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720" w:type="dxa"/>
            <w:vAlign w:val="bottom"/>
          </w:tcPr>
          <w:p>
            <w:pPr>
              <w:ind w:left="60"/>
              <w:spacing w:after="0"/>
              <w:rPr>
                <w:sz w:val="20"/>
                <w:szCs w:val="20"/>
                <w:color w:val="auto"/>
              </w:rPr>
            </w:pPr>
            <w:r>
              <w:rPr>
                <w:rFonts w:ascii="Arial" w:cs="Arial" w:eastAsia="Arial" w:hAnsi="Arial"/>
                <w:sz w:val="18"/>
                <w:szCs w:val="18"/>
                <w:color w:val="auto"/>
              </w:rPr>
              <w:t>Milwaukee, WI 53226</w:t>
            </w:r>
          </w:p>
        </w:tc>
        <w:tc>
          <w:tcPr>
            <w:tcW w:w="92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HARRISON MEDICAL CENTER</w:t>
            </w:r>
          </w:p>
        </w:tc>
        <w:tc>
          <w:tcPr>
            <w:tcW w:w="2720" w:type="dxa"/>
            <w:vAlign w:val="bottom"/>
          </w:tcPr>
          <w:p>
            <w:pPr>
              <w:ind w:left="60"/>
              <w:spacing w:after="0"/>
              <w:rPr>
                <w:sz w:val="20"/>
                <w:szCs w:val="20"/>
                <w:color w:val="auto"/>
              </w:rPr>
            </w:pPr>
            <w:r>
              <w:rPr>
                <w:rFonts w:ascii="Arial" w:cs="Arial" w:eastAsia="Arial" w:hAnsi="Arial"/>
                <w:sz w:val="18"/>
                <w:szCs w:val="18"/>
                <w:color w:val="auto"/>
              </w:rPr>
              <w:t>2520 Cherry Ave</w:t>
            </w:r>
          </w:p>
        </w:tc>
        <w:tc>
          <w:tcPr>
            <w:tcW w:w="920" w:type="dxa"/>
            <w:vAlign w:val="bottom"/>
          </w:tcPr>
          <w:p>
            <w:pPr>
              <w:ind w:left="18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720" w:type="dxa"/>
            <w:vAlign w:val="bottom"/>
          </w:tcPr>
          <w:p>
            <w:pPr>
              <w:ind w:left="60"/>
              <w:spacing w:after="0"/>
              <w:rPr>
                <w:sz w:val="20"/>
                <w:szCs w:val="20"/>
                <w:color w:val="auto"/>
              </w:rPr>
            </w:pPr>
            <w:r>
              <w:rPr>
                <w:rFonts w:ascii="Arial" w:cs="Arial" w:eastAsia="Arial" w:hAnsi="Arial"/>
                <w:sz w:val="18"/>
                <w:szCs w:val="18"/>
                <w:color w:val="auto"/>
              </w:rPr>
              <w:t>Bremerton, WA 98310</w:t>
            </w:r>
          </w:p>
        </w:tc>
        <w:tc>
          <w:tcPr>
            <w:tcW w:w="920" w:type="dxa"/>
            <w:vAlign w:val="bottom"/>
          </w:tcPr>
          <w:p>
            <w:pPr>
              <w:spacing w:after="0"/>
              <w:rPr>
                <w:sz w:val="19"/>
                <w:szCs w:val="19"/>
                <w:color w:val="auto"/>
              </w:rPr>
            </w:pPr>
          </w:p>
        </w:tc>
      </w:tr>
    </w:tbl>
    <w:p>
      <w:pPr>
        <w:sectPr>
          <w:pgSz w:w="11900" w:h="16838" w:orient="portrait"/>
          <w:cols w:equalWidth="0" w:num="1">
            <w:col w:w="10219"/>
          </w:cols>
          <w:pgMar w:left="240" w:top="279" w:right="1440" w:bottom="1440" w:gutter="0" w:footer="0" w:header="0"/>
        </w:sectPr>
      </w:pPr>
    </w:p>
    <w:bookmarkStart w:id="323" w:name="page324"/>
    <w:bookmarkEnd w:id="32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KENOSHA HOSPITAL</w:t>
            </w:r>
          </w:p>
        </w:tc>
        <w:tc>
          <w:tcPr>
            <w:tcW w:w="2600" w:type="dxa"/>
            <w:vAlign w:val="bottom"/>
          </w:tcPr>
          <w:p>
            <w:pPr>
              <w:ind w:left="60"/>
              <w:spacing w:after="0"/>
              <w:rPr>
                <w:sz w:val="20"/>
                <w:szCs w:val="20"/>
                <w:color w:val="auto"/>
              </w:rPr>
            </w:pPr>
            <w:r>
              <w:rPr>
                <w:rFonts w:ascii="Arial" w:cs="Arial" w:eastAsia="Arial" w:hAnsi="Arial"/>
                <w:sz w:val="18"/>
                <w:szCs w:val="18"/>
                <w:color w:val="auto"/>
              </w:rPr>
              <w:t>6308 8</w:t>
            </w:r>
            <w:r>
              <w:rPr>
                <w:rFonts w:ascii="Arial" w:cs="Arial" w:eastAsia="Arial" w:hAnsi="Arial"/>
                <w:sz w:val="11"/>
                <w:szCs w:val="11"/>
                <w:color w:val="auto"/>
              </w:rPr>
              <w:t>th</w:t>
            </w:r>
            <w:r>
              <w:rPr>
                <w:rFonts w:ascii="Arial" w:cs="Arial" w:eastAsia="Arial" w:hAnsi="Arial"/>
                <w:sz w:val="18"/>
                <w:szCs w:val="18"/>
                <w:color w:val="auto"/>
              </w:rPr>
              <w:t xml:space="preserve"> Ave</w:t>
            </w:r>
          </w:p>
        </w:tc>
        <w:tc>
          <w:tcPr>
            <w:tcW w:w="1040" w:type="dxa"/>
            <w:vAlign w:val="bottom"/>
          </w:tcPr>
          <w:p>
            <w:pPr>
              <w:ind w:left="30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ind w:left="380"/>
              <w:spacing w:after="0"/>
              <w:rPr>
                <w:sz w:val="20"/>
                <w:szCs w:val="20"/>
                <w:color w:val="auto"/>
              </w:rPr>
            </w:pPr>
            <w:r>
              <w:rPr>
                <w:rFonts w:ascii="Arial" w:cs="Arial" w:eastAsia="Arial" w:hAnsi="Arial"/>
                <w:sz w:val="18"/>
                <w:szCs w:val="18"/>
                <w:color w:val="auto"/>
              </w:rPr>
              <w:t>&amp; MEDICAL CENTER</w:t>
            </w:r>
          </w:p>
        </w:tc>
        <w:tc>
          <w:tcPr>
            <w:tcW w:w="2600" w:type="dxa"/>
            <w:vAlign w:val="bottom"/>
          </w:tcPr>
          <w:p>
            <w:pPr>
              <w:ind w:left="60"/>
              <w:spacing w:after="0"/>
              <w:rPr>
                <w:sz w:val="20"/>
                <w:szCs w:val="20"/>
                <w:color w:val="auto"/>
              </w:rPr>
            </w:pPr>
            <w:r>
              <w:rPr>
                <w:rFonts w:ascii="Arial" w:cs="Arial" w:eastAsia="Arial" w:hAnsi="Arial"/>
                <w:sz w:val="18"/>
                <w:szCs w:val="18"/>
                <w:color w:val="auto"/>
              </w:rPr>
              <w:t>Kenosha, WI 53143</w:t>
            </w:r>
          </w:p>
        </w:tc>
        <w:tc>
          <w:tcPr>
            <w:tcW w:w="104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MARY HEALTH SYSTEM</w:t>
            </w:r>
          </w:p>
        </w:tc>
        <w:tc>
          <w:tcPr>
            <w:tcW w:w="2600" w:type="dxa"/>
            <w:vAlign w:val="bottom"/>
          </w:tcPr>
          <w:p>
            <w:pPr>
              <w:ind w:left="60"/>
              <w:spacing w:after="0"/>
              <w:rPr>
                <w:sz w:val="20"/>
                <w:szCs w:val="20"/>
                <w:color w:val="auto"/>
              </w:rPr>
            </w:pPr>
            <w:r>
              <w:rPr>
                <w:rFonts w:ascii="Arial" w:cs="Arial" w:eastAsia="Arial" w:hAnsi="Arial"/>
                <w:sz w:val="18"/>
                <w:szCs w:val="18"/>
                <w:color w:val="auto"/>
              </w:rPr>
              <w:t>1000 Mineral Point Ave</w:t>
            </w:r>
          </w:p>
        </w:tc>
        <w:tc>
          <w:tcPr>
            <w:tcW w:w="1040" w:type="dxa"/>
            <w:vAlign w:val="bottom"/>
          </w:tcPr>
          <w:p>
            <w:pPr>
              <w:ind w:left="30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auto"/>
              </w:rPr>
              <w:t>Jonesville, WI 53545</w:t>
            </w:r>
          </w:p>
        </w:tc>
        <w:tc>
          <w:tcPr>
            <w:tcW w:w="104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OAKWOOD ANNAPOLIS</w:t>
            </w:r>
          </w:p>
        </w:tc>
        <w:tc>
          <w:tcPr>
            <w:tcW w:w="2600" w:type="dxa"/>
            <w:vAlign w:val="bottom"/>
          </w:tcPr>
          <w:p>
            <w:pPr>
              <w:ind w:left="60"/>
              <w:spacing w:after="0"/>
              <w:rPr>
                <w:sz w:val="20"/>
                <w:szCs w:val="20"/>
                <w:color w:val="auto"/>
              </w:rPr>
            </w:pPr>
            <w:r>
              <w:rPr>
                <w:rFonts w:ascii="Arial" w:cs="Arial" w:eastAsia="Arial" w:hAnsi="Arial"/>
                <w:sz w:val="18"/>
                <w:szCs w:val="18"/>
                <w:color w:val="auto"/>
              </w:rPr>
              <w:t>33155 Annapolis</w:t>
            </w:r>
          </w:p>
        </w:tc>
        <w:tc>
          <w:tcPr>
            <w:tcW w:w="1040" w:type="dxa"/>
            <w:vAlign w:val="bottom"/>
          </w:tcPr>
          <w:p>
            <w:pPr>
              <w:ind w:left="30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ind w:left="380"/>
              <w:spacing w:after="0"/>
              <w:rPr>
                <w:sz w:val="20"/>
                <w:szCs w:val="20"/>
                <w:color w:val="auto"/>
              </w:rPr>
            </w:pPr>
            <w:r>
              <w:rPr>
                <w:rFonts w:ascii="Arial" w:cs="Arial" w:eastAsia="Arial" w:hAnsi="Arial"/>
                <w:sz w:val="18"/>
                <w:szCs w:val="18"/>
                <w:color w:val="auto"/>
              </w:rPr>
              <w:t>MEDICAL CENTER</w:t>
            </w:r>
          </w:p>
        </w:tc>
        <w:tc>
          <w:tcPr>
            <w:tcW w:w="2600" w:type="dxa"/>
            <w:vAlign w:val="bottom"/>
          </w:tcPr>
          <w:p>
            <w:pPr>
              <w:ind w:left="60"/>
              <w:spacing w:after="0"/>
              <w:rPr>
                <w:sz w:val="20"/>
                <w:szCs w:val="20"/>
                <w:color w:val="auto"/>
              </w:rPr>
            </w:pPr>
            <w:r>
              <w:rPr>
                <w:rFonts w:ascii="Arial" w:cs="Arial" w:eastAsia="Arial" w:hAnsi="Arial"/>
                <w:sz w:val="18"/>
                <w:szCs w:val="18"/>
                <w:color w:val="auto"/>
              </w:rPr>
              <w:t>Wayle, MI 48184</w:t>
            </w:r>
          </w:p>
        </w:tc>
        <w:tc>
          <w:tcPr>
            <w:tcW w:w="104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OAKWOOD HOSPITAL</w:t>
            </w:r>
          </w:p>
        </w:tc>
        <w:tc>
          <w:tcPr>
            <w:tcW w:w="2600" w:type="dxa"/>
            <w:vAlign w:val="bottom"/>
          </w:tcPr>
          <w:p>
            <w:pPr>
              <w:ind w:left="60"/>
              <w:spacing w:after="0"/>
              <w:rPr>
                <w:sz w:val="20"/>
                <w:szCs w:val="20"/>
                <w:color w:val="auto"/>
              </w:rPr>
            </w:pPr>
            <w:r>
              <w:rPr>
                <w:rFonts w:ascii="Arial" w:cs="Arial" w:eastAsia="Arial" w:hAnsi="Arial"/>
                <w:sz w:val="18"/>
                <w:szCs w:val="18"/>
                <w:color w:val="auto"/>
              </w:rPr>
              <w:t>18101 Oakwood Blvd</w:t>
            </w:r>
          </w:p>
        </w:tc>
        <w:tc>
          <w:tcPr>
            <w:tcW w:w="1040" w:type="dxa"/>
            <w:vAlign w:val="bottom"/>
          </w:tcPr>
          <w:p>
            <w:pPr>
              <w:ind w:left="30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auto"/>
              </w:rPr>
              <w:t>Dearborn, MI 48124</w:t>
            </w:r>
          </w:p>
        </w:tc>
        <w:tc>
          <w:tcPr>
            <w:tcW w:w="104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OCONOMOWOC MEMORIAL</w:t>
            </w:r>
          </w:p>
        </w:tc>
        <w:tc>
          <w:tcPr>
            <w:tcW w:w="2600" w:type="dxa"/>
            <w:vAlign w:val="bottom"/>
          </w:tcPr>
          <w:p>
            <w:pPr>
              <w:ind w:left="60"/>
              <w:spacing w:after="0"/>
              <w:rPr>
                <w:sz w:val="20"/>
                <w:szCs w:val="20"/>
                <w:color w:val="auto"/>
              </w:rPr>
            </w:pPr>
            <w:r>
              <w:rPr>
                <w:rFonts w:ascii="Arial" w:cs="Arial" w:eastAsia="Arial" w:hAnsi="Arial"/>
                <w:sz w:val="18"/>
                <w:szCs w:val="18"/>
                <w:color w:val="auto"/>
              </w:rPr>
              <w:t>791 Summit Ave</w:t>
            </w:r>
          </w:p>
        </w:tc>
        <w:tc>
          <w:tcPr>
            <w:tcW w:w="1040" w:type="dxa"/>
            <w:vAlign w:val="bottom"/>
          </w:tcPr>
          <w:p>
            <w:pPr>
              <w:ind w:left="30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ind w:left="380"/>
              <w:spacing w:after="0"/>
              <w:rPr>
                <w:sz w:val="20"/>
                <w:szCs w:val="20"/>
                <w:color w:val="auto"/>
              </w:rPr>
            </w:pPr>
            <w:r>
              <w:rPr>
                <w:rFonts w:ascii="Arial" w:cs="Arial" w:eastAsia="Arial" w:hAnsi="Arial"/>
                <w:sz w:val="18"/>
                <w:szCs w:val="18"/>
                <w:color w:val="auto"/>
              </w:rPr>
              <w:t>HOSPITAL</w:t>
            </w:r>
          </w:p>
        </w:tc>
        <w:tc>
          <w:tcPr>
            <w:tcW w:w="2600" w:type="dxa"/>
            <w:vAlign w:val="bottom"/>
          </w:tcPr>
          <w:p>
            <w:pPr>
              <w:ind w:left="60"/>
              <w:spacing w:after="0"/>
              <w:rPr>
                <w:sz w:val="20"/>
                <w:szCs w:val="20"/>
                <w:color w:val="auto"/>
              </w:rPr>
            </w:pPr>
            <w:r>
              <w:rPr>
                <w:rFonts w:ascii="Arial" w:cs="Arial" w:eastAsia="Arial" w:hAnsi="Arial"/>
                <w:sz w:val="18"/>
                <w:szCs w:val="18"/>
                <w:color w:val="auto"/>
              </w:rPr>
              <w:t>Oconomowoc, WI 53066</w:t>
            </w:r>
          </w:p>
        </w:tc>
        <w:tc>
          <w:tcPr>
            <w:tcW w:w="104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w w:val="94"/>
              </w:rPr>
              <w:t>ORTHOPEDIC SURGERY CTR LLC</w:t>
            </w:r>
          </w:p>
        </w:tc>
        <w:tc>
          <w:tcPr>
            <w:tcW w:w="2600" w:type="dxa"/>
            <w:vAlign w:val="bottom"/>
          </w:tcPr>
          <w:p>
            <w:pPr>
              <w:ind w:left="60"/>
              <w:spacing w:after="0"/>
              <w:rPr>
                <w:sz w:val="20"/>
                <w:szCs w:val="20"/>
                <w:color w:val="auto"/>
              </w:rPr>
            </w:pPr>
            <w:r>
              <w:rPr>
                <w:rFonts w:ascii="Arial" w:cs="Arial" w:eastAsia="Arial" w:hAnsi="Arial"/>
                <w:sz w:val="18"/>
                <w:szCs w:val="18"/>
                <w:color w:val="auto"/>
              </w:rPr>
              <w:t>W238 N 1610 Busse Rd</w:t>
            </w:r>
          </w:p>
        </w:tc>
        <w:tc>
          <w:tcPr>
            <w:tcW w:w="1040" w:type="dxa"/>
            <w:vAlign w:val="bottom"/>
          </w:tcPr>
          <w:p>
            <w:pPr>
              <w:ind w:left="300"/>
              <w:spacing w:after="0"/>
              <w:rPr>
                <w:sz w:val="20"/>
                <w:szCs w:val="20"/>
                <w:color w:val="auto"/>
              </w:rPr>
            </w:pPr>
            <w:r>
              <w:rPr>
                <w:rFonts w:ascii="Arial" w:cs="Arial" w:eastAsia="Arial" w:hAnsi="Arial"/>
                <w:sz w:val="18"/>
                <w:szCs w:val="18"/>
                <w:color w:val="auto"/>
                <w:w w:val="83"/>
              </w:rPr>
              <w:t>Consignee</w:t>
            </w:r>
          </w:p>
        </w:tc>
      </w:tr>
      <w:tr>
        <w:trPr>
          <w:trHeight w:val="216"/>
        </w:trPr>
        <w:tc>
          <w:tcPr>
            <w:tcW w:w="27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auto"/>
              </w:rPr>
              <w:t>Ste 100</w:t>
            </w:r>
          </w:p>
        </w:tc>
        <w:tc>
          <w:tcPr>
            <w:tcW w:w="1040" w:type="dxa"/>
            <w:vAlign w:val="bottom"/>
          </w:tcPr>
          <w:p>
            <w:pPr>
              <w:spacing w:after="0"/>
              <w:rPr>
                <w:sz w:val="18"/>
                <w:szCs w:val="18"/>
                <w:color w:val="auto"/>
              </w:rPr>
            </w:pPr>
          </w:p>
        </w:tc>
      </w:tr>
      <w:tr>
        <w:trPr>
          <w:trHeight w:val="222"/>
        </w:trPr>
        <w:tc>
          <w:tcPr>
            <w:tcW w:w="27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auto"/>
              </w:rPr>
              <w:t>Waukosha, WI 53188-1163</w:t>
            </w:r>
          </w:p>
        </w:tc>
        <w:tc>
          <w:tcPr>
            <w:tcW w:w="104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PHYSICIANS</w:t>
            </w:r>
          </w:p>
        </w:tc>
        <w:tc>
          <w:tcPr>
            <w:tcW w:w="2600" w:type="dxa"/>
            <w:vAlign w:val="bottom"/>
          </w:tcPr>
          <w:p>
            <w:pPr>
              <w:ind w:left="60"/>
              <w:spacing w:after="0"/>
              <w:rPr>
                <w:sz w:val="20"/>
                <w:szCs w:val="20"/>
                <w:color w:val="auto"/>
              </w:rPr>
            </w:pPr>
            <w:r>
              <w:rPr>
                <w:rFonts w:ascii="Arial" w:cs="Arial" w:eastAsia="Arial" w:hAnsi="Arial"/>
                <w:sz w:val="18"/>
                <w:szCs w:val="18"/>
                <w:color w:val="auto"/>
              </w:rPr>
              <w:t>1 Plaza Drive</w:t>
            </w:r>
          </w:p>
        </w:tc>
        <w:tc>
          <w:tcPr>
            <w:tcW w:w="1040" w:type="dxa"/>
            <w:vAlign w:val="bottom"/>
          </w:tcPr>
          <w:p>
            <w:pPr>
              <w:ind w:left="30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ind w:left="380"/>
              <w:spacing w:after="0"/>
              <w:rPr>
                <w:sz w:val="20"/>
                <w:szCs w:val="20"/>
                <w:color w:val="auto"/>
              </w:rPr>
            </w:pPr>
            <w:r>
              <w:rPr>
                <w:rFonts w:ascii="Arial" w:cs="Arial" w:eastAsia="Arial" w:hAnsi="Arial"/>
                <w:sz w:val="18"/>
                <w:szCs w:val="18"/>
                <w:color w:val="auto"/>
              </w:rPr>
              <w:t>SURGERY CENTER</w:t>
            </w:r>
          </w:p>
        </w:tc>
        <w:tc>
          <w:tcPr>
            <w:tcW w:w="2600" w:type="dxa"/>
            <w:vAlign w:val="bottom"/>
          </w:tcPr>
          <w:p>
            <w:pPr>
              <w:ind w:left="60"/>
              <w:spacing w:after="0"/>
              <w:rPr>
                <w:sz w:val="20"/>
                <w:szCs w:val="20"/>
                <w:color w:val="auto"/>
              </w:rPr>
            </w:pPr>
            <w:r>
              <w:rPr>
                <w:rFonts w:ascii="Arial" w:cs="Arial" w:eastAsia="Arial" w:hAnsi="Arial"/>
                <w:sz w:val="18"/>
                <w:szCs w:val="18"/>
                <w:color w:val="auto"/>
              </w:rPr>
              <w:t>Toms River, NJ 08757</w:t>
            </w:r>
          </w:p>
        </w:tc>
        <w:tc>
          <w:tcPr>
            <w:tcW w:w="104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REGIONAL HAND</w:t>
            </w:r>
          </w:p>
        </w:tc>
        <w:tc>
          <w:tcPr>
            <w:tcW w:w="2600" w:type="dxa"/>
            <w:vAlign w:val="bottom"/>
          </w:tcPr>
          <w:p>
            <w:pPr>
              <w:ind w:left="60"/>
              <w:spacing w:after="0"/>
              <w:rPr>
                <w:sz w:val="20"/>
                <w:szCs w:val="20"/>
                <w:color w:val="auto"/>
              </w:rPr>
            </w:pPr>
            <w:r>
              <w:rPr>
                <w:rFonts w:ascii="Arial" w:cs="Arial" w:eastAsia="Arial" w:hAnsi="Arial"/>
                <w:sz w:val="18"/>
                <w:szCs w:val="18"/>
                <w:color w:val="auto"/>
              </w:rPr>
              <w:t>2139 E. Beechwood Ave</w:t>
            </w:r>
          </w:p>
        </w:tc>
        <w:tc>
          <w:tcPr>
            <w:tcW w:w="1040" w:type="dxa"/>
            <w:vAlign w:val="bottom"/>
          </w:tcPr>
          <w:p>
            <w:pPr>
              <w:ind w:left="30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ind w:left="380"/>
              <w:spacing w:after="0"/>
              <w:rPr>
                <w:sz w:val="20"/>
                <w:szCs w:val="20"/>
                <w:color w:val="auto"/>
              </w:rPr>
            </w:pPr>
            <w:r>
              <w:rPr>
                <w:rFonts w:ascii="Arial" w:cs="Arial" w:eastAsia="Arial" w:hAnsi="Arial"/>
                <w:sz w:val="18"/>
                <w:szCs w:val="18"/>
                <w:color w:val="auto"/>
              </w:rPr>
              <w:t>CENTER</w:t>
            </w:r>
          </w:p>
        </w:tc>
        <w:tc>
          <w:tcPr>
            <w:tcW w:w="2600" w:type="dxa"/>
            <w:vAlign w:val="bottom"/>
          </w:tcPr>
          <w:p>
            <w:pPr>
              <w:ind w:left="60"/>
              <w:spacing w:after="0"/>
              <w:rPr>
                <w:sz w:val="20"/>
                <w:szCs w:val="20"/>
                <w:color w:val="auto"/>
              </w:rPr>
            </w:pPr>
            <w:r>
              <w:rPr>
                <w:rFonts w:ascii="Arial" w:cs="Arial" w:eastAsia="Arial" w:hAnsi="Arial"/>
                <w:sz w:val="18"/>
                <w:szCs w:val="18"/>
                <w:color w:val="auto"/>
              </w:rPr>
              <w:t>Fresno, CA 93720</w:t>
            </w:r>
          </w:p>
        </w:tc>
        <w:tc>
          <w:tcPr>
            <w:tcW w:w="104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ST CATHERINES HOSPITAL</w:t>
            </w:r>
          </w:p>
        </w:tc>
        <w:tc>
          <w:tcPr>
            <w:tcW w:w="2600" w:type="dxa"/>
            <w:vAlign w:val="bottom"/>
          </w:tcPr>
          <w:p>
            <w:pPr>
              <w:ind w:left="60"/>
              <w:spacing w:after="0"/>
              <w:rPr>
                <w:sz w:val="20"/>
                <w:szCs w:val="20"/>
                <w:color w:val="auto"/>
              </w:rPr>
            </w:pPr>
            <w:r>
              <w:rPr>
                <w:rFonts w:ascii="Arial" w:cs="Arial" w:eastAsia="Arial" w:hAnsi="Arial"/>
                <w:sz w:val="18"/>
                <w:szCs w:val="18"/>
                <w:color w:val="auto"/>
              </w:rPr>
              <w:t>3556 Seventh Ave</w:t>
            </w:r>
          </w:p>
        </w:tc>
        <w:tc>
          <w:tcPr>
            <w:tcW w:w="1040" w:type="dxa"/>
            <w:vAlign w:val="bottom"/>
          </w:tcPr>
          <w:p>
            <w:pPr>
              <w:ind w:left="30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auto"/>
              </w:rPr>
              <w:t>Kenosha, WI 53143</w:t>
            </w:r>
          </w:p>
        </w:tc>
        <w:tc>
          <w:tcPr>
            <w:tcW w:w="104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ST JOE’S AMBULATORY</w:t>
            </w:r>
          </w:p>
        </w:tc>
        <w:tc>
          <w:tcPr>
            <w:tcW w:w="2600" w:type="dxa"/>
            <w:vAlign w:val="bottom"/>
          </w:tcPr>
          <w:p>
            <w:pPr>
              <w:ind w:left="60"/>
              <w:spacing w:after="0"/>
              <w:rPr>
                <w:sz w:val="20"/>
                <w:szCs w:val="20"/>
                <w:color w:val="auto"/>
              </w:rPr>
            </w:pPr>
            <w:r>
              <w:rPr>
                <w:rFonts w:ascii="Arial" w:cs="Arial" w:eastAsia="Arial" w:hAnsi="Arial"/>
                <w:sz w:val="18"/>
                <w:szCs w:val="18"/>
                <w:color w:val="auto"/>
              </w:rPr>
              <w:t>115 Fulton Street</w:t>
            </w:r>
          </w:p>
        </w:tc>
        <w:tc>
          <w:tcPr>
            <w:tcW w:w="1040" w:type="dxa"/>
            <w:vAlign w:val="bottom"/>
          </w:tcPr>
          <w:p>
            <w:pPr>
              <w:ind w:left="30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ind w:left="380"/>
              <w:spacing w:after="0"/>
              <w:rPr>
                <w:sz w:val="20"/>
                <w:szCs w:val="20"/>
                <w:color w:val="auto"/>
              </w:rPr>
            </w:pPr>
            <w:r>
              <w:rPr>
                <w:rFonts w:ascii="Arial" w:cs="Arial" w:eastAsia="Arial" w:hAnsi="Arial"/>
                <w:sz w:val="18"/>
                <w:szCs w:val="18"/>
                <w:color w:val="auto"/>
              </w:rPr>
              <w:t>SURGERY</w:t>
            </w:r>
          </w:p>
        </w:tc>
        <w:tc>
          <w:tcPr>
            <w:tcW w:w="2600" w:type="dxa"/>
            <w:vAlign w:val="bottom"/>
          </w:tcPr>
          <w:p>
            <w:pPr>
              <w:ind w:left="60"/>
              <w:spacing w:after="0"/>
              <w:rPr>
                <w:sz w:val="20"/>
                <w:szCs w:val="20"/>
                <w:color w:val="auto"/>
              </w:rPr>
            </w:pPr>
            <w:r>
              <w:rPr>
                <w:rFonts w:ascii="Arial" w:cs="Arial" w:eastAsia="Arial" w:hAnsi="Arial"/>
                <w:sz w:val="18"/>
                <w:szCs w:val="18"/>
                <w:color w:val="auto"/>
              </w:rPr>
              <w:t>Pontiac, MI 48341</w:t>
            </w:r>
          </w:p>
        </w:tc>
        <w:tc>
          <w:tcPr>
            <w:tcW w:w="104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ST JOSEPH’S HOSPITAL</w:t>
            </w:r>
          </w:p>
        </w:tc>
        <w:tc>
          <w:tcPr>
            <w:tcW w:w="2600" w:type="dxa"/>
            <w:vAlign w:val="bottom"/>
          </w:tcPr>
          <w:p>
            <w:pPr>
              <w:ind w:left="60"/>
              <w:spacing w:after="0"/>
              <w:rPr>
                <w:sz w:val="20"/>
                <w:szCs w:val="20"/>
                <w:color w:val="auto"/>
              </w:rPr>
            </w:pPr>
            <w:r>
              <w:rPr>
                <w:rFonts w:ascii="Arial" w:cs="Arial" w:eastAsia="Arial" w:hAnsi="Arial"/>
                <w:sz w:val="18"/>
                <w:szCs w:val="18"/>
                <w:color w:val="auto"/>
              </w:rPr>
              <w:t>One Saint Joseph Drive</w:t>
            </w:r>
          </w:p>
        </w:tc>
        <w:tc>
          <w:tcPr>
            <w:tcW w:w="1040" w:type="dxa"/>
            <w:vAlign w:val="bottom"/>
          </w:tcPr>
          <w:p>
            <w:pPr>
              <w:ind w:left="30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auto"/>
              </w:rPr>
              <w:t>Lexington, KY 40504</w:t>
            </w:r>
          </w:p>
        </w:tc>
        <w:tc>
          <w:tcPr>
            <w:tcW w:w="104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UNIVERSITY HOSPITAL</w:t>
            </w:r>
          </w:p>
        </w:tc>
        <w:tc>
          <w:tcPr>
            <w:tcW w:w="2600" w:type="dxa"/>
            <w:vAlign w:val="bottom"/>
          </w:tcPr>
          <w:p>
            <w:pPr>
              <w:ind w:left="60"/>
              <w:spacing w:after="0"/>
              <w:rPr>
                <w:sz w:val="20"/>
                <w:szCs w:val="20"/>
                <w:color w:val="auto"/>
              </w:rPr>
            </w:pPr>
            <w:r>
              <w:rPr>
                <w:rFonts w:ascii="Arial" w:cs="Arial" w:eastAsia="Arial" w:hAnsi="Arial"/>
                <w:sz w:val="18"/>
                <w:szCs w:val="18"/>
                <w:color w:val="auto"/>
              </w:rPr>
              <w:t>234 Goodman Street</w:t>
            </w:r>
          </w:p>
        </w:tc>
        <w:tc>
          <w:tcPr>
            <w:tcW w:w="1040" w:type="dxa"/>
            <w:vAlign w:val="bottom"/>
          </w:tcPr>
          <w:p>
            <w:pPr>
              <w:ind w:left="30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auto"/>
              </w:rPr>
              <w:t>Cincinnati, OH 45219</w:t>
            </w:r>
          </w:p>
        </w:tc>
        <w:tc>
          <w:tcPr>
            <w:tcW w:w="104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U OF M HOSPITAL</w:t>
            </w:r>
          </w:p>
        </w:tc>
        <w:tc>
          <w:tcPr>
            <w:tcW w:w="2600" w:type="dxa"/>
            <w:vAlign w:val="bottom"/>
          </w:tcPr>
          <w:p>
            <w:pPr>
              <w:ind w:left="60"/>
              <w:spacing w:after="0"/>
              <w:rPr>
                <w:sz w:val="20"/>
                <w:szCs w:val="20"/>
                <w:color w:val="auto"/>
              </w:rPr>
            </w:pPr>
            <w:r>
              <w:rPr>
                <w:rFonts w:ascii="Arial" w:cs="Arial" w:eastAsia="Arial" w:hAnsi="Arial"/>
                <w:sz w:val="18"/>
                <w:szCs w:val="18"/>
                <w:color w:val="auto"/>
              </w:rPr>
              <w:t>1500 E. Medical Center</w:t>
            </w:r>
          </w:p>
        </w:tc>
        <w:tc>
          <w:tcPr>
            <w:tcW w:w="1040" w:type="dxa"/>
            <w:vAlign w:val="bottom"/>
          </w:tcPr>
          <w:p>
            <w:pPr>
              <w:ind w:left="30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auto"/>
              </w:rPr>
              <w:t>Ann Arbor, MI 48109</w:t>
            </w:r>
          </w:p>
        </w:tc>
        <w:tc>
          <w:tcPr>
            <w:tcW w:w="104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EAST ANN ARBOR HOSPITAL</w:t>
            </w:r>
          </w:p>
        </w:tc>
        <w:tc>
          <w:tcPr>
            <w:tcW w:w="2600" w:type="dxa"/>
            <w:vAlign w:val="bottom"/>
          </w:tcPr>
          <w:p>
            <w:pPr>
              <w:ind w:left="60"/>
              <w:spacing w:after="0"/>
              <w:rPr>
                <w:sz w:val="20"/>
                <w:szCs w:val="20"/>
                <w:color w:val="auto"/>
              </w:rPr>
            </w:pPr>
            <w:r>
              <w:rPr>
                <w:rFonts w:ascii="Arial" w:cs="Arial" w:eastAsia="Arial" w:hAnsi="Arial"/>
                <w:sz w:val="18"/>
                <w:szCs w:val="18"/>
                <w:color w:val="auto"/>
              </w:rPr>
              <w:t>4270 Plymouth Road</w:t>
            </w:r>
          </w:p>
        </w:tc>
        <w:tc>
          <w:tcPr>
            <w:tcW w:w="1040" w:type="dxa"/>
            <w:vAlign w:val="bottom"/>
          </w:tcPr>
          <w:p>
            <w:pPr>
              <w:ind w:left="30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auto"/>
              </w:rPr>
              <w:t>Ann Arbor, MI 48109</w:t>
            </w:r>
          </w:p>
        </w:tc>
        <w:tc>
          <w:tcPr>
            <w:tcW w:w="104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WAUKESHA M. H. HOSPITAL</w:t>
            </w:r>
          </w:p>
        </w:tc>
        <w:tc>
          <w:tcPr>
            <w:tcW w:w="2600" w:type="dxa"/>
            <w:vAlign w:val="bottom"/>
          </w:tcPr>
          <w:p>
            <w:pPr>
              <w:ind w:left="60"/>
              <w:spacing w:after="0"/>
              <w:rPr>
                <w:sz w:val="20"/>
                <w:szCs w:val="20"/>
                <w:color w:val="auto"/>
              </w:rPr>
            </w:pPr>
            <w:r>
              <w:rPr>
                <w:rFonts w:ascii="Arial" w:cs="Arial" w:eastAsia="Arial" w:hAnsi="Arial"/>
                <w:sz w:val="18"/>
                <w:szCs w:val="18"/>
                <w:color w:val="auto"/>
              </w:rPr>
              <w:t>725 American Ave</w:t>
            </w:r>
          </w:p>
        </w:tc>
        <w:tc>
          <w:tcPr>
            <w:tcW w:w="1040" w:type="dxa"/>
            <w:vAlign w:val="bottom"/>
          </w:tcPr>
          <w:p>
            <w:pPr>
              <w:ind w:left="30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auto"/>
              </w:rPr>
              <w:t>Waukeska, WI 53189</w:t>
            </w:r>
          </w:p>
        </w:tc>
        <w:tc>
          <w:tcPr>
            <w:tcW w:w="104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WEST ALLIS HOSPITAL</w:t>
            </w:r>
          </w:p>
        </w:tc>
        <w:tc>
          <w:tcPr>
            <w:tcW w:w="2600" w:type="dxa"/>
            <w:vAlign w:val="bottom"/>
          </w:tcPr>
          <w:p>
            <w:pPr>
              <w:ind w:left="60"/>
              <w:spacing w:after="0"/>
              <w:rPr>
                <w:sz w:val="20"/>
                <w:szCs w:val="20"/>
                <w:color w:val="auto"/>
              </w:rPr>
            </w:pPr>
            <w:r>
              <w:rPr>
                <w:rFonts w:ascii="Arial" w:cs="Arial" w:eastAsia="Arial" w:hAnsi="Arial"/>
                <w:sz w:val="18"/>
                <w:szCs w:val="18"/>
                <w:color w:val="auto"/>
              </w:rPr>
              <w:t>8901 W. Lincoln Ave</w:t>
            </w:r>
          </w:p>
        </w:tc>
        <w:tc>
          <w:tcPr>
            <w:tcW w:w="1040" w:type="dxa"/>
            <w:vAlign w:val="bottom"/>
          </w:tcPr>
          <w:p>
            <w:pPr>
              <w:ind w:left="30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auto"/>
              </w:rPr>
              <w:t>West Allis, WI 53227</w:t>
            </w:r>
          </w:p>
        </w:tc>
        <w:tc>
          <w:tcPr>
            <w:tcW w:w="104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ST MARY’S MEDICAL CENTER</w:t>
            </w:r>
          </w:p>
        </w:tc>
        <w:tc>
          <w:tcPr>
            <w:tcW w:w="2600" w:type="dxa"/>
            <w:vAlign w:val="bottom"/>
          </w:tcPr>
          <w:p>
            <w:pPr>
              <w:ind w:left="60"/>
              <w:spacing w:after="0"/>
              <w:rPr>
                <w:sz w:val="20"/>
                <w:szCs w:val="20"/>
                <w:color w:val="auto"/>
              </w:rPr>
            </w:pPr>
            <w:r>
              <w:rPr>
                <w:rFonts w:ascii="Arial" w:cs="Arial" w:eastAsia="Arial" w:hAnsi="Arial"/>
                <w:sz w:val="18"/>
                <w:szCs w:val="18"/>
                <w:color w:val="auto"/>
              </w:rPr>
              <w:t>3801 Spring Street</w:t>
            </w:r>
          </w:p>
        </w:tc>
        <w:tc>
          <w:tcPr>
            <w:tcW w:w="1040" w:type="dxa"/>
            <w:vAlign w:val="bottom"/>
          </w:tcPr>
          <w:p>
            <w:pPr>
              <w:ind w:left="30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auto"/>
              </w:rPr>
              <w:t>Racine, WI 53405</w:t>
            </w:r>
          </w:p>
        </w:tc>
        <w:tc>
          <w:tcPr>
            <w:tcW w:w="104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WILLIAM BEAUMONT TROY</w:t>
            </w:r>
          </w:p>
        </w:tc>
        <w:tc>
          <w:tcPr>
            <w:tcW w:w="2600" w:type="dxa"/>
            <w:vAlign w:val="bottom"/>
          </w:tcPr>
          <w:p>
            <w:pPr>
              <w:ind w:left="60"/>
              <w:spacing w:after="0"/>
              <w:rPr>
                <w:sz w:val="20"/>
                <w:szCs w:val="20"/>
                <w:color w:val="auto"/>
              </w:rPr>
            </w:pPr>
            <w:r>
              <w:rPr>
                <w:rFonts w:ascii="Arial" w:cs="Arial" w:eastAsia="Arial" w:hAnsi="Arial"/>
                <w:sz w:val="18"/>
                <w:szCs w:val="18"/>
                <w:color w:val="auto"/>
              </w:rPr>
              <w:t>44201 Dequinore</w:t>
            </w:r>
          </w:p>
        </w:tc>
        <w:tc>
          <w:tcPr>
            <w:tcW w:w="1040" w:type="dxa"/>
            <w:vAlign w:val="bottom"/>
          </w:tcPr>
          <w:p>
            <w:pPr>
              <w:ind w:left="30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ind w:left="380"/>
              <w:spacing w:after="0"/>
              <w:rPr>
                <w:sz w:val="20"/>
                <w:szCs w:val="20"/>
                <w:color w:val="auto"/>
              </w:rPr>
            </w:pPr>
            <w:r>
              <w:rPr>
                <w:rFonts w:ascii="Arial" w:cs="Arial" w:eastAsia="Arial" w:hAnsi="Arial"/>
                <w:sz w:val="18"/>
                <w:szCs w:val="18"/>
                <w:color w:val="auto"/>
              </w:rPr>
              <w:t>HOSPITAL</w:t>
            </w:r>
          </w:p>
        </w:tc>
        <w:tc>
          <w:tcPr>
            <w:tcW w:w="2600" w:type="dxa"/>
            <w:vAlign w:val="bottom"/>
          </w:tcPr>
          <w:p>
            <w:pPr>
              <w:ind w:left="60"/>
              <w:spacing w:after="0"/>
              <w:rPr>
                <w:sz w:val="20"/>
                <w:szCs w:val="20"/>
                <w:color w:val="auto"/>
              </w:rPr>
            </w:pPr>
            <w:r>
              <w:rPr>
                <w:rFonts w:ascii="Arial" w:cs="Arial" w:eastAsia="Arial" w:hAnsi="Arial"/>
                <w:sz w:val="18"/>
                <w:szCs w:val="18"/>
                <w:color w:val="auto"/>
              </w:rPr>
              <w:t>Troy, MI</w:t>
            </w:r>
          </w:p>
        </w:tc>
        <w:tc>
          <w:tcPr>
            <w:tcW w:w="104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HCA MEDICAL</w:t>
            </w:r>
          </w:p>
        </w:tc>
        <w:tc>
          <w:tcPr>
            <w:tcW w:w="2600" w:type="dxa"/>
            <w:vAlign w:val="bottom"/>
          </w:tcPr>
          <w:p>
            <w:pPr>
              <w:ind w:left="60"/>
              <w:spacing w:after="0"/>
              <w:rPr>
                <w:sz w:val="20"/>
                <w:szCs w:val="20"/>
                <w:color w:val="auto"/>
              </w:rPr>
            </w:pPr>
            <w:r>
              <w:rPr>
                <w:rFonts w:ascii="Arial" w:cs="Arial" w:eastAsia="Arial" w:hAnsi="Arial"/>
                <w:sz w:val="18"/>
                <w:szCs w:val="18"/>
                <w:color w:val="auto"/>
              </w:rPr>
              <w:t>3901 West 15</w:t>
            </w:r>
            <w:r>
              <w:rPr>
                <w:rFonts w:ascii="Arial" w:cs="Arial" w:eastAsia="Arial" w:hAnsi="Arial"/>
                <w:sz w:val="11"/>
                <w:szCs w:val="11"/>
                <w:color w:val="auto"/>
              </w:rPr>
              <w:t>th</w:t>
            </w:r>
            <w:r>
              <w:rPr>
                <w:rFonts w:ascii="Arial" w:cs="Arial" w:eastAsia="Arial" w:hAnsi="Arial"/>
                <w:sz w:val="18"/>
                <w:szCs w:val="18"/>
                <w:color w:val="auto"/>
              </w:rPr>
              <w:t xml:space="preserve"> Street</w:t>
            </w:r>
          </w:p>
        </w:tc>
        <w:tc>
          <w:tcPr>
            <w:tcW w:w="1040" w:type="dxa"/>
            <w:vAlign w:val="bottom"/>
          </w:tcPr>
          <w:p>
            <w:pPr>
              <w:ind w:left="30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ind w:left="380"/>
              <w:spacing w:after="0"/>
              <w:rPr>
                <w:sz w:val="20"/>
                <w:szCs w:val="20"/>
                <w:color w:val="auto"/>
              </w:rPr>
            </w:pPr>
            <w:r>
              <w:rPr>
                <w:rFonts w:ascii="Arial" w:cs="Arial" w:eastAsia="Arial" w:hAnsi="Arial"/>
                <w:sz w:val="18"/>
                <w:szCs w:val="18"/>
                <w:color w:val="auto"/>
              </w:rPr>
              <w:t>CENTER OF PLANO</w:t>
            </w:r>
          </w:p>
        </w:tc>
        <w:tc>
          <w:tcPr>
            <w:tcW w:w="2600" w:type="dxa"/>
            <w:vAlign w:val="bottom"/>
          </w:tcPr>
          <w:p>
            <w:pPr>
              <w:ind w:left="60"/>
              <w:spacing w:after="0"/>
              <w:rPr>
                <w:sz w:val="20"/>
                <w:szCs w:val="20"/>
                <w:color w:val="auto"/>
              </w:rPr>
            </w:pPr>
            <w:r>
              <w:rPr>
                <w:rFonts w:ascii="Arial" w:cs="Arial" w:eastAsia="Arial" w:hAnsi="Arial"/>
                <w:sz w:val="18"/>
                <w:szCs w:val="18"/>
                <w:color w:val="auto"/>
              </w:rPr>
              <w:t>Plano, TX 75075</w:t>
            </w:r>
          </w:p>
        </w:tc>
        <w:tc>
          <w:tcPr>
            <w:tcW w:w="104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ALHAMBRA</w:t>
            </w:r>
          </w:p>
        </w:tc>
        <w:tc>
          <w:tcPr>
            <w:tcW w:w="2600" w:type="dxa"/>
            <w:vAlign w:val="bottom"/>
          </w:tcPr>
          <w:p>
            <w:pPr>
              <w:ind w:left="60"/>
              <w:spacing w:after="0"/>
              <w:rPr>
                <w:sz w:val="20"/>
                <w:szCs w:val="20"/>
                <w:color w:val="auto"/>
              </w:rPr>
            </w:pPr>
            <w:r>
              <w:rPr>
                <w:rFonts w:ascii="Arial" w:cs="Arial" w:eastAsia="Arial" w:hAnsi="Arial"/>
                <w:sz w:val="18"/>
                <w:szCs w:val="18"/>
                <w:color w:val="auto"/>
              </w:rPr>
              <w:t>1201 Alhambra Blvd. Suite 110</w:t>
            </w:r>
          </w:p>
        </w:tc>
        <w:tc>
          <w:tcPr>
            <w:tcW w:w="1040" w:type="dxa"/>
            <w:vAlign w:val="bottom"/>
          </w:tcPr>
          <w:p>
            <w:pPr>
              <w:ind w:left="30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ind w:left="380"/>
              <w:spacing w:after="0"/>
              <w:rPr>
                <w:sz w:val="20"/>
                <w:szCs w:val="20"/>
                <w:color w:val="auto"/>
              </w:rPr>
            </w:pPr>
            <w:r>
              <w:rPr>
                <w:rFonts w:ascii="Arial" w:cs="Arial" w:eastAsia="Arial" w:hAnsi="Arial"/>
                <w:sz w:val="18"/>
                <w:szCs w:val="18"/>
                <w:color w:val="auto"/>
              </w:rPr>
              <w:t>SURGERY</w:t>
            </w:r>
          </w:p>
        </w:tc>
        <w:tc>
          <w:tcPr>
            <w:tcW w:w="2600" w:type="dxa"/>
            <w:vAlign w:val="bottom"/>
          </w:tcPr>
          <w:p>
            <w:pPr>
              <w:ind w:left="60"/>
              <w:spacing w:after="0"/>
              <w:rPr>
                <w:sz w:val="20"/>
                <w:szCs w:val="20"/>
                <w:color w:val="auto"/>
              </w:rPr>
            </w:pPr>
            <w:r>
              <w:rPr>
                <w:rFonts w:ascii="Arial" w:cs="Arial" w:eastAsia="Arial" w:hAnsi="Arial"/>
                <w:sz w:val="18"/>
                <w:szCs w:val="18"/>
                <w:color w:val="auto"/>
              </w:rPr>
              <w:t>Sacramento, CA 95816</w:t>
            </w:r>
          </w:p>
        </w:tc>
        <w:tc>
          <w:tcPr>
            <w:tcW w:w="104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UNIVERSITY OF LOUISVILLE</w:t>
            </w:r>
          </w:p>
        </w:tc>
        <w:tc>
          <w:tcPr>
            <w:tcW w:w="2600" w:type="dxa"/>
            <w:vAlign w:val="bottom"/>
          </w:tcPr>
          <w:p>
            <w:pPr>
              <w:ind w:left="60"/>
              <w:spacing w:after="0"/>
              <w:rPr>
                <w:sz w:val="20"/>
                <w:szCs w:val="20"/>
                <w:color w:val="auto"/>
              </w:rPr>
            </w:pPr>
            <w:r>
              <w:rPr>
                <w:rFonts w:ascii="Arial" w:cs="Arial" w:eastAsia="Arial" w:hAnsi="Arial"/>
                <w:sz w:val="18"/>
                <w:szCs w:val="18"/>
                <w:color w:val="auto"/>
              </w:rPr>
              <w:t>530 S. Jackson Street</w:t>
            </w:r>
          </w:p>
        </w:tc>
        <w:tc>
          <w:tcPr>
            <w:tcW w:w="1040" w:type="dxa"/>
            <w:vAlign w:val="bottom"/>
          </w:tcPr>
          <w:p>
            <w:pPr>
              <w:ind w:left="30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ind w:left="380"/>
              <w:spacing w:after="0"/>
              <w:rPr>
                <w:sz w:val="20"/>
                <w:szCs w:val="20"/>
                <w:color w:val="auto"/>
              </w:rPr>
            </w:pPr>
            <w:r>
              <w:rPr>
                <w:rFonts w:ascii="Arial" w:cs="Arial" w:eastAsia="Arial" w:hAnsi="Arial"/>
                <w:sz w:val="18"/>
                <w:szCs w:val="18"/>
                <w:color w:val="auto"/>
              </w:rPr>
              <w:t>HEALTHCARE</w:t>
            </w:r>
          </w:p>
        </w:tc>
        <w:tc>
          <w:tcPr>
            <w:tcW w:w="2600" w:type="dxa"/>
            <w:vAlign w:val="bottom"/>
          </w:tcPr>
          <w:p>
            <w:pPr>
              <w:ind w:left="60"/>
              <w:spacing w:after="0"/>
              <w:rPr>
                <w:sz w:val="20"/>
                <w:szCs w:val="20"/>
                <w:color w:val="auto"/>
              </w:rPr>
            </w:pPr>
            <w:r>
              <w:rPr>
                <w:rFonts w:ascii="Arial" w:cs="Arial" w:eastAsia="Arial" w:hAnsi="Arial"/>
                <w:sz w:val="18"/>
                <w:szCs w:val="18"/>
                <w:color w:val="auto"/>
              </w:rPr>
              <w:t>Louisville, KY 40202</w:t>
            </w:r>
          </w:p>
        </w:tc>
        <w:tc>
          <w:tcPr>
            <w:tcW w:w="104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U MASS HOSPITAL</w:t>
            </w:r>
          </w:p>
        </w:tc>
        <w:tc>
          <w:tcPr>
            <w:tcW w:w="2600" w:type="dxa"/>
            <w:vAlign w:val="bottom"/>
          </w:tcPr>
          <w:p>
            <w:pPr>
              <w:ind w:left="60"/>
              <w:spacing w:after="0"/>
              <w:rPr>
                <w:sz w:val="20"/>
                <w:szCs w:val="20"/>
                <w:color w:val="auto"/>
              </w:rPr>
            </w:pPr>
            <w:r>
              <w:rPr>
                <w:rFonts w:ascii="Arial" w:cs="Arial" w:eastAsia="Arial" w:hAnsi="Arial"/>
                <w:sz w:val="18"/>
                <w:szCs w:val="18"/>
                <w:color w:val="auto"/>
              </w:rPr>
              <w:t>281 Lincoln Street</w:t>
            </w:r>
          </w:p>
        </w:tc>
        <w:tc>
          <w:tcPr>
            <w:tcW w:w="1040" w:type="dxa"/>
            <w:vAlign w:val="bottom"/>
          </w:tcPr>
          <w:p>
            <w:pPr>
              <w:ind w:left="30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auto"/>
              </w:rPr>
              <w:t>Worchester, MA</w:t>
            </w:r>
          </w:p>
        </w:tc>
        <w:tc>
          <w:tcPr>
            <w:tcW w:w="1040" w:type="dxa"/>
            <w:vAlign w:val="bottom"/>
          </w:tcPr>
          <w:p>
            <w:pPr>
              <w:spacing w:after="0"/>
              <w:rPr>
                <w:sz w:val="19"/>
                <w:szCs w:val="19"/>
                <w:color w:val="auto"/>
              </w:rPr>
            </w:pPr>
          </w:p>
        </w:tc>
      </w:tr>
    </w:tbl>
    <w:p>
      <w:pPr>
        <w:sectPr>
          <w:pgSz w:w="11900" w:h="16838" w:orient="portrait"/>
          <w:cols w:equalWidth="0" w:num="1">
            <w:col w:w="10219"/>
          </w:cols>
          <w:pgMar w:left="240" w:top="279" w:right="1440" w:bottom="1440" w:gutter="0" w:footer="0" w:header="0"/>
        </w:sectPr>
      </w:pPr>
    </w:p>
    <w:bookmarkStart w:id="324" w:name="page325"/>
    <w:bookmarkEnd w:id="32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w w:val="95"/>
              </w:rPr>
              <w:t>CONCANNOR PLASTIC SURGERY</w:t>
            </w:r>
          </w:p>
        </w:tc>
        <w:tc>
          <w:tcPr>
            <w:tcW w:w="2620" w:type="dxa"/>
            <w:vAlign w:val="bottom"/>
            <w:gridSpan w:val="2"/>
          </w:tcPr>
          <w:p>
            <w:pPr>
              <w:ind w:left="60"/>
              <w:spacing w:after="0"/>
              <w:rPr>
                <w:sz w:val="20"/>
                <w:szCs w:val="20"/>
                <w:color w:val="auto"/>
              </w:rPr>
            </w:pPr>
            <w:r>
              <w:rPr>
                <w:rFonts w:ascii="Arial" w:cs="Arial" w:eastAsia="Arial" w:hAnsi="Arial"/>
                <w:sz w:val="18"/>
                <w:szCs w:val="18"/>
                <w:color w:val="auto"/>
              </w:rPr>
              <w:t>3115 Falling Leaf Court</w:t>
            </w:r>
          </w:p>
        </w:tc>
        <w:tc>
          <w:tcPr>
            <w:tcW w:w="1020" w:type="dxa"/>
            <w:vAlign w:val="bottom"/>
          </w:tcPr>
          <w:p>
            <w:pPr>
              <w:ind w:left="28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620" w:type="dxa"/>
            <w:vAlign w:val="bottom"/>
            <w:gridSpan w:val="2"/>
          </w:tcPr>
          <w:p>
            <w:pPr>
              <w:ind w:left="60"/>
              <w:spacing w:after="0"/>
              <w:rPr>
                <w:sz w:val="20"/>
                <w:szCs w:val="20"/>
                <w:color w:val="auto"/>
              </w:rPr>
            </w:pPr>
            <w:r>
              <w:rPr>
                <w:rFonts w:ascii="Arial" w:cs="Arial" w:eastAsia="Arial" w:hAnsi="Arial"/>
                <w:sz w:val="18"/>
                <w:szCs w:val="18"/>
                <w:color w:val="auto"/>
              </w:rPr>
              <w:t>Columbia, MO 65201</w:t>
            </w:r>
          </w:p>
        </w:tc>
        <w:tc>
          <w:tcPr>
            <w:tcW w:w="102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MANCHESTER SURGERY</w:t>
            </w:r>
          </w:p>
        </w:tc>
        <w:tc>
          <w:tcPr>
            <w:tcW w:w="2620" w:type="dxa"/>
            <w:vAlign w:val="bottom"/>
            <w:gridSpan w:val="2"/>
          </w:tcPr>
          <w:p>
            <w:pPr>
              <w:ind w:left="60"/>
              <w:spacing w:after="0"/>
              <w:rPr>
                <w:sz w:val="20"/>
                <w:szCs w:val="20"/>
                <w:color w:val="auto"/>
              </w:rPr>
            </w:pPr>
            <w:r>
              <w:rPr>
                <w:rFonts w:ascii="Arial" w:cs="Arial" w:eastAsia="Arial" w:hAnsi="Arial"/>
                <w:sz w:val="18"/>
                <w:szCs w:val="18"/>
                <w:color w:val="auto"/>
              </w:rPr>
              <w:t>1040 Old Des Peres Road</w:t>
            </w:r>
          </w:p>
        </w:tc>
        <w:tc>
          <w:tcPr>
            <w:tcW w:w="1020" w:type="dxa"/>
            <w:vAlign w:val="bottom"/>
          </w:tcPr>
          <w:p>
            <w:pPr>
              <w:ind w:left="28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620" w:type="dxa"/>
            <w:vAlign w:val="bottom"/>
            <w:gridSpan w:val="2"/>
          </w:tcPr>
          <w:p>
            <w:pPr>
              <w:ind w:left="60"/>
              <w:spacing w:after="0"/>
              <w:rPr>
                <w:sz w:val="20"/>
                <w:szCs w:val="20"/>
                <w:color w:val="auto"/>
              </w:rPr>
            </w:pPr>
            <w:r>
              <w:rPr>
                <w:rFonts w:ascii="Arial" w:cs="Arial" w:eastAsia="Arial" w:hAnsi="Arial"/>
                <w:sz w:val="18"/>
                <w:szCs w:val="18"/>
                <w:color w:val="auto"/>
              </w:rPr>
              <w:t>Des Peres, MO 63131</w:t>
            </w:r>
          </w:p>
        </w:tc>
        <w:tc>
          <w:tcPr>
            <w:tcW w:w="102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COX SOUTH HOSPITAL</w:t>
            </w:r>
          </w:p>
        </w:tc>
        <w:tc>
          <w:tcPr>
            <w:tcW w:w="460" w:type="dxa"/>
            <w:vAlign w:val="bottom"/>
          </w:tcPr>
          <w:p>
            <w:pPr>
              <w:ind w:left="60"/>
              <w:spacing w:after="0"/>
              <w:rPr>
                <w:sz w:val="20"/>
                <w:szCs w:val="20"/>
                <w:color w:val="auto"/>
              </w:rPr>
            </w:pPr>
            <w:r>
              <w:rPr>
                <w:rFonts w:ascii="Arial" w:cs="Arial" w:eastAsia="Arial" w:hAnsi="Arial"/>
                <w:sz w:val="18"/>
                <w:szCs w:val="18"/>
                <w:color w:val="auto"/>
                <w:w w:val="94"/>
              </w:rPr>
              <w:t>3801</w:t>
            </w:r>
          </w:p>
        </w:tc>
        <w:tc>
          <w:tcPr>
            <w:tcW w:w="2160" w:type="dxa"/>
            <w:vAlign w:val="bottom"/>
          </w:tcPr>
          <w:p>
            <w:pPr>
              <w:spacing w:after="0"/>
              <w:rPr>
                <w:sz w:val="20"/>
                <w:szCs w:val="20"/>
                <w:color w:val="auto"/>
              </w:rPr>
            </w:pPr>
            <w:r>
              <w:rPr>
                <w:rFonts w:ascii="Arial" w:cs="Arial" w:eastAsia="Arial" w:hAnsi="Arial"/>
                <w:sz w:val="18"/>
                <w:szCs w:val="18"/>
                <w:color w:val="auto"/>
              </w:rPr>
              <w:t>S. National Avenue</w:t>
            </w:r>
          </w:p>
        </w:tc>
        <w:tc>
          <w:tcPr>
            <w:tcW w:w="1020" w:type="dxa"/>
            <w:vAlign w:val="bottom"/>
          </w:tcPr>
          <w:p>
            <w:pPr>
              <w:ind w:left="28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620" w:type="dxa"/>
            <w:vAlign w:val="bottom"/>
            <w:gridSpan w:val="2"/>
          </w:tcPr>
          <w:p>
            <w:pPr>
              <w:ind w:left="60"/>
              <w:spacing w:after="0"/>
              <w:rPr>
                <w:sz w:val="20"/>
                <w:szCs w:val="20"/>
                <w:color w:val="auto"/>
              </w:rPr>
            </w:pPr>
            <w:r>
              <w:rPr>
                <w:rFonts w:ascii="Arial" w:cs="Arial" w:eastAsia="Arial" w:hAnsi="Arial"/>
                <w:sz w:val="18"/>
                <w:szCs w:val="18"/>
                <w:color w:val="auto"/>
              </w:rPr>
              <w:t>Springfield, MO 65807</w:t>
            </w:r>
          </w:p>
        </w:tc>
        <w:tc>
          <w:tcPr>
            <w:tcW w:w="102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CHRISTUS SPOHN SHORELINE</w:t>
            </w:r>
          </w:p>
        </w:tc>
        <w:tc>
          <w:tcPr>
            <w:tcW w:w="2620" w:type="dxa"/>
            <w:vAlign w:val="bottom"/>
            <w:gridSpan w:val="2"/>
          </w:tcPr>
          <w:p>
            <w:pPr>
              <w:ind w:left="60"/>
              <w:spacing w:after="0"/>
              <w:rPr>
                <w:sz w:val="20"/>
                <w:szCs w:val="20"/>
                <w:color w:val="auto"/>
              </w:rPr>
            </w:pPr>
            <w:r>
              <w:rPr>
                <w:rFonts w:ascii="Arial" w:cs="Arial" w:eastAsia="Arial" w:hAnsi="Arial"/>
                <w:sz w:val="18"/>
                <w:szCs w:val="18"/>
                <w:color w:val="auto"/>
              </w:rPr>
              <w:t>600 Elizabeth Street</w:t>
            </w:r>
          </w:p>
        </w:tc>
        <w:tc>
          <w:tcPr>
            <w:tcW w:w="1020" w:type="dxa"/>
            <w:vAlign w:val="bottom"/>
          </w:tcPr>
          <w:p>
            <w:pPr>
              <w:ind w:left="28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620" w:type="dxa"/>
            <w:vAlign w:val="bottom"/>
            <w:gridSpan w:val="2"/>
          </w:tcPr>
          <w:p>
            <w:pPr>
              <w:ind w:left="60"/>
              <w:spacing w:after="0"/>
              <w:rPr>
                <w:sz w:val="20"/>
                <w:szCs w:val="20"/>
                <w:color w:val="auto"/>
              </w:rPr>
            </w:pPr>
            <w:r>
              <w:rPr>
                <w:rFonts w:ascii="Arial" w:cs="Arial" w:eastAsia="Arial" w:hAnsi="Arial"/>
                <w:sz w:val="18"/>
                <w:szCs w:val="18"/>
                <w:color w:val="auto"/>
              </w:rPr>
              <w:t>Corpus Christi, TX 78404</w:t>
            </w:r>
          </w:p>
        </w:tc>
        <w:tc>
          <w:tcPr>
            <w:tcW w:w="102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WHITE RIVER HEALTH SYSTEM</w:t>
            </w:r>
          </w:p>
        </w:tc>
        <w:tc>
          <w:tcPr>
            <w:tcW w:w="460" w:type="dxa"/>
            <w:vAlign w:val="bottom"/>
          </w:tcPr>
          <w:p>
            <w:pPr>
              <w:ind w:left="60"/>
              <w:spacing w:after="0"/>
              <w:rPr>
                <w:sz w:val="20"/>
                <w:szCs w:val="20"/>
                <w:color w:val="auto"/>
              </w:rPr>
            </w:pPr>
            <w:r>
              <w:rPr>
                <w:rFonts w:ascii="Arial" w:cs="Arial" w:eastAsia="Arial" w:hAnsi="Arial"/>
                <w:sz w:val="18"/>
                <w:szCs w:val="18"/>
                <w:color w:val="auto"/>
                <w:w w:val="94"/>
              </w:rPr>
              <w:t>1710</w:t>
            </w:r>
          </w:p>
        </w:tc>
        <w:tc>
          <w:tcPr>
            <w:tcW w:w="2160" w:type="dxa"/>
            <w:vAlign w:val="bottom"/>
          </w:tcPr>
          <w:p>
            <w:pPr>
              <w:spacing w:after="0"/>
              <w:rPr>
                <w:sz w:val="20"/>
                <w:szCs w:val="20"/>
                <w:color w:val="auto"/>
              </w:rPr>
            </w:pPr>
            <w:r>
              <w:rPr>
                <w:rFonts w:ascii="Arial" w:cs="Arial" w:eastAsia="Arial" w:hAnsi="Arial"/>
                <w:sz w:val="18"/>
                <w:szCs w:val="18"/>
                <w:color w:val="auto"/>
              </w:rPr>
              <w:t>Harrison Street</w:t>
            </w:r>
          </w:p>
        </w:tc>
        <w:tc>
          <w:tcPr>
            <w:tcW w:w="1020" w:type="dxa"/>
            <w:vAlign w:val="bottom"/>
          </w:tcPr>
          <w:p>
            <w:pPr>
              <w:ind w:left="28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ind w:left="380"/>
              <w:spacing w:after="0"/>
              <w:rPr>
                <w:sz w:val="20"/>
                <w:szCs w:val="20"/>
                <w:color w:val="auto"/>
              </w:rPr>
            </w:pPr>
            <w:r>
              <w:rPr>
                <w:rFonts w:ascii="Arial" w:cs="Arial" w:eastAsia="Arial" w:hAnsi="Arial"/>
                <w:sz w:val="18"/>
                <w:szCs w:val="18"/>
                <w:color w:val="auto"/>
              </w:rPr>
              <w:t>HOSPITAL</w:t>
            </w:r>
          </w:p>
        </w:tc>
        <w:tc>
          <w:tcPr>
            <w:tcW w:w="2620" w:type="dxa"/>
            <w:vAlign w:val="bottom"/>
            <w:gridSpan w:val="2"/>
          </w:tcPr>
          <w:p>
            <w:pPr>
              <w:ind w:left="60"/>
              <w:spacing w:after="0"/>
              <w:rPr>
                <w:sz w:val="20"/>
                <w:szCs w:val="20"/>
                <w:color w:val="auto"/>
              </w:rPr>
            </w:pPr>
            <w:r>
              <w:rPr>
                <w:rFonts w:ascii="Arial" w:cs="Arial" w:eastAsia="Arial" w:hAnsi="Arial"/>
                <w:sz w:val="18"/>
                <w:szCs w:val="18"/>
                <w:color w:val="auto"/>
              </w:rPr>
              <w:t>Batesville, AR 72501</w:t>
            </w:r>
          </w:p>
        </w:tc>
        <w:tc>
          <w:tcPr>
            <w:tcW w:w="102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NORTH CENTRAL</w:t>
            </w:r>
          </w:p>
        </w:tc>
        <w:tc>
          <w:tcPr>
            <w:tcW w:w="460" w:type="dxa"/>
            <w:vAlign w:val="bottom"/>
          </w:tcPr>
          <w:p>
            <w:pPr>
              <w:ind w:left="60"/>
              <w:spacing w:after="0"/>
              <w:rPr>
                <w:sz w:val="20"/>
                <w:szCs w:val="20"/>
                <w:color w:val="auto"/>
              </w:rPr>
            </w:pPr>
            <w:r>
              <w:rPr>
                <w:rFonts w:ascii="Arial" w:cs="Arial" w:eastAsia="Arial" w:hAnsi="Arial"/>
                <w:sz w:val="18"/>
                <w:szCs w:val="18"/>
                <w:color w:val="auto"/>
                <w:w w:val="94"/>
              </w:rPr>
              <w:t>9301</w:t>
            </w:r>
          </w:p>
        </w:tc>
        <w:tc>
          <w:tcPr>
            <w:tcW w:w="2160" w:type="dxa"/>
            <w:vAlign w:val="bottom"/>
          </w:tcPr>
          <w:p>
            <w:pPr>
              <w:spacing w:after="0"/>
              <w:rPr>
                <w:sz w:val="20"/>
                <w:szCs w:val="20"/>
                <w:color w:val="auto"/>
              </w:rPr>
            </w:pPr>
            <w:r>
              <w:rPr>
                <w:rFonts w:ascii="Arial" w:cs="Arial" w:eastAsia="Arial" w:hAnsi="Arial"/>
                <w:sz w:val="18"/>
                <w:szCs w:val="18"/>
                <w:color w:val="auto"/>
              </w:rPr>
              <w:t>N Central Expry Suite 100</w:t>
            </w:r>
          </w:p>
        </w:tc>
        <w:tc>
          <w:tcPr>
            <w:tcW w:w="1020" w:type="dxa"/>
            <w:vAlign w:val="bottom"/>
          </w:tcPr>
          <w:p>
            <w:pPr>
              <w:ind w:left="28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ind w:left="380"/>
              <w:spacing w:after="0"/>
              <w:rPr>
                <w:sz w:val="20"/>
                <w:szCs w:val="20"/>
                <w:color w:val="auto"/>
              </w:rPr>
            </w:pPr>
            <w:r>
              <w:rPr>
                <w:rFonts w:ascii="Arial" w:cs="Arial" w:eastAsia="Arial" w:hAnsi="Arial"/>
                <w:sz w:val="18"/>
                <w:szCs w:val="18"/>
                <w:color w:val="auto"/>
              </w:rPr>
              <w:t>SURGICAL</w:t>
            </w:r>
          </w:p>
        </w:tc>
        <w:tc>
          <w:tcPr>
            <w:tcW w:w="2620" w:type="dxa"/>
            <w:vAlign w:val="bottom"/>
            <w:gridSpan w:val="2"/>
          </w:tcPr>
          <w:p>
            <w:pPr>
              <w:ind w:left="60"/>
              <w:spacing w:after="0"/>
              <w:rPr>
                <w:sz w:val="20"/>
                <w:szCs w:val="20"/>
                <w:color w:val="auto"/>
              </w:rPr>
            </w:pPr>
            <w:r>
              <w:rPr>
                <w:rFonts w:ascii="Arial" w:cs="Arial" w:eastAsia="Arial" w:hAnsi="Arial"/>
                <w:sz w:val="18"/>
                <w:szCs w:val="18"/>
                <w:color w:val="auto"/>
              </w:rPr>
              <w:t>Dallas, TX 75231</w:t>
            </w:r>
          </w:p>
        </w:tc>
        <w:tc>
          <w:tcPr>
            <w:tcW w:w="102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UT SOUTHWESTERN</w:t>
            </w:r>
          </w:p>
        </w:tc>
        <w:tc>
          <w:tcPr>
            <w:tcW w:w="460" w:type="dxa"/>
            <w:vAlign w:val="bottom"/>
          </w:tcPr>
          <w:p>
            <w:pPr>
              <w:ind w:left="60"/>
              <w:spacing w:after="0"/>
              <w:rPr>
                <w:sz w:val="20"/>
                <w:szCs w:val="20"/>
                <w:color w:val="auto"/>
              </w:rPr>
            </w:pPr>
            <w:r>
              <w:rPr>
                <w:rFonts w:ascii="Arial" w:cs="Arial" w:eastAsia="Arial" w:hAnsi="Arial"/>
                <w:sz w:val="18"/>
                <w:szCs w:val="18"/>
                <w:color w:val="auto"/>
                <w:w w:val="94"/>
              </w:rPr>
              <w:t>5151</w:t>
            </w:r>
          </w:p>
        </w:tc>
        <w:tc>
          <w:tcPr>
            <w:tcW w:w="2160" w:type="dxa"/>
            <w:vAlign w:val="bottom"/>
          </w:tcPr>
          <w:p>
            <w:pPr>
              <w:spacing w:after="0"/>
              <w:rPr>
                <w:sz w:val="20"/>
                <w:szCs w:val="20"/>
                <w:color w:val="auto"/>
              </w:rPr>
            </w:pPr>
            <w:r>
              <w:rPr>
                <w:rFonts w:ascii="Arial" w:cs="Arial" w:eastAsia="Arial" w:hAnsi="Arial"/>
                <w:sz w:val="18"/>
                <w:szCs w:val="18"/>
                <w:color w:val="auto"/>
              </w:rPr>
              <w:t>Harry Hines Blvd</w:t>
            </w:r>
          </w:p>
        </w:tc>
        <w:tc>
          <w:tcPr>
            <w:tcW w:w="1020" w:type="dxa"/>
            <w:vAlign w:val="bottom"/>
          </w:tcPr>
          <w:p>
            <w:pPr>
              <w:ind w:left="28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ind w:left="380"/>
              <w:spacing w:after="0"/>
              <w:rPr>
                <w:sz w:val="20"/>
                <w:szCs w:val="20"/>
                <w:color w:val="auto"/>
              </w:rPr>
            </w:pPr>
            <w:r>
              <w:rPr>
                <w:rFonts w:ascii="Arial" w:cs="Arial" w:eastAsia="Arial" w:hAnsi="Arial"/>
                <w:sz w:val="18"/>
                <w:szCs w:val="18"/>
                <w:color w:val="auto"/>
              </w:rPr>
              <w:t>ZALE ZIPSHY</w:t>
            </w:r>
          </w:p>
        </w:tc>
        <w:tc>
          <w:tcPr>
            <w:tcW w:w="2620" w:type="dxa"/>
            <w:vAlign w:val="bottom"/>
            <w:gridSpan w:val="2"/>
          </w:tcPr>
          <w:p>
            <w:pPr>
              <w:ind w:left="60"/>
              <w:spacing w:after="0"/>
              <w:rPr>
                <w:sz w:val="20"/>
                <w:szCs w:val="20"/>
                <w:color w:val="auto"/>
              </w:rPr>
            </w:pPr>
            <w:r>
              <w:rPr>
                <w:rFonts w:ascii="Arial" w:cs="Arial" w:eastAsia="Arial" w:hAnsi="Arial"/>
                <w:sz w:val="18"/>
                <w:szCs w:val="18"/>
                <w:color w:val="auto"/>
              </w:rPr>
              <w:t>Dallas, TX 75390</w:t>
            </w:r>
          </w:p>
        </w:tc>
        <w:tc>
          <w:tcPr>
            <w:tcW w:w="102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PARKLAND MEMORIAL</w:t>
            </w:r>
          </w:p>
        </w:tc>
        <w:tc>
          <w:tcPr>
            <w:tcW w:w="2620" w:type="dxa"/>
            <w:vAlign w:val="bottom"/>
            <w:gridSpan w:val="2"/>
          </w:tcPr>
          <w:p>
            <w:pPr>
              <w:ind w:left="60"/>
              <w:spacing w:after="0"/>
              <w:rPr>
                <w:sz w:val="20"/>
                <w:szCs w:val="20"/>
                <w:color w:val="auto"/>
              </w:rPr>
            </w:pPr>
            <w:r>
              <w:rPr>
                <w:rFonts w:ascii="Arial" w:cs="Arial" w:eastAsia="Arial" w:hAnsi="Arial"/>
                <w:sz w:val="18"/>
                <w:szCs w:val="18"/>
                <w:color w:val="auto"/>
              </w:rPr>
              <w:t>5201 Harry Hines Blvd</w:t>
            </w:r>
          </w:p>
        </w:tc>
        <w:tc>
          <w:tcPr>
            <w:tcW w:w="1020" w:type="dxa"/>
            <w:vAlign w:val="bottom"/>
          </w:tcPr>
          <w:p>
            <w:pPr>
              <w:ind w:left="28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620" w:type="dxa"/>
            <w:vAlign w:val="bottom"/>
            <w:gridSpan w:val="2"/>
          </w:tcPr>
          <w:p>
            <w:pPr>
              <w:ind w:left="60"/>
              <w:spacing w:after="0"/>
              <w:rPr>
                <w:sz w:val="20"/>
                <w:szCs w:val="20"/>
                <w:color w:val="auto"/>
              </w:rPr>
            </w:pPr>
            <w:r>
              <w:rPr>
                <w:rFonts w:ascii="Arial" w:cs="Arial" w:eastAsia="Arial" w:hAnsi="Arial"/>
                <w:sz w:val="18"/>
                <w:szCs w:val="18"/>
                <w:color w:val="auto"/>
              </w:rPr>
              <w:t>Dallas, TX 75235</w:t>
            </w:r>
          </w:p>
        </w:tc>
        <w:tc>
          <w:tcPr>
            <w:tcW w:w="102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LEE MEMORIAL</w:t>
            </w:r>
          </w:p>
        </w:tc>
        <w:tc>
          <w:tcPr>
            <w:tcW w:w="460" w:type="dxa"/>
            <w:vAlign w:val="bottom"/>
          </w:tcPr>
          <w:p>
            <w:pPr>
              <w:ind w:left="60"/>
              <w:spacing w:after="0"/>
              <w:rPr>
                <w:sz w:val="20"/>
                <w:szCs w:val="20"/>
                <w:color w:val="auto"/>
              </w:rPr>
            </w:pPr>
            <w:r>
              <w:rPr>
                <w:rFonts w:ascii="Arial" w:cs="Arial" w:eastAsia="Arial" w:hAnsi="Arial"/>
                <w:sz w:val="18"/>
                <w:szCs w:val="18"/>
                <w:color w:val="auto"/>
                <w:w w:val="94"/>
              </w:rPr>
              <w:t>2776</w:t>
            </w:r>
          </w:p>
        </w:tc>
        <w:tc>
          <w:tcPr>
            <w:tcW w:w="2160" w:type="dxa"/>
            <w:vAlign w:val="bottom"/>
          </w:tcPr>
          <w:p>
            <w:pPr>
              <w:spacing w:after="0"/>
              <w:rPr>
                <w:sz w:val="20"/>
                <w:szCs w:val="20"/>
                <w:color w:val="auto"/>
              </w:rPr>
            </w:pPr>
            <w:r>
              <w:rPr>
                <w:rFonts w:ascii="Arial" w:cs="Arial" w:eastAsia="Arial" w:hAnsi="Arial"/>
                <w:sz w:val="18"/>
                <w:szCs w:val="18"/>
                <w:color w:val="auto"/>
              </w:rPr>
              <w:t>Cleveland Avenue</w:t>
            </w:r>
          </w:p>
        </w:tc>
        <w:tc>
          <w:tcPr>
            <w:tcW w:w="1020" w:type="dxa"/>
            <w:vAlign w:val="bottom"/>
          </w:tcPr>
          <w:p>
            <w:pPr>
              <w:ind w:left="28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620" w:type="dxa"/>
            <w:vAlign w:val="bottom"/>
            <w:gridSpan w:val="2"/>
          </w:tcPr>
          <w:p>
            <w:pPr>
              <w:ind w:left="60"/>
              <w:spacing w:after="0"/>
              <w:rPr>
                <w:sz w:val="20"/>
                <w:szCs w:val="20"/>
                <w:color w:val="auto"/>
              </w:rPr>
            </w:pPr>
            <w:r>
              <w:rPr>
                <w:rFonts w:ascii="Arial" w:cs="Arial" w:eastAsia="Arial" w:hAnsi="Arial"/>
                <w:sz w:val="18"/>
                <w:szCs w:val="18"/>
                <w:color w:val="auto"/>
              </w:rPr>
              <w:t>Fort Myers, FL 33901</w:t>
            </w:r>
          </w:p>
        </w:tc>
        <w:tc>
          <w:tcPr>
            <w:tcW w:w="102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BERKSHIRE MEDICAL</w:t>
            </w:r>
          </w:p>
        </w:tc>
        <w:tc>
          <w:tcPr>
            <w:tcW w:w="2620" w:type="dxa"/>
            <w:vAlign w:val="bottom"/>
            <w:gridSpan w:val="2"/>
          </w:tcPr>
          <w:p>
            <w:pPr>
              <w:ind w:left="60"/>
              <w:spacing w:after="0"/>
              <w:rPr>
                <w:sz w:val="20"/>
                <w:szCs w:val="20"/>
                <w:color w:val="auto"/>
              </w:rPr>
            </w:pPr>
            <w:r>
              <w:rPr>
                <w:rFonts w:ascii="Arial" w:cs="Arial" w:eastAsia="Arial" w:hAnsi="Arial"/>
                <w:sz w:val="18"/>
                <w:szCs w:val="18"/>
                <w:color w:val="auto"/>
              </w:rPr>
              <w:t>725 North Street</w:t>
            </w:r>
          </w:p>
        </w:tc>
        <w:tc>
          <w:tcPr>
            <w:tcW w:w="1020" w:type="dxa"/>
            <w:vAlign w:val="bottom"/>
          </w:tcPr>
          <w:p>
            <w:pPr>
              <w:ind w:left="28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ind w:left="380"/>
              <w:spacing w:after="0"/>
              <w:rPr>
                <w:sz w:val="20"/>
                <w:szCs w:val="20"/>
                <w:color w:val="auto"/>
              </w:rPr>
            </w:pPr>
            <w:r>
              <w:rPr>
                <w:rFonts w:ascii="Arial" w:cs="Arial" w:eastAsia="Arial" w:hAnsi="Arial"/>
                <w:sz w:val="18"/>
                <w:szCs w:val="18"/>
                <w:color w:val="auto"/>
              </w:rPr>
              <w:t>CENTER</w:t>
            </w:r>
          </w:p>
        </w:tc>
        <w:tc>
          <w:tcPr>
            <w:tcW w:w="2620" w:type="dxa"/>
            <w:vAlign w:val="bottom"/>
            <w:gridSpan w:val="2"/>
          </w:tcPr>
          <w:p>
            <w:pPr>
              <w:ind w:left="60"/>
              <w:spacing w:after="0"/>
              <w:rPr>
                <w:sz w:val="20"/>
                <w:szCs w:val="20"/>
                <w:color w:val="auto"/>
              </w:rPr>
            </w:pPr>
            <w:r>
              <w:rPr>
                <w:rFonts w:ascii="Arial" w:cs="Arial" w:eastAsia="Arial" w:hAnsi="Arial"/>
                <w:sz w:val="18"/>
                <w:szCs w:val="18"/>
                <w:color w:val="auto"/>
              </w:rPr>
              <w:t>Pittsfield, MA 01201</w:t>
            </w:r>
          </w:p>
        </w:tc>
        <w:tc>
          <w:tcPr>
            <w:tcW w:w="102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UT SOUTHWESTERN</w:t>
            </w:r>
          </w:p>
        </w:tc>
        <w:tc>
          <w:tcPr>
            <w:tcW w:w="460" w:type="dxa"/>
            <w:vAlign w:val="bottom"/>
          </w:tcPr>
          <w:p>
            <w:pPr>
              <w:ind w:left="60"/>
              <w:spacing w:after="0"/>
              <w:rPr>
                <w:sz w:val="20"/>
                <w:szCs w:val="20"/>
                <w:color w:val="auto"/>
              </w:rPr>
            </w:pPr>
            <w:r>
              <w:rPr>
                <w:rFonts w:ascii="Arial" w:cs="Arial" w:eastAsia="Arial" w:hAnsi="Arial"/>
                <w:sz w:val="18"/>
                <w:szCs w:val="18"/>
                <w:color w:val="auto"/>
                <w:w w:val="94"/>
              </w:rPr>
              <w:t>5909</w:t>
            </w:r>
          </w:p>
        </w:tc>
        <w:tc>
          <w:tcPr>
            <w:tcW w:w="2160" w:type="dxa"/>
            <w:vAlign w:val="bottom"/>
          </w:tcPr>
          <w:p>
            <w:pPr>
              <w:spacing w:after="0"/>
              <w:rPr>
                <w:sz w:val="20"/>
                <w:szCs w:val="20"/>
                <w:color w:val="auto"/>
              </w:rPr>
            </w:pPr>
            <w:r>
              <w:rPr>
                <w:rFonts w:ascii="Arial" w:cs="Arial" w:eastAsia="Arial" w:hAnsi="Arial"/>
                <w:sz w:val="18"/>
                <w:szCs w:val="18"/>
                <w:color w:val="auto"/>
              </w:rPr>
              <w:t>Harry Hines</w:t>
            </w:r>
          </w:p>
        </w:tc>
        <w:tc>
          <w:tcPr>
            <w:tcW w:w="1020" w:type="dxa"/>
            <w:vAlign w:val="bottom"/>
          </w:tcPr>
          <w:p>
            <w:pPr>
              <w:ind w:left="280"/>
              <w:spacing w:after="0"/>
              <w:rPr>
                <w:sz w:val="20"/>
                <w:szCs w:val="20"/>
                <w:color w:val="auto"/>
              </w:rPr>
            </w:pPr>
            <w:r>
              <w:rPr>
                <w:rFonts w:ascii="Arial" w:cs="Arial" w:eastAsia="Arial" w:hAnsi="Arial"/>
                <w:sz w:val="18"/>
                <w:szCs w:val="18"/>
                <w:color w:val="auto"/>
                <w:w w:val="83"/>
              </w:rPr>
              <w:t>Consignee</w:t>
            </w:r>
          </w:p>
        </w:tc>
      </w:tr>
      <w:tr>
        <w:trPr>
          <w:trHeight w:val="216"/>
        </w:trPr>
        <w:tc>
          <w:tcPr>
            <w:tcW w:w="2720" w:type="dxa"/>
            <w:vAlign w:val="bottom"/>
          </w:tcPr>
          <w:p>
            <w:pPr>
              <w:spacing w:after="0"/>
              <w:rPr>
                <w:sz w:val="18"/>
                <w:szCs w:val="18"/>
                <w:color w:val="auto"/>
              </w:rPr>
            </w:pPr>
          </w:p>
        </w:tc>
        <w:tc>
          <w:tcPr>
            <w:tcW w:w="3180" w:type="dxa"/>
            <w:vAlign w:val="bottom"/>
          </w:tcPr>
          <w:p>
            <w:pPr>
              <w:ind w:left="380"/>
              <w:spacing w:after="0"/>
              <w:rPr>
                <w:sz w:val="20"/>
                <w:szCs w:val="20"/>
                <w:color w:val="auto"/>
              </w:rPr>
            </w:pPr>
            <w:r>
              <w:rPr>
                <w:rFonts w:ascii="Arial" w:cs="Arial" w:eastAsia="Arial" w:hAnsi="Arial"/>
                <w:sz w:val="18"/>
                <w:szCs w:val="18"/>
                <w:color w:val="auto"/>
              </w:rPr>
              <w:t>(OUTPATIENT SURG</w:t>
            </w:r>
          </w:p>
        </w:tc>
        <w:tc>
          <w:tcPr>
            <w:tcW w:w="2620" w:type="dxa"/>
            <w:vAlign w:val="bottom"/>
            <w:gridSpan w:val="2"/>
          </w:tcPr>
          <w:p>
            <w:pPr>
              <w:ind w:left="60"/>
              <w:spacing w:after="0"/>
              <w:rPr>
                <w:sz w:val="20"/>
                <w:szCs w:val="20"/>
                <w:color w:val="auto"/>
              </w:rPr>
            </w:pPr>
            <w:r>
              <w:rPr>
                <w:rFonts w:ascii="Arial" w:cs="Arial" w:eastAsia="Arial" w:hAnsi="Arial"/>
                <w:sz w:val="18"/>
                <w:szCs w:val="18"/>
                <w:color w:val="auto"/>
              </w:rPr>
              <w:t>Dallas, TX 75390</w:t>
            </w:r>
          </w:p>
        </w:tc>
        <w:tc>
          <w:tcPr>
            <w:tcW w:w="1020" w:type="dxa"/>
            <w:vAlign w:val="bottom"/>
          </w:tcPr>
          <w:p>
            <w:pPr>
              <w:spacing w:after="0"/>
              <w:rPr>
                <w:sz w:val="18"/>
                <w:szCs w:val="18"/>
                <w:color w:val="auto"/>
              </w:rPr>
            </w:pPr>
          </w:p>
        </w:tc>
      </w:tr>
      <w:tr>
        <w:trPr>
          <w:trHeight w:val="222"/>
        </w:trPr>
        <w:tc>
          <w:tcPr>
            <w:tcW w:w="2720" w:type="dxa"/>
            <w:vAlign w:val="bottom"/>
          </w:tcPr>
          <w:p>
            <w:pPr>
              <w:spacing w:after="0"/>
              <w:rPr>
                <w:sz w:val="19"/>
                <w:szCs w:val="19"/>
                <w:color w:val="auto"/>
              </w:rPr>
            </w:pPr>
          </w:p>
        </w:tc>
        <w:tc>
          <w:tcPr>
            <w:tcW w:w="3180" w:type="dxa"/>
            <w:vAlign w:val="bottom"/>
          </w:tcPr>
          <w:p>
            <w:pPr>
              <w:ind w:left="380"/>
              <w:spacing w:after="0"/>
              <w:rPr>
                <w:sz w:val="20"/>
                <w:szCs w:val="20"/>
                <w:color w:val="auto"/>
              </w:rPr>
            </w:pPr>
            <w:r>
              <w:rPr>
                <w:rFonts w:ascii="Arial" w:cs="Arial" w:eastAsia="Arial" w:hAnsi="Arial"/>
                <w:sz w:val="18"/>
                <w:szCs w:val="18"/>
                <w:color w:val="auto"/>
              </w:rPr>
              <w:t>CENTER)</w:t>
            </w:r>
          </w:p>
        </w:tc>
        <w:tc>
          <w:tcPr>
            <w:tcW w:w="4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GRANT RIVERSIDE MEDICAL</w:t>
            </w:r>
          </w:p>
        </w:tc>
        <w:tc>
          <w:tcPr>
            <w:tcW w:w="460" w:type="dxa"/>
            <w:vAlign w:val="bottom"/>
          </w:tcPr>
          <w:p>
            <w:pPr>
              <w:ind w:left="60"/>
              <w:spacing w:after="0"/>
              <w:rPr>
                <w:sz w:val="20"/>
                <w:szCs w:val="20"/>
                <w:color w:val="auto"/>
              </w:rPr>
            </w:pPr>
            <w:r>
              <w:rPr>
                <w:rFonts w:ascii="Arial" w:cs="Arial" w:eastAsia="Arial" w:hAnsi="Arial"/>
                <w:sz w:val="18"/>
                <w:szCs w:val="18"/>
                <w:color w:val="auto"/>
                <w:w w:val="94"/>
              </w:rPr>
              <w:t>3420</w:t>
            </w:r>
          </w:p>
        </w:tc>
        <w:tc>
          <w:tcPr>
            <w:tcW w:w="2160" w:type="dxa"/>
            <w:vAlign w:val="bottom"/>
          </w:tcPr>
          <w:p>
            <w:pPr>
              <w:spacing w:after="0"/>
              <w:rPr>
                <w:sz w:val="20"/>
                <w:szCs w:val="20"/>
                <w:color w:val="auto"/>
              </w:rPr>
            </w:pPr>
            <w:r>
              <w:rPr>
                <w:rFonts w:ascii="Arial" w:cs="Arial" w:eastAsia="Arial" w:hAnsi="Arial"/>
                <w:sz w:val="18"/>
                <w:szCs w:val="18"/>
                <w:color w:val="auto"/>
              </w:rPr>
              <w:t>Oletangy River Road</w:t>
            </w:r>
          </w:p>
        </w:tc>
        <w:tc>
          <w:tcPr>
            <w:tcW w:w="1020" w:type="dxa"/>
            <w:vAlign w:val="bottom"/>
          </w:tcPr>
          <w:p>
            <w:pPr>
              <w:ind w:left="28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ind w:left="380"/>
              <w:spacing w:after="0"/>
              <w:rPr>
                <w:sz w:val="20"/>
                <w:szCs w:val="20"/>
                <w:color w:val="auto"/>
              </w:rPr>
            </w:pPr>
            <w:r>
              <w:rPr>
                <w:rFonts w:ascii="Arial" w:cs="Arial" w:eastAsia="Arial" w:hAnsi="Arial"/>
                <w:sz w:val="18"/>
                <w:szCs w:val="18"/>
                <w:color w:val="auto"/>
              </w:rPr>
              <w:t>CENTER</w:t>
            </w:r>
          </w:p>
        </w:tc>
        <w:tc>
          <w:tcPr>
            <w:tcW w:w="2620" w:type="dxa"/>
            <w:vAlign w:val="bottom"/>
            <w:gridSpan w:val="2"/>
          </w:tcPr>
          <w:p>
            <w:pPr>
              <w:ind w:left="60"/>
              <w:spacing w:after="0"/>
              <w:rPr>
                <w:sz w:val="20"/>
                <w:szCs w:val="20"/>
                <w:color w:val="auto"/>
              </w:rPr>
            </w:pPr>
            <w:r>
              <w:rPr>
                <w:rFonts w:ascii="Arial" w:cs="Arial" w:eastAsia="Arial" w:hAnsi="Arial"/>
                <w:sz w:val="18"/>
                <w:szCs w:val="18"/>
                <w:color w:val="auto"/>
              </w:rPr>
              <w:t>Columbus, Ohio 43202</w:t>
            </w:r>
          </w:p>
        </w:tc>
        <w:tc>
          <w:tcPr>
            <w:tcW w:w="102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CREEKWOOD</w:t>
            </w:r>
          </w:p>
        </w:tc>
        <w:tc>
          <w:tcPr>
            <w:tcW w:w="2620" w:type="dxa"/>
            <w:vAlign w:val="bottom"/>
            <w:gridSpan w:val="2"/>
          </w:tcPr>
          <w:p>
            <w:pPr>
              <w:ind w:left="60"/>
              <w:spacing w:after="0"/>
              <w:rPr>
                <w:sz w:val="20"/>
                <w:szCs w:val="20"/>
                <w:color w:val="auto"/>
              </w:rPr>
            </w:pPr>
            <w:r>
              <w:rPr>
                <w:rFonts w:ascii="Arial" w:cs="Arial" w:eastAsia="Arial" w:hAnsi="Arial"/>
                <w:sz w:val="18"/>
                <w:szCs w:val="18"/>
                <w:color w:val="auto"/>
              </w:rPr>
              <w:t>211 NE 54</w:t>
            </w:r>
            <w:r>
              <w:rPr>
                <w:rFonts w:ascii="Arial" w:cs="Arial" w:eastAsia="Arial" w:hAnsi="Arial"/>
                <w:sz w:val="11"/>
                <w:szCs w:val="11"/>
                <w:color w:val="auto"/>
              </w:rPr>
              <w:t>th</w:t>
            </w:r>
            <w:r>
              <w:rPr>
                <w:rFonts w:ascii="Arial" w:cs="Arial" w:eastAsia="Arial" w:hAnsi="Arial"/>
                <w:sz w:val="18"/>
                <w:szCs w:val="18"/>
                <w:color w:val="auto"/>
              </w:rPr>
              <w:t xml:space="preserve"> Street</w:t>
            </w:r>
          </w:p>
        </w:tc>
        <w:tc>
          <w:tcPr>
            <w:tcW w:w="1020" w:type="dxa"/>
            <w:vAlign w:val="bottom"/>
          </w:tcPr>
          <w:p>
            <w:pPr>
              <w:ind w:left="280"/>
              <w:spacing w:after="0"/>
              <w:rPr>
                <w:sz w:val="20"/>
                <w:szCs w:val="20"/>
                <w:color w:val="auto"/>
              </w:rPr>
            </w:pPr>
            <w:r>
              <w:rPr>
                <w:rFonts w:ascii="Arial" w:cs="Arial" w:eastAsia="Arial" w:hAnsi="Arial"/>
                <w:sz w:val="18"/>
                <w:szCs w:val="18"/>
                <w:color w:val="auto"/>
                <w:w w:val="83"/>
              </w:rPr>
              <w:t>Consignee</w:t>
            </w:r>
          </w:p>
        </w:tc>
      </w:tr>
      <w:tr>
        <w:trPr>
          <w:trHeight w:val="216"/>
        </w:trPr>
        <w:tc>
          <w:tcPr>
            <w:tcW w:w="2720" w:type="dxa"/>
            <w:vAlign w:val="bottom"/>
          </w:tcPr>
          <w:p>
            <w:pPr>
              <w:spacing w:after="0"/>
              <w:rPr>
                <w:sz w:val="18"/>
                <w:szCs w:val="18"/>
                <w:color w:val="auto"/>
              </w:rPr>
            </w:pPr>
          </w:p>
        </w:tc>
        <w:tc>
          <w:tcPr>
            <w:tcW w:w="3180" w:type="dxa"/>
            <w:vAlign w:val="bottom"/>
          </w:tcPr>
          <w:p>
            <w:pPr>
              <w:ind w:left="380"/>
              <w:spacing w:after="0"/>
              <w:rPr>
                <w:sz w:val="20"/>
                <w:szCs w:val="20"/>
                <w:color w:val="auto"/>
              </w:rPr>
            </w:pPr>
            <w:r>
              <w:rPr>
                <w:rFonts w:ascii="Arial" w:cs="Arial" w:eastAsia="Arial" w:hAnsi="Arial"/>
                <w:sz w:val="18"/>
                <w:szCs w:val="18"/>
                <w:color w:val="auto"/>
              </w:rPr>
              <w:t>SURGERY CENTER</w:t>
            </w:r>
          </w:p>
        </w:tc>
        <w:tc>
          <w:tcPr>
            <w:tcW w:w="2620" w:type="dxa"/>
            <w:vAlign w:val="bottom"/>
            <w:gridSpan w:val="2"/>
          </w:tcPr>
          <w:p>
            <w:pPr>
              <w:ind w:left="60"/>
              <w:spacing w:after="0"/>
              <w:rPr>
                <w:sz w:val="20"/>
                <w:szCs w:val="20"/>
                <w:color w:val="auto"/>
              </w:rPr>
            </w:pPr>
            <w:r>
              <w:rPr>
                <w:rFonts w:ascii="Arial" w:cs="Arial" w:eastAsia="Arial" w:hAnsi="Arial"/>
                <w:sz w:val="18"/>
                <w:szCs w:val="18"/>
                <w:color w:val="auto"/>
              </w:rPr>
              <w:t>Suite 100</w:t>
            </w:r>
          </w:p>
        </w:tc>
        <w:tc>
          <w:tcPr>
            <w:tcW w:w="1020" w:type="dxa"/>
            <w:vAlign w:val="bottom"/>
          </w:tcPr>
          <w:p>
            <w:pPr>
              <w:spacing w:after="0"/>
              <w:rPr>
                <w:sz w:val="18"/>
                <w:szCs w:val="18"/>
                <w:color w:val="auto"/>
              </w:rPr>
            </w:pPr>
          </w:p>
        </w:tc>
      </w:tr>
      <w:tr>
        <w:trPr>
          <w:trHeight w:val="222"/>
        </w:trPr>
        <w:tc>
          <w:tcPr>
            <w:tcW w:w="27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620" w:type="dxa"/>
            <w:vAlign w:val="bottom"/>
            <w:gridSpan w:val="2"/>
          </w:tcPr>
          <w:p>
            <w:pPr>
              <w:ind w:left="60"/>
              <w:spacing w:after="0"/>
              <w:rPr>
                <w:sz w:val="20"/>
                <w:szCs w:val="20"/>
                <w:color w:val="auto"/>
              </w:rPr>
            </w:pPr>
            <w:r>
              <w:rPr>
                <w:rFonts w:ascii="Arial" w:cs="Arial" w:eastAsia="Arial" w:hAnsi="Arial"/>
                <w:sz w:val="18"/>
                <w:szCs w:val="18"/>
                <w:color w:val="auto"/>
              </w:rPr>
              <w:t>Kansas City, NO 64118</w:t>
            </w:r>
          </w:p>
        </w:tc>
        <w:tc>
          <w:tcPr>
            <w:tcW w:w="102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KAISER ANTIOCH</w:t>
            </w:r>
          </w:p>
        </w:tc>
        <w:tc>
          <w:tcPr>
            <w:tcW w:w="460" w:type="dxa"/>
            <w:vAlign w:val="bottom"/>
          </w:tcPr>
          <w:p>
            <w:pPr>
              <w:ind w:left="60"/>
              <w:spacing w:after="0"/>
              <w:rPr>
                <w:sz w:val="20"/>
                <w:szCs w:val="20"/>
                <w:color w:val="auto"/>
              </w:rPr>
            </w:pPr>
            <w:r>
              <w:rPr>
                <w:rFonts w:ascii="Arial" w:cs="Arial" w:eastAsia="Arial" w:hAnsi="Arial"/>
                <w:sz w:val="18"/>
                <w:szCs w:val="18"/>
                <w:color w:val="auto"/>
                <w:w w:val="94"/>
              </w:rPr>
              <w:t>4501</w:t>
            </w:r>
          </w:p>
        </w:tc>
        <w:tc>
          <w:tcPr>
            <w:tcW w:w="2160" w:type="dxa"/>
            <w:vAlign w:val="bottom"/>
          </w:tcPr>
          <w:p>
            <w:pPr>
              <w:spacing w:after="0"/>
              <w:rPr>
                <w:sz w:val="20"/>
                <w:szCs w:val="20"/>
                <w:color w:val="auto"/>
              </w:rPr>
            </w:pPr>
            <w:r>
              <w:rPr>
                <w:rFonts w:ascii="Arial" w:cs="Arial" w:eastAsia="Arial" w:hAnsi="Arial"/>
                <w:sz w:val="18"/>
                <w:szCs w:val="18"/>
                <w:color w:val="auto"/>
              </w:rPr>
              <w:t>Sand Creek Road</w:t>
            </w:r>
          </w:p>
        </w:tc>
        <w:tc>
          <w:tcPr>
            <w:tcW w:w="1020" w:type="dxa"/>
            <w:vAlign w:val="bottom"/>
          </w:tcPr>
          <w:p>
            <w:pPr>
              <w:ind w:left="28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620" w:type="dxa"/>
            <w:vAlign w:val="bottom"/>
            <w:gridSpan w:val="2"/>
          </w:tcPr>
          <w:p>
            <w:pPr>
              <w:ind w:left="60"/>
              <w:spacing w:after="0"/>
              <w:rPr>
                <w:sz w:val="20"/>
                <w:szCs w:val="20"/>
                <w:color w:val="auto"/>
              </w:rPr>
            </w:pPr>
            <w:r>
              <w:rPr>
                <w:rFonts w:ascii="Arial" w:cs="Arial" w:eastAsia="Arial" w:hAnsi="Arial"/>
                <w:sz w:val="18"/>
                <w:szCs w:val="18"/>
                <w:color w:val="auto"/>
              </w:rPr>
              <w:t>Antioch, CA 94531</w:t>
            </w:r>
          </w:p>
        </w:tc>
        <w:tc>
          <w:tcPr>
            <w:tcW w:w="102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ORANGE PARK SURGERY CTR</w:t>
            </w:r>
          </w:p>
        </w:tc>
        <w:tc>
          <w:tcPr>
            <w:tcW w:w="460" w:type="dxa"/>
            <w:vAlign w:val="bottom"/>
          </w:tcPr>
          <w:p>
            <w:pPr>
              <w:ind w:left="60"/>
              <w:spacing w:after="0"/>
              <w:rPr>
                <w:sz w:val="20"/>
                <w:szCs w:val="20"/>
                <w:color w:val="auto"/>
              </w:rPr>
            </w:pPr>
            <w:r>
              <w:rPr>
                <w:rFonts w:ascii="Arial" w:cs="Arial" w:eastAsia="Arial" w:hAnsi="Arial"/>
                <w:sz w:val="18"/>
                <w:szCs w:val="18"/>
                <w:color w:val="auto"/>
                <w:w w:val="94"/>
              </w:rPr>
              <w:t>2050</w:t>
            </w:r>
          </w:p>
        </w:tc>
        <w:tc>
          <w:tcPr>
            <w:tcW w:w="2160" w:type="dxa"/>
            <w:vAlign w:val="bottom"/>
          </w:tcPr>
          <w:p>
            <w:pPr>
              <w:spacing w:after="0"/>
              <w:rPr>
                <w:sz w:val="20"/>
                <w:szCs w:val="20"/>
                <w:color w:val="auto"/>
              </w:rPr>
            </w:pPr>
            <w:r>
              <w:rPr>
                <w:rFonts w:ascii="Arial" w:cs="Arial" w:eastAsia="Arial" w:hAnsi="Arial"/>
                <w:sz w:val="18"/>
                <w:szCs w:val="18"/>
                <w:color w:val="auto"/>
              </w:rPr>
              <w:t>Professional Ctr Dr</w:t>
            </w:r>
          </w:p>
        </w:tc>
        <w:tc>
          <w:tcPr>
            <w:tcW w:w="1020" w:type="dxa"/>
            <w:vAlign w:val="bottom"/>
          </w:tcPr>
          <w:p>
            <w:pPr>
              <w:ind w:left="28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620" w:type="dxa"/>
            <w:vAlign w:val="bottom"/>
            <w:gridSpan w:val="2"/>
          </w:tcPr>
          <w:p>
            <w:pPr>
              <w:ind w:left="60"/>
              <w:spacing w:after="0"/>
              <w:rPr>
                <w:sz w:val="20"/>
                <w:szCs w:val="20"/>
                <w:color w:val="auto"/>
              </w:rPr>
            </w:pPr>
            <w:r>
              <w:rPr>
                <w:rFonts w:ascii="Arial" w:cs="Arial" w:eastAsia="Arial" w:hAnsi="Arial"/>
                <w:sz w:val="18"/>
                <w:szCs w:val="18"/>
                <w:color w:val="auto"/>
              </w:rPr>
              <w:t>Orange Park, FL 32073</w:t>
            </w:r>
          </w:p>
        </w:tc>
        <w:tc>
          <w:tcPr>
            <w:tcW w:w="102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FLEMING ISLAND</w:t>
            </w:r>
          </w:p>
        </w:tc>
        <w:tc>
          <w:tcPr>
            <w:tcW w:w="460" w:type="dxa"/>
            <w:vAlign w:val="bottom"/>
          </w:tcPr>
          <w:p>
            <w:pPr>
              <w:ind w:left="60"/>
              <w:spacing w:after="0"/>
              <w:rPr>
                <w:sz w:val="20"/>
                <w:szCs w:val="20"/>
                <w:color w:val="auto"/>
              </w:rPr>
            </w:pPr>
            <w:r>
              <w:rPr>
                <w:rFonts w:ascii="Arial" w:cs="Arial" w:eastAsia="Arial" w:hAnsi="Arial"/>
                <w:sz w:val="18"/>
                <w:szCs w:val="18"/>
                <w:color w:val="auto"/>
                <w:w w:val="94"/>
              </w:rPr>
              <w:t>1670</w:t>
            </w:r>
          </w:p>
        </w:tc>
        <w:tc>
          <w:tcPr>
            <w:tcW w:w="2160" w:type="dxa"/>
            <w:vAlign w:val="bottom"/>
          </w:tcPr>
          <w:p>
            <w:pPr>
              <w:spacing w:after="0"/>
              <w:rPr>
                <w:sz w:val="20"/>
                <w:szCs w:val="20"/>
                <w:color w:val="auto"/>
              </w:rPr>
            </w:pPr>
            <w:r>
              <w:rPr>
                <w:rFonts w:ascii="Arial" w:cs="Arial" w:eastAsia="Arial" w:hAnsi="Arial"/>
                <w:sz w:val="18"/>
                <w:szCs w:val="18"/>
                <w:color w:val="auto"/>
              </w:rPr>
              <w:t>B Eagle Harbor Parkway</w:t>
            </w:r>
          </w:p>
        </w:tc>
        <w:tc>
          <w:tcPr>
            <w:tcW w:w="1020" w:type="dxa"/>
            <w:vAlign w:val="bottom"/>
          </w:tcPr>
          <w:p>
            <w:pPr>
              <w:ind w:left="28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ind w:left="380"/>
              <w:spacing w:after="0"/>
              <w:rPr>
                <w:sz w:val="20"/>
                <w:szCs w:val="20"/>
                <w:color w:val="auto"/>
              </w:rPr>
            </w:pPr>
            <w:r>
              <w:rPr>
                <w:rFonts w:ascii="Arial" w:cs="Arial" w:eastAsia="Arial" w:hAnsi="Arial"/>
                <w:sz w:val="18"/>
                <w:szCs w:val="18"/>
                <w:color w:val="auto"/>
              </w:rPr>
              <w:t>SURGERY CENTER</w:t>
            </w:r>
          </w:p>
        </w:tc>
        <w:tc>
          <w:tcPr>
            <w:tcW w:w="2620" w:type="dxa"/>
            <w:vAlign w:val="bottom"/>
            <w:gridSpan w:val="2"/>
          </w:tcPr>
          <w:p>
            <w:pPr>
              <w:ind w:left="60"/>
              <w:spacing w:after="0"/>
              <w:rPr>
                <w:sz w:val="20"/>
                <w:szCs w:val="20"/>
                <w:color w:val="auto"/>
              </w:rPr>
            </w:pPr>
            <w:r>
              <w:rPr>
                <w:rFonts w:ascii="Arial" w:cs="Arial" w:eastAsia="Arial" w:hAnsi="Arial"/>
                <w:sz w:val="18"/>
                <w:szCs w:val="18"/>
                <w:color w:val="auto"/>
              </w:rPr>
              <w:t>Orange Park, FL 32003</w:t>
            </w:r>
          </w:p>
        </w:tc>
        <w:tc>
          <w:tcPr>
            <w:tcW w:w="102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ARKANSAS SPECIALTY</w:t>
            </w:r>
          </w:p>
        </w:tc>
        <w:tc>
          <w:tcPr>
            <w:tcW w:w="460" w:type="dxa"/>
            <w:vAlign w:val="bottom"/>
          </w:tcPr>
          <w:p>
            <w:pPr>
              <w:ind w:left="60"/>
              <w:spacing w:after="0"/>
              <w:rPr>
                <w:sz w:val="20"/>
                <w:szCs w:val="20"/>
                <w:color w:val="auto"/>
              </w:rPr>
            </w:pPr>
            <w:r>
              <w:rPr>
                <w:rFonts w:ascii="Arial" w:cs="Arial" w:eastAsia="Arial" w:hAnsi="Arial"/>
                <w:sz w:val="18"/>
                <w:szCs w:val="18"/>
                <w:color w:val="auto"/>
                <w:w w:val="94"/>
              </w:rPr>
              <w:t>6101</w:t>
            </w:r>
          </w:p>
        </w:tc>
        <w:tc>
          <w:tcPr>
            <w:tcW w:w="2160" w:type="dxa"/>
            <w:vAlign w:val="bottom"/>
          </w:tcPr>
          <w:p>
            <w:pPr>
              <w:spacing w:after="0"/>
              <w:rPr>
                <w:sz w:val="20"/>
                <w:szCs w:val="20"/>
                <w:color w:val="auto"/>
              </w:rPr>
            </w:pPr>
            <w:r>
              <w:rPr>
                <w:rFonts w:ascii="Arial" w:cs="Arial" w:eastAsia="Arial" w:hAnsi="Arial"/>
                <w:sz w:val="18"/>
                <w:szCs w:val="18"/>
                <w:color w:val="auto"/>
              </w:rPr>
              <w:t>St Vincent Circle</w:t>
            </w:r>
          </w:p>
        </w:tc>
        <w:tc>
          <w:tcPr>
            <w:tcW w:w="1020" w:type="dxa"/>
            <w:vAlign w:val="bottom"/>
          </w:tcPr>
          <w:p>
            <w:pPr>
              <w:ind w:left="28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ind w:left="380"/>
              <w:spacing w:after="0"/>
              <w:rPr>
                <w:sz w:val="20"/>
                <w:szCs w:val="20"/>
                <w:color w:val="auto"/>
              </w:rPr>
            </w:pPr>
            <w:r>
              <w:rPr>
                <w:rFonts w:ascii="Arial" w:cs="Arial" w:eastAsia="Arial" w:hAnsi="Arial"/>
                <w:sz w:val="18"/>
                <w:szCs w:val="18"/>
                <w:color w:val="auto"/>
              </w:rPr>
              <w:t>ORTHOPEDICS</w:t>
            </w:r>
          </w:p>
        </w:tc>
        <w:tc>
          <w:tcPr>
            <w:tcW w:w="2620" w:type="dxa"/>
            <w:vAlign w:val="bottom"/>
            <w:gridSpan w:val="2"/>
          </w:tcPr>
          <w:p>
            <w:pPr>
              <w:ind w:left="60"/>
              <w:spacing w:after="0"/>
              <w:rPr>
                <w:sz w:val="20"/>
                <w:szCs w:val="20"/>
                <w:color w:val="auto"/>
              </w:rPr>
            </w:pPr>
            <w:r>
              <w:rPr>
                <w:rFonts w:ascii="Arial" w:cs="Arial" w:eastAsia="Arial" w:hAnsi="Arial"/>
                <w:sz w:val="18"/>
                <w:szCs w:val="18"/>
                <w:color w:val="auto"/>
              </w:rPr>
              <w:t>Little Rock, AR 72205</w:t>
            </w:r>
          </w:p>
        </w:tc>
        <w:tc>
          <w:tcPr>
            <w:tcW w:w="102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FLATIRONS SURGERY CENTER</w:t>
            </w:r>
          </w:p>
        </w:tc>
        <w:tc>
          <w:tcPr>
            <w:tcW w:w="2620" w:type="dxa"/>
            <w:vAlign w:val="bottom"/>
            <w:gridSpan w:val="2"/>
          </w:tcPr>
          <w:p>
            <w:pPr>
              <w:ind w:left="60"/>
              <w:spacing w:after="0"/>
              <w:rPr>
                <w:sz w:val="20"/>
                <w:szCs w:val="20"/>
                <w:color w:val="auto"/>
              </w:rPr>
            </w:pPr>
            <w:r>
              <w:rPr>
                <w:rFonts w:ascii="Arial" w:cs="Arial" w:eastAsia="Arial" w:hAnsi="Arial"/>
                <w:sz w:val="18"/>
                <w:szCs w:val="18"/>
                <w:color w:val="auto"/>
              </w:rPr>
              <w:t>70 Health Park Drive</w:t>
            </w:r>
          </w:p>
        </w:tc>
        <w:tc>
          <w:tcPr>
            <w:tcW w:w="1020" w:type="dxa"/>
            <w:vAlign w:val="bottom"/>
          </w:tcPr>
          <w:p>
            <w:pPr>
              <w:ind w:left="28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620" w:type="dxa"/>
            <w:vAlign w:val="bottom"/>
            <w:gridSpan w:val="2"/>
          </w:tcPr>
          <w:p>
            <w:pPr>
              <w:ind w:left="60"/>
              <w:spacing w:after="0"/>
              <w:rPr>
                <w:sz w:val="20"/>
                <w:szCs w:val="20"/>
                <w:color w:val="auto"/>
              </w:rPr>
            </w:pPr>
            <w:r>
              <w:rPr>
                <w:rFonts w:ascii="Arial" w:cs="Arial" w:eastAsia="Arial" w:hAnsi="Arial"/>
                <w:sz w:val="18"/>
                <w:szCs w:val="18"/>
                <w:color w:val="auto"/>
              </w:rPr>
              <w:t>Louisville CO 80027</w:t>
            </w:r>
          </w:p>
        </w:tc>
        <w:tc>
          <w:tcPr>
            <w:tcW w:w="102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CLEAR CREEK</w:t>
            </w:r>
          </w:p>
        </w:tc>
        <w:tc>
          <w:tcPr>
            <w:tcW w:w="460" w:type="dxa"/>
            <w:vAlign w:val="bottom"/>
          </w:tcPr>
          <w:p>
            <w:pPr>
              <w:ind w:left="60"/>
              <w:spacing w:after="0"/>
              <w:rPr>
                <w:sz w:val="20"/>
                <w:szCs w:val="20"/>
                <w:color w:val="auto"/>
              </w:rPr>
            </w:pPr>
            <w:r>
              <w:rPr>
                <w:rFonts w:ascii="Arial" w:cs="Arial" w:eastAsia="Arial" w:hAnsi="Arial"/>
                <w:sz w:val="18"/>
                <w:szCs w:val="18"/>
                <w:color w:val="auto"/>
                <w:w w:val="94"/>
              </w:rPr>
              <w:t>7809</w:t>
            </w:r>
          </w:p>
        </w:tc>
        <w:tc>
          <w:tcPr>
            <w:tcW w:w="2160" w:type="dxa"/>
            <w:vAlign w:val="bottom"/>
          </w:tcPr>
          <w:p>
            <w:pPr>
              <w:spacing w:after="0"/>
              <w:rPr>
                <w:sz w:val="20"/>
                <w:szCs w:val="20"/>
                <w:color w:val="auto"/>
              </w:rPr>
            </w:pPr>
            <w:r>
              <w:rPr>
                <w:rFonts w:ascii="Arial" w:cs="Arial" w:eastAsia="Arial" w:hAnsi="Arial"/>
                <w:sz w:val="18"/>
                <w:szCs w:val="18"/>
                <w:color w:val="auto"/>
              </w:rPr>
              <w:t>W 38</w:t>
            </w:r>
            <w:r>
              <w:rPr>
                <w:rFonts w:ascii="Arial" w:cs="Arial" w:eastAsia="Arial" w:hAnsi="Arial"/>
                <w:sz w:val="11"/>
                <w:szCs w:val="11"/>
                <w:color w:val="auto"/>
              </w:rPr>
              <w:t>th</w:t>
            </w:r>
            <w:r>
              <w:rPr>
                <w:rFonts w:ascii="Arial" w:cs="Arial" w:eastAsia="Arial" w:hAnsi="Arial"/>
                <w:sz w:val="18"/>
                <w:szCs w:val="18"/>
                <w:color w:val="auto"/>
              </w:rPr>
              <w:t xml:space="preserve"> Avenue</w:t>
            </w:r>
          </w:p>
        </w:tc>
        <w:tc>
          <w:tcPr>
            <w:tcW w:w="1020" w:type="dxa"/>
            <w:vAlign w:val="bottom"/>
          </w:tcPr>
          <w:p>
            <w:pPr>
              <w:ind w:left="28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ind w:left="380"/>
              <w:spacing w:after="0"/>
              <w:rPr>
                <w:sz w:val="20"/>
                <w:szCs w:val="20"/>
                <w:color w:val="auto"/>
              </w:rPr>
            </w:pPr>
            <w:r>
              <w:rPr>
                <w:rFonts w:ascii="Arial" w:cs="Arial" w:eastAsia="Arial" w:hAnsi="Arial"/>
                <w:sz w:val="18"/>
                <w:szCs w:val="18"/>
                <w:color w:val="auto"/>
              </w:rPr>
              <w:t>SURGERY CTR</w:t>
            </w:r>
          </w:p>
        </w:tc>
        <w:tc>
          <w:tcPr>
            <w:tcW w:w="2620" w:type="dxa"/>
            <w:vAlign w:val="bottom"/>
            <w:gridSpan w:val="2"/>
          </w:tcPr>
          <w:p>
            <w:pPr>
              <w:ind w:left="60"/>
              <w:spacing w:after="0"/>
              <w:rPr>
                <w:sz w:val="20"/>
                <w:szCs w:val="20"/>
                <w:color w:val="auto"/>
              </w:rPr>
            </w:pPr>
            <w:r>
              <w:rPr>
                <w:rFonts w:ascii="Arial" w:cs="Arial" w:eastAsia="Arial" w:hAnsi="Arial"/>
                <w:sz w:val="18"/>
                <w:szCs w:val="18"/>
                <w:color w:val="auto"/>
              </w:rPr>
              <w:t>Wheat Ridge, CO 80033</w:t>
            </w:r>
          </w:p>
        </w:tc>
        <w:tc>
          <w:tcPr>
            <w:tcW w:w="102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GOLDEN RIDGE SURGERY</w:t>
            </w:r>
          </w:p>
        </w:tc>
        <w:tc>
          <w:tcPr>
            <w:tcW w:w="2620" w:type="dxa"/>
            <w:vAlign w:val="bottom"/>
            <w:gridSpan w:val="2"/>
          </w:tcPr>
          <w:p>
            <w:pPr>
              <w:ind w:left="60"/>
              <w:spacing w:after="0"/>
              <w:rPr>
                <w:sz w:val="20"/>
                <w:szCs w:val="20"/>
                <w:color w:val="auto"/>
              </w:rPr>
            </w:pPr>
            <w:r>
              <w:rPr>
                <w:rFonts w:ascii="Arial" w:cs="Arial" w:eastAsia="Arial" w:hAnsi="Arial"/>
                <w:sz w:val="18"/>
                <w:szCs w:val="18"/>
                <w:color w:val="auto"/>
              </w:rPr>
              <w:t>660 Golden Ridge Road</w:t>
            </w:r>
          </w:p>
        </w:tc>
        <w:tc>
          <w:tcPr>
            <w:tcW w:w="1020" w:type="dxa"/>
            <w:vAlign w:val="bottom"/>
          </w:tcPr>
          <w:p>
            <w:pPr>
              <w:ind w:left="28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ind w:left="380"/>
              <w:spacing w:after="0"/>
              <w:rPr>
                <w:sz w:val="20"/>
                <w:szCs w:val="20"/>
                <w:color w:val="auto"/>
              </w:rPr>
            </w:pPr>
            <w:r>
              <w:rPr>
                <w:rFonts w:ascii="Arial" w:cs="Arial" w:eastAsia="Arial" w:hAnsi="Arial"/>
                <w:sz w:val="18"/>
                <w:szCs w:val="18"/>
                <w:color w:val="auto"/>
              </w:rPr>
              <w:t>CENTER</w:t>
            </w:r>
          </w:p>
        </w:tc>
        <w:tc>
          <w:tcPr>
            <w:tcW w:w="2620" w:type="dxa"/>
            <w:vAlign w:val="bottom"/>
            <w:gridSpan w:val="2"/>
          </w:tcPr>
          <w:p>
            <w:pPr>
              <w:ind w:left="60"/>
              <w:spacing w:after="0"/>
              <w:rPr>
                <w:sz w:val="20"/>
                <w:szCs w:val="20"/>
                <w:color w:val="auto"/>
              </w:rPr>
            </w:pPr>
            <w:r>
              <w:rPr>
                <w:rFonts w:ascii="Arial" w:cs="Arial" w:eastAsia="Arial" w:hAnsi="Arial"/>
                <w:sz w:val="18"/>
                <w:szCs w:val="18"/>
                <w:color w:val="auto"/>
              </w:rPr>
              <w:t>Golden CO 80401</w:t>
            </w:r>
          </w:p>
        </w:tc>
        <w:tc>
          <w:tcPr>
            <w:tcW w:w="102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EL PASO SPECIALTY HOSPITAL</w:t>
            </w:r>
          </w:p>
        </w:tc>
        <w:tc>
          <w:tcPr>
            <w:tcW w:w="460" w:type="dxa"/>
            <w:vAlign w:val="bottom"/>
          </w:tcPr>
          <w:p>
            <w:pPr>
              <w:ind w:left="60"/>
              <w:spacing w:after="0"/>
              <w:rPr>
                <w:sz w:val="20"/>
                <w:szCs w:val="20"/>
                <w:color w:val="auto"/>
              </w:rPr>
            </w:pPr>
            <w:r>
              <w:rPr>
                <w:rFonts w:ascii="Arial" w:cs="Arial" w:eastAsia="Arial" w:hAnsi="Arial"/>
                <w:sz w:val="18"/>
                <w:szCs w:val="18"/>
                <w:color w:val="auto"/>
                <w:w w:val="94"/>
              </w:rPr>
              <w:t>1755</w:t>
            </w:r>
          </w:p>
        </w:tc>
        <w:tc>
          <w:tcPr>
            <w:tcW w:w="2160" w:type="dxa"/>
            <w:vAlign w:val="bottom"/>
          </w:tcPr>
          <w:p>
            <w:pPr>
              <w:spacing w:after="0"/>
              <w:rPr>
                <w:sz w:val="20"/>
                <w:szCs w:val="20"/>
                <w:color w:val="auto"/>
              </w:rPr>
            </w:pPr>
            <w:r>
              <w:rPr>
                <w:rFonts w:ascii="Arial" w:cs="Arial" w:eastAsia="Arial" w:hAnsi="Arial"/>
                <w:sz w:val="18"/>
                <w:szCs w:val="18"/>
                <w:color w:val="auto"/>
              </w:rPr>
              <w:t>Curie Drive</w:t>
            </w:r>
          </w:p>
        </w:tc>
        <w:tc>
          <w:tcPr>
            <w:tcW w:w="1020" w:type="dxa"/>
            <w:vAlign w:val="bottom"/>
          </w:tcPr>
          <w:p>
            <w:pPr>
              <w:ind w:left="280"/>
              <w:spacing w:after="0"/>
              <w:rPr>
                <w:sz w:val="20"/>
                <w:szCs w:val="20"/>
                <w:color w:val="auto"/>
              </w:rPr>
            </w:pPr>
            <w:r>
              <w:rPr>
                <w:rFonts w:ascii="Arial" w:cs="Arial" w:eastAsia="Arial" w:hAnsi="Arial"/>
                <w:sz w:val="18"/>
                <w:szCs w:val="18"/>
                <w:color w:val="auto"/>
                <w:w w:val="83"/>
              </w:rPr>
              <w:t>Consignee</w:t>
            </w:r>
          </w:p>
        </w:tc>
      </w:tr>
      <w:tr>
        <w:trPr>
          <w:trHeight w:val="216"/>
        </w:trPr>
        <w:tc>
          <w:tcPr>
            <w:tcW w:w="27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w w:val="86"/>
              </w:rPr>
              <w:t>Ste A</w:t>
            </w:r>
          </w:p>
        </w:tc>
        <w:tc>
          <w:tcPr>
            <w:tcW w:w="2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2"/>
        </w:trPr>
        <w:tc>
          <w:tcPr>
            <w:tcW w:w="27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620" w:type="dxa"/>
            <w:vAlign w:val="bottom"/>
            <w:gridSpan w:val="2"/>
          </w:tcPr>
          <w:p>
            <w:pPr>
              <w:ind w:left="60"/>
              <w:spacing w:after="0"/>
              <w:rPr>
                <w:sz w:val="20"/>
                <w:szCs w:val="20"/>
                <w:color w:val="auto"/>
              </w:rPr>
            </w:pPr>
            <w:r>
              <w:rPr>
                <w:rFonts w:ascii="Arial" w:cs="Arial" w:eastAsia="Arial" w:hAnsi="Arial"/>
                <w:sz w:val="18"/>
                <w:szCs w:val="18"/>
                <w:color w:val="auto"/>
              </w:rPr>
              <w:t>El Paso, TX 79902</w:t>
            </w:r>
          </w:p>
        </w:tc>
        <w:tc>
          <w:tcPr>
            <w:tcW w:w="1020" w:type="dxa"/>
            <w:vAlign w:val="bottom"/>
          </w:tcPr>
          <w:p>
            <w:pPr>
              <w:spacing w:after="0"/>
              <w:rPr>
                <w:sz w:val="19"/>
                <w:szCs w:val="19"/>
                <w:color w:val="auto"/>
              </w:rPr>
            </w:pPr>
          </w:p>
        </w:tc>
      </w:tr>
    </w:tbl>
    <w:p>
      <w:pPr>
        <w:sectPr>
          <w:pgSz w:w="11900" w:h="16838" w:orient="portrait"/>
          <w:cols w:equalWidth="0" w:num="1">
            <w:col w:w="10219"/>
          </w:cols>
          <w:pgMar w:left="240" w:top="280" w:right="1440" w:bottom="1440" w:gutter="0" w:footer="0" w:header="0"/>
        </w:sectPr>
      </w:pPr>
    </w:p>
    <w:bookmarkStart w:id="325" w:name="page326"/>
    <w:bookmarkEnd w:id="32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ST MARY’S HOSPITAL</w:t>
            </w:r>
          </w:p>
        </w:tc>
        <w:tc>
          <w:tcPr>
            <w:tcW w:w="2860" w:type="dxa"/>
            <w:vAlign w:val="bottom"/>
          </w:tcPr>
          <w:p>
            <w:pPr>
              <w:ind w:left="80"/>
              <w:spacing w:after="0"/>
              <w:rPr>
                <w:sz w:val="20"/>
                <w:szCs w:val="20"/>
                <w:color w:val="auto"/>
              </w:rPr>
            </w:pPr>
            <w:r>
              <w:rPr>
                <w:rFonts w:ascii="Arial" w:cs="Arial" w:eastAsia="Arial" w:hAnsi="Arial"/>
                <w:sz w:val="18"/>
                <w:szCs w:val="18"/>
                <w:color w:val="auto"/>
              </w:rPr>
              <w:t>450 Stanyan Street</w:t>
            </w:r>
          </w:p>
        </w:tc>
        <w:tc>
          <w:tcPr>
            <w:tcW w:w="800" w:type="dxa"/>
            <w:vAlign w:val="bottom"/>
          </w:tcPr>
          <w:p>
            <w:pPr>
              <w:ind w:left="6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860" w:type="dxa"/>
            <w:vAlign w:val="bottom"/>
          </w:tcPr>
          <w:p>
            <w:pPr>
              <w:ind w:left="80"/>
              <w:spacing w:after="0"/>
              <w:rPr>
                <w:sz w:val="20"/>
                <w:szCs w:val="20"/>
                <w:color w:val="auto"/>
              </w:rPr>
            </w:pPr>
            <w:r>
              <w:rPr>
                <w:rFonts w:ascii="Arial" w:cs="Arial" w:eastAsia="Arial" w:hAnsi="Arial"/>
                <w:sz w:val="18"/>
                <w:szCs w:val="18"/>
                <w:color w:val="auto"/>
              </w:rPr>
              <w:t>San Francisco, CA 91447</w:t>
            </w:r>
          </w:p>
        </w:tc>
        <w:tc>
          <w:tcPr>
            <w:tcW w:w="80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RESURGENS SURG CENTER</w:t>
            </w:r>
          </w:p>
        </w:tc>
        <w:tc>
          <w:tcPr>
            <w:tcW w:w="2860" w:type="dxa"/>
            <w:vAlign w:val="bottom"/>
          </w:tcPr>
          <w:p>
            <w:pPr>
              <w:ind w:left="80"/>
              <w:spacing w:after="0"/>
              <w:rPr>
                <w:sz w:val="20"/>
                <w:szCs w:val="20"/>
                <w:color w:val="auto"/>
              </w:rPr>
            </w:pPr>
            <w:r>
              <w:rPr>
                <w:rFonts w:ascii="Arial" w:cs="Arial" w:eastAsia="Arial" w:hAnsi="Arial"/>
                <w:sz w:val="18"/>
                <w:szCs w:val="18"/>
                <w:color w:val="auto"/>
                <w:w w:val="88"/>
              </w:rPr>
              <w:t>5671 Peachtree Dunwoody Road #800</w:t>
            </w:r>
          </w:p>
        </w:tc>
        <w:tc>
          <w:tcPr>
            <w:tcW w:w="800" w:type="dxa"/>
            <w:vAlign w:val="bottom"/>
          </w:tcPr>
          <w:p>
            <w:pPr>
              <w:ind w:left="6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860" w:type="dxa"/>
            <w:vAlign w:val="bottom"/>
          </w:tcPr>
          <w:p>
            <w:pPr>
              <w:ind w:left="80"/>
              <w:spacing w:after="0"/>
              <w:rPr>
                <w:sz w:val="20"/>
                <w:szCs w:val="20"/>
                <w:color w:val="auto"/>
              </w:rPr>
            </w:pPr>
            <w:r>
              <w:rPr>
                <w:rFonts w:ascii="Arial" w:cs="Arial" w:eastAsia="Arial" w:hAnsi="Arial"/>
                <w:sz w:val="18"/>
                <w:szCs w:val="18"/>
                <w:color w:val="auto"/>
              </w:rPr>
              <w:t>Atlanta, GA 30342</w:t>
            </w:r>
          </w:p>
        </w:tc>
        <w:tc>
          <w:tcPr>
            <w:tcW w:w="80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w w:val="96"/>
              </w:rPr>
              <w:t>WINCHESTER MEDICAL CENTER</w:t>
            </w:r>
          </w:p>
        </w:tc>
        <w:tc>
          <w:tcPr>
            <w:tcW w:w="2860" w:type="dxa"/>
            <w:vAlign w:val="bottom"/>
          </w:tcPr>
          <w:p>
            <w:pPr>
              <w:ind w:left="80"/>
              <w:spacing w:after="0"/>
              <w:rPr>
                <w:sz w:val="20"/>
                <w:szCs w:val="20"/>
                <w:color w:val="auto"/>
              </w:rPr>
            </w:pPr>
            <w:r>
              <w:rPr>
                <w:rFonts w:ascii="Arial" w:cs="Arial" w:eastAsia="Arial" w:hAnsi="Arial"/>
                <w:sz w:val="18"/>
                <w:szCs w:val="18"/>
                <w:color w:val="auto"/>
              </w:rPr>
              <w:t>1840 Amherst Street</w:t>
            </w:r>
          </w:p>
        </w:tc>
        <w:tc>
          <w:tcPr>
            <w:tcW w:w="800" w:type="dxa"/>
            <w:vAlign w:val="bottom"/>
          </w:tcPr>
          <w:p>
            <w:pPr>
              <w:ind w:left="6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860" w:type="dxa"/>
            <w:vAlign w:val="bottom"/>
          </w:tcPr>
          <w:p>
            <w:pPr>
              <w:ind w:left="80"/>
              <w:spacing w:after="0"/>
              <w:rPr>
                <w:sz w:val="20"/>
                <w:szCs w:val="20"/>
                <w:color w:val="auto"/>
              </w:rPr>
            </w:pPr>
            <w:r>
              <w:rPr>
                <w:rFonts w:ascii="Arial" w:cs="Arial" w:eastAsia="Arial" w:hAnsi="Arial"/>
                <w:sz w:val="18"/>
                <w:szCs w:val="18"/>
                <w:color w:val="auto"/>
              </w:rPr>
              <w:t>Winchester, VA 22601</w:t>
            </w:r>
          </w:p>
        </w:tc>
        <w:tc>
          <w:tcPr>
            <w:tcW w:w="80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MCG, HEALTH</w:t>
            </w:r>
          </w:p>
        </w:tc>
        <w:tc>
          <w:tcPr>
            <w:tcW w:w="2860" w:type="dxa"/>
            <w:vAlign w:val="bottom"/>
          </w:tcPr>
          <w:p>
            <w:pPr>
              <w:ind w:left="80"/>
              <w:spacing w:after="0"/>
              <w:rPr>
                <w:sz w:val="20"/>
                <w:szCs w:val="20"/>
                <w:color w:val="auto"/>
              </w:rPr>
            </w:pPr>
            <w:r>
              <w:rPr>
                <w:rFonts w:ascii="Arial" w:cs="Arial" w:eastAsia="Arial" w:hAnsi="Arial"/>
                <w:sz w:val="18"/>
                <w:szCs w:val="18"/>
                <w:color w:val="auto"/>
              </w:rPr>
              <w:t>1120 15</w:t>
            </w:r>
            <w:r>
              <w:rPr>
                <w:rFonts w:ascii="Arial" w:cs="Arial" w:eastAsia="Arial" w:hAnsi="Arial"/>
                <w:sz w:val="11"/>
                <w:szCs w:val="11"/>
                <w:color w:val="auto"/>
              </w:rPr>
              <w:t>th</w:t>
            </w:r>
            <w:r>
              <w:rPr>
                <w:rFonts w:ascii="Arial" w:cs="Arial" w:eastAsia="Arial" w:hAnsi="Arial"/>
                <w:sz w:val="18"/>
                <w:szCs w:val="18"/>
                <w:color w:val="auto"/>
              </w:rPr>
              <w:t xml:space="preserve"> Street</w:t>
            </w:r>
          </w:p>
        </w:tc>
        <w:tc>
          <w:tcPr>
            <w:tcW w:w="800" w:type="dxa"/>
            <w:vAlign w:val="bottom"/>
          </w:tcPr>
          <w:p>
            <w:pPr>
              <w:ind w:left="6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860" w:type="dxa"/>
            <w:vAlign w:val="bottom"/>
          </w:tcPr>
          <w:p>
            <w:pPr>
              <w:ind w:left="80"/>
              <w:spacing w:after="0"/>
              <w:rPr>
                <w:sz w:val="20"/>
                <w:szCs w:val="20"/>
                <w:color w:val="auto"/>
              </w:rPr>
            </w:pPr>
            <w:r>
              <w:rPr>
                <w:rFonts w:ascii="Arial" w:cs="Arial" w:eastAsia="Arial" w:hAnsi="Arial"/>
                <w:sz w:val="18"/>
                <w:szCs w:val="18"/>
                <w:color w:val="auto"/>
              </w:rPr>
              <w:t>Augusta, GA 30912</w:t>
            </w:r>
          </w:p>
        </w:tc>
        <w:tc>
          <w:tcPr>
            <w:tcW w:w="80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w w:val="94"/>
              </w:rPr>
              <w:t>WOODLANDS SURGERY CENTER</w:t>
            </w:r>
          </w:p>
        </w:tc>
        <w:tc>
          <w:tcPr>
            <w:tcW w:w="2860" w:type="dxa"/>
            <w:vAlign w:val="bottom"/>
          </w:tcPr>
          <w:p>
            <w:pPr>
              <w:ind w:left="80"/>
              <w:spacing w:after="0"/>
              <w:rPr>
                <w:sz w:val="20"/>
                <w:szCs w:val="20"/>
                <w:color w:val="auto"/>
              </w:rPr>
            </w:pPr>
            <w:r>
              <w:rPr>
                <w:rFonts w:ascii="Arial" w:cs="Arial" w:eastAsia="Arial" w:hAnsi="Arial"/>
                <w:sz w:val="18"/>
                <w:szCs w:val="18"/>
                <w:color w:val="auto"/>
              </w:rPr>
              <w:t>2325 N Casaloma Drive</w:t>
            </w:r>
          </w:p>
        </w:tc>
        <w:tc>
          <w:tcPr>
            <w:tcW w:w="800" w:type="dxa"/>
            <w:vAlign w:val="bottom"/>
          </w:tcPr>
          <w:p>
            <w:pPr>
              <w:ind w:left="6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860" w:type="dxa"/>
            <w:vAlign w:val="bottom"/>
          </w:tcPr>
          <w:p>
            <w:pPr>
              <w:ind w:left="80"/>
              <w:spacing w:after="0"/>
              <w:rPr>
                <w:sz w:val="20"/>
                <w:szCs w:val="20"/>
                <w:color w:val="auto"/>
              </w:rPr>
            </w:pPr>
            <w:r>
              <w:rPr>
                <w:rFonts w:ascii="Arial" w:cs="Arial" w:eastAsia="Arial" w:hAnsi="Arial"/>
                <w:sz w:val="18"/>
                <w:szCs w:val="18"/>
                <w:color w:val="auto"/>
              </w:rPr>
              <w:t>Appleton, WI 54912</w:t>
            </w:r>
          </w:p>
        </w:tc>
        <w:tc>
          <w:tcPr>
            <w:tcW w:w="80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BROWARD GENERAL</w:t>
            </w:r>
          </w:p>
        </w:tc>
        <w:tc>
          <w:tcPr>
            <w:tcW w:w="2860" w:type="dxa"/>
            <w:vAlign w:val="bottom"/>
          </w:tcPr>
          <w:p>
            <w:pPr>
              <w:ind w:left="80"/>
              <w:spacing w:after="0"/>
              <w:rPr>
                <w:sz w:val="20"/>
                <w:szCs w:val="20"/>
                <w:color w:val="auto"/>
              </w:rPr>
            </w:pPr>
            <w:r>
              <w:rPr>
                <w:rFonts w:ascii="Arial" w:cs="Arial" w:eastAsia="Arial" w:hAnsi="Arial"/>
                <w:sz w:val="18"/>
                <w:szCs w:val="18"/>
                <w:color w:val="auto"/>
              </w:rPr>
              <w:t>1000 S Andrews Ave</w:t>
            </w:r>
          </w:p>
        </w:tc>
        <w:tc>
          <w:tcPr>
            <w:tcW w:w="800" w:type="dxa"/>
            <w:vAlign w:val="bottom"/>
          </w:tcPr>
          <w:p>
            <w:pPr>
              <w:ind w:left="6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860" w:type="dxa"/>
            <w:vAlign w:val="bottom"/>
          </w:tcPr>
          <w:p>
            <w:pPr>
              <w:ind w:left="80"/>
              <w:spacing w:after="0"/>
              <w:rPr>
                <w:sz w:val="20"/>
                <w:szCs w:val="20"/>
                <w:color w:val="auto"/>
              </w:rPr>
            </w:pPr>
            <w:r>
              <w:rPr>
                <w:rFonts w:ascii="Arial" w:cs="Arial" w:eastAsia="Arial" w:hAnsi="Arial"/>
                <w:sz w:val="18"/>
                <w:szCs w:val="18"/>
                <w:color w:val="auto"/>
              </w:rPr>
              <w:t>Fort Lauderdale, FL 33316</w:t>
            </w:r>
          </w:p>
        </w:tc>
        <w:tc>
          <w:tcPr>
            <w:tcW w:w="80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w w:val="98"/>
              </w:rPr>
              <w:t>BETH ISRAEL DEACONESS MED</w:t>
            </w:r>
          </w:p>
        </w:tc>
        <w:tc>
          <w:tcPr>
            <w:tcW w:w="2860" w:type="dxa"/>
            <w:vAlign w:val="bottom"/>
          </w:tcPr>
          <w:p>
            <w:pPr>
              <w:ind w:left="80"/>
              <w:spacing w:after="0"/>
              <w:rPr>
                <w:sz w:val="20"/>
                <w:szCs w:val="20"/>
                <w:color w:val="auto"/>
              </w:rPr>
            </w:pPr>
            <w:r>
              <w:rPr>
                <w:rFonts w:ascii="Arial" w:cs="Arial" w:eastAsia="Arial" w:hAnsi="Arial"/>
                <w:sz w:val="18"/>
                <w:szCs w:val="18"/>
                <w:color w:val="auto"/>
              </w:rPr>
              <w:t>330 Brookline Avenue</w:t>
            </w:r>
          </w:p>
        </w:tc>
        <w:tc>
          <w:tcPr>
            <w:tcW w:w="800" w:type="dxa"/>
            <w:vAlign w:val="bottom"/>
          </w:tcPr>
          <w:p>
            <w:pPr>
              <w:ind w:left="6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ind w:left="380"/>
              <w:spacing w:after="0"/>
              <w:rPr>
                <w:sz w:val="20"/>
                <w:szCs w:val="20"/>
                <w:color w:val="auto"/>
              </w:rPr>
            </w:pPr>
            <w:r>
              <w:rPr>
                <w:rFonts w:ascii="Arial" w:cs="Arial" w:eastAsia="Arial" w:hAnsi="Arial"/>
                <w:sz w:val="18"/>
                <w:szCs w:val="18"/>
                <w:color w:val="auto"/>
              </w:rPr>
              <w:t>CENTER</w:t>
            </w:r>
          </w:p>
        </w:tc>
        <w:tc>
          <w:tcPr>
            <w:tcW w:w="2860" w:type="dxa"/>
            <w:vAlign w:val="bottom"/>
          </w:tcPr>
          <w:p>
            <w:pPr>
              <w:ind w:left="80"/>
              <w:spacing w:after="0"/>
              <w:rPr>
                <w:sz w:val="20"/>
                <w:szCs w:val="20"/>
                <w:color w:val="auto"/>
              </w:rPr>
            </w:pPr>
            <w:r>
              <w:rPr>
                <w:rFonts w:ascii="Arial" w:cs="Arial" w:eastAsia="Arial" w:hAnsi="Arial"/>
                <w:sz w:val="18"/>
                <w:szCs w:val="18"/>
                <w:color w:val="auto"/>
              </w:rPr>
              <w:t>Boston, MA 02215</w:t>
            </w:r>
          </w:p>
        </w:tc>
        <w:tc>
          <w:tcPr>
            <w:tcW w:w="80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PLEASANTON SURGERY CTR</w:t>
            </w:r>
          </w:p>
        </w:tc>
        <w:tc>
          <w:tcPr>
            <w:tcW w:w="2860" w:type="dxa"/>
            <w:vAlign w:val="bottom"/>
          </w:tcPr>
          <w:p>
            <w:pPr>
              <w:ind w:left="80"/>
              <w:spacing w:after="0"/>
              <w:rPr>
                <w:sz w:val="20"/>
                <w:szCs w:val="20"/>
                <w:color w:val="auto"/>
              </w:rPr>
            </w:pPr>
            <w:r>
              <w:rPr>
                <w:rFonts w:ascii="Arial" w:cs="Arial" w:eastAsia="Arial" w:hAnsi="Arial"/>
                <w:sz w:val="18"/>
                <w:szCs w:val="18"/>
                <w:color w:val="auto"/>
              </w:rPr>
              <w:t>1393 Santa Rita Road #F</w:t>
            </w:r>
          </w:p>
        </w:tc>
        <w:tc>
          <w:tcPr>
            <w:tcW w:w="800" w:type="dxa"/>
            <w:vAlign w:val="bottom"/>
          </w:tcPr>
          <w:p>
            <w:pPr>
              <w:ind w:left="6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860" w:type="dxa"/>
            <w:vAlign w:val="bottom"/>
          </w:tcPr>
          <w:p>
            <w:pPr>
              <w:ind w:left="80"/>
              <w:spacing w:after="0"/>
              <w:rPr>
                <w:sz w:val="20"/>
                <w:szCs w:val="20"/>
                <w:color w:val="auto"/>
              </w:rPr>
            </w:pPr>
            <w:r>
              <w:rPr>
                <w:rFonts w:ascii="Arial" w:cs="Arial" w:eastAsia="Arial" w:hAnsi="Arial"/>
                <w:sz w:val="18"/>
                <w:szCs w:val="18"/>
                <w:color w:val="auto"/>
              </w:rPr>
              <w:t>Pleasanton, CA 94566</w:t>
            </w:r>
          </w:p>
        </w:tc>
        <w:tc>
          <w:tcPr>
            <w:tcW w:w="80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WEBSTER SURGERY CENTER</w:t>
            </w:r>
          </w:p>
        </w:tc>
        <w:tc>
          <w:tcPr>
            <w:tcW w:w="2860" w:type="dxa"/>
            <w:vAlign w:val="bottom"/>
          </w:tcPr>
          <w:p>
            <w:pPr>
              <w:ind w:left="80"/>
              <w:spacing w:after="0"/>
              <w:rPr>
                <w:sz w:val="20"/>
                <w:szCs w:val="20"/>
                <w:color w:val="auto"/>
              </w:rPr>
            </w:pPr>
            <w:r>
              <w:rPr>
                <w:rFonts w:ascii="Arial" w:cs="Arial" w:eastAsia="Arial" w:hAnsi="Arial"/>
                <w:sz w:val="18"/>
                <w:szCs w:val="18"/>
                <w:color w:val="auto"/>
              </w:rPr>
              <w:t>3300 Webster Street</w:t>
            </w:r>
          </w:p>
        </w:tc>
        <w:tc>
          <w:tcPr>
            <w:tcW w:w="800" w:type="dxa"/>
            <w:vAlign w:val="bottom"/>
          </w:tcPr>
          <w:p>
            <w:pPr>
              <w:ind w:left="6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860" w:type="dxa"/>
            <w:vAlign w:val="bottom"/>
          </w:tcPr>
          <w:p>
            <w:pPr>
              <w:ind w:left="80"/>
              <w:spacing w:after="0"/>
              <w:rPr>
                <w:sz w:val="20"/>
                <w:szCs w:val="20"/>
                <w:color w:val="auto"/>
              </w:rPr>
            </w:pPr>
            <w:r>
              <w:rPr>
                <w:rFonts w:ascii="Arial" w:cs="Arial" w:eastAsia="Arial" w:hAnsi="Arial"/>
                <w:sz w:val="18"/>
                <w:szCs w:val="18"/>
                <w:color w:val="auto"/>
              </w:rPr>
              <w:t>Oakland, CA 94609</w:t>
            </w:r>
          </w:p>
        </w:tc>
        <w:tc>
          <w:tcPr>
            <w:tcW w:w="80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SUTTER ROSEVILLE MED</w:t>
            </w:r>
          </w:p>
        </w:tc>
        <w:tc>
          <w:tcPr>
            <w:tcW w:w="2860" w:type="dxa"/>
            <w:vAlign w:val="bottom"/>
          </w:tcPr>
          <w:p>
            <w:pPr>
              <w:ind w:left="80"/>
              <w:spacing w:after="0"/>
              <w:rPr>
                <w:sz w:val="20"/>
                <w:szCs w:val="20"/>
                <w:color w:val="auto"/>
              </w:rPr>
            </w:pPr>
            <w:r>
              <w:rPr>
                <w:rFonts w:ascii="Arial" w:cs="Arial" w:eastAsia="Arial" w:hAnsi="Arial"/>
                <w:sz w:val="18"/>
                <w:szCs w:val="18"/>
                <w:color w:val="auto"/>
              </w:rPr>
              <w:t>4 Medical Plaza Drive</w:t>
            </w:r>
          </w:p>
        </w:tc>
        <w:tc>
          <w:tcPr>
            <w:tcW w:w="800" w:type="dxa"/>
            <w:vAlign w:val="bottom"/>
          </w:tcPr>
          <w:p>
            <w:pPr>
              <w:ind w:left="6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860" w:type="dxa"/>
            <w:vAlign w:val="bottom"/>
          </w:tcPr>
          <w:p>
            <w:pPr>
              <w:ind w:left="80"/>
              <w:spacing w:after="0"/>
              <w:rPr>
                <w:sz w:val="20"/>
                <w:szCs w:val="20"/>
                <w:color w:val="auto"/>
              </w:rPr>
            </w:pPr>
            <w:r>
              <w:rPr>
                <w:rFonts w:ascii="Arial" w:cs="Arial" w:eastAsia="Arial" w:hAnsi="Arial"/>
                <w:sz w:val="18"/>
                <w:szCs w:val="18"/>
                <w:color w:val="auto"/>
              </w:rPr>
              <w:t>Roseville, CA 95661</w:t>
            </w:r>
          </w:p>
        </w:tc>
        <w:tc>
          <w:tcPr>
            <w:tcW w:w="80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RENO ORTHOPAEDIC</w:t>
            </w:r>
          </w:p>
        </w:tc>
        <w:tc>
          <w:tcPr>
            <w:tcW w:w="2860" w:type="dxa"/>
            <w:vAlign w:val="bottom"/>
          </w:tcPr>
          <w:p>
            <w:pPr>
              <w:ind w:left="80"/>
              <w:spacing w:after="0"/>
              <w:rPr>
                <w:sz w:val="20"/>
                <w:szCs w:val="20"/>
                <w:color w:val="auto"/>
              </w:rPr>
            </w:pPr>
            <w:r>
              <w:rPr>
                <w:rFonts w:ascii="Arial" w:cs="Arial" w:eastAsia="Arial" w:hAnsi="Arial"/>
                <w:sz w:val="18"/>
                <w:szCs w:val="18"/>
                <w:color w:val="auto"/>
              </w:rPr>
              <w:t>350 West 6</w:t>
            </w:r>
            <w:r>
              <w:rPr>
                <w:rFonts w:ascii="Arial" w:cs="Arial" w:eastAsia="Arial" w:hAnsi="Arial"/>
                <w:sz w:val="11"/>
                <w:szCs w:val="11"/>
                <w:color w:val="auto"/>
              </w:rPr>
              <w:t>th</w:t>
            </w:r>
            <w:r>
              <w:rPr>
                <w:rFonts w:ascii="Arial" w:cs="Arial" w:eastAsia="Arial" w:hAnsi="Arial"/>
                <w:sz w:val="18"/>
                <w:szCs w:val="18"/>
                <w:color w:val="auto"/>
              </w:rPr>
              <w:t xml:space="preserve"> Street</w:t>
            </w:r>
          </w:p>
        </w:tc>
        <w:tc>
          <w:tcPr>
            <w:tcW w:w="800" w:type="dxa"/>
            <w:vAlign w:val="bottom"/>
          </w:tcPr>
          <w:p>
            <w:pPr>
              <w:ind w:left="6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860" w:type="dxa"/>
            <w:vAlign w:val="bottom"/>
          </w:tcPr>
          <w:p>
            <w:pPr>
              <w:ind w:left="80"/>
              <w:spacing w:after="0"/>
              <w:rPr>
                <w:sz w:val="20"/>
                <w:szCs w:val="20"/>
                <w:color w:val="auto"/>
              </w:rPr>
            </w:pPr>
            <w:r>
              <w:rPr>
                <w:rFonts w:ascii="Arial" w:cs="Arial" w:eastAsia="Arial" w:hAnsi="Arial"/>
                <w:sz w:val="18"/>
                <w:szCs w:val="18"/>
                <w:color w:val="auto"/>
              </w:rPr>
              <w:t>Reno, NV 89503</w:t>
            </w:r>
          </w:p>
        </w:tc>
        <w:tc>
          <w:tcPr>
            <w:tcW w:w="80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KAISER WALNUT CREEK</w:t>
            </w:r>
          </w:p>
        </w:tc>
        <w:tc>
          <w:tcPr>
            <w:tcW w:w="2860" w:type="dxa"/>
            <w:vAlign w:val="bottom"/>
          </w:tcPr>
          <w:p>
            <w:pPr>
              <w:ind w:left="80"/>
              <w:spacing w:after="0"/>
              <w:rPr>
                <w:sz w:val="20"/>
                <w:szCs w:val="20"/>
                <w:color w:val="auto"/>
              </w:rPr>
            </w:pPr>
            <w:r>
              <w:rPr>
                <w:rFonts w:ascii="Arial" w:cs="Arial" w:eastAsia="Arial" w:hAnsi="Arial"/>
                <w:sz w:val="18"/>
                <w:szCs w:val="18"/>
                <w:color w:val="auto"/>
              </w:rPr>
              <w:t>1425 South Main Street</w:t>
            </w:r>
          </w:p>
        </w:tc>
        <w:tc>
          <w:tcPr>
            <w:tcW w:w="800" w:type="dxa"/>
            <w:vAlign w:val="bottom"/>
          </w:tcPr>
          <w:p>
            <w:pPr>
              <w:ind w:left="6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860" w:type="dxa"/>
            <w:vAlign w:val="bottom"/>
          </w:tcPr>
          <w:p>
            <w:pPr>
              <w:ind w:left="80"/>
              <w:spacing w:after="0"/>
              <w:rPr>
                <w:sz w:val="20"/>
                <w:szCs w:val="20"/>
                <w:color w:val="auto"/>
              </w:rPr>
            </w:pPr>
            <w:r>
              <w:rPr>
                <w:rFonts w:ascii="Arial" w:cs="Arial" w:eastAsia="Arial" w:hAnsi="Arial"/>
                <w:sz w:val="18"/>
                <w:szCs w:val="18"/>
                <w:color w:val="auto"/>
              </w:rPr>
              <w:t>Walnut Creek, CA 94598</w:t>
            </w:r>
          </w:p>
        </w:tc>
        <w:tc>
          <w:tcPr>
            <w:tcW w:w="80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U C DAVIS</w:t>
            </w:r>
          </w:p>
        </w:tc>
        <w:tc>
          <w:tcPr>
            <w:tcW w:w="2860" w:type="dxa"/>
            <w:vAlign w:val="bottom"/>
          </w:tcPr>
          <w:p>
            <w:pPr>
              <w:ind w:left="80"/>
              <w:spacing w:after="0"/>
              <w:rPr>
                <w:sz w:val="20"/>
                <w:szCs w:val="20"/>
                <w:color w:val="auto"/>
              </w:rPr>
            </w:pPr>
            <w:r>
              <w:rPr>
                <w:rFonts w:ascii="Arial" w:cs="Arial" w:eastAsia="Arial" w:hAnsi="Arial"/>
                <w:sz w:val="18"/>
                <w:szCs w:val="18"/>
                <w:color w:val="auto"/>
              </w:rPr>
              <w:t>4845 2</w:t>
            </w:r>
            <w:r>
              <w:rPr>
                <w:rFonts w:ascii="Arial" w:cs="Arial" w:eastAsia="Arial" w:hAnsi="Arial"/>
                <w:sz w:val="11"/>
                <w:szCs w:val="11"/>
                <w:color w:val="auto"/>
              </w:rPr>
              <w:t>ND</w:t>
            </w:r>
            <w:r>
              <w:rPr>
                <w:rFonts w:ascii="Arial" w:cs="Arial" w:eastAsia="Arial" w:hAnsi="Arial"/>
                <w:sz w:val="18"/>
                <w:szCs w:val="18"/>
                <w:color w:val="auto"/>
              </w:rPr>
              <w:t xml:space="preserve"> Avenue</w:t>
            </w:r>
          </w:p>
        </w:tc>
        <w:tc>
          <w:tcPr>
            <w:tcW w:w="800" w:type="dxa"/>
            <w:vAlign w:val="bottom"/>
          </w:tcPr>
          <w:p>
            <w:pPr>
              <w:ind w:left="6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860" w:type="dxa"/>
            <w:vAlign w:val="bottom"/>
          </w:tcPr>
          <w:p>
            <w:pPr>
              <w:ind w:left="80"/>
              <w:spacing w:after="0"/>
              <w:rPr>
                <w:sz w:val="20"/>
                <w:szCs w:val="20"/>
                <w:color w:val="auto"/>
              </w:rPr>
            </w:pPr>
            <w:r>
              <w:rPr>
                <w:rFonts w:ascii="Arial" w:cs="Arial" w:eastAsia="Arial" w:hAnsi="Arial"/>
                <w:sz w:val="18"/>
                <w:szCs w:val="18"/>
                <w:color w:val="auto"/>
              </w:rPr>
              <w:t>Sacramento, CA 95817</w:t>
            </w:r>
          </w:p>
        </w:tc>
        <w:tc>
          <w:tcPr>
            <w:tcW w:w="80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w w:val="97"/>
              </w:rPr>
              <w:t>KAISER FOUNDATION HOSPITAL</w:t>
            </w:r>
          </w:p>
        </w:tc>
        <w:tc>
          <w:tcPr>
            <w:tcW w:w="2860" w:type="dxa"/>
            <w:vAlign w:val="bottom"/>
          </w:tcPr>
          <w:p>
            <w:pPr>
              <w:ind w:left="80"/>
              <w:spacing w:after="0"/>
              <w:rPr>
                <w:sz w:val="20"/>
                <w:szCs w:val="20"/>
                <w:color w:val="auto"/>
              </w:rPr>
            </w:pPr>
            <w:r>
              <w:rPr>
                <w:rFonts w:ascii="Arial" w:cs="Arial" w:eastAsia="Arial" w:hAnsi="Arial"/>
                <w:sz w:val="18"/>
                <w:szCs w:val="18"/>
                <w:color w:val="auto"/>
              </w:rPr>
              <w:t>2025 Morse Avenue</w:t>
            </w:r>
          </w:p>
        </w:tc>
        <w:tc>
          <w:tcPr>
            <w:tcW w:w="800" w:type="dxa"/>
            <w:vAlign w:val="bottom"/>
          </w:tcPr>
          <w:p>
            <w:pPr>
              <w:ind w:left="6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860" w:type="dxa"/>
            <w:vAlign w:val="bottom"/>
          </w:tcPr>
          <w:p>
            <w:pPr>
              <w:ind w:left="80"/>
              <w:spacing w:after="0"/>
              <w:rPr>
                <w:sz w:val="20"/>
                <w:szCs w:val="20"/>
                <w:color w:val="auto"/>
              </w:rPr>
            </w:pPr>
            <w:r>
              <w:rPr>
                <w:rFonts w:ascii="Arial" w:cs="Arial" w:eastAsia="Arial" w:hAnsi="Arial"/>
                <w:sz w:val="18"/>
                <w:szCs w:val="18"/>
                <w:color w:val="auto"/>
              </w:rPr>
              <w:t>Sacramento, CA 95825</w:t>
            </w:r>
          </w:p>
        </w:tc>
        <w:tc>
          <w:tcPr>
            <w:tcW w:w="80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QUEEN OF THE VALLEY MED</w:t>
            </w:r>
          </w:p>
        </w:tc>
        <w:tc>
          <w:tcPr>
            <w:tcW w:w="2860" w:type="dxa"/>
            <w:vAlign w:val="bottom"/>
          </w:tcPr>
          <w:p>
            <w:pPr>
              <w:ind w:left="80"/>
              <w:spacing w:after="0"/>
              <w:rPr>
                <w:sz w:val="20"/>
                <w:szCs w:val="20"/>
                <w:color w:val="auto"/>
              </w:rPr>
            </w:pPr>
            <w:r>
              <w:rPr>
                <w:rFonts w:ascii="Arial" w:cs="Arial" w:eastAsia="Arial" w:hAnsi="Arial"/>
                <w:sz w:val="18"/>
                <w:szCs w:val="18"/>
                <w:color w:val="auto"/>
              </w:rPr>
              <w:t>1000 Trancas Street</w:t>
            </w:r>
          </w:p>
        </w:tc>
        <w:tc>
          <w:tcPr>
            <w:tcW w:w="800" w:type="dxa"/>
            <w:vAlign w:val="bottom"/>
          </w:tcPr>
          <w:p>
            <w:pPr>
              <w:ind w:left="6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ind w:left="380"/>
              <w:spacing w:after="0"/>
              <w:rPr>
                <w:sz w:val="20"/>
                <w:szCs w:val="20"/>
                <w:color w:val="auto"/>
              </w:rPr>
            </w:pPr>
            <w:r>
              <w:rPr>
                <w:rFonts w:ascii="Arial" w:cs="Arial" w:eastAsia="Arial" w:hAnsi="Arial"/>
                <w:sz w:val="18"/>
                <w:szCs w:val="18"/>
                <w:color w:val="auto"/>
              </w:rPr>
              <w:t>CTR</w:t>
            </w:r>
          </w:p>
        </w:tc>
        <w:tc>
          <w:tcPr>
            <w:tcW w:w="2860" w:type="dxa"/>
            <w:vAlign w:val="bottom"/>
          </w:tcPr>
          <w:p>
            <w:pPr>
              <w:ind w:left="80"/>
              <w:spacing w:after="0"/>
              <w:rPr>
                <w:sz w:val="20"/>
                <w:szCs w:val="20"/>
                <w:color w:val="auto"/>
              </w:rPr>
            </w:pPr>
            <w:r>
              <w:rPr>
                <w:rFonts w:ascii="Arial" w:cs="Arial" w:eastAsia="Arial" w:hAnsi="Arial"/>
                <w:sz w:val="18"/>
                <w:szCs w:val="18"/>
                <w:color w:val="auto"/>
              </w:rPr>
              <w:t>Napa, CA 94558</w:t>
            </w:r>
          </w:p>
        </w:tc>
        <w:tc>
          <w:tcPr>
            <w:tcW w:w="80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METHODIST HOSP OF</w:t>
            </w:r>
          </w:p>
        </w:tc>
        <w:tc>
          <w:tcPr>
            <w:tcW w:w="2860" w:type="dxa"/>
            <w:vAlign w:val="bottom"/>
          </w:tcPr>
          <w:p>
            <w:pPr>
              <w:ind w:left="80"/>
              <w:spacing w:after="0"/>
              <w:rPr>
                <w:sz w:val="20"/>
                <w:szCs w:val="20"/>
                <w:color w:val="auto"/>
              </w:rPr>
            </w:pPr>
            <w:r>
              <w:rPr>
                <w:rFonts w:ascii="Arial" w:cs="Arial" w:eastAsia="Arial" w:hAnsi="Arial"/>
                <w:sz w:val="18"/>
                <w:szCs w:val="18"/>
                <w:color w:val="auto"/>
              </w:rPr>
              <w:t>7500 Hospital Drive</w:t>
            </w:r>
          </w:p>
        </w:tc>
        <w:tc>
          <w:tcPr>
            <w:tcW w:w="800" w:type="dxa"/>
            <w:vAlign w:val="bottom"/>
          </w:tcPr>
          <w:p>
            <w:pPr>
              <w:ind w:left="6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ind w:left="380"/>
              <w:spacing w:after="0"/>
              <w:rPr>
                <w:sz w:val="20"/>
                <w:szCs w:val="20"/>
                <w:color w:val="auto"/>
              </w:rPr>
            </w:pPr>
            <w:r>
              <w:rPr>
                <w:rFonts w:ascii="Arial" w:cs="Arial" w:eastAsia="Arial" w:hAnsi="Arial"/>
                <w:sz w:val="18"/>
                <w:szCs w:val="18"/>
                <w:color w:val="auto"/>
              </w:rPr>
              <w:t>SACRAMENTO</w:t>
            </w:r>
          </w:p>
        </w:tc>
        <w:tc>
          <w:tcPr>
            <w:tcW w:w="2860" w:type="dxa"/>
            <w:vAlign w:val="bottom"/>
          </w:tcPr>
          <w:p>
            <w:pPr>
              <w:ind w:left="80"/>
              <w:spacing w:after="0"/>
              <w:rPr>
                <w:sz w:val="20"/>
                <w:szCs w:val="20"/>
                <w:color w:val="auto"/>
              </w:rPr>
            </w:pPr>
            <w:r>
              <w:rPr>
                <w:rFonts w:ascii="Arial" w:cs="Arial" w:eastAsia="Arial" w:hAnsi="Arial"/>
                <w:sz w:val="18"/>
                <w:szCs w:val="18"/>
                <w:color w:val="auto"/>
              </w:rPr>
              <w:t>Sacramento, CA 95823</w:t>
            </w:r>
          </w:p>
        </w:tc>
        <w:tc>
          <w:tcPr>
            <w:tcW w:w="80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LAS PALMES MEDICAL CNTR</w:t>
            </w:r>
          </w:p>
        </w:tc>
        <w:tc>
          <w:tcPr>
            <w:tcW w:w="2860" w:type="dxa"/>
            <w:vAlign w:val="bottom"/>
          </w:tcPr>
          <w:p>
            <w:pPr>
              <w:ind w:left="80"/>
              <w:spacing w:after="0"/>
              <w:rPr>
                <w:sz w:val="20"/>
                <w:szCs w:val="20"/>
                <w:color w:val="auto"/>
              </w:rPr>
            </w:pPr>
            <w:r>
              <w:rPr>
                <w:rFonts w:ascii="Arial" w:cs="Arial" w:eastAsia="Arial" w:hAnsi="Arial"/>
                <w:sz w:val="18"/>
                <w:szCs w:val="18"/>
                <w:color w:val="auto"/>
              </w:rPr>
              <w:t>1801 W Oregon Street</w:t>
            </w:r>
          </w:p>
        </w:tc>
        <w:tc>
          <w:tcPr>
            <w:tcW w:w="800" w:type="dxa"/>
            <w:vAlign w:val="bottom"/>
          </w:tcPr>
          <w:p>
            <w:pPr>
              <w:ind w:left="6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860" w:type="dxa"/>
            <w:vAlign w:val="bottom"/>
          </w:tcPr>
          <w:p>
            <w:pPr>
              <w:ind w:left="80"/>
              <w:spacing w:after="0"/>
              <w:rPr>
                <w:sz w:val="20"/>
                <w:szCs w:val="20"/>
                <w:color w:val="auto"/>
              </w:rPr>
            </w:pPr>
            <w:r>
              <w:rPr>
                <w:rFonts w:ascii="Arial" w:cs="Arial" w:eastAsia="Arial" w:hAnsi="Arial"/>
                <w:sz w:val="18"/>
                <w:szCs w:val="18"/>
                <w:color w:val="auto"/>
              </w:rPr>
              <w:t>El Paso, TX 79902</w:t>
            </w:r>
          </w:p>
        </w:tc>
        <w:tc>
          <w:tcPr>
            <w:tcW w:w="80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KAISER ROSEVILLE</w:t>
            </w:r>
          </w:p>
        </w:tc>
        <w:tc>
          <w:tcPr>
            <w:tcW w:w="2860" w:type="dxa"/>
            <w:vAlign w:val="bottom"/>
          </w:tcPr>
          <w:p>
            <w:pPr>
              <w:ind w:left="80"/>
              <w:spacing w:after="0"/>
              <w:rPr>
                <w:sz w:val="20"/>
                <w:szCs w:val="20"/>
                <w:color w:val="auto"/>
              </w:rPr>
            </w:pPr>
            <w:r>
              <w:rPr>
                <w:rFonts w:ascii="Arial" w:cs="Arial" w:eastAsia="Arial" w:hAnsi="Arial"/>
                <w:sz w:val="18"/>
                <w:szCs w:val="18"/>
                <w:color w:val="auto"/>
              </w:rPr>
              <w:t>1600 Eureka Road</w:t>
            </w:r>
          </w:p>
        </w:tc>
        <w:tc>
          <w:tcPr>
            <w:tcW w:w="800" w:type="dxa"/>
            <w:vAlign w:val="bottom"/>
          </w:tcPr>
          <w:p>
            <w:pPr>
              <w:ind w:left="6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860" w:type="dxa"/>
            <w:vAlign w:val="bottom"/>
          </w:tcPr>
          <w:p>
            <w:pPr>
              <w:ind w:left="80"/>
              <w:spacing w:after="0"/>
              <w:rPr>
                <w:sz w:val="20"/>
                <w:szCs w:val="20"/>
                <w:color w:val="auto"/>
              </w:rPr>
            </w:pPr>
            <w:r>
              <w:rPr>
                <w:rFonts w:ascii="Arial" w:cs="Arial" w:eastAsia="Arial" w:hAnsi="Arial"/>
                <w:sz w:val="18"/>
                <w:szCs w:val="18"/>
                <w:color w:val="auto"/>
              </w:rPr>
              <w:t>Roseville, CA 95661</w:t>
            </w:r>
          </w:p>
        </w:tc>
        <w:tc>
          <w:tcPr>
            <w:tcW w:w="80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NORTHSIDE CHEROKEE</w:t>
            </w:r>
          </w:p>
        </w:tc>
        <w:tc>
          <w:tcPr>
            <w:tcW w:w="2860" w:type="dxa"/>
            <w:vAlign w:val="bottom"/>
          </w:tcPr>
          <w:p>
            <w:pPr>
              <w:ind w:left="80"/>
              <w:spacing w:after="0"/>
              <w:rPr>
                <w:sz w:val="20"/>
                <w:szCs w:val="20"/>
                <w:color w:val="auto"/>
              </w:rPr>
            </w:pPr>
            <w:r>
              <w:rPr>
                <w:rFonts w:ascii="Arial" w:cs="Arial" w:eastAsia="Arial" w:hAnsi="Arial"/>
                <w:sz w:val="18"/>
                <w:szCs w:val="18"/>
                <w:color w:val="auto"/>
              </w:rPr>
              <w:t>201 Hospital Road</w:t>
            </w:r>
          </w:p>
        </w:tc>
        <w:tc>
          <w:tcPr>
            <w:tcW w:w="800" w:type="dxa"/>
            <w:vAlign w:val="bottom"/>
          </w:tcPr>
          <w:p>
            <w:pPr>
              <w:ind w:left="6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860" w:type="dxa"/>
            <w:vAlign w:val="bottom"/>
          </w:tcPr>
          <w:p>
            <w:pPr>
              <w:ind w:left="80"/>
              <w:spacing w:after="0"/>
              <w:rPr>
                <w:sz w:val="20"/>
                <w:szCs w:val="20"/>
                <w:color w:val="auto"/>
              </w:rPr>
            </w:pPr>
            <w:r>
              <w:rPr>
                <w:rFonts w:ascii="Arial" w:cs="Arial" w:eastAsia="Arial" w:hAnsi="Arial"/>
                <w:sz w:val="18"/>
                <w:szCs w:val="18"/>
                <w:color w:val="auto"/>
              </w:rPr>
              <w:t>Canton, GA 30114</w:t>
            </w:r>
          </w:p>
        </w:tc>
        <w:tc>
          <w:tcPr>
            <w:tcW w:w="80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UTAH SURGICAL CENTER</w:t>
            </w:r>
          </w:p>
        </w:tc>
        <w:tc>
          <w:tcPr>
            <w:tcW w:w="2860" w:type="dxa"/>
            <w:vAlign w:val="bottom"/>
          </w:tcPr>
          <w:p>
            <w:pPr>
              <w:ind w:left="80"/>
              <w:spacing w:after="0"/>
              <w:rPr>
                <w:sz w:val="20"/>
                <w:szCs w:val="20"/>
                <w:color w:val="auto"/>
              </w:rPr>
            </w:pPr>
            <w:r>
              <w:rPr>
                <w:rFonts w:ascii="Arial" w:cs="Arial" w:eastAsia="Arial" w:hAnsi="Arial"/>
                <w:sz w:val="18"/>
                <w:szCs w:val="18"/>
                <w:color w:val="auto"/>
              </w:rPr>
              <w:t>3715 W 4100 South</w:t>
            </w:r>
          </w:p>
        </w:tc>
        <w:tc>
          <w:tcPr>
            <w:tcW w:w="800" w:type="dxa"/>
            <w:vAlign w:val="bottom"/>
          </w:tcPr>
          <w:p>
            <w:pPr>
              <w:ind w:left="6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860" w:type="dxa"/>
            <w:vAlign w:val="bottom"/>
          </w:tcPr>
          <w:p>
            <w:pPr>
              <w:ind w:left="80"/>
              <w:spacing w:after="0"/>
              <w:rPr>
                <w:sz w:val="20"/>
                <w:szCs w:val="20"/>
                <w:color w:val="auto"/>
              </w:rPr>
            </w:pPr>
            <w:r>
              <w:rPr>
                <w:rFonts w:ascii="Arial" w:cs="Arial" w:eastAsia="Arial" w:hAnsi="Arial"/>
                <w:sz w:val="18"/>
                <w:szCs w:val="18"/>
                <w:color w:val="auto"/>
              </w:rPr>
              <w:t>West Valley, UT 84120</w:t>
            </w:r>
          </w:p>
        </w:tc>
        <w:tc>
          <w:tcPr>
            <w:tcW w:w="80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w w:val="97"/>
              </w:rPr>
              <w:t>REGIONAL MED CNTR BAYONET</w:t>
            </w:r>
          </w:p>
        </w:tc>
        <w:tc>
          <w:tcPr>
            <w:tcW w:w="2860" w:type="dxa"/>
            <w:vAlign w:val="bottom"/>
          </w:tcPr>
          <w:p>
            <w:pPr>
              <w:ind w:left="80"/>
              <w:spacing w:after="0"/>
              <w:rPr>
                <w:sz w:val="20"/>
                <w:szCs w:val="20"/>
                <w:color w:val="auto"/>
              </w:rPr>
            </w:pPr>
            <w:r>
              <w:rPr>
                <w:rFonts w:ascii="Arial" w:cs="Arial" w:eastAsia="Arial" w:hAnsi="Arial"/>
                <w:sz w:val="18"/>
                <w:szCs w:val="18"/>
                <w:color w:val="auto"/>
              </w:rPr>
              <w:t>14000 Fivay Road</w:t>
            </w:r>
          </w:p>
        </w:tc>
        <w:tc>
          <w:tcPr>
            <w:tcW w:w="800" w:type="dxa"/>
            <w:vAlign w:val="bottom"/>
          </w:tcPr>
          <w:p>
            <w:pPr>
              <w:ind w:left="6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ind w:left="380"/>
              <w:spacing w:after="0"/>
              <w:rPr>
                <w:sz w:val="20"/>
                <w:szCs w:val="20"/>
                <w:color w:val="auto"/>
              </w:rPr>
            </w:pPr>
            <w:r>
              <w:rPr>
                <w:rFonts w:ascii="Arial" w:cs="Arial" w:eastAsia="Arial" w:hAnsi="Arial"/>
                <w:sz w:val="18"/>
                <w:szCs w:val="18"/>
                <w:color w:val="auto"/>
              </w:rPr>
              <w:t>POINT</w:t>
            </w:r>
          </w:p>
        </w:tc>
        <w:tc>
          <w:tcPr>
            <w:tcW w:w="2860" w:type="dxa"/>
            <w:vAlign w:val="bottom"/>
          </w:tcPr>
          <w:p>
            <w:pPr>
              <w:ind w:left="80"/>
              <w:spacing w:after="0"/>
              <w:rPr>
                <w:sz w:val="20"/>
                <w:szCs w:val="20"/>
                <w:color w:val="auto"/>
              </w:rPr>
            </w:pPr>
            <w:r>
              <w:rPr>
                <w:rFonts w:ascii="Arial" w:cs="Arial" w:eastAsia="Arial" w:hAnsi="Arial"/>
                <w:sz w:val="18"/>
                <w:szCs w:val="18"/>
                <w:color w:val="auto"/>
              </w:rPr>
              <w:t>Hudson, FL 34667</w:t>
            </w:r>
          </w:p>
        </w:tc>
        <w:tc>
          <w:tcPr>
            <w:tcW w:w="80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HEALTHSOUTH HARTFORD</w:t>
            </w:r>
          </w:p>
        </w:tc>
        <w:tc>
          <w:tcPr>
            <w:tcW w:w="2860" w:type="dxa"/>
            <w:vAlign w:val="bottom"/>
          </w:tcPr>
          <w:p>
            <w:pPr>
              <w:ind w:left="80"/>
              <w:spacing w:after="0"/>
              <w:rPr>
                <w:sz w:val="20"/>
                <w:szCs w:val="20"/>
                <w:color w:val="auto"/>
              </w:rPr>
            </w:pPr>
            <w:r>
              <w:rPr>
                <w:rFonts w:ascii="Arial" w:cs="Arial" w:eastAsia="Arial" w:hAnsi="Arial"/>
                <w:sz w:val="18"/>
                <w:szCs w:val="18"/>
                <w:color w:val="auto"/>
              </w:rPr>
              <w:t>100 Retreat Avenue</w:t>
            </w:r>
          </w:p>
        </w:tc>
        <w:tc>
          <w:tcPr>
            <w:tcW w:w="800" w:type="dxa"/>
            <w:vAlign w:val="bottom"/>
          </w:tcPr>
          <w:p>
            <w:pPr>
              <w:ind w:left="6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ind w:left="380"/>
              <w:spacing w:after="0"/>
              <w:rPr>
                <w:sz w:val="20"/>
                <w:szCs w:val="20"/>
                <w:color w:val="auto"/>
              </w:rPr>
            </w:pPr>
            <w:r>
              <w:rPr>
                <w:rFonts w:ascii="Arial" w:cs="Arial" w:eastAsia="Arial" w:hAnsi="Arial"/>
                <w:sz w:val="18"/>
                <w:szCs w:val="18"/>
                <w:color w:val="auto"/>
              </w:rPr>
              <w:t>SURG CENTER</w:t>
            </w:r>
          </w:p>
        </w:tc>
        <w:tc>
          <w:tcPr>
            <w:tcW w:w="2860" w:type="dxa"/>
            <w:vAlign w:val="bottom"/>
          </w:tcPr>
          <w:p>
            <w:pPr>
              <w:ind w:left="80"/>
              <w:spacing w:after="0"/>
              <w:rPr>
                <w:sz w:val="20"/>
                <w:szCs w:val="20"/>
                <w:color w:val="auto"/>
              </w:rPr>
            </w:pPr>
            <w:r>
              <w:rPr>
                <w:rFonts w:ascii="Arial" w:cs="Arial" w:eastAsia="Arial" w:hAnsi="Arial"/>
                <w:sz w:val="18"/>
                <w:szCs w:val="18"/>
                <w:color w:val="auto"/>
              </w:rPr>
              <w:t>Hartford, CT 06106</w:t>
            </w:r>
          </w:p>
        </w:tc>
        <w:tc>
          <w:tcPr>
            <w:tcW w:w="800" w:type="dxa"/>
            <w:vAlign w:val="bottom"/>
          </w:tcPr>
          <w:p>
            <w:pPr>
              <w:spacing w:after="0"/>
              <w:rPr>
                <w:sz w:val="19"/>
                <w:szCs w:val="19"/>
                <w:color w:val="auto"/>
              </w:rPr>
            </w:pPr>
          </w:p>
        </w:tc>
      </w:tr>
    </w:tbl>
    <w:p>
      <w:pPr>
        <w:sectPr>
          <w:pgSz w:w="11900" w:h="16838" w:orient="portrait"/>
          <w:cols w:equalWidth="0" w:num="1">
            <w:col w:w="10219"/>
          </w:cols>
          <w:pgMar w:left="240" w:top="280" w:right="1440" w:bottom="1440" w:gutter="0" w:footer="0" w:header="0"/>
        </w:sectPr>
      </w:pPr>
    </w:p>
    <w:bookmarkStart w:id="326" w:name="page327"/>
    <w:bookmarkEnd w:id="32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HENDRICK MED CENTER</w:t>
            </w:r>
          </w:p>
        </w:tc>
        <w:tc>
          <w:tcPr>
            <w:tcW w:w="2780" w:type="dxa"/>
            <w:vAlign w:val="bottom"/>
          </w:tcPr>
          <w:p>
            <w:pPr>
              <w:ind w:left="80"/>
              <w:spacing w:after="0"/>
              <w:rPr>
                <w:sz w:val="20"/>
                <w:szCs w:val="20"/>
                <w:color w:val="auto"/>
              </w:rPr>
            </w:pPr>
            <w:r>
              <w:rPr>
                <w:rFonts w:ascii="Arial" w:cs="Arial" w:eastAsia="Arial" w:hAnsi="Arial"/>
                <w:sz w:val="18"/>
                <w:szCs w:val="18"/>
                <w:color w:val="auto"/>
              </w:rPr>
              <w:t>1900 Pine Street</w:t>
            </w:r>
          </w:p>
        </w:tc>
        <w:tc>
          <w:tcPr>
            <w:tcW w:w="880" w:type="dxa"/>
            <w:vAlign w:val="bottom"/>
          </w:tcPr>
          <w:p>
            <w:pPr>
              <w:ind w:left="14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780" w:type="dxa"/>
            <w:vAlign w:val="bottom"/>
          </w:tcPr>
          <w:p>
            <w:pPr>
              <w:ind w:left="80"/>
              <w:spacing w:after="0"/>
              <w:rPr>
                <w:sz w:val="20"/>
                <w:szCs w:val="20"/>
                <w:color w:val="auto"/>
              </w:rPr>
            </w:pPr>
            <w:r>
              <w:rPr>
                <w:rFonts w:ascii="Arial" w:cs="Arial" w:eastAsia="Arial" w:hAnsi="Arial"/>
                <w:sz w:val="18"/>
                <w:szCs w:val="18"/>
                <w:color w:val="auto"/>
              </w:rPr>
              <w:t>Abilene, TX 79601</w:t>
            </w:r>
          </w:p>
        </w:tc>
        <w:tc>
          <w:tcPr>
            <w:tcW w:w="88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PUTNAM HOSPITAL</w:t>
            </w:r>
          </w:p>
        </w:tc>
        <w:tc>
          <w:tcPr>
            <w:tcW w:w="2780" w:type="dxa"/>
            <w:vAlign w:val="bottom"/>
          </w:tcPr>
          <w:p>
            <w:pPr>
              <w:ind w:left="80"/>
              <w:spacing w:after="0"/>
              <w:rPr>
                <w:sz w:val="20"/>
                <w:szCs w:val="20"/>
                <w:color w:val="auto"/>
              </w:rPr>
            </w:pPr>
            <w:r>
              <w:rPr>
                <w:rFonts w:ascii="Arial" w:cs="Arial" w:eastAsia="Arial" w:hAnsi="Arial"/>
                <w:sz w:val="18"/>
                <w:szCs w:val="18"/>
                <w:color w:val="auto"/>
              </w:rPr>
              <w:t>670 Stoneleigh Avenue</w:t>
            </w:r>
          </w:p>
        </w:tc>
        <w:tc>
          <w:tcPr>
            <w:tcW w:w="880" w:type="dxa"/>
            <w:vAlign w:val="bottom"/>
          </w:tcPr>
          <w:p>
            <w:pPr>
              <w:ind w:left="14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780" w:type="dxa"/>
            <w:vAlign w:val="bottom"/>
          </w:tcPr>
          <w:p>
            <w:pPr>
              <w:ind w:left="80"/>
              <w:spacing w:after="0"/>
              <w:rPr>
                <w:sz w:val="20"/>
                <w:szCs w:val="20"/>
                <w:color w:val="auto"/>
              </w:rPr>
            </w:pPr>
            <w:r>
              <w:rPr>
                <w:rFonts w:ascii="Arial" w:cs="Arial" w:eastAsia="Arial" w:hAnsi="Arial"/>
                <w:sz w:val="18"/>
                <w:szCs w:val="18"/>
                <w:color w:val="auto"/>
              </w:rPr>
              <w:t>Carmel, NY 10512</w:t>
            </w:r>
          </w:p>
        </w:tc>
        <w:tc>
          <w:tcPr>
            <w:tcW w:w="88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INOVA FAIR OAKS HOSPITAL</w:t>
            </w:r>
          </w:p>
        </w:tc>
        <w:tc>
          <w:tcPr>
            <w:tcW w:w="2780" w:type="dxa"/>
            <w:vAlign w:val="bottom"/>
          </w:tcPr>
          <w:p>
            <w:pPr>
              <w:ind w:left="80"/>
              <w:spacing w:after="0"/>
              <w:rPr>
                <w:sz w:val="20"/>
                <w:szCs w:val="20"/>
                <w:color w:val="auto"/>
              </w:rPr>
            </w:pPr>
            <w:r>
              <w:rPr>
                <w:rFonts w:ascii="Arial" w:cs="Arial" w:eastAsia="Arial" w:hAnsi="Arial"/>
                <w:sz w:val="18"/>
                <w:szCs w:val="18"/>
                <w:color w:val="auto"/>
              </w:rPr>
              <w:t>3600 Joseph Siewick Drive</w:t>
            </w:r>
          </w:p>
        </w:tc>
        <w:tc>
          <w:tcPr>
            <w:tcW w:w="880" w:type="dxa"/>
            <w:vAlign w:val="bottom"/>
          </w:tcPr>
          <w:p>
            <w:pPr>
              <w:ind w:left="14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780" w:type="dxa"/>
            <w:vAlign w:val="bottom"/>
          </w:tcPr>
          <w:p>
            <w:pPr>
              <w:ind w:left="80"/>
              <w:spacing w:after="0"/>
              <w:rPr>
                <w:sz w:val="20"/>
                <w:szCs w:val="20"/>
                <w:color w:val="auto"/>
              </w:rPr>
            </w:pPr>
            <w:r>
              <w:rPr>
                <w:rFonts w:ascii="Arial" w:cs="Arial" w:eastAsia="Arial" w:hAnsi="Arial"/>
                <w:sz w:val="18"/>
                <w:szCs w:val="18"/>
                <w:color w:val="auto"/>
              </w:rPr>
              <w:t>Fairfax, VA 22033</w:t>
            </w:r>
          </w:p>
        </w:tc>
        <w:tc>
          <w:tcPr>
            <w:tcW w:w="88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U OF IOWA</w:t>
            </w:r>
          </w:p>
        </w:tc>
        <w:tc>
          <w:tcPr>
            <w:tcW w:w="2780" w:type="dxa"/>
            <w:vAlign w:val="bottom"/>
          </w:tcPr>
          <w:p>
            <w:pPr>
              <w:ind w:left="80"/>
              <w:spacing w:after="0"/>
              <w:rPr>
                <w:sz w:val="20"/>
                <w:szCs w:val="20"/>
                <w:color w:val="auto"/>
              </w:rPr>
            </w:pPr>
            <w:r>
              <w:rPr>
                <w:rFonts w:ascii="Arial" w:cs="Arial" w:eastAsia="Arial" w:hAnsi="Arial"/>
                <w:sz w:val="18"/>
                <w:szCs w:val="18"/>
                <w:color w:val="auto"/>
              </w:rPr>
              <w:t>200 Hawkins Drive</w:t>
            </w:r>
          </w:p>
        </w:tc>
        <w:tc>
          <w:tcPr>
            <w:tcW w:w="880" w:type="dxa"/>
            <w:vAlign w:val="bottom"/>
          </w:tcPr>
          <w:p>
            <w:pPr>
              <w:ind w:left="14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780" w:type="dxa"/>
            <w:vAlign w:val="bottom"/>
          </w:tcPr>
          <w:p>
            <w:pPr>
              <w:ind w:left="80"/>
              <w:spacing w:after="0"/>
              <w:rPr>
                <w:sz w:val="20"/>
                <w:szCs w:val="20"/>
                <w:color w:val="auto"/>
              </w:rPr>
            </w:pPr>
            <w:r>
              <w:rPr>
                <w:rFonts w:ascii="Arial" w:cs="Arial" w:eastAsia="Arial" w:hAnsi="Arial"/>
                <w:sz w:val="18"/>
                <w:szCs w:val="18"/>
                <w:color w:val="auto"/>
              </w:rPr>
              <w:t>Iowa City, IA 52242</w:t>
            </w:r>
          </w:p>
        </w:tc>
        <w:tc>
          <w:tcPr>
            <w:tcW w:w="88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UTAH VALLEY REGIONAL</w:t>
            </w:r>
          </w:p>
        </w:tc>
        <w:tc>
          <w:tcPr>
            <w:tcW w:w="2780" w:type="dxa"/>
            <w:vAlign w:val="bottom"/>
          </w:tcPr>
          <w:p>
            <w:pPr>
              <w:ind w:left="80"/>
              <w:spacing w:after="0"/>
              <w:rPr>
                <w:sz w:val="20"/>
                <w:szCs w:val="20"/>
                <w:color w:val="auto"/>
              </w:rPr>
            </w:pPr>
            <w:r>
              <w:rPr>
                <w:rFonts w:ascii="Arial" w:cs="Arial" w:eastAsia="Arial" w:hAnsi="Arial"/>
                <w:sz w:val="18"/>
                <w:szCs w:val="18"/>
                <w:color w:val="auto"/>
              </w:rPr>
              <w:t>1034 N 500 West</w:t>
            </w:r>
          </w:p>
        </w:tc>
        <w:tc>
          <w:tcPr>
            <w:tcW w:w="880" w:type="dxa"/>
            <w:vAlign w:val="bottom"/>
          </w:tcPr>
          <w:p>
            <w:pPr>
              <w:ind w:left="14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ind w:left="380"/>
              <w:spacing w:after="0"/>
              <w:rPr>
                <w:sz w:val="20"/>
                <w:szCs w:val="20"/>
                <w:color w:val="auto"/>
              </w:rPr>
            </w:pPr>
            <w:r>
              <w:rPr>
                <w:rFonts w:ascii="Arial" w:cs="Arial" w:eastAsia="Arial" w:hAnsi="Arial"/>
                <w:sz w:val="18"/>
                <w:szCs w:val="18"/>
                <w:color w:val="auto"/>
              </w:rPr>
              <w:t>MEDICAL CENTER</w:t>
            </w:r>
          </w:p>
        </w:tc>
        <w:tc>
          <w:tcPr>
            <w:tcW w:w="2780" w:type="dxa"/>
            <w:vAlign w:val="bottom"/>
          </w:tcPr>
          <w:p>
            <w:pPr>
              <w:ind w:left="80"/>
              <w:spacing w:after="0"/>
              <w:rPr>
                <w:sz w:val="20"/>
                <w:szCs w:val="20"/>
                <w:color w:val="auto"/>
              </w:rPr>
            </w:pPr>
            <w:r>
              <w:rPr>
                <w:rFonts w:ascii="Arial" w:cs="Arial" w:eastAsia="Arial" w:hAnsi="Arial"/>
                <w:sz w:val="18"/>
                <w:szCs w:val="18"/>
                <w:color w:val="auto"/>
              </w:rPr>
              <w:t>Provo, Utah 84604</w:t>
            </w:r>
          </w:p>
        </w:tc>
        <w:tc>
          <w:tcPr>
            <w:tcW w:w="88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w w:val="94"/>
              </w:rPr>
              <w:t>SACRED HEART/PEACE OREGON</w:t>
            </w:r>
          </w:p>
        </w:tc>
        <w:tc>
          <w:tcPr>
            <w:tcW w:w="2780" w:type="dxa"/>
            <w:vAlign w:val="bottom"/>
          </w:tcPr>
          <w:p>
            <w:pPr>
              <w:ind w:left="80"/>
              <w:spacing w:after="0"/>
              <w:rPr>
                <w:sz w:val="20"/>
                <w:szCs w:val="20"/>
                <w:color w:val="auto"/>
              </w:rPr>
            </w:pPr>
            <w:r>
              <w:rPr>
                <w:rFonts w:ascii="Arial" w:cs="Arial" w:eastAsia="Arial" w:hAnsi="Arial"/>
                <w:sz w:val="18"/>
                <w:szCs w:val="18"/>
                <w:color w:val="auto"/>
              </w:rPr>
              <w:t>3333 Riverbend Drive</w:t>
            </w:r>
          </w:p>
        </w:tc>
        <w:tc>
          <w:tcPr>
            <w:tcW w:w="880" w:type="dxa"/>
            <w:vAlign w:val="bottom"/>
          </w:tcPr>
          <w:p>
            <w:pPr>
              <w:ind w:left="14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780" w:type="dxa"/>
            <w:vAlign w:val="bottom"/>
          </w:tcPr>
          <w:p>
            <w:pPr>
              <w:ind w:left="80"/>
              <w:spacing w:after="0"/>
              <w:rPr>
                <w:sz w:val="20"/>
                <w:szCs w:val="20"/>
                <w:color w:val="auto"/>
              </w:rPr>
            </w:pPr>
            <w:r>
              <w:rPr>
                <w:rFonts w:ascii="Arial" w:cs="Arial" w:eastAsia="Arial" w:hAnsi="Arial"/>
                <w:sz w:val="18"/>
                <w:szCs w:val="18"/>
                <w:color w:val="auto"/>
              </w:rPr>
              <w:t>Springfield, OR 97477</w:t>
            </w:r>
          </w:p>
        </w:tc>
        <w:tc>
          <w:tcPr>
            <w:tcW w:w="88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HAND &amp; UPPER EXTREMITY</w:t>
            </w:r>
          </w:p>
        </w:tc>
        <w:tc>
          <w:tcPr>
            <w:tcW w:w="2780" w:type="dxa"/>
            <w:vAlign w:val="bottom"/>
          </w:tcPr>
          <w:p>
            <w:pPr>
              <w:ind w:left="80"/>
              <w:spacing w:after="0"/>
              <w:rPr>
                <w:sz w:val="20"/>
                <w:szCs w:val="20"/>
                <w:color w:val="auto"/>
              </w:rPr>
            </w:pPr>
            <w:r>
              <w:rPr>
                <w:rFonts w:ascii="Arial" w:cs="Arial" w:eastAsia="Arial" w:hAnsi="Arial"/>
                <w:sz w:val="18"/>
                <w:szCs w:val="18"/>
                <w:color w:val="auto"/>
              </w:rPr>
              <w:t>993 D Johnson Ferry Road</w:t>
            </w:r>
          </w:p>
        </w:tc>
        <w:tc>
          <w:tcPr>
            <w:tcW w:w="880" w:type="dxa"/>
            <w:vAlign w:val="bottom"/>
          </w:tcPr>
          <w:p>
            <w:pPr>
              <w:ind w:left="140"/>
              <w:spacing w:after="0"/>
              <w:rPr>
                <w:sz w:val="20"/>
                <w:szCs w:val="20"/>
                <w:color w:val="auto"/>
              </w:rPr>
            </w:pPr>
            <w:r>
              <w:rPr>
                <w:rFonts w:ascii="Arial" w:cs="Arial" w:eastAsia="Arial" w:hAnsi="Arial"/>
                <w:sz w:val="18"/>
                <w:szCs w:val="18"/>
                <w:color w:val="auto"/>
                <w:w w:val="83"/>
              </w:rPr>
              <w:t>Consignee</w:t>
            </w:r>
          </w:p>
        </w:tc>
      </w:tr>
      <w:tr>
        <w:trPr>
          <w:trHeight w:val="216"/>
        </w:trPr>
        <w:tc>
          <w:tcPr>
            <w:tcW w:w="2720" w:type="dxa"/>
            <w:vAlign w:val="bottom"/>
          </w:tcPr>
          <w:p>
            <w:pPr>
              <w:spacing w:after="0"/>
              <w:rPr>
                <w:sz w:val="18"/>
                <w:szCs w:val="18"/>
                <w:color w:val="auto"/>
              </w:rPr>
            </w:pPr>
          </w:p>
        </w:tc>
        <w:tc>
          <w:tcPr>
            <w:tcW w:w="3160" w:type="dxa"/>
            <w:vAlign w:val="bottom"/>
          </w:tcPr>
          <w:p>
            <w:pPr>
              <w:ind w:left="380"/>
              <w:spacing w:after="0"/>
              <w:rPr>
                <w:sz w:val="20"/>
                <w:szCs w:val="20"/>
                <w:color w:val="auto"/>
              </w:rPr>
            </w:pPr>
            <w:r>
              <w:rPr>
                <w:rFonts w:ascii="Arial" w:cs="Arial" w:eastAsia="Arial" w:hAnsi="Arial"/>
                <w:sz w:val="18"/>
                <w:szCs w:val="18"/>
                <w:color w:val="auto"/>
              </w:rPr>
              <w:t>SURGERY CENTER</w:t>
            </w:r>
          </w:p>
        </w:tc>
        <w:tc>
          <w:tcPr>
            <w:tcW w:w="2780" w:type="dxa"/>
            <w:vAlign w:val="bottom"/>
          </w:tcPr>
          <w:p>
            <w:pPr>
              <w:ind w:left="80"/>
              <w:spacing w:after="0"/>
              <w:rPr>
                <w:sz w:val="20"/>
                <w:szCs w:val="20"/>
                <w:color w:val="auto"/>
              </w:rPr>
            </w:pPr>
            <w:r>
              <w:rPr>
                <w:rFonts w:ascii="Arial" w:cs="Arial" w:eastAsia="Arial" w:hAnsi="Arial"/>
                <w:sz w:val="18"/>
                <w:szCs w:val="18"/>
                <w:color w:val="auto"/>
              </w:rPr>
              <w:t>Suite 200</w:t>
            </w:r>
          </w:p>
        </w:tc>
        <w:tc>
          <w:tcPr>
            <w:tcW w:w="880" w:type="dxa"/>
            <w:vAlign w:val="bottom"/>
          </w:tcPr>
          <w:p>
            <w:pPr>
              <w:spacing w:after="0"/>
              <w:rPr>
                <w:sz w:val="18"/>
                <w:szCs w:val="18"/>
                <w:color w:val="auto"/>
              </w:rPr>
            </w:pP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780" w:type="dxa"/>
            <w:vAlign w:val="bottom"/>
          </w:tcPr>
          <w:p>
            <w:pPr>
              <w:ind w:left="80"/>
              <w:spacing w:after="0"/>
              <w:rPr>
                <w:sz w:val="20"/>
                <w:szCs w:val="20"/>
                <w:color w:val="auto"/>
              </w:rPr>
            </w:pPr>
            <w:r>
              <w:rPr>
                <w:rFonts w:ascii="Arial" w:cs="Arial" w:eastAsia="Arial" w:hAnsi="Arial"/>
                <w:sz w:val="18"/>
                <w:szCs w:val="18"/>
                <w:color w:val="auto"/>
              </w:rPr>
              <w:t>Atlanta, GA 30342</w:t>
            </w:r>
          </w:p>
        </w:tc>
        <w:tc>
          <w:tcPr>
            <w:tcW w:w="88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ST MARY’S HOSPITAL</w:t>
            </w:r>
          </w:p>
        </w:tc>
        <w:tc>
          <w:tcPr>
            <w:tcW w:w="2780" w:type="dxa"/>
            <w:vAlign w:val="bottom"/>
          </w:tcPr>
          <w:p>
            <w:pPr>
              <w:ind w:left="80"/>
              <w:spacing w:after="0"/>
              <w:rPr>
                <w:sz w:val="20"/>
                <w:szCs w:val="20"/>
                <w:color w:val="auto"/>
              </w:rPr>
            </w:pPr>
            <w:r>
              <w:rPr>
                <w:rFonts w:ascii="Arial" w:cs="Arial" w:eastAsia="Arial" w:hAnsi="Arial"/>
                <w:sz w:val="18"/>
                <w:szCs w:val="18"/>
                <w:color w:val="auto"/>
              </w:rPr>
              <w:t>200 Jefferson Avenue S.E.</w:t>
            </w:r>
          </w:p>
        </w:tc>
        <w:tc>
          <w:tcPr>
            <w:tcW w:w="880" w:type="dxa"/>
            <w:vAlign w:val="bottom"/>
          </w:tcPr>
          <w:p>
            <w:pPr>
              <w:ind w:left="14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780" w:type="dxa"/>
            <w:vAlign w:val="bottom"/>
          </w:tcPr>
          <w:p>
            <w:pPr>
              <w:ind w:left="80"/>
              <w:spacing w:after="0"/>
              <w:rPr>
                <w:sz w:val="20"/>
                <w:szCs w:val="20"/>
                <w:color w:val="auto"/>
              </w:rPr>
            </w:pPr>
            <w:r>
              <w:rPr>
                <w:rFonts w:ascii="Arial" w:cs="Arial" w:eastAsia="Arial" w:hAnsi="Arial"/>
                <w:sz w:val="18"/>
                <w:szCs w:val="18"/>
                <w:color w:val="auto"/>
              </w:rPr>
              <w:t>Grand Rapids, MI 49503</w:t>
            </w:r>
          </w:p>
        </w:tc>
        <w:tc>
          <w:tcPr>
            <w:tcW w:w="88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LAPEER COUNTY SURGERY</w:t>
            </w:r>
          </w:p>
        </w:tc>
        <w:tc>
          <w:tcPr>
            <w:tcW w:w="2780" w:type="dxa"/>
            <w:vAlign w:val="bottom"/>
          </w:tcPr>
          <w:p>
            <w:pPr>
              <w:ind w:left="80"/>
              <w:spacing w:after="0"/>
              <w:rPr>
                <w:sz w:val="20"/>
                <w:szCs w:val="20"/>
                <w:color w:val="auto"/>
              </w:rPr>
            </w:pPr>
            <w:r>
              <w:rPr>
                <w:rFonts w:ascii="Arial" w:cs="Arial" w:eastAsia="Arial" w:hAnsi="Arial"/>
                <w:sz w:val="18"/>
                <w:szCs w:val="18"/>
                <w:color w:val="auto"/>
              </w:rPr>
              <w:t>1546 Callis Road</w:t>
            </w:r>
          </w:p>
        </w:tc>
        <w:tc>
          <w:tcPr>
            <w:tcW w:w="880" w:type="dxa"/>
            <w:vAlign w:val="bottom"/>
          </w:tcPr>
          <w:p>
            <w:pPr>
              <w:ind w:left="14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780" w:type="dxa"/>
            <w:vAlign w:val="bottom"/>
          </w:tcPr>
          <w:p>
            <w:pPr>
              <w:ind w:left="80"/>
              <w:spacing w:after="0"/>
              <w:rPr>
                <w:sz w:val="20"/>
                <w:szCs w:val="20"/>
                <w:color w:val="auto"/>
              </w:rPr>
            </w:pPr>
            <w:r>
              <w:rPr>
                <w:rFonts w:ascii="Arial" w:cs="Arial" w:eastAsia="Arial" w:hAnsi="Arial"/>
                <w:sz w:val="18"/>
                <w:szCs w:val="18"/>
                <w:color w:val="auto"/>
              </w:rPr>
              <w:t>Lapeer, MI 48446</w:t>
            </w:r>
          </w:p>
        </w:tc>
        <w:tc>
          <w:tcPr>
            <w:tcW w:w="88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WALKER SURGICAL CENTER</w:t>
            </w:r>
          </w:p>
        </w:tc>
        <w:tc>
          <w:tcPr>
            <w:tcW w:w="2780" w:type="dxa"/>
            <w:vAlign w:val="bottom"/>
          </w:tcPr>
          <w:p>
            <w:pPr>
              <w:ind w:left="80"/>
              <w:spacing w:after="0"/>
              <w:rPr>
                <w:sz w:val="20"/>
                <w:szCs w:val="20"/>
                <w:color w:val="auto"/>
              </w:rPr>
            </w:pPr>
            <w:r>
              <w:rPr>
                <w:rFonts w:ascii="Arial" w:cs="Arial" w:eastAsia="Arial" w:hAnsi="Arial"/>
                <w:sz w:val="18"/>
                <w:szCs w:val="18"/>
                <w:color w:val="auto"/>
              </w:rPr>
              <w:t>3300 Walker View Drive</w:t>
            </w:r>
          </w:p>
        </w:tc>
        <w:tc>
          <w:tcPr>
            <w:tcW w:w="880" w:type="dxa"/>
            <w:vAlign w:val="bottom"/>
          </w:tcPr>
          <w:p>
            <w:pPr>
              <w:ind w:left="14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780" w:type="dxa"/>
            <w:vAlign w:val="bottom"/>
          </w:tcPr>
          <w:p>
            <w:pPr>
              <w:ind w:left="80"/>
              <w:spacing w:after="0"/>
              <w:rPr>
                <w:sz w:val="20"/>
                <w:szCs w:val="20"/>
                <w:color w:val="auto"/>
              </w:rPr>
            </w:pPr>
            <w:r>
              <w:rPr>
                <w:rFonts w:ascii="Arial" w:cs="Arial" w:eastAsia="Arial" w:hAnsi="Arial"/>
                <w:sz w:val="18"/>
                <w:szCs w:val="18"/>
                <w:color w:val="auto"/>
              </w:rPr>
              <w:t>Walker, MI 49544</w:t>
            </w:r>
          </w:p>
        </w:tc>
        <w:tc>
          <w:tcPr>
            <w:tcW w:w="88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TIMBERLAKE SURGERY</w:t>
            </w:r>
          </w:p>
        </w:tc>
        <w:tc>
          <w:tcPr>
            <w:tcW w:w="2780" w:type="dxa"/>
            <w:vAlign w:val="bottom"/>
          </w:tcPr>
          <w:p>
            <w:pPr>
              <w:ind w:left="80"/>
              <w:spacing w:after="0"/>
              <w:rPr>
                <w:sz w:val="20"/>
                <w:szCs w:val="20"/>
                <w:color w:val="auto"/>
              </w:rPr>
            </w:pPr>
            <w:r>
              <w:rPr>
                <w:rFonts w:ascii="Arial" w:cs="Arial" w:eastAsia="Arial" w:hAnsi="Arial"/>
                <w:sz w:val="18"/>
                <w:szCs w:val="18"/>
                <w:color w:val="auto"/>
              </w:rPr>
              <w:t>1485 N Outer Forty Road</w:t>
            </w:r>
          </w:p>
        </w:tc>
        <w:tc>
          <w:tcPr>
            <w:tcW w:w="880" w:type="dxa"/>
            <w:vAlign w:val="bottom"/>
          </w:tcPr>
          <w:p>
            <w:pPr>
              <w:ind w:left="140"/>
              <w:spacing w:after="0"/>
              <w:rPr>
                <w:sz w:val="20"/>
                <w:szCs w:val="20"/>
                <w:color w:val="auto"/>
              </w:rPr>
            </w:pPr>
            <w:r>
              <w:rPr>
                <w:rFonts w:ascii="Arial" w:cs="Arial" w:eastAsia="Arial" w:hAnsi="Arial"/>
                <w:sz w:val="18"/>
                <w:szCs w:val="18"/>
                <w:color w:val="auto"/>
                <w:w w:val="83"/>
              </w:rPr>
              <w:t>Consignee</w:t>
            </w:r>
          </w:p>
        </w:tc>
      </w:tr>
      <w:tr>
        <w:trPr>
          <w:trHeight w:val="216"/>
        </w:trPr>
        <w:tc>
          <w:tcPr>
            <w:tcW w:w="2720" w:type="dxa"/>
            <w:vAlign w:val="bottom"/>
          </w:tcPr>
          <w:p>
            <w:pPr>
              <w:spacing w:after="0"/>
              <w:rPr>
                <w:sz w:val="18"/>
                <w:szCs w:val="18"/>
                <w:color w:val="auto"/>
              </w:rPr>
            </w:pPr>
          </w:p>
        </w:tc>
        <w:tc>
          <w:tcPr>
            <w:tcW w:w="3160" w:type="dxa"/>
            <w:vAlign w:val="bottom"/>
          </w:tcPr>
          <w:p>
            <w:pPr>
              <w:ind w:left="380"/>
              <w:spacing w:after="0"/>
              <w:rPr>
                <w:sz w:val="20"/>
                <w:szCs w:val="20"/>
                <w:color w:val="auto"/>
              </w:rPr>
            </w:pPr>
            <w:r>
              <w:rPr>
                <w:rFonts w:ascii="Arial" w:cs="Arial" w:eastAsia="Arial" w:hAnsi="Arial"/>
                <w:sz w:val="18"/>
                <w:szCs w:val="18"/>
                <w:color w:val="auto"/>
              </w:rPr>
              <w:t>HOSPITAL</w:t>
            </w:r>
          </w:p>
        </w:tc>
        <w:tc>
          <w:tcPr>
            <w:tcW w:w="2780" w:type="dxa"/>
            <w:vAlign w:val="bottom"/>
          </w:tcPr>
          <w:p>
            <w:pPr>
              <w:ind w:left="80"/>
              <w:spacing w:after="0"/>
              <w:rPr>
                <w:sz w:val="20"/>
                <w:szCs w:val="20"/>
                <w:color w:val="auto"/>
              </w:rPr>
            </w:pPr>
            <w:r>
              <w:rPr>
                <w:rFonts w:ascii="Arial" w:cs="Arial" w:eastAsia="Arial" w:hAnsi="Arial"/>
                <w:sz w:val="18"/>
                <w:szCs w:val="18"/>
                <w:color w:val="auto"/>
              </w:rPr>
              <w:t>Suite 200</w:t>
            </w:r>
          </w:p>
        </w:tc>
        <w:tc>
          <w:tcPr>
            <w:tcW w:w="880" w:type="dxa"/>
            <w:vAlign w:val="bottom"/>
          </w:tcPr>
          <w:p>
            <w:pPr>
              <w:spacing w:after="0"/>
              <w:rPr>
                <w:sz w:val="18"/>
                <w:szCs w:val="18"/>
                <w:color w:val="auto"/>
              </w:rPr>
            </w:pP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780" w:type="dxa"/>
            <w:vAlign w:val="bottom"/>
          </w:tcPr>
          <w:p>
            <w:pPr>
              <w:ind w:left="80"/>
              <w:spacing w:after="0"/>
              <w:rPr>
                <w:sz w:val="20"/>
                <w:szCs w:val="20"/>
                <w:color w:val="auto"/>
              </w:rPr>
            </w:pPr>
            <w:r>
              <w:rPr>
                <w:rFonts w:ascii="Arial" w:cs="Arial" w:eastAsia="Arial" w:hAnsi="Arial"/>
                <w:sz w:val="18"/>
                <w:szCs w:val="18"/>
                <w:color w:val="auto"/>
              </w:rPr>
              <w:t>Chesterfield, MO 63017</w:t>
            </w:r>
          </w:p>
        </w:tc>
        <w:tc>
          <w:tcPr>
            <w:tcW w:w="88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RESTON HOSPITAL CENTER</w:t>
            </w:r>
          </w:p>
        </w:tc>
        <w:tc>
          <w:tcPr>
            <w:tcW w:w="2780" w:type="dxa"/>
            <w:vAlign w:val="bottom"/>
          </w:tcPr>
          <w:p>
            <w:pPr>
              <w:ind w:left="80"/>
              <w:spacing w:after="0"/>
              <w:rPr>
                <w:sz w:val="20"/>
                <w:szCs w:val="20"/>
                <w:color w:val="auto"/>
              </w:rPr>
            </w:pPr>
            <w:r>
              <w:rPr>
                <w:rFonts w:ascii="Arial" w:cs="Arial" w:eastAsia="Arial" w:hAnsi="Arial"/>
                <w:sz w:val="18"/>
                <w:szCs w:val="18"/>
                <w:color w:val="auto"/>
              </w:rPr>
              <w:t>1850 Town Center Pkwy</w:t>
            </w:r>
          </w:p>
        </w:tc>
        <w:tc>
          <w:tcPr>
            <w:tcW w:w="880" w:type="dxa"/>
            <w:vAlign w:val="bottom"/>
          </w:tcPr>
          <w:p>
            <w:pPr>
              <w:ind w:left="14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780" w:type="dxa"/>
            <w:vAlign w:val="bottom"/>
          </w:tcPr>
          <w:p>
            <w:pPr>
              <w:ind w:left="80"/>
              <w:spacing w:after="0"/>
              <w:rPr>
                <w:sz w:val="20"/>
                <w:szCs w:val="20"/>
                <w:color w:val="auto"/>
              </w:rPr>
            </w:pPr>
            <w:r>
              <w:rPr>
                <w:rFonts w:ascii="Arial" w:cs="Arial" w:eastAsia="Arial" w:hAnsi="Arial"/>
                <w:sz w:val="18"/>
                <w:szCs w:val="18"/>
                <w:color w:val="auto"/>
              </w:rPr>
              <w:t>Reston, VA 20190</w:t>
            </w:r>
          </w:p>
        </w:tc>
        <w:tc>
          <w:tcPr>
            <w:tcW w:w="88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VANDERBILT HOSPITAL</w:t>
            </w:r>
          </w:p>
        </w:tc>
        <w:tc>
          <w:tcPr>
            <w:tcW w:w="2780" w:type="dxa"/>
            <w:vAlign w:val="bottom"/>
          </w:tcPr>
          <w:p>
            <w:pPr>
              <w:ind w:left="80"/>
              <w:spacing w:after="0"/>
              <w:rPr>
                <w:sz w:val="20"/>
                <w:szCs w:val="20"/>
                <w:color w:val="auto"/>
              </w:rPr>
            </w:pPr>
            <w:r>
              <w:rPr>
                <w:rFonts w:ascii="Arial" w:cs="Arial" w:eastAsia="Arial" w:hAnsi="Arial"/>
                <w:sz w:val="18"/>
                <w:szCs w:val="18"/>
                <w:color w:val="auto"/>
              </w:rPr>
              <w:t>1161 21</w:t>
            </w:r>
            <w:r>
              <w:rPr>
                <w:rFonts w:ascii="Arial" w:cs="Arial" w:eastAsia="Arial" w:hAnsi="Arial"/>
                <w:sz w:val="11"/>
                <w:szCs w:val="11"/>
                <w:color w:val="auto"/>
              </w:rPr>
              <w:t>st</w:t>
            </w:r>
            <w:r>
              <w:rPr>
                <w:rFonts w:ascii="Arial" w:cs="Arial" w:eastAsia="Arial" w:hAnsi="Arial"/>
                <w:sz w:val="18"/>
                <w:szCs w:val="18"/>
                <w:color w:val="auto"/>
              </w:rPr>
              <w:t xml:space="preserve"> Avenue South</w:t>
            </w:r>
          </w:p>
        </w:tc>
        <w:tc>
          <w:tcPr>
            <w:tcW w:w="880" w:type="dxa"/>
            <w:vAlign w:val="bottom"/>
          </w:tcPr>
          <w:p>
            <w:pPr>
              <w:ind w:left="14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780" w:type="dxa"/>
            <w:vAlign w:val="bottom"/>
          </w:tcPr>
          <w:p>
            <w:pPr>
              <w:ind w:left="80"/>
              <w:spacing w:after="0"/>
              <w:rPr>
                <w:sz w:val="20"/>
                <w:szCs w:val="20"/>
                <w:color w:val="auto"/>
              </w:rPr>
            </w:pPr>
            <w:r>
              <w:rPr>
                <w:rFonts w:ascii="Arial" w:cs="Arial" w:eastAsia="Arial" w:hAnsi="Arial"/>
                <w:sz w:val="18"/>
                <w:szCs w:val="18"/>
                <w:color w:val="auto"/>
              </w:rPr>
              <w:t>Nashville, TN 37203</w:t>
            </w:r>
          </w:p>
        </w:tc>
        <w:tc>
          <w:tcPr>
            <w:tcW w:w="88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KAISER INTERSTATE</w:t>
            </w:r>
          </w:p>
        </w:tc>
        <w:tc>
          <w:tcPr>
            <w:tcW w:w="2780" w:type="dxa"/>
            <w:vAlign w:val="bottom"/>
          </w:tcPr>
          <w:p>
            <w:pPr>
              <w:ind w:left="80"/>
              <w:spacing w:after="0"/>
              <w:rPr>
                <w:sz w:val="20"/>
                <w:szCs w:val="20"/>
                <w:color w:val="auto"/>
              </w:rPr>
            </w:pPr>
            <w:r>
              <w:rPr>
                <w:rFonts w:ascii="Arial" w:cs="Arial" w:eastAsia="Arial" w:hAnsi="Arial"/>
                <w:sz w:val="18"/>
                <w:szCs w:val="18"/>
                <w:color w:val="auto"/>
              </w:rPr>
              <w:t>3500 N Interstate Avenue</w:t>
            </w:r>
          </w:p>
        </w:tc>
        <w:tc>
          <w:tcPr>
            <w:tcW w:w="880" w:type="dxa"/>
            <w:vAlign w:val="bottom"/>
          </w:tcPr>
          <w:p>
            <w:pPr>
              <w:ind w:left="14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780" w:type="dxa"/>
            <w:vAlign w:val="bottom"/>
          </w:tcPr>
          <w:p>
            <w:pPr>
              <w:ind w:left="80"/>
              <w:spacing w:after="0"/>
              <w:rPr>
                <w:sz w:val="20"/>
                <w:szCs w:val="20"/>
                <w:color w:val="auto"/>
              </w:rPr>
            </w:pPr>
            <w:r>
              <w:rPr>
                <w:rFonts w:ascii="Arial" w:cs="Arial" w:eastAsia="Arial" w:hAnsi="Arial"/>
                <w:sz w:val="18"/>
                <w:szCs w:val="18"/>
                <w:color w:val="auto"/>
              </w:rPr>
              <w:t>Portland, OR 97227</w:t>
            </w:r>
          </w:p>
        </w:tc>
        <w:tc>
          <w:tcPr>
            <w:tcW w:w="88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SETON MEDICAL</w:t>
            </w:r>
          </w:p>
        </w:tc>
        <w:tc>
          <w:tcPr>
            <w:tcW w:w="2780" w:type="dxa"/>
            <w:vAlign w:val="bottom"/>
          </w:tcPr>
          <w:p>
            <w:pPr>
              <w:ind w:left="80"/>
              <w:spacing w:after="0"/>
              <w:rPr>
                <w:sz w:val="20"/>
                <w:szCs w:val="20"/>
                <w:color w:val="auto"/>
              </w:rPr>
            </w:pPr>
            <w:r>
              <w:rPr>
                <w:rFonts w:ascii="Arial" w:cs="Arial" w:eastAsia="Arial" w:hAnsi="Arial"/>
                <w:sz w:val="18"/>
                <w:szCs w:val="18"/>
                <w:color w:val="auto"/>
              </w:rPr>
              <w:t>1201 E 35</w:t>
            </w:r>
            <w:r>
              <w:rPr>
                <w:rFonts w:ascii="Arial" w:cs="Arial" w:eastAsia="Arial" w:hAnsi="Arial"/>
                <w:sz w:val="11"/>
                <w:szCs w:val="11"/>
                <w:color w:val="auto"/>
              </w:rPr>
              <w:t>th</w:t>
            </w:r>
            <w:r>
              <w:rPr>
                <w:rFonts w:ascii="Arial" w:cs="Arial" w:eastAsia="Arial" w:hAnsi="Arial"/>
                <w:sz w:val="18"/>
                <w:szCs w:val="18"/>
                <w:color w:val="auto"/>
              </w:rPr>
              <w:t xml:space="preserve"> Street</w:t>
            </w:r>
          </w:p>
        </w:tc>
        <w:tc>
          <w:tcPr>
            <w:tcW w:w="880" w:type="dxa"/>
            <w:vAlign w:val="bottom"/>
          </w:tcPr>
          <w:p>
            <w:pPr>
              <w:ind w:left="14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ind w:left="380"/>
              <w:spacing w:after="0"/>
              <w:rPr>
                <w:sz w:val="20"/>
                <w:szCs w:val="20"/>
                <w:color w:val="auto"/>
              </w:rPr>
            </w:pPr>
            <w:r>
              <w:rPr>
                <w:rFonts w:ascii="Arial" w:cs="Arial" w:eastAsia="Arial" w:hAnsi="Arial"/>
                <w:sz w:val="18"/>
                <w:szCs w:val="18"/>
                <w:color w:val="auto"/>
              </w:rPr>
              <w:t>CENTER – AUSTIN</w:t>
            </w:r>
          </w:p>
        </w:tc>
        <w:tc>
          <w:tcPr>
            <w:tcW w:w="2780" w:type="dxa"/>
            <w:vAlign w:val="bottom"/>
          </w:tcPr>
          <w:p>
            <w:pPr>
              <w:ind w:left="80"/>
              <w:spacing w:after="0"/>
              <w:rPr>
                <w:sz w:val="20"/>
                <w:szCs w:val="20"/>
                <w:color w:val="auto"/>
              </w:rPr>
            </w:pPr>
            <w:r>
              <w:rPr>
                <w:rFonts w:ascii="Arial" w:cs="Arial" w:eastAsia="Arial" w:hAnsi="Arial"/>
                <w:sz w:val="18"/>
                <w:szCs w:val="18"/>
                <w:color w:val="auto"/>
              </w:rPr>
              <w:t>Austin, TX 78705</w:t>
            </w:r>
          </w:p>
        </w:tc>
        <w:tc>
          <w:tcPr>
            <w:tcW w:w="88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ORTHOPEDIC ASSOC SURG</w:t>
            </w:r>
          </w:p>
        </w:tc>
        <w:tc>
          <w:tcPr>
            <w:tcW w:w="2780" w:type="dxa"/>
            <w:vAlign w:val="bottom"/>
          </w:tcPr>
          <w:p>
            <w:pPr>
              <w:ind w:left="80"/>
              <w:spacing w:after="0"/>
              <w:rPr>
                <w:sz w:val="20"/>
                <w:szCs w:val="20"/>
                <w:color w:val="auto"/>
              </w:rPr>
            </w:pPr>
            <w:r>
              <w:rPr>
                <w:rFonts w:ascii="Arial" w:cs="Arial" w:eastAsia="Arial" w:hAnsi="Arial"/>
                <w:sz w:val="18"/>
                <w:szCs w:val="18"/>
                <w:color w:val="auto"/>
              </w:rPr>
              <w:t>1111 Cromwell Avenue</w:t>
            </w:r>
          </w:p>
        </w:tc>
        <w:tc>
          <w:tcPr>
            <w:tcW w:w="880" w:type="dxa"/>
            <w:vAlign w:val="bottom"/>
          </w:tcPr>
          <w:p>
            <w:pPr>
              <w:ind w:left="14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ind w:left="380"/>
              <w:spacing w:after="0"/>
              <w:rPr>
                <w:sz w:val="20"/>
                <w:szCs w:val="20"/>
                <w:color w:val="auto"/>
              </w:rPr>
            </w:pPr>
            <w:r>
              <w:rPr>
                <w:rFonts w:ascii="Arial" w:cs="Arial" w:eastAsia="Arial" w:hAnsi="Arial"/>
                <w:sz w:val="18"/>
                <w:szCs w:val="18"/>
                <w:color w:val="auto"/>
              </w:rPr>
              <w:t>CENTER</w:t>
            </w:r>
          </w:p>
        </w:tc>
        <w:tc>
          <w:tcPr>
            <w:tcW w:w="2780" w:type="dxa"/>
            <w:vAlign w:val="bottom"/>
          </w:tcPr>
          <w:p>
            <w:pPr>
              <w:ind w:left="80"/>
              <w:spacing w:after="0"/>
              <w:rPr>
                <w:sz w:val="20"/>
                <w:szCs w:val="20"/>
                <w:color w:val="auto"/>
              </w:rPr>
            </w:pPr>
            <w:r>
              <w:rPr>
                <w:rFonts w:ascii="Arial" w:cs="Arial" w:eastAsia="Arial" w:hAnsi="Arial"/>
                <w:sz w:val="18"/>
                <w:szCs w:val="18"/>
                <w:color w:val="auto"/>
              </w:rPr>
              <w:t>Rocky Hill, CT 06067</w:t>
            </w:r>
          </w:p>
        </w:tc>
        <w:tc>
          <w:tcPr>
            <w:tcW w:w="88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PRINCE WILLIAM SURGERY</w:t>
            </w:r>
          </w:p>
        </w:tc>
        <w:tc>
          <w:tcPr>
            <w:tcW w:w="2780" w:type="dxa"/>
            <w:vAlign w:val="bottom"/>
          </w:tcPr>
          <w:p>
            <w:pPr>
              <w:ind w:left="80"/>
              <w:spacing w:after="0"/>
              <w:rPr>
                <w:sz w:val="20"/>
                <w:szCs w:val="20"/>
                <w:color w:val="auto"/>
              </w:rPr>
            </w:pPr>
            <w:r>
              <w:rPr>
                <w:rFonts w:ascii="Arial" w:cs="Arial" w:eastAsia="Arial" w:hAnsi="Arial"/>
                <w:sz w:val="18"/>
                <w:szCs w:val="18"/>
                <w:color w:val="auto"/>
              </w:rPr>
              <w:t>8644 Sudley Road</w:t>
            </w:r>
          </w:p>
        </w:tc>
        <w:tc>
          <w:tcPr>
            <w:tcW w:w="880" w:type="dxa"/>
            <w:vAlign w:val="bottom"/>
          </w:tcPr>
          <w:p>
            <w:pPr>
              <w:ind w:left="140"/>
              <w:spacing w:after="0"/>
              <w:rPr>
                <w:sz w:val="20"/>
                <w:szCs w:val="20"/>
                <w:color w:val="auto"/>
              </w:rPr>
            </w:pPr>
            <w:r>
              <w:rPr>
                <w:rFonts w:ascii="Arial" w:cs="Arial" w:eastAsia="Arial" w:hAnsi="Arial"/>
                <w:sz w:val="18"/>
                <w:szCs w:val="18"/>
                <w:color w:val="auto"/>
                <w:w w:val="83"/>
              </w:rPr>
              <w:t>Consignee</w:t>
            </w:r>
          </w:p>
        </w:tc>
      </w:tr>
      <w:tr>
        <w:trPr>
          <w:trHeight w:val="216"/>
        </w:trPr>
        <w:tc>
          <w:tcPr>
            <w:tcW w:w="2720" w:type="dxa"/>
            <w:vAlign w:val="bottom"/>
          </w:tcPr>
          <w:p>
            <w:pPr>
              <w:spacing w:after="0"/>
              <w:rPr>
                <w:sz w:val="18"/>
                <w:szCs w:val="18"/>
                <w:color w:val="auto"/>
              </w:rPr>
            </w:pPr>
          </w:p>
        </w:tc>
        <w:tc>
          <w:tcPr>
            <w:tcW w:w="3160" w:type="dxa"/>
            <w:vAlign w:val="bottom"/>
          </w:tcPr>
          <w:p>
            <w:pPr>
              <w:ind w:left="380"/>
              <w:spacing w:after="0"/>
              <w:rPr>
                <w:sz w:val="20"/>
                <w:szCs w:val="20"/>
                <w:color w:val="auto"/>
              </w:rPr>
            </w:pPr>
            <w:r>
              <w:rPr>
                <w:rFonts w:ascii="Arial" w:cs="Arial" w:eastAsia="Arial" w:hAnsi="Arial"/>
                <w:sz w:val="18"/>
                <w:szCs w:val="18"/>
                <w:color w:val="auto"/>
              </w:rPr>
              <w:t>CENTER</w:t>
            </w:r>
          </w:p>
        </w:tc>
        <w:tc>
          <w:tcPr>
            <w:tcW w:w="2780" w:type="dxa"/>
            <w:vAlign w:val="bottom"/>
          </w:tcPr>
          <w:p>
            <w:pPr>
              <w:ind w:left="80"/>
              <w:spacing w:after="0"/>
              <w:rPr>
                <w:sz w:val="20"/>
                <w:szCs w:val="20"/>
                <w:color w:val="auto"/>
              </w:rPr>
            </w:pPr>
            <w:r>
              <w:rPr>
                <w:rFonts w:ascii="Arial" w:cs="Arial" w:eastAsia="Arial" w:hAnsi="Arial"/>
                <w:sz w:val="18"/>
                <w:szCs w:val="18"/>
                <w:color w:val="auto"/>
              </w:rPr>
              <w:t>Suite 201</w:t>
            </w:r>
          </w:p>
        </w:tc>
        <w:tc>
          <w:tcPr>
            <w:tcW w:w="880" w:type="dxa"/>
            <w:vAlign w:val="bottom"/>
          </w:tcPr>
          <w:p>
            <w:pPr>
              <w:spacing w:after="0"/>
              <w:rPr>
                <w:sz w:val="18"/>
                <w:szCs w:val="18"/>
                <w:color w:val="auto"/>
              </w:rPr>
            </w:pP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780" w:type="dxa"/>
            <w:vAlign w:val="bottom"/>
          </w:tcPr>
          <w:p>
            <w:pPr>
              <w:ind w:left="80"/>
              <w:spacing w:after="0"/>
              <w:rPr>
                <w:sz w:val="20"/>
                <w:szCs w:val="20"/>
                <w:color w:val="auto"/>
              </w:rPr>
            </w:pPr>
            <w:r>
              <w:rPr>
                <w:rFonts w:ascii="Arial" w:cs="Arial" w:eastAsia="Arial" w:hAnsi="Arial"/>
                <w:sz w:val="18"/>
                <w:szCs w:val="18"/>
                <w:color w:val="auto"/>
              </w:rPr>
              <w:t>Manassas, VA 20110</w:t>
            </w:r>
          </w:p>
        </w:tc>
        <w:tc>
          <w:tcPr>
            <w:tcW w:w="88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VIRGINIA HOSITAL</w:t>
            </w:r>
          </w:p>
        </w:tc>
        <w:tc>
          <w:tcPr>
            <w:tcW w:w="2780" w:type="dxa"/>
            <w:vAlign w:val="bottom"/>
          </w:tcPr>
          <w:p>
            <w:pPr>
              <w:ind w:left="80"/>
              <w:spacing w:after="0"/>
              <w:rPr>
                <w:sz w:val="20"/>
                <w:szCs w:val="20"/>
                <w:color w:val="auto"/>
              </w:rPr>
            </w:pPr>
            <w:r>
              <w:rPr>
                <w:rFonts w:ascii="Arial" w:cs="Arial" w:eastAsia="Arial" w:hAnsi="Arial"/>
                <w:sz w:val="18"/>
                <w:szCs w:val="18"/>
                <w:color w:val="auto"/>
              </w:rPr>
              <w:t>1701 N George Mason Dr</w:t>
            </w:r>
          </w:p>
        </w:tc>
        <w:tc>
          <w:tcPr>
            <w:tcW w:w="880" w:type="dxa"/>
            <w:vAlign w:val="bottom"/>
          </w:tcPr>
          <w:p>
            <w:pPr>
              <w:ind w:left="14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780" w:type="dxa"/>
            <w:vAlign w:val="bottom"/>
          </w:tcPr>
          <w:p>
            <w:pPr>
              <w:ind w:left="80"/>
              <w:spacing w:after="0"/>
              <w:rPr>
                <w:sz w:val="20"/>
                <w:szCs w:val="20"/>
                <w:color w:val="auto"/>
              </w:rPr>
            </w:pPr>
            <w:r>
              <w:rPr>
                <w:rFonts w:ascii="Arial" w:cs="Arial" w:eastAsia="Arial" w:hAnsi="Arial"/>
                <w:sz w:val="18"/>
                <w:szCs w:val="18"/>
                <w:color w:val="auto"/>
              </w:rPr>
              <w:t>Arlington, VA 22205</w:t>
            </w:r>
          </w:p>
        </w:tc>
        <w:tc>
          <w:tcPr>
            <w:tcW w:w="88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HOSPITAL FOR SPECIAL</w:t>
            </w:r>
          </w:p>
        </w:tc>
        <w:tc>
          <w:tcPr>
            <w:tcW w:w="2780" w:type="dxa"/>
            <w:vAlign w:val="bottom"/>
          </w:tcPr>
          <w:p>
            <w:pPr>
              <w:ind w:left="80"/>
              <w:spacing w:after="0"/>
              <w:rPr>
                <w:sz w:val="20"/>
                <w:szCs w:val="20"/>
                <w:color w:val="auto"/>
              </w:rPr>
            </w:pPr>
            <w:r>
              <w:rPr>
                <w:rFonts w:ascii="Arial" w:cs="Arial" w:eastAsia="Arial" w:hAnsi="Arial"/>
                <w:sz w:val="18"/>
                <w:szCs w:val="18"/>
                <w:color w:val="auto"/>
              </w:rPr>
              <w:t>540 E 71</w:t>
            </w:r>
            <w:r>
              <w:rPr>
                <w:rFonts w:ascii="Arial" w:cs="Arial" w:eastAsia="Arial" w:hAnsi="Arial"/>
                <w:sz w:val="11"/>
                <w:szCs w:val="11"/>
                <w:color w:val="auto"/>
              </w:rPr>
              <w:t>st</w:t>
            </w:r>
            <w:r>
              <w:rPr>
                <w:rFonts w:ascii="Arial" w:cs="Arial" w:eastAsia="Arial" w:hAnsi="Arial"/>
                <w:sz w:val="18"/>
                <w:szCs w:val="18"/>
                <w:color w:val="auto"/>
              </w:rPr>
              <w:t xml:space="preserve"> Street</w:t>
            </w:r>
          </w:p>
        </w:tc>
        <w:tc>
          <w:tcPr>
            <w:tcW w:w="880" w:type="dxa"/>
            <w:vAlign w:val="bottom"/>
          </w:tcPr>
          <w:p>
            <w:pPr>
              <w:ind w:left="14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ind w:left="380"/>
              <w:spacing w:after="0"/>
              <w:rPr>
                <w:sz w:val="20"/>
                <w:szCs w:val="20"/>
                <w:color w:val="auto"/>
              </w:rPr>
            </w:pPr>
            <w:r>
              <w:rPr>
                <w:rFonts w:ascii="Arial" w:cs="Arial" w:eastAsia="Arial" w:hAnsi="Arial"/>
                <w:sz w:val="18"/>
                <w:szCs w:val="18"/>
                <w:color w:val="auto"/>
              </w:rPr>
              <w:t>SURGERY</w:t>
            </w:r>
          </w:p>
        </w:tc>
        <w:tc>
          <w:tcPr>
            <w:tcW w:w="2780" w:type="dxa"/>
            <w:vAlign w:val="bottom"/>
          </w:tcPr>
          <w:p>
            <w:pPr>
              <w:ind w:left="80"/>
              <w:spacing w:after="0"/>
              <w:rPr>
                <w:sz w:val="20"/>
                <w:szCs w:val="20"/>
                <w:color w:val="auto"/>
              </w:rPr>
            </w:pPr>
            <w:r>
              <w:rPr>
                <w:rFonts w:ascii="Arial" w:cs="Arial" w:eastAsia="Arial" w:hAnsi="Arial"/>
                <w:sz w:val="18"/>
                <w:szCs w:val="18"/>
                <w:color w:val="auto"/>
              </w:rPr>
              <w:t>New York, NY 10027</w:t>
            </w:r>
          </w:p>
        </w:tc>
        <w:tc>
          <w:tcPr>
            <w:tcW w:w="88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UNIVERSITY HOSPITAL</w:t>
            </w:r>
          </w:p>
        </w:tc>
        <w:tc>
          <w:tcPr>
            <w:tcW w:w="2780" w:type="dxa"/>
            <w:vAlign w:val="bottom"/>
          </w:tcPr>
          <w:p>
            <w:pPr>
              <w:ind w:left="80"/>
              <w:spacing w:after="0"/>
              <w:rPr>
                <w:sz w:val="20"/>
                <w:szCs w:val="20"/>
                <w:color w:val="auto"/>
              </w:rPr>
            </w:pPr>
            <w:r>
              <w:rPr>
                <w:rFonts w:ascii="Arial" w:cs="Arial" w:eastAsia="Arial" w:hAnsi="Arial"/>
                <w:sz w:val="18"/>
                <w:szCs w:val="18"/>
                <w:color w:val="auto"/>
              </w:rPr>
              <w:t>2026 Gravier Street</w:t>
            </w:r>
          </w:p>
        </w:tc>
        <w:tc>
          <w:tcPr>
            <w:tcW w:w="880" w:type="dxa"/>
            <w:vAlign w:val="bottom"/>
          </w:tcPr>
          <w:p>
            <w:pPr>
              <w:ind w:left="14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780" w:type="dxa"/>
            <w:vAlign w:val="bottom"/>
          </w:tcPr>
          <w:p>
            <w:pPr>
              <w:ind w:left="80"/>
              <w:spacing w:after="0"/>
              <w:rPr>
                <w:sz w:val="20"/>
                <w:szCs w:val="20"/>
                <w:color w:val="auto"/>
              </w:rPr>
            </w:pPr>
            <w:r>
              <w:rPr>
                <w:rFonts w:ascii="Arial" w:cs="Arial" w:eastAsia="Arial" w:hAnsi="Arial"/>
                <w:sz w:val="18"/>
                <w:szCs w:val="18"/>
                <w:color w:val="auto"/>
              </w:rPr>
              <w:t>New Orleans, LA 70112</w:t>
            </w:r>
          </w:p>
        </w:tc>
        <w:tc>
          <w:tcPr>
            <w:tcW w:w="88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BEEBE MEDICAL CENTER</w:t>
            </w:r>
          </w:p>
        </w:tc>
        <w:tc>
          <w:tcPr>
            <w:tcW w:w="2780" w:type="dxa"/>
            <w:vAlign w:val="bottom"/>
          </w:tcPr>
          <w:p>
            <w:pPr>
              <w:ind w:left="80"/>
              <w:spacing w:after="0"/>
              <w:rPr>
                <w:sz w:val="20"/>
                <w:szCs w:val="20"/>
                <w:color w:val="auto"/>
              </w:rPr>
            </w:pPr>
            <w:r>
              <w:rPr>
                <w:rFonts w:ascii="Arial" w:cs="Arial" w:eastAsia="Arial" w:hAnsi="Arial"/>
                <w:sz w:val="18"/>
                <w:szCs w:val="18"/>
                <w:color w:val="auto"/>
              </w:rPr>
              <w:t>424 Savannah Road</w:t>
            </w:r>
          </w:p>
        </w:tc>
        <w:tc>
          <w:tcPr>
            <w:tcW w:w="880" w:type="dxa"/>
            <w:vAlign w:val="bottom"/>
          </w:tcPr>
          <w:p>
            <w:pPr>
              <w:ind w:left="14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780" w:type="dxa"/>
            <w:vAlign w:val="bottom"/>
          </w:tcPr>
          <w:p>
            <w:pPr>
              <w:ind w:left="80"/>
              <w:spacing w:after="0"/>
              <w:rPr>
                <w:sz w:val="20"/>
                <w:szCs w:val="20"/>
                <w:color w:val="auto"/>
              </w:rPr>
            </w:pPr>
            <w:r>
              <w:rPr>
                <w:rFonts w:ascii="Arial" w:cs="Arial" w:eastAsia="Arial" w:hAnsi="Arial"/>
                <w:sz w:val="18"/>
                <w:szCs w:val="18"/>
                <w:color w:val="auto"/>
              </w:rPr>
              <w:t>Lewis, DE 19958</w:t>
            </w:r>
          </w:p>
        </w:tc>
        <w:tc>
          <w:tcPr>
            <w:tcW w:w="88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w w:val="97"/>
              </w:rPr>
              <w:t>STONEGATE SURGERY CENTER</w:t>
            </w:r>
          </w:p>
        </w:tc>
        <w:tc>
          <w:tcPr>
            <w:tcW w:w="2780" w:type="dxa"/>
            <w:vAlign w:val="bottom"/>
          </w:tcPr>
          <w:p>
            <w:pPr>
              <w:ind w:left="80"/>
              <w:spacing w:after="0"/>
              <w:rPr>
                <w:sz w:val="20"/>
                <w:szCs w:val="20"/>
                <w:color w:val="auto"/>
              </w:rPr>
            </w:pPr>
            <w:r>
              <w:rPr>
                <w:rFonts w:ascii="Arial" w:cs="Arial" w:eastAsia="Arial" w:hAnsi="Arial"/>
                <w:sz w:val="18"/>
                <w:szCs w:val="18"/>
                <w:color w:val="auto"/>
                <w:w w:val="96"/>
              </w:rPr>
              <w:t>2501 W Wm Cannon Dr Austin, TX</w:t>
            </w:r>
          </w:p>
        </w:tc>
        <w:tc>
          <w:tcPr>
            <w:tcW w:w="880" w:type="dxa"/>
            <w:vAlign w:val="bottom"/>
          </w:tcPr>
          <w:p>
            <w:pPr>
              <w:ind w:left="14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780" w:type="dxa"/>
            <w:vAlign w:val="bottom"/>
          </w:tcPr>
          <w:p>
            <w:pPr>
              <w:ind w:left="80"/>
              <w:spacing w:after="0"/>
              <w:rPr>
                <w:sz w:val="20"/>
                <w:szCs w:val="20"/>
                <w:color w:val="auto"/>
              </w:rPr>
            </w:pPr>
            <w:r>
              <w:rPr>
                <w:rFonts w:ascii="Arial" w:cs="Arial" w:eastAsia="Arial" w:hAnsi="Arial"/>
                <w:sz w:val="18"/>
                <w:szCs w:val="18"/>
                <w:color w:val="auto"/>
              </w:rPr>
              <w:t>78745</w:t>
            </w:r>
          </w:p>
        </w:tc>
        <w:tc>
          <w:tcPr>
            <w:tcW w:w="880" w:type="dxa"/>
            <w:vAlign w:val="bottom"/>
          </w:tcPr>
          <w:p>
            <w:pPr>
              <w:spacing w:after="0"/>
              <w:rPr>
                <w:sz w:val="19"/>
                <w:szCs w:val="19"/>
                <w:color w:val="auto"/>
              </w:rPr>
            </w:pPr>
          </w:p>
        </w:tc>
      </w:tr>
    </w:tbl>
    <w:p>
      <w:pPr>
        <w:sectPr>
          <w:pgSz w:w="11900" w:h="16838" w:orient="portrait"/>
          <w:cols w:equalWidth="0" w:num="1">
            <w:col w:w="10219"/>
          </w:cols>
          <w:pgMar w:left="240" w:top="280" w:right="1440" w:bottom="1440" w:gutter="0" w:footer="0" w:header="0"/>
        </w:sectPr>
      </w:pPr>
    </w:p>
    <w:bookmarkStart w:id="327" w:name="page328"/>
    <w:bookmarkEnd w:id="32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NW GEORGIA ORTHOPAEDIC</w:t>
            </w:r>
          </w:p>
        </w:tc>
        <w:tc>
          <w:tcPr>
            <w:tcW w:w="2400" w:type="dxa"/>
            <w:vAlign w:val="bottom"/>
          </w:tcPr>
          <w:p>
            <w:pPr>
              <w:ind w:left="80"/>
              <w:spacing w:after="0"/>
              <w:rPr>
                <w:sz w:val="20"/>
                <w:szCs w:val="20"/>
                <w:color w:val="auto"/>
              </w:rPr>
            </w:pPr>
            <w:r>
              <w:rPr>
                <w:rFonts w:ascii="Arial" w:cs="Arial" w:eastAsia="Arial" w:hAnsi="Arial"/>
                <w:sz w:val="18"/>
                <w:szCs w:val="18"/>
                <w:color w:val="auto"/>
              </w:rPr>
              <w:t>2550 Windy Hill Road</w:t>
            </w:r>
          </w:p>
        </w:tc>
        <w:tc>
          <w:tcPr>
            <w:tcW w:w="1260" w:type="dxa"/>
            <w:vAlign w:val="bottom"/>
          </w:tcPr>
          <w:p>
            <w:pPr>
              <w:ind w:left="520"/>
              <w:spacing w:after="0"/>
              <w:rPr>
                <w:sz w:val="20"/>
                <w:szCs w:val="20"/>
                <w:color w:val="auto"/>
              </w:rPr>
            </w:pPr>
            <w:r>
              <w:rPr>
                <w:rFonts w:ascii="Arial" w:cs="Arial" w:eastAsia="Arial" w:hAnsi="Arial"/>
                <w:sz w:val="18"/>
                <w:szCs w:val="18"/>
                <w:color w:val="auto"/>
                <w:w w:val="83"/>
              </w:rPr>
              <w:t>Consignee</w:t>
            </w:r>
          </w:p>
        </w:tc>
      </w:tr>
      <w:tr>
        <w:trPr>
          <w:trHeight w:val="216"/>
        </w:trPr>
        <w:tc>
          <w:tcPr>
            <w:tcW w:w="2720" w:type="dxa"/>
            <w:vAlign w:val="bottom"/>
          </w:tcPr>
          <w:p>
            <w:pPr>
              <w:spacing w:after="0"/>
              <w:rPr>
                <w:sz w:val="18"/>
                <w:szCs w:val="18"/>
                <w:color w:val="auto"/>
              </w:rPr>
            </w:pPr>
          </w:p>
        </w:tc>
        <w:tc>
          <w:tcPr>
            <w:tcW w:w="3160" w:type="dxa"/>
            <w:vAlign w:val="bottom"/>
          </w:tcPr>
          <w:p>
            <w:pPr>
              <w:ind w:left="380"/>
              <w:spacing w:after="0"/>
              <w:rPr>
                <w:sz w:val="20"/>
                <w:szCs w:val="20"/>
                <w:color w:val="auto"/>
              </w:rPr>
            </w:pPr>
            <w:r>
              <w:rPr>
                <w:rFonts w:ascii="Arial" w:cs="Arial" w:eastAsia="Arial" w:hAnsi="Arial"/>
                <w:sz w:val="18"/>
                <w:szCs w:val="18"/>
                <w:color w:val="auto"/>
              </w:rPr>
              <w:t>SURG</w:t>
            </w:r>
          </w:p>
        </w:tc>
        <w:tc>
          <w:tcPr>
            <w:tcW w:w="2400" w:type="dxa"/>
            <w:vAlign w:val="bottom"/>
          </w:tcPr>
          <w:p>
            <w:pPr>
              <w:ind w:left="80"/>
              <w:spacing w:after="0"/>
              <w:rPr>
                <w:sz w:val="20"/>
                <w:szCs w:val="20"/>
                <w:color w:val="auto"/>
              </w:rPr>
            </w:pPr>
            <w:r>
              <w:rPr>
                <w:rFonts w:ascii="Arial" w:cs="Arial" w:eastAsia="Arial" w:hAnsi="Arial"/>
                <w:sz w:val="18"/>
                <w:szCs w:val="18"/>
                <w:color w:val="auto"/>
              </w:rPr>
              <w:t>Suite 218</w:t>
            </w:r>
          </w:p>
        </w:tc>
        <w:tc>
          <w:tcPr>
            <w:tcW w:w="1260" w:type="dxa"/>
            <w:vAlign w:val="bottom"/>
          </w:tcPr>
          <w:p>
            <w:pPr>
              <w:spacing w:after="0"/>
              <w:rPr>
                <w:sz w:val="18"/>
                <w:szCs w:val="18"/>
                <w:color w:val="auto"/>
              </w:rPr>
            </w:pP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400" w:type="dxa"/>
            <w:vAlign w:val="bottom"/>
          </w:tcPr>
          <w:p>
            <w:pPr>
              <w:ind w:left="80"/>
              <w:spacing w:after="0"/>
              <w:rPr>
                <w:sz w:val="20"/>
                <w:szCs w:val="20"/>
                <w:color w:val="auto"/>
              </w:rPr>
            </w:pPr>
            <w:r>
              <w:rPr>
                <w:rFonts w:ascii="Arial" w:cs="Arial" w:eastAsia="Arial" w:hAnsi="Arial"/>
                <w:sz w:val="18"/>
                <w:szCs w:val="18"/>
                <w:color w:val="auto"/>
              </w:rPr>
              <w:t>Marietta, GA 30067</w:t>
            </w:r>
          </w:p>
        </w:tc>
        <w:tc>
          <w:tcPr>
            <w:tcW w:w="126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w w:val="99"/>
              </w:rPr>
              <w:t>SURGERY CENTER OF KANSAS</w:t>
            </w:r>
          </w:p>
        </w:tc>
        <w:tc>
          <w:tcPr>
            <w:tcW w:w="2400" w:type="dxa"/>
            <w:vAlign w:val="bottom"/>
          </w:tcPr>
          <w:p>
            <w:pPr>
              <w:ind w:left="80"/>
              <w:spacing w:after="0"/>
              <w:rPr>
                <w:sz w:val="20"/>
                <w:szCs w:val="20"/>
                <w:color w:val="auto"/>
              </w:rPr>
            </w:pPr>
            <w:r>
              <w:rPr>
                <w:rFonts w:ascii="Arial" w:cs="Arial" w:eastAsia="Arial" w:hAnsi="Arial"/>
                <w:sz w:val="18"/>
                <w:szCs w:val="18"/>
                <w:color w:val="auto"/>
              </w:rPr>
              <w:t>1800 E Meyer Blvd</w:t>
            </w:r>
          </w:p>
        </w:tc>
        <w:tc>
          <w:tcPr>
            <w:tcW w:w="1260" w:type="dxa"/>
            <w:vAlign w:val="bottom"/>
          </w:tcPr>
          <w:p>
            <w:pPr>
              <w:ind w:left="52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ind w:left="380"/>
              <w:spacing w:after="0"/>
              <w:rPr>
                <w:sz w:val="20"/>
                <w:szCs w:val="20"/>
                <w:color w:val="auto"/>
              </w:rPr>
            </w:pPr>
            <w:r>
              <w:rPr>
                <w:rFonts w:ascii="Arial" w:cs="Arial" w:eastAsia="Arial" w:hAnsi="Arial"/>
                <w:sz w:val="18"/>
                <w:szCs w:val="18"/>
                <w:color w:val="auto"/>
              </w:rPr>
              <w:t>CITY</w:t>
            </w:r>
          </w:p>
        </w:tc>
        <w:tc>
          <w:tcPr>
            <w:tcW w:w="2400" w:type="dxa"/>
            <w:vAlign w:val="bottom"/>
          </w:tcPr>
          <w:p>
            <w:pPr>
              <w:ind w:left="80"/>
              <w:spacing w:after="0"/>
              <w:rPr>
                <w:sz w:val="20"/>
                <w:szCs w:val="20"/>
                <w:color w:val="auto"/>
              </w:rPr>
            </w:pPr>
            <w:r>
              <w:rPr>
                <w:rFonts w:ascii="Arial" w:cs="Arial" w:eastAsia="Arial" w:hAnsi="Arial"/>
                <w:sz w:val="18"/>
                <w:szCs w:val="18"/>
                <w:color w:val="auto"/>
              </w:rPr>
              <w:t>Kansas City, MO 64132</w:t>
            </w:r>
          </w:p>
        </w:tc>
        <w:tc>
          <w:tcPr>
            <w:tcW w:w="126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SHREWSBURY SURG CENTER</w:t>
            </w:r>
          </w:p>
        </w:tc>
        <w:tc>
          <w:tcPr>
            <w:tcW w:w="2400" w:type="dxa"/>
            <w:vAlign w:val="bottom"/>
          </w:tcPr>
          <w:p>
            <w:pPr>
              <w:ind w:left="80"/>
              <w:spacing w:after="0"/>
              <w:rPr>
                <w:sz w:val="20"/>
                <w:szCs w:val="20"/>
                <w:color w:val="auto"/>
              </w:rPr>
            </w:pPr>
            <w:r>
              <w:rPr>
                <w:rFonts w:ascii="Arial" w:cs="Arial" w:eastAsia="Arial" w:hAnsi="Arial"/>
                <w:sz w:val="18"/>
                <w:szCs w:val="18"/>
                <w:color w:val="auto"/>
              </w:rPr>
              <w:t>655 Shrewsbury Avenue</w:t>
            </w:r>
          </w:p>
        </w:tc>
        <w:tc>
          <w:tcPr>
            <w:tcW w:w="1260" w:type="dxa"/>
            <w:vAlign w:val="bottom"/>
          </w:tcPr>
          <w:p>
            <w:pPr>
              <w:ind w:left="52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400" w:type="dxa"/>
            <w:vAlign w:val="bottom"/>
          </w:tcPr>
          <w:p>
            <w:pPr>
              <w:ind w:left="80"/>
              <w:spacing w:after="0"/>
              <w:rPr>
                <w:sz w:val="20"/>
                <w:szCs w:val="20"/>
                <w:color w:val="auto"/>
              </w:rPr>
            </w:pPr>
            <w:r>
              <w:rPr>
                <w:rFonts w:ascii="Arial" w:cs="Arial" w:eastAsia="Arial" w:hAnsi="Arial"/>
                <w:sz w:val="18"/>
                <w:szCs w:val="18"/>
                <w:color w:val="auto"/>
              </w:rPr>
              <w:t>Shrewsbury, NJ 07702</w:t>
            </w:r>
          </w:p>
        </w:tc>
        <w:tc>
          <w:tcPr>
            <w:tcW w:w="126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HEALTHSOUTH SURGICAL</w:t>
            </w:r>
          </w:p>
        </w:tc>
        <w:tc>
          <w:tcPr>
            <w:tcW w:w="2400" w:type="dxa"/>
            <w:vAlign w:val="bottom"/>
          </w:tcPr>
          <w:p>
            <w:pPr>
              <w:ind w:left="80"/>
              <w:spacing w:after="0"/>
              <w:rPr>
                <w:sz w:val="20"/>
                <w:szCs w:val="20"/>
                <w:color w:val="auto"/>
              </w:rPr>
            </w:pPr>
            <w:r>
              <w:rPr>
                <w:rFonts w:ascii="Arial" w:cs="Arial" w:eastAsia="Arial" w:hAnsi="Arial"/>
                <w:sz w:val="18"/>
                <w:szCs w:val="18"/>
                <w:color w:val="auto"/>
              </w:rPr>
              <w:t>100 SE 59</w:t>
            </w:r>
            <w:r>
              <w:rPr>
                <w:rFonts w:ascii="Arial" w:cs="Arial" w:eastAsia="Arial" w:hAnsi="Arial"/>
                <w:sz w:val="11"/>
                <w:szCs w:val="11"/>
                <w:color w:val="auto"/>
              </w:rPr>
              <w:t>th</w:t>
            </w:r>
            <w:r>
              <w:rPr>
                <w:rFonts w:ascii="Arial" w:cs="Arial" w:eastAsia="Arial" w:hAnsi="Arial"/>
                <w:sz w:val="18"/>
                <w:szCs w:val="18"/>
                <w:color w:val="auto"/>
              </w:rPr>
              <w:t xml:space="preserve"> Street</w:t>
            </w:r>
          </w:p>
        </w:tc>
        <w:tc>
          <w:tcPr>
            <w:tcW w:w="1260" w:type="dxa"/>
            <w:vAlign w:val="bottom"/>
          </w:tcPr>
          <w:p>
            <w:pPr>
              <w:ind w:left="52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ind w:left="380"/>
              <w:spacing w:after="0"/>
              <w:rPr>
                <w:sz w:val="20"/>
                <w:szCs w:val="20"/>
                <w:color w:val="auto"/>
              </w:rPr>
            </w:pPr>
            <w:r>
              <w:rPr>
                <w:rFonts w:ascii="Arial" w:cs="Arial" w:eastAsia="Arial" w:hAnsi="Arial"/>
                <w:sz w:val="18"/>
                <w:szCs w:val="18"/>
                <w:color w:val="auto"/>
              </w:rPr>
              <w:t>HOSPITAL</w:t>
            </w:r>
          </w:p>
        </w:tc>
        <w:tc>
          <w:tcPr>
            <w:tcW w:w="2400" w:type="dxa"/>
            <w:vAlign w:val="bottom"/>
          </w:tcPr>
          <w:p>
            <w:pPr>
              <w:ind w:left="80"/>
              <w:spacing w:after="0"/>
              <w:rPr>
                <w:sz w:val="20"/>
                <w:szCs w:val="20"/>
                <w:color w:val="auto"/>
              </w:rPr>
            </w:pPr>
            <w:r>
              <w:rPr>
                <w:rFonts w:ascii="Arial" w:cs="Arial" w:eastAsia="Arial" w:hAnsi="Arial"/>
                <w:sz w:val="18"/>
                <w:szCs w:val="18"/>
                <w:color w:val="auto"/>
              </w:rPr>
              <w:t>OKC, OK 78129</w:t>
            </w:r>
          </w:p>
        </w:tc>
        <w:tc>
          <w:tcPr>
            <w:tcW w:w="126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PLASTIC SURGERY CENTER</w:t>
            </w:r>
          </w:p>
        </w:tc>
        <w:tc>
          <w:tcPr>
            <w:tcW w:w="2400" w:type="dxa"/>
            <w:vAlign w:val="bottom"/>
          </w:tcPr>
          <w:p>
            <w:pPr>
              <w:ind w:left="80"/>
              <w:spacing w:after="0"/>
              <w:rPr>
                <w:sz w:val="20"/>
                <w:szCs w:val="20"/>
                <w:color w:val="auto"/>
              </w:rPr>
            </w:pPr>
            <w:r>
              <w:rPr>
                <w:rFonts w:ascii="Arial" w:cs="Arial" w:eastAsia="Arial" w:hAnsi="Arial"/>
                <w:sz w:val="18"/>
                <w:szCs w:val="18"/>
                <w:color w:val="auto"/>
              </w:rPr>
              <w:t>2650 Flowood Drive</w:t>
            </w:r>
          </w:p>
        </w:tc>
        <w:tc>
          <w:tcPr>
            <w:tcW w:w="1260" w:type="dxa"/>
            <w:vAlign w:val="bottom"/>
          </w:tcPr>
          <w:p>
            <w:pPr>
              <w:ind w:left="52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400" w:type="dxa"/>
            <w:vAlign w:val="bottom"/>
          </w:tcPr>
          <w:p>
            <w:pPr>
              <w:ind w:left="80"/>
              <w:spacing w:after="0"/>
              <w:rPr>
                <w:sz w:val="20"/>
                <w:szCs w:val="20"/>
                <w:color w:val="auto"/>
              </w:rPr>
            </w:pPr>
            <w:r>
              <w:rPr>
                <w:rFonts w:ascii="Arial" w:cs="Arial" w:eastAsia="Arial" w:hAnsi="Arial"/>
                <w:sz w:val="18"/>
                <w:szCs w:val="18"/>
                <w:color w:val="auto"/>
              </w:rPr>
              <w:t>Flowood, MS 39232</w:t>
            </w:r>
          </w:p>
        </w:tc>
        <w:tc>
          <w:tcPr>
            <w:tcW w:w="126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WASHINGTON HOSPITAL</w:t>
            </w:r>
          </w:p>
        </w:tc>
        <w:tc>
          <w:tcPr>
            <w:tcW w:w="2400" w:type="dxa"/>
            <w:vAlign w:val="bottom"/>
          </w:tcPr>
          <w:p>
            <w:pPr>
              <w:ind w:left="80"/>
              <w:spacing w:after="0"/>
              <w:rPr>
                <w:sz w:val="20"/>
                <w:szCs w:val="20"/>
                <w:color w:val="auto"/>
              </w:rPr>
            </w:pPr>
            <w:r>
              <w:rPr>
                <w:rFonts w:ascii="Arial" w:cs="Arial" w:eastAsia="Arial" w:hAnsi="Arial"/>
                <w:sz w:val="18"/>
                <w:szCs w:val="18"/>
                <w:color w:val="auto"/>
              </w:rPr>
              <w:t>110 Irving Street, NW</w:t>
            </w:r>
          </w:p>
        </w:tc>
        <w:tc>
          <w:tcPr>
            <w:tcW w:w="1260" w:type="dxa"/>
            <w:vAlign w:val="bottom"/>
          </w:tcPr>
          <w:p>
            <w:pPr>
              <w:ind w:left="52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400" w:type="dxa"/>
            <w:vAlign w:val="bottom"/>
          </w:tcPr>
          <w:p>
            <w:pPr>
              <w:ind w:left="80"/>
              <w:spacing w:after="0"/>
              <w:rPr>
                <w:sz w:val="20"/>
                <w:szCs w:val="20"/>
                <w:color w:val="auto"/>
              </w:rPr>
            </w:pPr>
            <w:r>
              <w:rPr>
                <w:rFonts w:ascii="Arial" w:cs="Arial" w:eastAsia="Arial" w:hAnsi="Arial"/>
                <w:sz w:val="18"/>
                <w:szCs w:val="18"/>
                <w:color w:val="auto"/>
              </w:rPr>
              <w:t>Washington, DC 20010</w:t>
            </w:r>
          </w:p>
        </w:tc>
        <w:tc>
          <w:tcPr>
            <w:tcW w:w="126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DAY SURGERY CENTER</w:t>
            </w:r>
          </w:p>
        </w:tc>
        <w:tc>
          <w:tcPr>
            <w:tcW w:w="2400" w:type="dxa"/>
            <w:vAlign w:val="bottom"/>
          </w:tcPr>
          <w:p>
            <w:pPr>
              <w:ind w:left="80"/>
              <w:spacing w:after="0"/>
              <w:rPr>
                <w:sz w:val="20"/>
                <w:szCs w:val="20"/>
                <w:color w:val="auto"/>
              </w:rPr>
            </w:pPr>
            <w:r>
              <w:rPr>
                <w:rFonts w:ascii="Arial" w:cs="Arial" w:eastAsia="Arial" w:hAnsi="Arial"/>
                <w:sz w:val="18"/>
                <w:szCs w:val="18"/>
                <w:color w:val="auto"/>
              </w:rPr>
              <w:t>3316 Colorado Blvd</w:t>
            </w:r>
          </w:p>
        </w:tc>
        <w:tc>
          <w:tcPr>
            <w:tcW w:w="1260" w:type="dxa"/>
            <w:vAlign w:val="bottom"/>
          </w:tcPr>
          <w:p>
            <w:pPr>
              <w:ind w:left="52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400" w:type="dxa"/>
            <w:vAlign w:val="bottom"/>
          </w:tcPr>
          <w:p>
            <w:pPr>
              <w:ind w:left="80"/>
              <w:spacing w:after="0"/>
              <w:rPr>
                <w:sz w:val="20"/>
                <w:szCs w:val="20"/>
                <w:color w:val="auto"/>
              </w:rPr>
            </w:pPr>
            <w:r>
              <w:rPr>
                <w:rFonts w:ascii="Arial" w:cs="Arial" w:eastAsia="Arial" w:hAnsi="Arial"/>
                <w:sz w:val="18"/>
                <w:szCs w:val="18"/>
                <w:color w:val="auto"/>
              </w:rPr>
              <w:t>Denton, TX 76201</w:t>
            </w:r>
          </w:p>
        </w:tc>
        <w:tc>
          <w:tcPr>
            <w:tcW w:w="126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HARRIS METHODIST S0UTH</w:t>
            </w:r>
          </w:p>
        </w:tc>
        <w:tc>
          <w:tcPr>
            <w:tcW w:w="2400" w:type="dxa"/>
            <w:vAlign w:val="bottom"/>
          </w:tcPr>
          <w:p>
            <w:pPr>
              <w:ind w:left="80"/>
              <w:spacing w:after="0"/>
              <w:rPr>
                <w:sz w:val="20"/>
                <w:szCs w:val="20"/>
                <w:color w:val="auto"/>
              </w:rPr>
            </w:pPr>
            <w:r>
              <w:rPr>
                <w:rFonts w:ascii="Arial" w:cs="Arial" w:eastAsia="Arial" w:hAnsi="Arial"/>
                <w:sz w:val="18"/>
                <w:szCs w:val="18"/>
                <w:color w:val="auto"/>
              </w:rPr>
              <w:t>1545 East South Lake</w:t>
            </w:r>
          </w:p>
        </w:tc>
        <w:tc>
          <w:tcPr>
            <w:tcW w:w="1260" w:type="dxa"/>
            <w:vAlign w:val="bottom"/>
          </w:tcPr>
          <w:p>
            <w:pPr>
              <w:ind w:left="52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ind w:left="380"/>
              <w:spacing w:after="0"/>
              <w:rPr>
                <w:sz w:val="20"/>
                <w:szCs w:val="20"/>
                <w:color w:val="auto"/>
              </w:rPr>
            </w:pPr>
            <w:r>
              <w:rPr>
                <w:rFonts w:ascii="Arial" w:cs="Arial" w:eastAsia="Arial" w:hAnsi="Arial"/>
                <w:sz w:val="18"/>
                <w:szCs w:val="18"/>
                <w:color w:val="auto"/>
              </w:rPr>
              <w:t>LAKE</w:t>
            </w:r>
          </w:p>
        </w:tc>
        <w:tc>
          <w:tcPr>
            <w:tcW w:w="2400" w:type="dxa"/>
            <w:vAlign w:val="bottom"/>
          </w:tcPr>
          <w:p>
            <w:pPr>
              <w:ind w:left="80"/>
              <w:spacing w:after="0"/>
              <w:rPr>
                <w:sz w:val="20"/>
                <w:szCs w:val="20"/>
                <w:color w:val="auto"/>
              </w:rPr>
            </w:pPr>
            <w:r>
              <w:rPr>
                <w:rFonts w:ascii="Arial" w:cs="Arial" w:eastAsia="Arial" w:hAnsi="Arial"/>
                <w:sz w:val="18"/>
                <w:szCs w:val="18"/>
                <w:color w:val="auto"/>
              </w:rPr>
              <w:t>South Lake, TX 76092</w:t>
            </w:r>
          </w:p>
        </w:tc>
        <w:tc>
          <w:tcPr>
            <w:tcW w:w="126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BAYLOR SURGICARE AT</w:t>
            </w:r>
          </w:p>
        </w:tc>
        <w:tc>
          <w:tcPr>
            <w:tcW w:w="2400" w:type="dxa"/>
            <w:vAlign w:val="bottom"/>
          </w:tcPr>
          <w:p>
            <w:pPr>
              <w:ind w:left="80"/>
              <w:spacing w:after="0"/>
              <w:rPr>
                <w:sz w:val="20"/>
                <w:szCs w:val="20"/>
                <w:color w:val="auto"/>
              </w:rPr>
            </w:pPr>
            <w:r>
              <w:rPr>
                <w:rFonts w:ascii="Arial" w:cs="Arial" w:eastAsia="Arial" w:hAnsi="Arial"/>
                <w:sz w:val="18"/>
                <w:szCs w:val="18"/>
                <w:color w:val="auto"/>
              </w:rPr>
              <w:t>7200 Oakmont Blvd</w:t>
            </w:r>
          </w:p>
        </w:tc>
        <w:tc>
          <w:tcPr>
            <w:tcW w:w="1260" w:type="dxa"/>
            <w:vAlign w:val="bottom"/>
          </w:tcPr>
          <w:p>
            <w:pPr>
              <w:ind w:left="52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ind w:left="380"/>
              <w:spacing w:after="0"/>
              <w:rPr>
                <w:sz w:val="20"/>
                <w:szCs w:val="20"/>
                <w:color w:val="auto"/>
              </w:rPr>
            </w:pPr>
            <w:r>
              <w:rPr>
                <w:rFonts w:ascii="Arial" w:cs="Arial" w:eastAsia="Arial" w:hAnsi="Arial"/>
                <w:sz w:val="18"/>
                <w:szCs w:val="18"/>
                <w:color w:val="auto"/>
              </w:rPr>
              <w:t>OAKMONT</w:t>
            </w:r>
          </w:p>
        </w:tc>
        <w:tc>
          <w:tcPr>
            <w:tcW w:w="2400" w:type="dxa"/>
            <w:vAlign w:val="bottom"/>
          </w:tcPr>
          <w:p>
            <w:pPr>
              <w:ind w:left="80"/>
              <w:spacing w:after="0"/>
              <w:rPr>
                <w:sz w:val="20"/>
                <w:szCs w:val="20"/>
                <w:color w:val="auto"/>
              </w:rPr>
            </w:pPr>
            <w:r>
              <w:rPr>
                <w:rFonts w:ascii="Arial" w:cs="Arial" w:eastAsia="Arial" w:hAnsi="Arial"/>
                <w:sz w:val="18"/>
                <w:szCs w:val="18"/>
                <w:color w:val="auto"/>
              </w:rPr>
              <w:t>Fort Worth, TX 76132</w:t>
            </w:r>
          </w:p>
        </w:tc>
        <w:tc>
          <w:tcPr>
            <w:tcW w:w="126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ROSWELL SURGERY CENTER</w:t>
            </w:r>
          </w:p>
        </w:tc>
        <w:tc>
          <w:tcPr>
            <w:tcW w:w="2400" w:type="dxa"/>
            <w:vAlign w:val="bottom"/>
          </w:tcPr>
          <w:p>
            <w:pPr>
              <w:ind w:left="80"/>
              <w:spacing w:after="0"/>
              <w:rPr>
                <w:sz w:val="20"/>
                <w:szCs w:val="20"/>
                <w:color w:val="auto"/>
              </w:rPr>
            </w:pPr>
            <w:r>
              <w:rPr>
                <w:rFonts w:ascii="Arial" w:cs="Arial" w:eastAsia="Arial" w:hAnsi="Arial"/>
                <w:sz w:val="18"/>
                <w:szCs w:val="18"/>
                <w:color w:val="auto"/>
              </w:rPr>
              <w:t>1285 Hembree Road</w:t>
            </w:r>
          </w:p>
        </w:tc>
        <w:tc>
          <w:tcPr>
            <w:tcW w:w="1260" w:type="dxa"/>
            <w:vAlign w:val="bottom"/>
          </w:tcPr>
          <w:p>
            <w:pPr>
              <w:ind w:left="520"/>
              <w:spacing w:after="0"/>
              <w:rPr>
                <w:sz w:val="20"/>
                <w:szCs w:val="20"/>
                <w:color w:val="auto"/>
              </w:rPr>
            </w:pPr>
            <w:r>
              <w:rPr>
                <w:rFonts w:ascii="Arial" w:cs="Arial" w:eastAsia="Arial" w:hAnsi="Arial"/>
                <w:sz w:val="18"/>
                <w:szCs w:val="18"/>
                <w:color w:val="auto"/>
                <w:w w:val="83"/>
              </w:rPr>
              <w:t>Consignee</w:t>
            </w:r>
          </w:p>
        </w:tc>
      </w:tr>
      <w:tr>
        <w:trPr>
          <w:trHeight w:val="216"/>
        </w:trPr>
        <w:tc>
          <w:tcPr>
            <w:tcW w:w="27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400" w:type="dxa"/>
            <w:vAlign w:val="bottom"/>
          </w:tcPr>
          <w:p>
            <w:pPr>
              <w:ind w:left="80"/>
              <w:spacing w:after="0"/>
              <w:rPr>
                <w:sz w:val="20"/>
                <w:szCs w:val="20"/>
                <w:color w:val="auto"/>
              </w:rPr>
            </w:pPr>
            <w:r>
              <w:rPr>
                <w:rFonts w:ascii="Arial" w:cs="Arial" w:eastAsia="Arial" w:hAnsi="Arial"/>
                <w:sz w:val="18"/>
                <w:szCs w:val="18"/>
                <w:color w:val="auto"/>
              </w:rPr>
              <w:t>Suite 200-C</w:t>
            </w:r>
          </w:p>
        </w:tc>
        <w:tc>
          <w:tcPr>
            <w:tcW w:w="1260" w:type="dxa"/>
            <w:vAlign w:val="bottom"/>
          </w:tcPr>
          <w:p>
            <w:pPr>
              <w:spacing w:after="0"/>
              <w:rPr>
                <w:sz w:val="18"/>
                <w:szCs w:val="18"/>
                <w:color w:val="auto"/>
              </w:rPr>
            </w:pP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400" w:type="dxa"/>
            <w:vAlign w:val="bottom"/>
          </w:tcPr>
          <w:p>
            <w:pPr>
              <w:ind w:left="80"/>
              <w:spacing w:after="0"/>
              <w:rPr>
                <w:sz w:val="20"/>
                <w:szCs w:val="20"/>
                <w:color w:val="auto"/>
              </w:rPr>
            </w:pPr>
            <w:r>
              <w:rPr>
                <w:rFonts w:ascii="Arial" w:cs="Arial" w:eastAsia="Arial" w:hAnsi="Arial"/>
                <w:sz w:val="18"/>
                <w:szCs w:val="18"/>
                <w:color w:val="auto"/>
              </w:rPr>
              <w:t>Roswell, GA 30076</w:t>
            </w:r>
          </w:p>
        </w:tc>
        <w:tc>
          <w:tcPr>
            <w:tcW w:w="126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w w:val="96"/>
              </w:rPr>
              <w:t>COMMUNITY HOSP OUTPATIENT</w:t>
            </w:r>
          </w:p>
        </w:tc>
        <w:tc>
          <w:tcPr>
            <w:tcW w:w="2400" w:type="dxa"/>
            <w:vAlign w:val="bottom"/>
          </w:tcPr>
          <w:p>
            <w:pPr>
              <w:ind w:left="80"/>
              <w:spacing w:after="0"/>
              <w:rPr>
                <w:sz w:val="20"/>
                <w:szCs w:val="20"/>
                <w:color w:val="auto"/>
              </w:rPr>
            </w:pPr>
            <w:r>
              <w:rPr>
                <w:rFonts w:ascii="Arial" w:cs="Arial" w:eastAsia="Arial" w:hAnsi="Arial"/>
                <w:sz w:val="18"/>
                <w:szCs w:val="18"/>
                <w:color w:val="auto"/>
              </w:rPr>
              <w:t>St. Anthony North</w:t>
            </w:r>
          </w:p>
        </w:tc>
        <w:tc>
          <w:tcPr>
            <w:tcW w:w="1260" w:type="dxa"/>
            <w:vAlign w:val="bottom"/>
          </w:tcPr>
          <w:p>
            <w:pPr>
              <w:ind w:left="520"/>
              <w:spacing w:after="0"/>
              <w:rPr>
                <w:sz w:val="20"/>
                <w:szCs w:val="20"/>
                <w:color w:val="auto"/>
              </w:rPr>
            </w:pPr>
            <w:r>
              <w:rPr>
                <w:rFonts w:ascii="Arial" w:cs="Arial" w:eastAsia="Arial" w:hAnsi="Arial"/>
                <w:sz w:val="18"/>
                <w:szCs w:val="18"/>
                <w:color w:val="auto"/>
                <w:w w:val="83"/>
              </w:rPr>
              <w:t>Consignee</w:t>
            </w:r>
          </w:p>
        </w:tc>
      </w:tr>
      <w:tr>
        <w:trPr>
          <w:trHeight w:val="216"/>
        </w:trPr>
        <w:tc>
          <w:tcPr>
            <w:tcW w:w="2720" w:type="dxa"/>
            <w:vAlign w:val="bottom"/>
          </w:tcPr>
          <w:p>
            <w:pPr>
              <w:spacing w:after="0"/>
              <w:rPr>
                <w:sz w:val="18"/>
                <w:szCs w:val="18"/>
                <w:color w:val="auto"/>
              </w:rPr>
            </w:pPr>
          </w:p>
        </w:tc>
        <w:tc>
          <w:tcPr>
            <w:tcW w:w="3160" w:type="dxa"/>
            <w:vAlign w:val="bottom"/>
          </w:tcPr>
          <w:p>
            <w:pPr>
              <w:ind w:left="380"/>
              <w:spacing w:after="0"/>
              <w:rPr>
                <w:sz w:val="20"/>
                <w:szCs w:val="20"/>
                <w:color w:val="auto"/>
              </w:rPr>
            </w:pPr>
            <w:r>
              <w:rPr>
                <w:rFonts w:ascii="Arial" w:cs="Arial" w:eastAsia="Arial" w:hAnsi="Arial"/>
                <w:sz w:val="18"/>
                <w:szCs w:val="18"/>
                <w:color w:val="auto"/>
              </w:rPr>
              <w:t>SURGERY</w:t>
            </w:r>
          </w:p>
        </w:tc>
        <w:tc>
          <w:tcPr>
            <w:tcW w:w="2400" w:type="dxa"/>
            <w:vAlign w:val="bottom"/>
          </w:tcPr>
          <w:p>
            <w:pPr>
              <w:ind w:left="80"/>
              <w:spacing w:after="0"/>
              <w:rPr>
                <w:sz w:val="20"/>
                <w:szCs w:val="20"/>
                <w:color w:val="auto"/>
              </w:rPr>
            </w:pPr>
            <w:r>
              <w:rPr>
                <w:rFonts w:ascii="Arial" w:cs="Arial" w:eastAsia="Arial" w:hAnsi="Arial"/>
                <w:sz w:val="18"/>
                <w:szCs w:val="18"/>
                <w:color w:val="auto"/>
              </w:rPr>
              <w:t>6205 N Santa Fee #100</w:t>
            </w:r>
          </w:p>
        </w:tc>
        <w:tc>
          <w:tcPr>
            <w:tcW w:w="1260" w:type="dxa"/>
            <w:vAlign w:val="bottom"/>
          </w:tcPr>
          <w:p>
            <w:pPr>
              <w:spacing w:after="0"/>
              <w:rPr>
                <w:sz w:val="18"/>
                <w:szCs w:val="18"/>
                <w:color w:val="auto"/>
              </w:rPr>
            </w:pP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400" w:type="dxa"/>
            <w:vAlign w:val="bottom"/>
          </w:tcPr>
          <w:p>
            <w:pPr>
              <w:ind w:left="80"/>
              <w:spacing w:after="0"/>
              <w:rPr>
                <w:sz w:val="20"/>
                <w:szCs w:val="20"/>
                <w:color w:val="auto"/>
              </w:rPr>
            </w:pPr>
            <w:r>
              <w:rPr>
                <w:rFonts w:ascii="Arial" w:cs="Arial" w:eastAsia="Arial" w:hAnsi="Arial"/>
                <w:sz w:val="18"/>
                <w:szCs w:val="18"/>
                <w:color w:val="auto"/>
              </w:rPr>
              <w:t>OKC, OK 73118</w:t>
            </w:r>
          </w:p>
        </w:tc>
        <w:tc>
          <w:tcPr>
            <w:tcW w:w="126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PROLIANCE SURG CENTER</w:t>
            </w:r>
          </w:p>
        </w:tc>
        <w:tc>
          <w:tcPr>
            <w:tcW w:w="2400" w:type="dxa"/>
            <w:vAlign w:val="bottom"/>
          </w:tcPr>
          <w:p>
            <w:pPr>
              <w:ind w:left="80"/>
              <w:spacing w:after="0"/>
              <w:rPr>
                <w:sz w:val="20"/>
                <w:szCs w:val="20"/>
                <w:color w:val="auto"/>
              </w:rPr>
            </w:pPr>
            <w:r>
              <w:rPr>
                <w:rFonts w:ascii="Arial" w:cs="Arial" w:eastAsia="Arial" w:hAnsi="Arial"/>
                <w:sz w:val="18"/>
                <w:szCs w:val="18"/>
                <w:color w:val="auto"/>
              </w:rPr>
              <w:t>510 NE 8</w:t>
            </w:r>
            <w:r>
              <w:rPr>
                <w:rFonts w:ascii="Arial" w:cs="Arial" w:eastAsia="Arial" w:hAnsi="Arial"/>
                <w:sz w:val="11"/>
                <w:szCs w:val="11"/>
                <w:color w:val="auto"/>
              </w:rPr>
              <w:t>th</w:t>
            </w:r>
            <w:r>
              <w:rPr>
                <w:rFonts w:ascii="Arial" w:cs="Arial" w:eastAsia="Arial" w:hAnsi="Arial"/>
                <w:sz w:val="18"/>
                <w:szCs w:val="18"/>
                <w:color w:val="auto"/>
              </w:rPr>
              <w:t xml:space="preserve"> Avenue</w:t>
            </w:r>
          </w:p>
        </w:tc>
        <w:tc>
          <w:tcPr>
            <w:tcW w:w="1260" w:type="dxa"/>
            <w:vAlign w:val="bottom"/>
          </w:tcPr>
          <w:p>
            <w:pPr>
              <w:ind w:left="520"/>
              <w:spacing w:after="0"/>
              <w:rPr>
                <w:sz w:val="20"/>
                <w:szCs w:val="20"/>
                <w:color w:val="auto"/>
              </w:rPr>
            </w:pPr>
            <w:r>
              <w:rPr>
                <w:rFonts w:ascii="Arial" w:cs="Arial" w:eastAsia="Arial" w:hAnsi="Arial"/>
                <w:sz w:val="18"/>
                <w:szCs w:val="18"/>
                <w:color w:val="auto"/>
                <w:w w:val="83"/>
              </w:rPr>
              <w:t>Consignee</w:t>
            </w:r>
          </w:p>
        </w:tc>
      </w:tr>
      <w:tr>
        <w:trPr>
          <w:trHeight w:val="216"/>
        </w:trPr>
        <w:tc>
          <w:tcPr>
            <w:tcW w:w="27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400" w:type="dxa"/>
            <w:vAlign w:val="bottom"/>
          </w:tcPr>
          <w:p>
            <w:pPr>
              <w:ind w:left="80"/>
              <w:spacing w:after="0"/>
              <w:rPr>
                <w:sz w:val="20"/>
                <w:szCs w:val="20"/>
                <w:color w:val="auto"/>
              </w:rPr>
            </w:pPr>
            <w:r>
              <w:rPr>
                <w:rFonts w:ascii="Arial" w:cs="Arial" w:eastAsia="Arial" w:hAnsi="Arial"/>
                <w:sz w:val="18"/>
                <w:szCs w:val="18"/>
                <w:color w:val="auto"/>
              </w:rPr>
              <w:t>Ste 100</w:t>
            </w:r>
          </w:p>
        </w:tc>
        <w:tc>
          <w:tcPr>
            <w:tcW w:w="1260" w:type="dxa"/>
            <w:vAlign w:val="bottom"/>
          </w:tcPr>
          <w:p>
            <w:pPr>
              <w:spacing w:after="0"/>
              <w:rPr>
                <w:sz w:val="18"/>
                <w:szCs w:val="18"/>
                <w:color w:val="auto"/>
              </w:rPr>
            </w:pP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400" w:type="dxa"/>
            <w:vAlign w:val="bottom"/>
          </w:tcPr>
          <w:p>
            <w:pPr>
              <w:ind w:left="80"/>
              <w:spacing w:after="0"/>
              <w:rPr>
                <w:sz w:val="20"/>
                <w:szCs w:val="20"/>
                <w:color w:val="auto"/>
              </w:rPr>
            </w:pPr>
            <w:r>
              <w:rPr>
                <w:rFonts w:ascii="Arial" w:cs="Arial" w:eastAsia="Arial" w:hAnsi="Arial"/>
                <w:sz w:val="18"/>
                <w:szCs w:val="18"/>
                <w:color w:val="auto"/>
              </w:rPr>
              <w:t>Isoquah, WA 98029</w:t>
            </w:r>
          </w:p>
        </w:tc>
        <w:tc>
          <w:tcPr>
            <w:tcW w:w="126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SUMMIT SURGICAL</w:t>
            </w:r>
          </w:p>
        </w:tc>
        <w:tc>
          <w:tcPr>
            <w:tcW w:w="2400" w:type="dxa"/>
            <w:vAlign w:val="bottom"/>
          </w:tcPr>
          <w:p>
            <w:pPr>
              <w:ind w:left="80"/>
              <w:spacing w:after="0"/>
              <w:rPr>
                <w:sz w:val="20"/>
                <w:szCs w:val="20"/>
                <w:color w:val="auto"/>
              </w:rPr>
            </w:pPr>
            <w:r>
              <w:rPr>
                <w:rFonts w:ascii="Arial" w:cs="Arial" w:eastAsia="Arial" w:hAnsi="Arial"/>
                <w:sz w:val="18"/>
                <w:szCs w:val="18"/>
                <w:color w:val="auto"/>
              </w:rPr>
              <w:t>1630 E Herndon 100</w:t>
            </w:r>
          </w:p>
        </w:tc>
        <w:tc>
          <w:tcPr>
            <w:tcW w:w="1260" w:type="dxa"/>
            <w:vAlign w:val="bottom"/>
          </w:tcPr>
          <w:p>
            <w:pPr>
              <w:ind w:left="52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400" w:type="dxa"/>
            <w:vAlign w:val="bottom"/>
          </w:tcPr>
          <w:p>
            <w:pPr>
              <w:ind w:left="80"/>
              <w:spacing w:after="0"/>
              <w:rPr>
                <w:sz w:val="20"/>
                <w:szCs w:val="20"/>
                <w:color w:val="auto"/>
              </w:rPr>
            </w:pPr>
            <w:r>
              <w:rPr>
                <w:rFonts w:ascii="Arial" w:cs="Arial" w:eastAsia="Arial" w:hAnsi="Arial"/>
                <w:sz w:val="18"/>
                <w:szCs w:val="18"/>
                <w:color w:val="auto"/>
              </w:rPr>
              <w:t>Fresno, CA 93720</w:t>
            </w:r>
          </w:p>
        </w:tc>
        <w:tc>
          <w:tcPr>
            <w:tcW w:w="126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HAMOT SURGERY CENTER</w:t>
            </w:r>
          </w:p>
        </w:tc>
        <w:tc>
          <w:tcPr>
            <w:tcW w:w="2400" w:type="dxa"/>
            <w:vAlign w:val="bottom"/>
          </w:tcPr>
          <w:p>
            <w:pPr>
              <w:ind w:left="80"/>
              <w:spacing w:after="0"/>
              <w:rPr>
                <w:sz w:val="20"/>
                <w:szCs w:val="20"/>
                <w:color w:val="auto"/>
              </w:rPr>
            </w:pPr>
            <w:r>
              <w:rPr>
                <w:rFonts w:ascii="Arial" w:cs="Arial" w:eastAsia="Arial" w:hAnsi="Arial"/>
                <w:sz w:val="18"/>
                <w:szCs w:val="18"/>
                <w:color w:val="auto"/>
              </w:rPr>
              <w:t>200 State Street</w:t>
            </w:r>
          </w:p>
        </w:tc>
        <w:tc>
          <w:tcPr>
            <w:tcW w:w="1260" w:type="dxa"/>
            <w:vAlign w:val="bottom"/>
          </w:tcPr>
          <w:p>
            <w:pPr>
              <w:ind w:left="52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400" w:type="dxa"/>
            <w:vAlign w:val="bottom"/>
          </w:tcPr>
          <w:p>
            <w:pPr>
              <w:ind w:left="80"/>
              <w:spacing w:after="0"/>
              <w:rPr>
                <w:sz w:val="20"/>
                <w:szCs w:val="20"/>
                <w:color w:val="auto"/>
              </w:rPr>
            </w:pPr>
            <w:r>
              <w:rPr>
                <w:rFonts w:ascii="Arial" w:cs="Arial" w:eastAsia="Arial" w:hAnsi="Arial"/>
                <w:sz w:val="18"/>
                <w:szCs w:val="18"/>
                <w:color w:val="auto"/>
              </w:rPr>
              <w:t>Erie, PA 16507</w:t>
            </w:r>
          </w:p>
        </w:tc>
        <w:tc>
          <w:tcPr>
            <w:tcW w:w="126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ALTA VIEW</w:t>
            </w:r>
          </w:p>
        </w:tc>
        <w:tc>
          <w:tcPr>
            <w:tcW w:w="2400" w:type="dxa"/>
            <w:vAlign w:val="bottom"/>
          </w:tcPr>
          <w:p>
            <w:pPr>
              <w:ind w:left="80"/>
              <w:spacing w:after="0"/>
              <w:rPr>
                <w:sz w:val="20"/>
                <w:szCs w:val="20"/>
                <w:color w:val="auto"/>
              </w:rPr>
            </w:pPr>
            <w:r>
              <w:rPr>
                <w:rFonts w:ascii="Arial" w:cs="Arial" w:eastAsia="Arial" w:hAnsi="Arial"/>
                <w:sz w:val="18"/>
                <w:szCs w:val="18"/>
                <w:color w:val="auto"/>
              </w:rPr>
              <w:t>9660 S 1300 E</w:t>
            </w:r>
          </w:p>
        </w:tc>
        <w:tc>
          <w:tcPr>
            <w:tcW w:w="1260" w:type="dxa"/>
            <w:vAlign w:val="bottom"/>
          </w:tcPr>
          <w:p>
            <w:pPr>
              <w:ind w:left="52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400" w:type="dxa"/>
            <w:vAlign w:val="bottom"/>
          </w:tcPr>
          <w:p>
            <w:pPr>
              <w:ind w:left="80"/>
              <w:spacing w:after="0"/>
              <w:rPr>
                <w:sz w:val="20"/>
                <w:szCs w:val="20"/>
                <w:color w:val="auto"/>
              </w:rPr>
            </w:pPr>
            <w:r>
              <w:rPr>
                <w:rFonts w:ascii="Arial" w:cs="Arial" w:eastAsia="Arial" w:hAnsi="Arial"/>
                <w:sz w:val="18"/>
                <w:szCs w:val="18"/>
                <w:color w:val="auto"/>
              </w:rPr>
              <w:t>Sandy, UT 84094</w:t>
            </w:r>
          </w:p>
        </w:tc>
        <w:tc>
          <w:tcPr>
            <w:tcW w:w="126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SURGERY CENTER OF</w:t>
            </w:r>
          </w:p>
        </w:tc>
        <w:tc>
          <w:tcPr>
            <w:tcW w:w="2400" w:type="dxa"/>
            <w:vAlign w:val="bottom"/>
          </w:tcPr>
          <w:p>
            <w:pPr>
              <w:ind w:left="80"/>
              <w:spacing w:after="0"/>
              <w:rPr>
                <w:sz w:val="20"/>
                <w:szCs w:val="20"/>
                <w:color w:val="auto"/>
              </w:rPr>
            </w:pPr>
            <w:r>
              <w:rPr>
                <w:rFonts w:ascii="Arial" w:cs="Arial" w:eastAsia="Arial" w:hAnsi="Arial"/>
                <w:sz w:val="18"/>
                <w:szCs w:val="18"/>
                <w:color w:val="auto"/>
              </w:rPr>
              <w:t>10601 Quivira Road</w:t>
            </w:r>
          </w:p>
        </w:tc>
        <w:tc>
          <w:tcPr>
            <w:tcW w:w="1260" w:type="dxa"/>
            <w:vAlign w:val="bottom"/>
          </w:tcPr>
          <w:p>
            <w:pPr>
              <w:ind w:left="52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ind w:left="380"/>
              <w:spacing w:after="0"/>
              <w:rPr>
                <w:sz w:val="20"/>
                <w:szCs w:val="20"/>
                <w:color w:val="auto"/>
              </w:rPr>
            </w:pPr>
            <w:r>
              <w:rPr>
                <w:rFonts w:ascii="Arial" w:cs="Arial" w:eastAsia="Arial" w:hAnsi="Arial"/>
                <w:sz w:val="18"/>
                <w:szCs w:val="18"/>
                <w:color w:val="auto"/>
              </w:rPr>
              <w:t>OVERLAND PARK REGIONAL</w:t>
            </w:r>
          </w:p>
        </w:tc>
        <w:tc>
          <w:tcPr>
            <w:tcW w:w="2400" w:type="dxa"/>
            <w:vAlign w:val="bottom"/>
          </w:tcPr>
          <w:p>
            <w:pPr>
              <w:ind w:left="80"/>
              <w:spacing w:after="0"/>
              <w:rPr>
                <w:sz w:val="20"/>
                <w:szCs w:val="20"/>
                <w:color w:val="auto"/>
              </w:rPr>
            </w:pPr>
            <w:r>
              <w:rPr>
                <w:rFonts w:ascii="Arial" w:cs="Arial" w:eastAsia="Arial" w:hAnsi="Arial"/>
                <w:sz w:val="18"/>
                <w:szCs w:val="18"/>
                <w:color w:val="auto"/>
              </w:rPr>
              <w:t>Overland Park, KS 66215</w:t>
            </w:r>
          </w:p>
        </w:tc>
        <w:tc>
          <w:tcPr>
            <w:tcW w:w="126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w w:val="94"/>
              </w:rPr>
              <w:t>COLUMBUS DOCTORS HOSPITAL</w:t>
            </w:r>
          </w:p>
        </w:tc>
        <w:tc>
          <w:tcPr>
            <w:tcW w:w="2400" w:type="dxa"/>
            <w:vAlign w:val="bottom"/>
          </w:tcPr>
          <w:p>
            <w:pPr>
              <w:ind w:left="80"/>
              <w:spacing w:after="0"/>
              <w:rPr>
                <w:sz w:val="20"/>
                <w:szCs w:val="20"/>
                <w:color w:val="auto"/>
              </w:rPr>
            </w:pPr>
            <w:r>
              <w:rPr>
                <w:rFonts w:ascii="Arial" w:cs="Arial" w:eastAsia="Arial" w:hAnsi="Arial"/>
                <w:sz w:val="18"/>
                <w:szCs w:val="18"/>
                <w:color w:val="auto"/>
              </w:rPr>
              <w:t>616 19</w:t>
            </w:r>
            <w:r>
              <w:rPr>
                <w:rFonts w:ascii="Arial" w:cs="Arial" w:eastAsia="Arial" w:hAnsi="Arial"/>
                <w:sz w:val="11"/>
                <w:szCs w:val="11"/>
                <w:color w:val="auto"/>
              </w:rPr>
              <w:t>th</w:t>
            </w:r>
            <w:r>
              <w:rPr>
                <w:rFonts w:ascii="Arial" w:cs="Arial" w:eastAsia="Arial" w:hAnsi="Arial"/>
                <w:sz w:val="18"/>
                <w:szCs w:val="18"/>
                <w:color w:val="auto"/>
              </w:rPr>
              <w:t xml:space="preserve"> Street</w:t>
            </w:r>
          </w:p>
        </w:tc>
        <w:tc>
          <w:tcPr>
            <w:tcW w:w="1260" w:type="dxa"/>
            <w:vAlign w:val="bottom"/>
          </w:tcPr>
          <w:p>
            <w:pPr>
              <w:ind w:left="52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400" w:type="dxa"/>
            <w:vAlign w:val="bottom"/>
          </w:tcPr>
          <w:p>
            <w:pPr>
              <w:ind w:left="80"/>
              <w:spacing w:after="0"/>
              <w:rPr>
                <w:sz w:val="20"/>
                <w:szCs w:val="20"/>
                <w:color w:val="auto"/>
              </w:rPr>
            </w:pPr>
            <w:r>
              <w:rPr>
                <w:rFonts w:ascii="Arial" w:cs="Arial" w:eastAsia="Arial" w:hAnsi="Arial"/>
                <w:sz w:val="18"/>
                <w:szCs w:val="18"/>
                <w:color w:val="auto"/>
              </w:rPr>
              <w:t>Columbus, GA 31901</w:t>
            </w:r>
          </w:p>
        </w:tc>
        <w:tc>
          <w:tcPr>
            <w:tcW w:w="126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SPRINGFIELD SURGICAL</w:t>
            </w:r>
          </w:p>
        </w:tc>
        <w:tc>
          <w:tcPr>
            <w:tcW w:w="2400" w:type="dxa"/>
            <w:vAlign w:val="bottom"/>
          </w:tcPr>
          <w:p>
            <w:pPr>
              <w:ind w:left="80"/>
              <w:spacing w:after="0"/>
              <w:rPr>
                <w:sz w:val="20"/>
                <w:szCs w:val="20"/>
                <w:color w:val="auto"/>
              </w:rPr>
            </w:pPr>
            <w:r>
              <w:rPr>
                <w:rFonts w:ascii="Arial" w:cs="Arial" w:eastAsia="Arial" w:hAnsi="Arial"/>
                <w:sz w:val="18"/>
                <w:szCs w:val="18"/>
                <w:color w:val="auto"/>
              </w:rPr>
              <w:t>3045 S National, Ste 101</w:t>
            </w:r>
          </w:p>
        </w:tc>
        <w:tc>
          <w:tcPr>
            <w:tcW w:w="1260" w:type="dxa"/>
            <w:vAlign w:val="bottom"/>
          </w:tcPr>
          <w:p>
            <w:pPr>
              <w:ind w:left="52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ind w:left="380"/>
              <w:spacing w:after="0"/>
              <w:rPr>
                <w:sz w:val="20"/>
                <w:szCs w:val="20"/>
                <w:color w:val="auto"/>
              </w:rPr>
            </w:pPr>
            <w:r>
              <w:rPr>
                <w:rFonts w:ascii="Arial" w:cs="Arial" w:eastAsia="Arial" w:hAnsi="Arial"/>
                <w:sz w:val="18"/>
                <w:szCs w:val="18"/>
                <w:color w:val="auto"/>
              </w:rPr>
              <w:t>SPECIALIST</w:t>
            </w:r>
          </w:p>
        </w:tc>
        <w:tc>
          <w:tcPr>
            <w:tcW w:w="2400" w:type="dxa"/>
            <w:vAlign w:val="bottom"/>
          </w:tcPr>
          <w:p>
            <w:pPr>
              <w:ind w:left="80"/>
              <w:spacing w:after="0"/>
              <w:rPr>
                <w:sz w:val="20"/>
                <w:szCs w:val="20"/>
                <w:color w:val="auto"/>
              </w:rPr>
            </w:pPr>
            <w:r>
              <w:rPr>
                <w:rFonts w:ascii="Arial" w:cs="Arial" w:eastAsia="Arial" w:hAnsi="Arial"/>
                <w:sz w:val="18"/>
                <w:szCs w:val="18"/>
                <w:color w:val="auto"/>
              </w:rPr>
              <w:t>Springfield, MO 65804</w:t>
            </w:r>
          </w:p>
        </w:tc>
        <w:tc>
          <w:tcPr>
            <w:tcW w:w="126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CENTER FOR ORTHOPEDIC</w:t>
            </w:r>
          </w:p>
        </w:tc>
        <w:tc>
          <w:tcPr>
            <w:tcW w:w="2400" w:type="dxa"/>
            <w:vAlign w:val="bottom"/>
          </w:tcPr>
          <w:p>
            <w:pPr>
              <w:ind w:left="80"/>
              <w:spacing w:after="0"/>
              <w:rPr>
                <w:sz w:val="20"/>
                <w:szCs w:val="20"/>
                <w:color w:val="auto"/>
              </w:rPr>
            </w:pPr>
            <w:r>
              <w:rPr>
                <w:rFonts w:ascii="Arial" w:cs="Arial" w:eastAsia="Arial" w:hAnsi="Arial"/>
                <w:sz w:val="18"/>
                <w:szCs w:val="18"/>
                <w:color w:val="auto"/>
              </w:rPr>
              <w:t>6815 Noble Avenue</w:t>
            </w:r>
          </w:p>
        </w:tc>
        <w:tc>
          <w:tcPr>
            <w:tcW w:w="1260" w:type="dxa"/>
            <w:vAlign w:val="bottom"/>
          </w:tcPr>
          <w:p>
            <w:pPr>
              <w:ind w:left="52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ind w:left="380"/>
              <w:spacing w:after="0"/>
              <w:rPr>
                <w:sz w:val="20"/>
                <w:szCs w:val="20"/>
                <w:color w:val="auto"/>
              </w:rPr>
            </w:pPr>
            <w:r>
              <w:rPr>
                <w:rFonts w:ascii="Arial" w:cs="Arial" w:eastAsia="Arial" w:hAnsi="Arial"/>
                <w:sz w:val="18"/>
                <w:szCs w:val="18"/>
                <w:color w:val="auto"/>
              </w:rPr>
              <w:t>SURGERY</w:t>
            </w:r>
          </w:p>
        </w:tc>
        <w:tc>
          <w:tcPr>
            <w:tcW w:w="2400" w:type="dxa"/>
            <w:vAlign w:val="bottom"/>
          </w:tcPr>
          <w:p>
            <w:pPr>
              <w:ind w:left="80"/>
              <w:spacing w:after="0"/>
              <w:rPr>
                <w:sz w:val="20"/>
                <w:szCs w:val="20"/>
                <w:color w:val="auto"/>
              </w:rPr>
            </w:pPr>
            <w:r>
              <w:rPr>
                <w:rFonts w:ascii="Arial" w:cs="Arial" w:eastAsia="Arial" w:hAnsi="Arial"/>
                <w:sz w:val="18"/>
                <w:szCs w:val="18"/>
                <w:color w:val="auto"/>
              </w:rPr>
              <w:t>Van Nvys, CA 91405</w:t>
            </w:r>
          </w:p>
        </w:tc>
        <w:tc>
          <w:tcPr>
            <w:tcW w:w="126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SCOTT &amp; WHITE MEMORIAL</w:t>
            </w:r>
          </w:p>
        </w:tc>
        <w:tc>
          <w:tcPr>
            <w:tcW w:w="2400" w:type="dxa"/>
            <w:vAlign w:val="bottom"/>
          </w:tcPr>
          <w:p>
            <w:pPr>
              <w:ind w:left="80"/>
              <w:spacing w:after="0"/>
              <w:rPr>
                <w:sz w:val="20"/>
                <w:szCs w:val="20"/>
                <w:color w:val="auto"/>
              </w:rPr>
            </w:pPr>
            <w:r>
              <w:rPr>
                <w:rFonts w:ascii="Arial" w:cs="Arial" w:eastAsia="Arial" w:hAnsi="Arial"/>
                <w:sz w:val="18"/>
                <w:szCs w:val="18"/>
                <w:color w:val="auto"/>
              </w:rPr>
              <w:t>5701 Airport Road</w:t>
            </w:r>
          </w:p>
        </w:tc>
        <w:tc>
          <w:tcPr>
            <w:tcW w:w="1260" w:type="dxa"/>
            <w:vAlign w:val="bottom"/>
          </w:tcPr>
          <w:p>
            <w:pPr>
              <w:ind w:left="52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ind w:left="380"/>
              <w:spacing w:after="0"/>
              <w:rPr>
                <w:sz w:val="20"/>
                <w:szCs w:val="20"/>
                <w:color w:val="auto"/>
              </w:rPr>
            </w:pPr>
            <w:r>
              <w:rPr>
                <w:rFonts w:ascii="Arial" w:cs="Arial" w:eastAsia="Arial" w:hAnsi="Arial"/>
                <w:sz w:val="18"/>
                <w:szCs w:val="18"/>
                <w:color w:val="auto"/>
              </w:rPr>
              <w:t>HOSP</w:t>
            </w:r>
          </w:p>
        </w:tc>
        <w:tc>
          <w:tcPr>
            <w:tcW w:w="2400" w:type="dxa"/>
            <w:vAlign w:val="bottom"/>
          </w:tcPr>
          <w:p>
            <w:pPr>
              <w:ind w:left="80"/>
              <w:spacing w:after="0"/>
              <w:rPr>
                <w:sz w:val="20"/>
                <w:szCs w:val="20"/>
                <w:color w:val="auto"/>
              </w:rPr>
            </w:pPr>
            <w:r>
              <w:rPr>
                <w:rFonts w:ascii="Arial" w:cs="Arial" w:eastAsia="Arial" w:hAnsi="Arial"/>
                <w:sz w:val="18"/>
                <w:szCs w:val="18"/>
                <w:color w:val="auto"/>
              </w:rPr>
              <w:t>Temple Bell, TX 76502</w:t>
            </w:r>
          </w:p>
        </w:tc>
        <w:tc>
          <w:tcPr>
            <w:tcW w:w="126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SURGICAL SPECIALTY CARE</w:t>
            </w:r>
          </w:p>
        </w:tc>
        <w:tc>
          <w:tcPr>
            <w:tcW w:w="2400" w:type="dxa"/>
            <w:vAlign w:val="bottom"/>
          </w:tcPr>
          <w:p>
            <w:pPr>
              <w:ind w:left="80"/>
              <w:spacing w:after="0"/>
              <w:rPr>
                <w:sz w:val="20"/>
                <w:szCs w:val="20"/>
                <w:color w:val="auto"/>
              </w:rPr>
            </w:pPr>
            <w:r>
              <w:rPr>
                <w:rFonts w:ascii="Arial" w:cs="Arial" w:eastAsia="Arial" w:hAnsi="Arial"/>
                <w:sz w:val="18"/>
                <w:szCs w:val="18"/>
                <w:color w:val="auto"/>
              </w:rPr>
              <w:t>8080 Bluebonnet Blvd</w:t>
            </w:r>
          </w:p>
        </w:tc>
        <w:tc>
          <w:tcPr>
            <w:tcW w:w="1260" w:type="dxa"/>
            <w:vAlign w:val="bottom"/>
          </w:tcPr>
          <w:p>
            <w:pPr>
              <w:ind w:left="52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400" w:type="dxa"/>
            <w:vAlign w:val="bottom"/>
          </w:tcPr>
          <w:p>
            <w:pPr>
              <w:ind w:left="80"/>
              <w:spacing w:after="0"/>
              <w:rPr>
                <w:sz w:val="20"/>
                <w:szCs w:val="20"/>
                <w:color w:val="auto"/>
              </w:rPr>
            </w:pPr>
            <w:r>
              <w:rPr>
                <w:rFonts w:ascii="Arial" w:cs="Arial" w:eastAsia="Arial" w:hAnsi="Arial"/>
                <w:sz w:val="18"/>
                <w:szCs w:val="18"/>
                <w:color w:val="auto"/>
              </w:rPr>
              <w:t>Baton Rouge , LA 70072</w:t>
            </w:r>
          </w:p>
        </w:tc>
        <w:tc>
          <w:tcPr>
            <w:tcW w:w="1260" w:type="dxa"/>
            <w:vAlign w:val="bottom"/>
          </w:tcPr>
          <w:p>
            <w:pPr>
              <w:spacing w:after="0"/>
              <w:rPr>
                <w:sz w:val="19"/>
                <w:szCs w:val="19"/>
                <w:color w:val="auto"/>
              </w:rPr>
            </w:pPr>
          </w:p>
        </w:tc>
      </w:tr>
    </w:tbl>
    <w:p>
      <w:pPr>
        <w:sectPr>
          <w:pgSz w:w="11900" w:h="16838" w:orient="portrait"/>
          <w:cols w:equalWidth="0" w:num="1">
            <w:col w:w="10219"/>
          </w:cols>
          <w:pgMar w:left="240" w:top="279" w:right="1440" w:bottom="1440" w:gutter="0" w:footer="0" w:header="0"/>
        </w:sectPr>
      </w:pPr>
    </w:p>
    <w:bookmarkStart w:id="328" w:name="page329"/>
    <w:bookmarkEnd w:id="32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HARRIS METHODIST FTW</w:t>
            </w:r>
          </w:p>
        </w:tc>
        <w:tc>
          <w:tcPr>
            <w:tcW w:w="2440" w:type="dxa"/>
            <w:vAlign w:val="bottom"/>
          </w:tcPr>
          <w:p>
            <w:pPr>
              <w:ind w:left="80"/>
              <w:spacing w:after="0"/>
              <w:rPr>
                <w:sz w:val="20"/>
                <w:szCs w:val="20"/>
                <w:color w:val="auto"/>
              </w:rPr>
            </w:pPr>
            <w:r>
              <w:rPr>
                <w:rFonts w:ascii="Arial" w:cs="Arial" w:eastAsia="Arial" w:hAnsi="Arial"/>
                <w:sz w:val="18"/>
                <w:szCs w:val="18"/>
                <w:color w:val="auto"/>
              </w:rPr>
              <w:t>1301 Pennsylvania</w:t>
            </w:r>
          </w:p>
        </w:tc>
        <w:tc>
          <w:tcPr>
            <w:tcW w:w="1220" w:type="dxa"/>
            <w:vAlign w:val="bottom"/>
          </w:tcPr>
          <w:p>
            <w:pPr>
              <w:ind w:left="48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ind w:left="380"/>
              <w:spacing w:after="0"/>
              <w:rPr>
                <w:sz w:val="20"/>
                <w:szCs w:val="20"/>
                <w:color w:val="auto"/>
              </w:rPr>
            </w:pPr>
            <w:r>
              <w:rPr>
                <w:rFonts w:ascii="Arial" w:cs="Arial" w:eastAsia="Arial" w:hAnsi="Arial"/>
                <w:sz w:val="18"/>
                <w:szCs w:val="18"/>
                <w:color w:val="auto"/>
              </w:rPr>
              <w:t>(TEXAS HEALTH)</w:t>
            </w:r>
          </w:p>
        </w:tc>
        <w:tc>
          <w:tcPr>
            <w:tcW w:w="2440" w:type="dxa"/>
            <w:vAlign w:val="bottom"/>
          </w:tcPr>
          <w:p>
            <w:pPr>
              <w:ind w:left="80"/>
              <w:spacing w:after="0"/>
              <w:rPr>
                <w:sz w:val="20"/>
                <w:szCs w:val="20"/>
                <w:color w:val="auto"/>
              </w:rPr>
            </w:pPr>
            <w:r>
              <w:rPr>
                <w:rFonts w:ascii="Arial" w:cs="Arial" w:eastAsia="Arial" w:hAnsi="Arial"/>
                <w:sz w:val="18"/>
                <w:szCs w:val="18"/>
                <w:color w:val="auto"/>
              </w:rPr>
              <w:t>Ft. Worth, TX 76104</w:t>
            </w:r>
          </w:p>
        </w:tc>
        <w:tc>
          <w:tcPr>
            <w:tcW w:w="122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SURGI CTR OF JOHNSON</w:t>
            </w:r>
          </w:p>
        </w:tc>
        <w:tc>
          <w:tcPr>
            <w:tcW w:w="2440" w:type="dxa"/>
            <w:vAlign w:val="bottom"/>
          </w:tcPr>
          <w:p>
            <w:pPr>
              <w:ind w:left="80"/>
              <w:spacing w:after="0"/>
              <w:rPr>
                <w:sz w:val="20"/>
                <w:szCs w:val="20"/>
                <w:color w:val="auto"/>
              </w:rPr>
            </w:pPr>
            <w:r>
              <w:rPr>
                <w:rFonts w:ascii="Arial" w:cs="Arial" w:eastAsia="Arial" w:hAnsi="Arial"/>
                <w:sz w:val="18"/>
                <w:szCs w:val="18"/>
                <w:color w:val="auto"/>
              </w:rPr>
              <w:t>8800 Ballentine Street</w:t>
            </w:r>
          </w:p>
        </w:tc>
        <w:tc>
          <w:tcPr>
            <w:tcW w:w="1220" w:type="dxa"/>
            <w:vAlign w:val="bottom"/>
          </w:tcPr>
          <w:p>
            <w:pPr>
              <w:ind w:left="48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ind w:left="380"/>
              <w:spacing w:after="0"/>
              <w:rPr>
                <w:sz w:val="20"/>
                <w:szCs w:val="20"/>
                <w:color w:val="auto"/>
              </w:rPr>
            </w:pPr>
            <w:r>
              <w:rPr>
                <w:rFonts w:ascii="Arial" w:cs="Arial" w:eastAsia="Arial" w:hAnsi="Arial"/>
                <w:sz w:val="18"/>
                <w:szCs w:val="18"/>
                <w:color w:val="auto"/>
              </w:rPr>
              <w:t>COUNTY</w:t>
            </w:r>
          </w:p>
        </w:tc>
        <w:tc>
          <w:tcPr>
            <w:tcW w:w="2440" w:type="dxa"/>
            <w:vAlign w:val="bottom"/>
          </w:tcPr>
          <w:p>
            <w:pPr>
              <w:ind w:left="80"/>
              <w:spacing w:after="0"/>
              <w:rPr>
                <w:sz w:val="20"/>
                <w:szCs w:val="20"/>
                <w:color w:val="auto"/>
              </w:rPr>
            </w:pPr>
            <w:r>
              <w:rPr>
                <w:rFonts w:ascii="Arial" w:cs="Arial" w:eastAsia="Arial" w:hAnsi="Arial"/>
                <w:sz w:val="18"/>
                <w:szCs w:val="18"/>
                <w:color w:val="auto"/>
              </w:rPr>
              <w:t>Overland Park, KS 66214</w:t>
            </w:r>
          </w:p>
        </w:tc>
        <w:tc>
          <w:tcPr>
            <w:tcW w:w="122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w w:val="97"/>
              </w:rPr>
              <w:t>FLORIDA HOSPITAL WATERMAN</w:t>
            </w:r>
          </w:p>
        </w:tc>
        <w:tc>
          <w:tcPr>
            <w:tcW w:w="2440" w:type="dxa"/>
            <w:vAlign w:val="bottom"/>
          </w:tcPr>
          <w:p>
            <w:pPr>
              <w:ind w:left="80"/>
              <w:spacing w:after="0"/>
              <w:rPr>
                <w:sz w:val="20"/>
                <w:szCs w:val="20"/>
                <w:color w:val="auto"/>
              </w:rPr>
            </w:pPr>
            <w:r>
              <w:rPr>
                <w:rFonts w:ascii="Arial" w:cs="Arial" w:eastAsia="Arial" w:hAnsi="Arial"/>
                <w:sz w:val="18"/>
                <w:szCs w:val="18"/>
                <w:color w:val="auto"/>
              </w:rPr>
              <w:t>1000 Waterman Way</w:t>
            </w:r>
          </w:p>
        </w:tc>
        <w:tc>
          <w:tcPr>
            <w:tcW w:w="1220" w:type="dxa"/>
            <w:vAlign w:val="bottom"/>
          </w:tcPr>
          <w:p>
            <w:pPr>
              <w:ind w:left="48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440" w:type="dxa"/>
            <w:vAlign w:val="bottom"/>
          </w:tcPr>
          <w:p>
            <w:pPr>
              <w:ind w:left="80"/>
              <w:spacing w:after="0"/>
              <w:rPr>
                <w:sz w:val="20"/>
                <w:szCs w:val="20"/>
                <w:color w:val="auto"/>
              </w:rPr>
            </w:pPr>
            <w:r>
              <w:rPr>
                <w:rFonts w:ascii="Arial" w:cs="Arial" w:eastAsia="Arial" w:hAnsi="Arial"/>
                <w:sz w:val="18"/>
                <w:szCs w:val="18"/>
                <w:color w:val="auto"/>
              </w:rPr>
              <w:t>Tavares Lake, FL 32778</w:t>
            </w:r>
          </w:p>
        </w:tc>
        <w:tc>
          <w:tcPr>
            <w:tcW w:w="122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MT. OGDEN SURGICAL CNTR</w:t>
            </w:r>
          </w:p>
        </w:tc>
        <w:tc>
          <w:tcPr>
            <w:tcW w:w="2440" w:type="dxa"/>
            <w:vAlign w:val="bottom"/>
          </w:tcPr>
          <w:p>
            <w:pPr>
              <w:ind w:left="80"/>
              <w:spacing w:after="0"/>
              <w:rPr>
                <w:sz w:val="20"/>
                <w:szCs w:val="20"/>
                <w:color w:val="auto"/>
              </w:rPr>
            </w:pPr>
            <w:r>
              <w:rPr>
                <w:rFonts w:ascii="Arial" w:cs="Arial" w:eastAsia="Arial" w:hAnsi="Arial"/>
                <w:sz w:val="18"/>
                <w:szCs w:val="18"/>
                <w:color w:val="auto"/>
              </w:rPr>
              <w:t>4364 Washington Blvd</w:t>
            </w:r>
          </w:p>
        </w:tc>
        <w:tc>
          <w:tcPr>
            <w:tcW w:w="1220" w:type="dxa"/>
            <w:vAlign w:val="bottom"/>
          </w:tcPr>
          <w:p>
            <w:pPr>
              <w:ind w:left="48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440" w:type="dxa"/>
            <w:vAlign w:val="bottom"/>
          </w:tcPr>
          <w:p>
            <w:pPr>
              <w:ind w:left="80"/>
              <w:spacing w:after="0"/>
              <w:rPr>
                <w:sz w:val="20"/>
                <w:szCs w:val="20"/>
                <w:color w:val="auto"/>
              </w:rPr>
            </w:pPr>
            <w:r>
              <w:rPr>
                <w:rFonts w:ascii="Arial" w:cs="Arial" w:eastAsia="Arial" w:hAnsi="Arial"/>
                <w:sz w:val="18"/>
                <w:szCs w:val="18"/>
                <w:color w:val="auto"/>
              </w:rPr>
              <w:t>Ogden, UT 84403</w:t>
            </w:r>
          </w:p>
        </w:tc>
        <w:tc>
          <w:tcPr>
            <w:tcW w:w="122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BRACKENRIDGE HOSPITAL</w:t>
            </w:r>
          </w:p>
        </w:tc>
        <w:tc>
          <w:tcPr>
            <w:tcW w:w="2440" w:type="dxa"/>
            <w:vAlign w:val="bottom"/>
          </w:tcPr>
          <w:p>
            <w:pPr>
              <w:ind w:left="80"/>
              <w:spacing w:after="0"/>
              <w:rPr>
                <w:sz w:val="20"/>
                <w:szCs w:val="20"/>
                <w:color w:val="auto"/>
              </w:rPr>
            </w:pPr>
            <w:r>
              <w:rPr>
                <w:rFonts w:ascii="Arial" w:cs="Arial" w:eastAsia="Arial" w:hAnsi="Arial"/>
                <w:sz w:val="18"/>
                <w:szCs w:val="18"/>
                <w:color w:val="auto"/>
              </w:rPr>
              <w:t>601E 15</w:t>
            </w:r>
            <w:r>
              <w:rPr>
                <w:rFonts w:ascii="Arial" w:cs="Arial" w:eastAsia="Arial" w:hAnsi="Arial"/>
                <w:sz w:val="11"/>
                <w:szCs w:val="11"/>
                <w:color w:val="auto"/>
              </w:rPr>
              <w:t>th</w:t>
            </w:r>
            <w:r>
              <w:rPr>
                <w:rFonts w:ascii="Arial" w:cs="Arial" w:eastAsia="Arial" w:hAnsi="Arial"/>
                <w:sz w:val="18"/>
                <w:szCs w:val="18"/>
                <w:color w:val="auto"/>
              </w:rPr>
              <w:t xml:space="preserve"> Street</w:t>
            </w:r>
          </w:p>
        </w:tc>
        <w:tc>
          <w:tcPr>
            <w:tcW w:w="1220" w:type="dxa"/>
            <w:vAlign w:val="bottom"/>
          </w:tcPr>
          <w:p>
            <w:pPr>
              <w:ind w:left="48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440" w:type="dxa"/>
            <w:vAlign w:val="bottom"/>
          </w:tcPr>
          <w:p>
            <w:pPr>
              <w:ind w:left="80"/>
              <w:spacing w:after="0"/>
              <w:rPr>
                <w:sz w:val="20"/>
                <w:szCs w:val="20"/>
                <w:color w:val="auto"/>
              </w:rPr>
            </w:pPr>
            <w:r>
              <w:rPr>
                <w:rFonts w:ascii="Arial" w:cs="Arial" w:eastAsia="Arial" w:hAnsi="Arial"/>
                <w:sz w:val="18"/>
                <w:szCs w:val="18"/>
                <w:color w:val="auto"/>
              </w:rPr>
              <w:t>Austin, TX</w:t>
            </w:r>
          </w:p>
        </w:tc>
        <w:tc>
          <w:tcPr>
            <w:tcW w:w="122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MARY SHIELDS HOSPITAL</w:t>
            </w:r>
          </w:p>
        </w:tc>
        <w:tc>
          <w:tcPr>
            <w:tcW w:w="2440" w:type="dxa"/>
            <w:vAlign w:val="bottom"/>
          </w:tcPr>
          <w:p>
            <w:pPr>
              <w:ind w:left="80"/>
              <w:spacing w:after="0"/>
              <w:rPr>
                <w:sz w:val="20"/>
                <w:szCs w:val="20"/>
                <w:color w:val="auto"/>
              </w:rPr>
            </w:pPr>
            <w:r>
              <w:rPr>
                <w:rFonts w:ascii="Arial" w:cs="Arial" w:eastAsia="Arial" w:hAnsi="Arial"/>
                <w:sz w:val="18"/>
                <w:szCs w:val="18"/>
                <w:color w:val="auto"/>
              </w:rPr>
              <w:t>3515 Howell Street</w:t>
            </w:r>
          </w:p>
        </w:tc>
        <w:tc>
          <w:tcPr>
            <w:tcW w:w="1220" w:type="dxa"/>
            <w:vAlign w:val="bottom"/>
          </w:tcPr>
          <w:p>
            <w:pPr>
              <w:ind w:left="48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440" w:type="dxa"/>
            <w:vAlign w:val="bottom"/>
          </w:tcPr>
          <w:p>
            <w:pPr>
              <w:ind w:left="80"/>
              <w:spacing w:after="0"/>
              <w:rPr>
                <w:sz w:val="20"/>
                <w:szCs w:val="20"/>
                <w:color w:val="auto"/>
              </w:rPr>
            </w:pPr>
            <w:r>
              <w:rPr>
                <w:rFonts w:ascii="Arial" w:cs="Arial" w:eastAsia="Arial" w:hAnsi="Arial"/>
                <w:sz w:val="18"/>
                <w:szCs w:val="18"/>
                <w:color w:val="auto"/>
              </w:rPr>
              <w:t>Dallas, TX 75204</w:t>
            </w:r>
          </w:p>
        </w:tc>
        <w:tc>
          <w:tcPr>
            <w:tcW w:w="122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HOLY SPIRIT HOSPITAL</w:t>
            </w:r>
          </w:p>
        </w:tc>
        <w:tc>
          <w:tcPr>
            <w:tcW w:w="2440" w:type="dxa"/>
            <w:vAlign w:val="bottom"/>
          </w:tcPr>
          <w:p>
            <w:pPr>
              <w:ind w:left="80"/>
              <w:spacing w:after="0"/>
              <w:rPr>
                <w:sz w:val="20"/>
                <w:szCs w:val="20"/>
                <w:color w:val="auto"/>
              </w:rPr>
            </w:pPr>
            <w:r>
              <w:rPr>
                <w:rFonts w:ascii="Arial" w:cs="Arial" w:eastAsia="Arial" w:hAnsi="Arial"/>
                <w:sz w:val="18"/>
                <w:szCs w:val="18"/>
                <w:color w:val="auto"/>
              </w:rPr>
              <w:t>503 n 21</w:t>
            </w:r>
            <w:r>
              <w:rPr>
                <w:rFonts w:ascii="Arial" w:cs="Arial" w:eastAsia="Arial" w:hAnsi="Arial"/>
                <w:sz w:val="11"/>
                <w:szCs w:val="11"/>
                <w:color w:val="auto"/>
              </w:rPr>
              <w:t>st</w:t>
            </w:r>
            <w:r>
              <w:rPr>
                <w:rFonts w:ascii="Arial" w:cs="Arial" w:eastAsia="Arial" w:hAnsi="Arial"/>
                <w:sz w:val="18"/>
                <w:szCs w:val="18"/>
                <w:color w:val="auto"/>
              </w:rPr>
              <w:t xml:space="preserve"> Street</w:t>
            </w:r>
          </w:p>
        </w:tc>
        <w:tc>
          <w:tcPr>
            <w:tcW w:w="1220" w:type="dxa"/>
            <w:vAlign w:val="bottom"/>
          </w:tcPr>
          <w:p>
            <w:pPr>
              <w:ind w:left="48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440" w:type="dxa"/>
            <w:vAlign w:val="bottom"/>
          </w:tcPr>
          <w:p>
            <w:pPr>
              <w:ind w:left="80"/>
              <w:spacing w:after="0"/>
              <w:rPr>
                <w:sz w:val="20"/>
                <w:szCs w:val="20"/>
                <w:color w:val="auto"/>
              </w:rPr>
            </w:pPr>
            <w:r>
              <w:rPr>
                <w:rFonts w:ascii="Arial" w:cs="Arial" w:eastAsia="Arial" w:hAnsi="Arial"/>
                <w:sz w:val="18"/>
                <w:szCs w:val="18"/>
                <w:color w:val="auto"/>
              </w:rPr>
              <w:t>Camp Hill, PA 17011</w:t>
            </w:r>
          </w:p>
        </w:tc>
        <w:tc>
          <w:tcPr>
            <w:tcW w:w="122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HAHNEMANN HOSPITAL</w:t>
            </w:r>
          </w:p>
        </w:tc>
        <w:tc>
          <w:tcPr>
            <w:tcW w:w="2440" w:type="dxa"/>
            <w:vAlign w:val="bottom"/>
          </w:tcPr>
          <w:p>
            <w:pPr>
              <w:ind w:left="80"/>
              <w:spacing w:after="0"/>
              <w:rPr>
                <w:sz w:val="20"/>
                <w:szCs w:val="20"/>
                <w:color w:val="auto"/>
              </w:rPr>
            </w:pPr>
            <w:r>
              <w:rPr>
                <w:rFonts w:ascii="Arial" w:cs="Arial" w:eastAsia="Arial" w:hAnsi="Arial"/>
                <w:sz w:val="18"/>
                <w:szCs w:val="18"/>
                <w:color w:val="auto"/>
              </w:rPr>
              <w:t>Broad &amp; Vine Streets</w:t>
            </w:r>
          </w:p>
        </w:tc>
        <w:tc>
          <w:tcPr>
            <w:tcW w:w="1220" w:type="dxa"/>
            <w:vAlign w:val="bottom"/>
          </w:tcPr>
          <w:p>
            <w:pPr>
              <w:ind w:left="48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440" w:type="dxa"/>
            <w:vAlign w:val="bottom"/>
          </w:tcPr>
          <w:p>
            <w:pPr>
              <w:ind w:left="80"/>
              <w:spacing w:after="0"/>
              <w:rPr>
                <w:sz w:val="20"/>
                <w:szCs w:val="20"/>
                <w:color w:val="auto"/>
              </w:rPr>
            </w:pPr>
            <w:r>
              <w:rPr>
                <w:rFonts w:ascii="Arial" w:cs="Arial" w:eastAsia="Arial" w:hAnsi="Arial"/>
                <w:sz w:val="18"/>
                <w:szCs w:val="18"/>
                <w:color w:val="auto"/>
              </w:rPr>
              <w:t>Philadelphia, PA 19102</w:t>
            </w:r>
          </w:p>
        </w:tc>
        <w:tc>
          <w:tcPr>
            <w:tcW w:w="122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CROSSGATES RIVER OAKS</w:t>
            </w:r>
          </w:p>
        </w:tc>
        <w:tc>
          <w:tcPr>
            <w:tcW w:w="2440" w:type="dxa"/>
            <w:vAlign w:val="bottom"/>
          </w:tcPr>
          <w:p>
            <w:pPr>
              <w:ind w:left="80"/>
              <w:spacing w:after="0"/>
              <w:rPr>
                <w:sz w:val="20"/>
                <w:szCs w:val="20"/>
                <w:color w:val="auto"/>
              </w:rPr>
            </w:pPr>
            <w:r>
              <w:rPr>
                <w:rFonts w:ascii="Arial" w:cs="Arial" w:eastAsia="Arial" w:hAnsi="Arial"/>
                <w:sz w:val="18"/>
                <w:szCs w:val="18"/>
                <w:color w:val="auto"/>
              </w:rPr>
              <w:t>350 Crossgates Blvd</w:t>
            </w:r>
          </w:p>
        </w:tc>
        <w:tc>
          <w:tcPr>
            <w:tcW w:w="1220" w:type="dxa"/>
            <w:vAlign w:val="bottom"/>
          </w:tcPr>
          <w:p>
            <w:pPr>
              <w:ind w:left="48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ind w:left="380"/>
              <w:spacing w:after="0"/>
              <w:rPr>
                <w:sz w:val="20"/>
                <w:szCs w:val="20"/>
                <w:color w:val="auto"/>
              </w:rPr>
            </w:pPr>
            <w:r>
              <w:rPr>
                <w:rFonts w:ascii="Arial" w:cs="Arial" w:eastAsia="Arial" w:hAnsi="Arial"/>
                <w:sz w:val="18"/>
                <w:szCs w:val="18"/>
                <w:color w:val="auto"/>
              </w:rPr>
              <w:t>HOSPITAL</w:t>
            </w:r>
          </w:p>
        </w:tc>
        <w:tc>
          <w:tcPr>
            <w:tcW w:w="2440" w:type="dxa"/>
            <w:vAlign w:val="bottom"/>
          </w:tcPr>
          <w:p>
            <w:pPr>
              <w:ind w:left="80"/>
              <w:spacing w:after="0"/>
              <w:rPr>
                <w:sz w:val="20"/>
                <w:szCs w:val="20"/>
                <w:color w:val="auto"/>
              </w:rPr>
            </w:pPr>
            <w:r>
              <w:rPr>
                <w:rFonts w:ascii="Arial" w:cs="Arial" w:eastAsia="Arial" w:hAnsi="Arial"/>
                <w:sz w:val="18"/>
                <w:szCs w:val="18"/>
                <w:color w:val="auto"/>
              </w:rPr>
              <w:t>Brandon, MS 39042</w:t>
            </w:r>
          </w:p>
        </w:tc>
        <w:tc>
          <w:tcPr>
            <w:tcW w:w="122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LINDSAY HOUSE SURGERY</w:t>
            </w:r>
          </w:p>
        </w:tc>
        <w:tc>
          <w:tcPr>
            <w:tcW w:w="2440" w:type="dxa"/>
            <w:vAlign w:val="bottom"/>
          </w:tcPr>
          <w:p>
            <w:pPr>
              <w:ind w:left="80"/>
              <w:spacing w:after="0"/>
              <w:rPr>
                <w:sz w:val="20"/>
                <w:szCs w:val="20"/>
                <w:color w:val="auto"/>
              </w:rPr>
            </w:pPr>
            <w:r>
              <w:rPr>
                <w:rFonts w:ascii="Arial" w:cs="Arial" w:eastAsia="Arial" w:hAnsi="Arial"/>
                <w:sz w:val="18"/>
                <w:szCs w:val="18"/>
                <w:color w:val="auto"/>
              </w:rPr>
              <w:t>10 Hagen Drive</w:t>
            </w:r>
          </w:p>
        </w:tc>
        <w:tc>
          <w:tcPr>
            <w:tcW w:w="1220" w:type="dxa"/>
            <w:vAlign w:val="bottom"/>
          </w:tcPr>
          <w:p>
            <w:pPr>
              <w:ind w:left="48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ind w:left="380"/>
              <w:spacing w:after="0"/>
              <w:rPr>
                <w:sz w:val="20"/>
                <w:szCs w:val="20"/>
                <w:color w:val="auto"/>
              </w:rPr>
            </w:pPr>
            <w:r>
              <w:rPr>
                <w:rFonts w:ascii="Arial" w:cs="Arial" w:eastAsia="Arial" w:hAnsi="Arial"/>
                <w:sz w:val="18"/>
                <w:szCs w:val="18"/>
                <w:color w:val="auto"/>
              </w:rPr>
              <w:t>CENTER</w:t>
            </w:r>
          </w:p>
        </w:tc>
        <w:tc>
          <w:tcPr>
            <w:tcW w:w="2440" w:type="dxa"/>
            <w:vAlign w:val="bottom"/>
          </w:tcPr>
          <w:p>
            <w:pPr>
              <w:ind w:left="80"/>
              <w:spacing w:after="0"/>
              <w:rPr>
                <w:sz w:val="20"/>
                <w:szCs w:val="20"/>
                <w:color w:val="auto"/>
              </w:rPr>
            </w:pPr>
            <w:r>
              <w:rPr>
                <w:rFonts w:ascii="Arial" w:cs="Arial" w:eastAsia="Arial" w:hAnsi="Arial"/>
                <w:sz w:val="18"/>
                <w:szCs w:val="18"/>
                <w:color w:val="auto"/>
              </w:rPr>
              <w:t>Rochester, NY 14625</w:t>
            </w:r>
          </w:p>
        </w:tc>
        <w:tc>
          <w:tcPr>
            <w:tcW w:w="122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GRADY HOSPITAL</w:t>
            </w:r>
          </w:p>
        </w:tc>
        <w:tc>
          <w:tcPr>
            <w:tcW w:w="2440" w:type="dxa"/>
            <w:vAlign w:val="bottom"/>
          </w:tcPr>
          <w:p>
            <w:pPr>
              <w:ind w:left="80"/>
              <w:spacing w:after="0"/>
              <w:rPr>
                <w:sz w:val="20"/>
                <w:szCs w:val="20"/>
                <w:color w:val="auto"/>
              </w:rPr>
            </w:pPr>
            <w:r>
              <w:rPr>
                <w:rFonts w:ascii="Arial" w:cs="Arial" w:eastAsia="Arial" w:hAnsi="Arial"/>
                <w:sz w:val="18"/>
                <w:szCs w:val="18"/>
                <w:color w:val="auto"/>
              </w:rPr>
              <w:t>80 Jesse Hill Drive, SE</w:t>
            </w:r>
          </w:p>
        </w:tc>
        <w:tc>
          <w:tcPr>
            <w:tcW w:w="1220" w:type="dxa"/>
            <w:vAlign w:val="bottom"/>
          </w:tcPr>
          <w:p>
            <w:pPr>
              <w:ind w:left="48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440" w:type="dxa"/>
            <w:vAlign w:val="bottom"/>
          </w:tcPr>
          <w:p>
            <w:pPr>
              <w:ind w:left="80"/>
              <w:spacing w:after="0"/>
              <w:rPr>
                <w:sz w:val="20"/>
                <w:szCs w:val="20"/>
                <w:color w:val="auto"/>
              </w:rPr>
            </w:pPr>
            <w:r>
              <w:rPr>
                <w:rFonts w:ascii="Arial" w:cs="Arial" w:eastAsia="Arial" w:hAnsi="Arial"/>
                <w:sz w:val="18"/>
                <w:szCs w:val="18"/>
                <w:color w:val="auto"/>
              </w:rPr>
              <w:t>Atlanta, GA 30303</w:t>
            </w:r>
          </w:p>
        </w:tc>
        <w:tc>
          <w:tcPr>
            <w:tcW w:w="122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UNION MEMORIAL</w:t>
            </w:r>
          </w:p>
        </w:tc>
        <w:tc>
          <w:tcPr>
            <w:tcW w:w="2440" w:type="dxa"/>
            <w:vAlign w:val="bottom"/>
          </w:tcPr>
          <w:p>
            <w:pPr>
              <w:ind w:left="80"/>
              <w:spacing w:after="0"/>
              <w:rPr>
                <w:sz w:val="20"/>
                <w:szCs w:val="20"/>
                <w:color w:val="auto"/>
              </w:rPr>
            </w:pPr>
            <w:r>
              <w:rPr>
                <w:rFonts w:ascii="Arial" w:cs="Arial" w:eastAsia="Arial" w:hAnsi="Arial"/>
                <w:sz w:val="18"/>
                <w:szCs w:val="18"/>
                <w:color w:val="auto"/>
              </w:rPr>
              <w:t>201 E University Parkway</w:t>
            </w:r>
          </w:p>
        </w:tc>
        <w:tc>
          <w:tcPr>
            <w:tcW w:w="1220" w:type="dxa"/>
            <w:vAlign w:val="bottom"/>
          </w:tcPr>
          <w:p>
            <w:pPr>
              <w:ind w:left="48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440" w:type="dxa"/>
            <w:vAlign w:val="bottom"/>
          </w:tcPr>
          <w:p>
            <w:pPr>
              <w:ind w:left="80"/>
              <w:spacing w:after="0"/>
              <w:rPr>
                <w:sz w:val="20"/>
                <w:szCs w:val="20"/>
                <w:color w:val="auto"/>
              </w:rPr>
            </w:pPr>
            <w:r>
              <w:rPr>
                <w:rFonts w:ascii="Arial" w:cs="Arial" w:eastAsia="Arial" w:hAnsi="Arial"/>
                <w:sz w:val="18"/>
                <w:szCs w:val="18"/>
                <w:color w:val="auto"/>
              </w:rPr>
              <w:t>Baltimore, MD 21228</w:t>
            </w:r>
          </w:p>
        </w:tc>
        <w:tc>
          <w:tcPr>
            <w:tcW w:w="122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LEGACY HEALTH STYSTEM</w:t>
            </w:r>
          </w:p>
        </w:tc>
        <w:tc>
          <w:tcPr>
            <w:tcW w:w="2440" w:type="dxa"/>
            <w:vAlign w:val="bottom"/>
          </w:tcPr>
          <w:p>
            <w:pPr>
              <w:ind w:left="80"/>
              <w:spacing w:after="0"/>
              <w:rPr>
                <w:sz w:val="20"/>
                <w:szCs w:val="20"/>
                <w:color w:val="auto"/>
              </w:rPr>
            </w:pPr>
            <w:r>
              <w:rPr>
                <w:rFonts w:ascii="Arial" w:cs="Arial" w:eastAsia="Arial" w:hAnsi="Arial"/>
                <w:sz w:val="18"/>
                <w:szCs w:val="18"/>
                <w:color w:val="auto"/>
              </w:rPr>
              <w:t>2801 N Gantenbein Ave</w:t>
            </w:r>
          </w:p>
        </w:tc>
        <w:tc>
          <w:tcPr>
            <w:tcW w:w="1220" w:type="dxa"/>
            <w:vAlign w:val="bottom"/>
          </w:tcPr>
          <w:p>
            <w:pPr>
              <w:ind w:left="48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440" w:type="dxa"/>
            <w:vAlign w:val="bottom"/>
          </w:tcPr>
          <w:p>
            <w:pPr>
              <w:ind w:left="80"/>
              <w:spacing w:after="0"/>
              <w:rPr>
                <w:sz w:val="20"/>
                <w:szCs w:val="20"/>
                <w:color w:val="auto"/>
              </w:rPr>
            </w:pPr>
            <w:r>
              <w:rPr>
                <w:rFonts w:ascii="Arial" w:cs="Arial" w:eastAsia="Arial" w:hAnsi="Arial"/>
                <w:sz w:val="18"/>
                <w:szCs w:val="18"/>
                <w:color w:val="auto"/>
              </w:rPr>
              <w:t>Portland, OR 97227</w:t>
            </w:r>
          </w:p>
        </w:tc>
        <w:tc>
          <w:tcPr>
            <w:tcW w:w="122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HILL COUNTRY SURG CENTER</w:t>
            </w:r>
          </w:p>
        </w:tc>
        <w:tc>
          <w:tcPr>
            <w:tcW w:w="2440" w:type="dxa"/>
            <w:vAlign w:val="bottom"/>
          </w:tcPr>
          <w:p>
            <w:pPr>
              <w:ind w:left="80"/>
              <w:spacing w:after="0"/>
              <w:rPr>
                <w:sz w:val="20"/>
                <w:szCs w:val="20"/>
                <w:color w:val="auto"/>
              </w:rPr>
            </w:pPr>
            <w:r>
              <w:rPr>
                <w:rFonts w:ascii="Arial" w:cs="Arial" w:eastAsia="Arial" w:hAnsi="Arial"/>
                <w:sz w:val="18"/>
                <w:szCs w:val="18"/>
                <w:color w:val="auto"/>
              </w:rPr>
              <w:t>801 E Whitestone</w:t>
            </w:r>
          </w:p>
        </w:tc>
        <w:tc>
          <w:tcPr>
            <w:tcW w:w="1220" w:type="dxa"/>
            <w:vAlign w:val="bottom"/>
          </w:tcPr>
          <w:p>
            <w:pPr>
              <w:ind w:left="48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440" w:type="dxa"/>
            <w:vAlign w:val="bottom"/>
          </w:tcPr>
          <w:p>
            <w:pPr>
              <w:ind w:left="80"/>
              <w:spacing w:after="0"/>
              <w:rPr>
                <w:sz w:val="20"/>
                <w:szCs w:val="20"/>
                <w:color w:val="auto"/>
              </w:rPr>
            </w:pPr>
            <w:r>
              <w:rPr>
                <w:rFonts w:ascii="Arial" w:cs="Arial" w:eastAsia="Arial" w:hAnsi="Arial"/>
                <w:sz w:val="18"/>
                <w:szCs w:val="18"/>
                <w:color w:val="auto"/>
              </w:rPr>
              <w:t>Cedar Pane, TZ 78613</w:t>
            </w:r>
          </w:p>
        </w:tc>
        <w:tc>
          <w:tcPr>
            <w:tcW w:w="122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ST LUKES / LEE SUMMIT</w:t>
            </w:r>
          </w:p>
        </w:tc>
        <w:tc>
          <w:tcPr>
            <w:tcW w:w="2440" w:type="dxa"/>
            <w:vAlign w:val="bottom"/>
          </w:tcPr>
          <w:p>
            <w:pPr>
              <w:ind w:left="80"/>
              <w:spacing w:after="0"/>
              <w:rPr>
                <w:sz w:val="20"/>
                <w:szCs w:val="20"/>
                <w:color w:val="auto"/>
              </w:rPr>
            </w:pPr>
            <w:r>
              <w:rPr>
                <w:rFonts w:ascii="Arial" w:cs="Arial" w:eastAsia="Arial" w:hAnsi="Arial"/>
                <w:sz w:val="18"/>
                <w:szCs w:val="18"/>
                <w:color w:val="auto"/>
              </w:rPr>
              <w:t>120 NW St Lukes Blvd</w:t>
            </w:r>
          </w:p>
        </w:tc>
        <w:tc>
          <w:tcPr>
            <w:tcW w:w="1220" w:type="dxa"/>
            <w:vAlign w:val="bottom"/>
          </w:tcPr>
          <w:p>
            <w:pPr>
              <w:ind w:left="48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440" w:type="dxa"/>
            <w:vAlign w:val="bottom"/>
          </w:tcPr>
          <w:p>
            <w:pPr>
              <w:ind w:left="80"/>
              <w:spacing w:after="0"/>
              <w:rPr>
                <w:sz w:val="20"/>
                <w:szCs w:val="20"/>
                <w:color w:val="auto"/>
              </w:rPr>
            </w:pPr>
            <w:r>
              <w:rPr>
                <w:rFonts w:ascii="Arial" w:cs="Arial" w:eastAsia="Arial" w:hAnsi="Arial"/>
                <w:sz w:val="18"/>
                <w:szCs w:val="18"/>
                <w:color w:val="auto"/>
              </w:rPr>
              <w:t>Lee Summit, MO 64086</w:t>
            </w:r>
          </w:p>
        </w:tc>
        <w:tc>
          <w:tcPr>
            <w:tcW w:w="122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VA HOSPITAL</w:t>
            </w:r>
          </w:p>
        </w:tc>
        <w:tc>
          <w:tcPr>
            <w:tcW w:w="2440" w:type="dxa"/>
            <w:vAlign w:val="bottom"/>
          </w:tcPr>
          <w:p>
            <w:pPr>
              <w:ind w:left="80"/>
              <w:spacing w:after="0"/>
              <w:rPr>
                <w:sz w:val="20"/>
                <w:szCs w:val="20"/>
                <w:color w:val="auto"/>
              </w:rPr>
            </w:pPr>
            <w:r>
              <w:rPr>
                <w:rFonts w:ascii="Arial" w:cs="Arial" w:eastAsia="Arial" w:hAnsi="Arial"/>
                <w:sz w:val="18"/>
                <w:szCs w:val="18"/>
                <w:color w:val="auto"/>
              </w:rPr>
              <w:t>Dept Veterans Affairs</w:t>
            </w:r>
          </w:p>
        </w:tc>
        <w:tc>
          <w:tcPr>
            <w:tcW w:w="1220" w:type="dxa"/>
            <w:vAlign w:val="bottom"/>
          </w:tcPr>
          <w:p>
            <w:pPr>
              <w:ind w:left="480"/>
              <w:spacing w:after="0"/>
              <w:rPr>
                <w:sz w:val="20"/>
                <w:szCs w:val="20"/>
                <w:color w:val="auto"/>
              </w:rPr>
            </w:pPr>
            <w:r>
              <w:rPr>
                <w:rFonts w:ascii="Arial" w:cs="Arial" w:eastAsia="Arial" w:hAnsi="Arial"/>
                <w:sz w:val="18"/>
                <w:szCs w:val="18"/>
                <w:color w:val="auto"/>
                <w:w w:val="83"/>
              </w:rPr>
              <w:t>Consignee</w:t>
            </w:r>
          </w:p>
        </w:tc>
      </w:tr>
      <w:tr>
        <w:trPr>
          <w:trHeight w:val="216"/>
        </w:trPr>
        <w:tc>
          <w:tcPr>
            <w:tcW w:w="27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440" w:type="dxa"/>
            <w:vAlign w:val="bottom"/>
          </w:tcPr>
          <w:p>
            <w:pPr>
              <w:ind w:left="80"/>
              <w:spacing w:after="0"/>
              <w:rPr>
                <w:sz w:val="20"/>
                <w:szCs w:val="20"/>
                <w:color w:val="auto"/>
              </w:rPr>
            </w:pPr>
            <w:r>
              <w:rPr>
                <w:rFonts w:ascii="Arial" w:cs="Arial" w:eastAsia="Arial" w:hAnsi="Arial"/>
                <w:sz w:val="18"/>
                <w:szCs w:val="18"/>
                <w:color w:val="auto"/>
              </w:rPr>
              <w:t>5000 West National Ave</w:t>
            </w:r>
          </w:p>
        </w:tc>
        <w:tc>
          <w:tcPr>
            <w:tcW w:w="122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440" w:type="dxa"/>
            <w:vAlign w:val="bottom"/>
          </w:tcPr>
          <w:p>
            <w:pPr>
              <w:ind w:left="80"/>
              <w:spacing w:after="0"/>
              <w:rPr>
                <w:sz w:val="20"/>
                <w:szCs w:val="20"/>
                <w:color w:val="auto"/>
              </w:rPr>
            </w:pPr>
            <w:r>
              <w:rPr>
                <w:rFonts w:ascii="Arial" w:cs="Arial" w:eastAsia="Arial" w:hAnsi="Arial"/>
                <w:sz w:val="18"/>
                <w:szCs w:val="18"/>
                <w:color w:val="auto"/>
              </w:rPr>
              <w:t>Bldg 5</w:t>
            </w:r>
          </w:p>
        </w:tc>
        <w:tc>
          <w:tcPr>
            <w:tcW w:w="1220" w:type="dxa"/>
            <w:vAlign w:val="bottom"/>
          </w:tcPr>
          <w:p>
            <w:pPr>
              <w:spacing w:after="0"/>
              <w:rPr>
                <w:sz w:val="18"/>
                <w:szCs w:val="18"/>
                <w:color w:val="auto"/>
              </w:rPr>
            </w:pP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440" w:type="dxa"/>
            <w:vAlign w:val="bottom"/>
          </w:tcPr>
          <w:p>
            <w:pPr>
              <w:ind w:left="80"/>
              <w:spacing w:after="0"/>
              <w:rPr>
                <w:sz w:val="20"/>
                <w:szCs w:val="20"/>
                <w:color w:val="auto"/>
              </w:rPr>
            </w:pPr>
            <w:r>
              <w:rPr>
                <w:rFonts w:ascii="Arial" w:cs="Arial" w:eastAsia="Arial" w:hAnsi="Arial"/>
                <w:sz w:val="18"/>
                <w:szCs w:val="18"/>
                <w:color w:val="auto"/>
              </w:rPr>
              <w:t>Milwaukee, WII 53295</w:t>
            </w:r>
          </w:p>
        </w:tc>
        <w:tc>
          <w:tcPr>
            <w:tcW w:w="122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LSU MEDICAL CENTER</w:t>
            </w:r>
          </w:p>
        </w:tc>
        <w:tc>
          <w:tcPr>
            <w:tcW w:w="2440" w:type="dxa"/>
            <w:vAlign w:val="bottom"/>
          </w:tcPr>
          <w:p>
            <w:pPr>
              <w:ind w:left="80"/>
              <w:spacing w:after="0"/>
              <w:rPr>
                <w:sz w:val="20"/>
                <w:szCs w:val="20"/>
                <w:color w:val="auto"/>
              </w:rPr>
            </w:pPr>
            <w:r>
              <w:rPr>
                <w:rFonts w:ascii="Arial" w:cs="Arial" w:eastAsia="Arial" w:hAnsi="Arial"/>
                <w:sz w:val="18"/>
                <w:szCs w:val="18"/>
                <w:color w:val="auto"/>
              </w:rPr>
              <w:t>2021 Perdido Street</w:t>
            </w:r>
          </w:p>
        </w:tc>
        <w:tc>
          <w:tcPr>
            <w:tcW w:w="1220" w:type="dxa"/>
            <w:vAlign w:val="bottom"/>
          </w:tcPr>
          <w:p>
            <w:pPr>
              <w:ind w:left="48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440" w:type="dxa"/>
            <w:vAlign w:val="bottom"/>
          </w:tcPr>
          <w:p>
            <w:pPr>
              <w:ind w:left="80"/>
              <w:spacing w:after="0"/>
              <w:rPr>
                <w:sz w:val="20"/>
                <w:szCs w:val="20"/>
                <w:color w:val="auto"/>
              </w:rPr>
            </w:pPr>
            <w:r>
              <w:rPr>
                <w:rFonts w:ascii="Arial" w:cs="Arial" w:eastAsia="Arial" w:hAnsi="Arial"/>
                <w:sz w:val="18"/>
                <w:szCs w:val="18"/>
                <w:color w:val="auto"/>
              </w:rPr>
              <w:t>New Orleans, LA 70112</w:t>
            </w:r>
          </w:p>
        </w:tc>
        <w:tc>
          <w:tcPr>
            <w:tcW w:w="122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SELF REGIONAL HEALTHCARE</w:t>
            </w:r>
          </w:p>
        </w:tc>
        <w:tc>
          <w:tcPr>
            <w:tcW w:w="2440" w:type="dxa"/>
            <w:vAlign w:val="bottom"/>
          </w:tcPr>
          <w:p>
            <w:pPr>
              <w:ind w:left="80"/>
              <w:spacing w:after="0"/>
              <w:rPr>
                <w:sz w:val="20"/>
                <w:szCs w:val="20"/>
                <w:color w:val="auto"/>
              </w:rPr>
            </w:pPr>
            <w:r>
              <w:rPr>
                <w:rFonts w:ascii="Arial" w:cs="Arial" w:eastAsia="Arial" w:hAnsi="Arial"/>
                <w:sz w:val="18"/>
                <w:szCs w:val="18"/>
                <w:color w:val="auto"/>
              </w:rPr>
              <w:t>1325 Spring Street</w:t>
            </w:r>
          </w:p>
        </w:tc>
        <w:tc>
          <w:tcPr>
            <w:tcW w:w="1220" w:type="dxa"/>
            <w:vAlign w:val="bottom"/>
          </w:tcPr>
          <w:p>
            <w:pPr>
              <w:ind w:left="48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440" w:type="dxa"/>
            <w:vAlign w:val="bottom"/>
          </w:tcPr>
          <w:p>
            <w:pPr>
              <w:ind w:left="80"/>
              <w:spacing w:after="0"/>
              <w:rPr>
                <w:sz w:val="20"/>
                <w:szCs w:val="20"/>
                <w:color w:val="auto"/>
              </w:rPr>
            </w:pPr>
            <w:r>
              <w:rPr>
                <w:rFonts w:ascii="Arial" w:cs="Arial" w:eastAsia="Arial" w:hAnsi="Arial"/>
                <w:sz w:val="18"/>
                <w:szCs w:val="18"/>
                <w:color w:val="auto"/>
              </w:rPr>
              <w:t>Greenwood, SC 29646</w:t>
            </w:r>
          </w:p>
        </w:tc>
        <w:tc>
          <w:tcPr>
            <w:tcW w:w="122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UPPER CHESAPEAKE MEDICAL</w:t>
            </w:r>
          </w:p>
        </w:tc>
        <w:tc>
          <w:tcPr>
            <w:tcW w:w="2440" w:type="dxa"/>
            <w:vAlign w:val="bottom"/>
          </w:tcPr>
          <w:p>
            <w:pPr>
              <w:ind w:left="80"/>
              <w:spacing w:after="0"/>
              <w:rPr>
                <w:sz w:val="20"/>
                <w:szCs w:val="20"/>
                <w:color w:val="auto"/>
              </w:rPr>
            </w:pPr>
            <w:r>
              <w:rPr>
                <w:rFonts w:ascii="Arial" w:cs="Arial" w:eastAsia="Arial" w:hAnsi="Arial"/>
                <w:sz w:val="18"/>
                <w:szCs w:val="18"/>
                <w:color w:val="auto"/>
              </w:rPr>
              <w:t>500 Upper Chesapeake Dr</w:t>
            </w:r>
          </w:p>
        </w:tc>
        <w:tc>
          <w:tcPr>
            <w:tcW w:w="1220" w:type="dxa"/>
            <w:vAlign w:val="bottom"/>
          </w:tcPr>
          <w:p>
            <w:pPr>
              <w:ind w:left="48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ind w:left="380"/>
              <w:spacing w:after="0"/>
              <w:rPr>
                <w:sz w:val="20"/>
                <w:szCs w:val="20"/>
                <w:color w:val="auto"/>
              </w:rPr>
            </w:pPr>
            <w:r>
              <w:rPr>
                <w:rFonts w:ascii="Arial" w:cs="Arial" w:eastAsia="Arial" w:hAnsi="Arial"/>
                <w:sz w:val="18"/>
                <w:szCs w:val="18"/>
                <w:color w:val="auto"/>
              </w:rPr>
              <w:t>CNTR</w:t>
            </w:r>
          </w:p>
        </w:tc>
        <w:tc>
          <w:tcPr>
            <w:tcW w:w="2440" w:type="dxa"/>
            <w:vAlign w:val="bottom"/>
          </w:tcPr>
          <w:p>
            <w:pPr>
              <w:ind w:left="80"/>
              <w:spacing w:after="0"/>
              <w:rPr>
                <w:sz w:val="20"/>
                <w:szCs w:val="20"/>
                <w:color w:val="auto"/>
              </w:rPr>
            </w:pPr>
            <w:r>
              <w:rPr>
                <w:rFonts w:ascii="Arial" w:cs="Arial" w:eastAsia="Arial" w:hAnsi="Arial"/>
                <w:sz w:val="18"/>
                <w:szCs w:val="18"/>
                <w:color w:val="auto"/>
              </w:rPr>
              <w:t>Bel Air, MD 21014</w:t>
            </w:r>
          </w:p>
        </w:tc>
        <w:tc>
          <w:tcPr>
            <w:tcW w:w="122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INOVA FAIRFAX HOSPITAL</w:t>
            </w:r>
          </w:p>
        </w:tc>
        <w:tc>
          <w:tcPr>
            <w:tcW w:w="2440" w:type="dxa"/>
            <w:vAlign w:val="bottom"/>
          </w:tcPr>
          <w:p>
            <w:pPr>
              <w:ind w:left="80"/>
              <w:spacing w:after="0"/>
              <w:rPr>
                <w:sz w:val="20"/>
                <w:szCs w:val="20"/>
                <w:color w:val="auto"/>
              </w:rPr>
            </w:pPr>
            <w:r>
              <w:rPr>
                <w:rFonts w:ascii="Arial" w:cs="Arial" w:eastAsia="Arial" w:hAnsi="Arial"/>
                <w:sz w:val="18"/>
                <w:szCs w:val="18"/>
                <w:color w:val="auto"/>
              </w:rPr>
              <w:t>3300 Gallows Road</w:t>
            </w:r>
          </w:p>
        </w:tc>
        <w:tc>
          <w:tcPr>
            <w:tcW w:w="1220" w:type="dxa"/>
            <w:vAlign w:val="bottom"/>
          </w:tcPr>
          <w:p>
            <w:pPr>
              <w:ind w:left="48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440" w:type="dxa"/>
            <w:vAlign w:val="bottom"/>
          </w:tcPr>
          <w:p>
            <w:pPr>
              <w:ind w:left="80"/>
              <w:spacing w:after="0"/>
              <w:rPr>
                <w:sz w:val="20"/>
                <w:szCs w:val="20"/>
                <w:color w:val="auto"/>
              </w:rPr>
            </w:pPr>
            <w:r>
              <w:rPr>
                <w:rFonts w:ascii="Arial" w:cs="Arial" w:eastAsia="Arial" w:hAnsi="Arial"/>
                <w:sz w:val="18"/>
                <w:szCs w:val="18"/>
                <w:color w:val="auto"/>
              </w:rPr>
              <w:t>Falls Church, VA 22033</w:t>
            </w:r>
          </w:p>
        </w:tc>
        <w:tc>
          <w:tcPr>
            <w:tcW w:w="122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CASCADE SURGERY CENTER</w:t>
            </w:r>
          </w:p>
        </w:tc>
        <w:tc>
          <w:tcPr>
            <w:tcW w:w="2440" w:type="dxa"/>
            <w:vAlign w:val="bottom"/>
          </w:tcPr>
          <w:p>
            <w:pPr>
              <w:ind w:left="80"/>
              <w:spacing w:after="0"/>
              <w:rPr>
                <w:sz w:val="20"/>
                <w:szCs w:val="20"/>
                <w:color w:val="auto"/>
              </w:rPr>
            </w:pPr>
            <w:r>
              <w:rPr>
                <w:rFonts w:ascii="Arial" w:cs="Arial" w:eastAsia="Arial" w:hAnsi="Arial"/>
                <w:sz w:val="18"/>
                <w:szCs w:val="18"/>
                <w:color w:val="auto"/>
              </w:rPr>
              <w:t>2200 NE Neff Road</w:t>
            </w:r>
          </w:p>
        </w:tc>
        <w:tc>
          <w:tcPr>
            <w:tcW w:w="1220" w:type="dxa"/>
            <w:vAlign w:val="bottom"/>
          </w:tcPr>
          <w:p>
            <w:pPr>
              <w:ind w:left="480"/>
              <w:spacing w:after="0"/>
              <w:rPr>
                <w:sz w:val="20"/>
                <w:szCs w:val="20"/>
                <w:color w:val="auto"/>
              </w:rPr>
            </w:pPr>
            <w:r>
              <w:rPr>
                <w:rFonts w:ascii="Arial" w:cs="Arial" w:eastAsia="Arial" w:hAnsi="Arial"/>
                <w:sz w:val="18"/>
                <w:szCs w:val="18"/>
                <w:color w:val="auto"/>
                <w:w w:val="83"/>
              </w:rPr>
              <w:t>Consignee</w:t>
            </w:r>
          </w:p>
        </w:tc>
      </w:tr>
      <w:tr>
        <w:trPr>
          <w:trHeight w:val="216"/>
        </w:trPr>
        <w:tc>
          <w:tcPr>
            <w:tcW w:w="27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440" w:type="dxa"/>
            <w:vAlign w:val="bottom"/>
          </w:tcPr>
          <w:p>
            <w:pPr>
              <w:ind w:left="80"/>
              <w:spacing w:after="0"/>
              <w:rPr>
                <w:sz w:val="20"/>
                <w:szCs w:val="20"/>
                <w:color w:val="auto"/>
              </w:rPr>
            </w:pPr>
            <w:r>
              <w:rPr>
                <w:rFonts w:ascii="Arial" w:cs="Arial" w:eastAsia="Arial" w:hAnsi="Arial"/>
                <w:sz w:val="18"/>
                <w:szCs w:val="18"/>
                <w:color w:val="auto"/>
              </w:rPr>
              <w:t>Suite #100</w:t>
            </w:r>
          </w:p>
        </w:tc>
        <w:tc>
          <w:tcPr>
            <w:tcW w:w="1220" w:type="dxa"/>
            <w:vAlign w:val="bottom"/>
          </w:tcPr>
          <w:p>
            <w:pPr>
              <w:spacing w:after="0"/>
              <w:rPr>
                <w:sz w:val="18"/>
                <w:szCs w:val="18"/>
                <w:color w:val="auto"/>
              </w:rPr>
            </w:pP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440" w:type="dxa"/>
            <w:vAlign w:val="bottom"/>
          </w:tcPr>
          <w:p>
            <w:pPr>
              <w:ind w:left="80"/>
              <w:spacing w:after="0"/>
              <w:rPr>
                <w:sz w:val="20"/>
                <w:szCs w:val="20"/>
                <w:color w:val="auto"/>
              </w:rPr>
            </w:pPr>
            <w:r>
              <w:rPr>
                <w:rFonts w:ascii="Arial" w:cs="Arial" w:eastAsia="Arial" w:hAnsi="Arial"/>
                <w:sz w:val="18"/>
                <w:szCs w:val="18"/>
                <w:color w:val="auto"/>
              </w:rPr>
              <w:t>Bend, OR 97701</w:t>
            </w:r>
          </w:p>
        </w:tc>
        <w:tc>
          <w:tcPr>
            <w:tcW w:w="122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NEW HANOVER/CAPE FEAR</w:t>
            </w:r>
          </w:p>
        </w:tc>
        <w:tc>
          <w:tcPr>
            <w:tcW w:w="2440" w:type="dxa"/>
            <w:vAlign w:val="bottom"/>
          </w:tcPr>
          <w:p>
            <w:pPr>
              <w:ind w:left="80"/>
              <w:spacing w:after="0"/>
              <w:rPr>
                <w:sz w:val="20"/>
                <w:szCs w:val="20"/>
                <w:color w:val="auto"/>
              </w:rPr>
            </w:pPr>
            <w:r>
              <w:rPr>
                <w:rFonts w:ascii="Arial" w:cs="Arial" w:eastAsia="Arial" w:hAnsi="Arial"/>
                <w:sz w:val="18"/>
                <w:szCs w:val="18"/>
                <w:color w:val="auto"/>
              </w:rPr>
              <w:t>5301 Wrightsville Ave</w:t>
            </w:r>
          </w:p>
        </w:tc>
        <w:tc>
          <w:tcPr>
            <w:tcW w:w="1220" w:type="dxa"/>
            <w:vAlign w:val="bottom"/>
          </w:tcPr>
          <w:p>
            <w:pPr>
              <w:ind w:left="48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ind w:left="380"/>
              <w:spacing w:after="0"/>
              <w:rPr>
                <w:sz w:val="20"/>
                <w:szCs w:val="20"/>
                <w:color w:val="auto"/>
              </w:rPr>
            </w:pPr>
            <w:r>
              <w:rPr>
                <w:rFonts w:ascii="Arial" w:cs="Arial" w:eastAsia="Arial" w:hAnsi="Arial"/>
                <w:sz w:val="18"/>
                <w:szCs w:val="18"/>
                <w:color w:val="auto"/>
              </w:rPr>
              <w:t>HOSPITAL</w:t>
            </w:r>
          </w:p>
        </w:tc>
        <w:tc>
          <w:tcPr>
            <w:tcW w:w="2440" w:type="dxa"/>
            <w:vAlign w:val="bottom"/>
          </w:tcPr>
          <w:p>
            <w:pPr>
              <w:ind w:left="80"/>
              <w:spacing w:after="0"/>
              <w:rPr>
                <w:sz w:val="20"/>
                <w:szCs w:val="20"/>
                <w:color w:val="auto"/>
              </w:rPr>
            </w:pPr>
            <w:r>
              <w:rPr>
                <w:rFonts w:ascii="Arial" w:cs="Arial" w:eastAsia="Arial" w:hAnsi="Arial"/>
                <w:sz w:val="18"/>
                <w:szCs w:val="18"/>
                <w:color w:val="auto"/>
              </w:rPr>
              <w:t>Wilmington, NC 28403</w:t>
            </w:r>
          </w:p>
        </w:tc>
        <w:tc>
          <w:tcPr>
            <w:tcW w:w="1220" w:type="dxa"/>
            <w:vAlign w:val="bottom"/>
          </w:tcPr>
          <w:p>
            <w:pPr>
              <w:spacing w:after="0"/>
              <w:rPr>
                <w:sz w:val="19"/>
                <w:szCs w:val="19"/>
                <w:color w:val="auto"/>
              </w:rPr>
            </w:pPr>
          </w:p>
        </w:tc>
      </w:tr>
    </w:tbl>
    <w:p>
      <w:pPr>
        <w:sectPr>
          <w:pgSz w:w="11900" w:h="16838" w:orient="portrait"/>
          <w:cols w:equalWidth="0" w:num="1">
            <w:col w:w="10219"/>
          </w:cols>
          <w:pgMar w:left="240" w:top="279" w:right="1440" w:bottom="1440" w:gutter="0" w:footer="0" w:header="0"/>
        </w:sectPr>
      </w:pPr>
    </w:p>
    <w:bookmarkStart w:id="329" w:name="page330"/>
    <w:bookmarkEnd w:id="32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SOUTHERN CA CENTER FOR</w:t>
            </w:r>
          </w:p>
        </w:tc>
        <w:tc>
          <w:tcPr>
            <w:tcW w:w="2540" w:type="dxa"/>
            <w:vAlign w:val="bottom"/>
          </w:tcPr>
          <w:p>
            <w:pPr>
              <w:ind w:left="60"/>
              <w:spacing w:after="0"/>
              <w:rPr>
                <w:sz w:val="20"/>
                <w:szCs w:val="20"/>
                <w:color w:val="auto"/>
              </w:rPr>
            </w:pPr>
            <w:r>
              <w:rPr>
                <w:rFonts w:ascii="Arial" w:cs="Arial" w:eastAsia="Arial" w:hAnsi="Arial"/>
                <w:sz w:val="18"/>
                <w:szCs w:val="18"/>
                <w:color w:val="auto"/>
              </w:rPr>
              <w:t>6815 Noble Avenue</w:t>
            </w:r>
          </w:p>
        </w:tc>
        <w:tc>
          <w:tcPr>
            <w:tcW w:w="1100" w:type="dxa"/>
            <w:vAlign w:val="bottom"/>
          </w:tcPr>
          <w:p>
            <w:pPr>
              <w:ind w:left="36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ind w:left="380"/>
              <w:spacing w:after="0"/>
              <w:rPr>
                <w:sz w:val="20"/>
                <w:szCs w:val="20"/>
                <w:color w:val="auto"/>
              </w:rPr>
            </w:pPr>
            <w:r>
              <w:rPr>
                <w:rFonts w:ascii="Arial" w:cs="Arial" w:eastAsia="Arial" w:hAnsi="Arial"/>
                <w:sz w:val="18"/>
                <w:szCs w:val="18"/>
                <w:color w:val="auto"/>
              </w:rPr>
              <w:t>ORTHOPEDIC SURGERY</w:t>
            </w:r>
          </w:p>
        </w:tc>
        <w:tc>
          <w:tcPr>
            <w:tcW w:w="2540" w:type="dxa"/>
            <w:vAlign w:val="bottom"/>
          </w:tcPr>
          <w:p>
            <w:pPr>
              <w:ind w:left="60"/>
              <w:spacing w:after="0"/>
              <w:rPr>
                <w:sz w:val="20"/>
                <w:szCs w:val="20"/>
                <w:color w:val="auto"/>
              </w:rPr>
            </w:pPr>
            <w:r>
              <w:rPr>
                <w:rFonts w:ascii="Arial" w:cs="Arial" w:eastAsia="Arial" w:hAnsi="Arial"/>
                <w:sz w:val="18"/>
                <w:szCs w:val="18"/>
                <w:color w:val="auto"/>
              </w:rPr>
              <w:t>Van Nuys, CA 91405</w:t>
            </w:r>
          </w:p>
        </w:tc>
        <w:tc>
          <w:tcPr>
            <w:tcW w:w="110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HEARTLAND REGIONAL</w:t>
            </w:r>
          </w:p>
        </w:tc>
        <w:tc>
          <w:tcPr>
            <w:tcW w:w="2540" w:type="dxa"/>
            <w:vAlign w:val="bottom"/>
          </w:tcPr>
          <w:p>
            <w:pPr>
              <w:ind w:left="60"/>
              <w:spacing w:after="0"/>
              <w:rPr>
                <w:sz w:val="20"/>
                <w:szCs w:val="20"/>
                <w:color w:val="auto"/>
              </w:rPr>
            </w:pPr>
            <w:r>
              <w:rPr>
                <w:rFonts w:ascii="Arial" w:cs="Arial" w:eastAsia="Arial" w:hAnsi="Arial"/>
                <w:sz w:val="18"/>
                <w:szCs w:val="18"/>
                <w:color w:val="auto"/>
              </w:rPr>
              <w:t>5325 Faron Street</w:t>
            </w:r>
          </w:p>
        </w:tc>
        <w:tc>
          <w:tcPr>
            <w:tcW w:w="1100" w:type="dxa"/>
            <w:vAlign w:val="bottom"/>
          </w:tcPr>
          <w:p>
            <w:pPr>
              <w:ind w:left="36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ind w:left="380"/>
              <w:spacing w:after="0"/>
              <w:rPr>
                <w:sz w:val="20"/>
                <w:szCs w:val="20"/>
                <w:color w:val="auto"/>
              </w:rPr>
            </w:pPr>
            <w:r>
              <w:rPr>
                <w:rFonts w:ascii="Arial" w:cs="Arial" w:eastAsia="Arial" w:hAnsi="Arial"/>
                <w:sz w:val="18"/>
                <w:szCs w:val="18"/>
                <w:color w:val="auto"/>
              </w:rPr>
              <w:t>MEDICAL CENTER</w:t>
            </w:r>
          </w:p>
        </w:tc>
        <w:tc>
          <w:tcPr>
            <w:tcW w:w="2540" w:type="dxa"/>
            <w:vAlign w:val="bottom"/>
          </w:tcPr>
          <w:p>
            <w:pPr>
              <w:ind w:left="60"/>
              <w:spacing w:after="0"/>
              <w:rPr>
                <w:sz w:val="20"/>
                <w:szCs w:val="20"/>
                <w:color w:val="auto"/>
              </w:rPr>
            </w:pPr>
            <w:r>
              <w:rPr>
                <w:rFonts w:ascii="Arial" w:cs="Arial" w:eastAsia="Arial" w:hAnsi="Arial"/>
                <w:sz w:val="18"/>
                <w:szCs w:val="18"/>
                <w:color w:val="auto"/>
              </w:rPr>
              <w:t>St. Joseph MO 64506</w:t>
            </w:r>
          </w:p>
        </w:tc>
        <w:tc>
          <w:tcPr>
            <w:tcW w:w="110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w w:val="99"/>
              </w:rPr>
              <w:t>SINAI HOSPITAL OF BALTIMORE</w:t>
            </w:r>
          </w:p>
        </w:tc>
        <w:tc>
          <w:tcPr>
            <w:tcW w:w="2540" w:type="dxa"/>
            <w:vAlign w:val="bottom"/>
          </w:tcPr>
          <w:p>
            <w:pPr>
              <w:ind w:left="60"/>
              <w:spacing w:after="0"/>
              <w:rPr>
                <w:sz w:val="20"/>
                <w:szCs w:val="20"/>
                <w:color w:val="auto"/>
              </w:rPr>
            </w:pPr>
            <w:r>
              <w:rPr>
                <w:rFonts w:ascii="Arial" w:cs="Arial" w:eastAsia="Arial" w:hAnsi="Arial"/>
                <w:sz w:val="18"/>
                <w:szCs w:val="18"/>
                <w:color w:val="auto"/>
              </w:rPr>
              <w:t>2401 W Belvedere Ave</w:t>
            </w:r>
          </w:p>
        </w:tc>
        <w:tc>
          <w:tcPr>
            <w:tcW w:w="1100" w:type="dxa"/>
            <w:vAlign w:val="bottom"/>
          </w:tcPr>
          <w:p>
            <w:pPr>
              <w:ind w:left="36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auto"/>
              </w:rPr>
              <w:t>Baltimore, MD 21215</w:t>
            </w:r>
          </w:p>
        </w:tc>
        <w:tc>
          <w:tcPr>
            <w:tcW w:w="110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w w:val="99"/>
              </w:rPr>
              <w:t>ST VINCENT SURGERY CENTER</w:t>
            </w:r>
          </w:p>
        </w:tc>
        <w:tc>
          <w:tcPr>
            <w:tcW w:w="2540" w:type="dxa"/>
            <w:vAlign w:val="bottom"/>
          </w:tcPr>
          <w:p>
            <w:pPr>
              <w:ind w:left="60"/>
              <w:spacing w:after="0"/>
              <w:rPr>
                <w:sz w:val="20"/>
                <w:szCs w:val="20"/>
                <w:color w:val="auto"/>
              </w:rPr>
            </w:pPr>
            <w:r>
              <w:rPr>
                <w:rFonts w:ascii="Arial" w:cs="Arial" w:eastAsia="Arial" w:hAnsi="Arial"/>
                <w:sz w:val="18"/>
                <w:szCs w:val="18"/>
                <w:color w:val="auto"/>
              </w:rPr>
              <w:t>227 E McAllistar Drive</w:t>
            </w:r>
          </w:p>
        </w:tc>
        <w:tc>
          <w:tcPr>
            <w:tcW w:w="1100" w:type="dxa"/>
            <w:vAlign w:val="bottom"/>
          </w:tcPr>
          <w:p>
            <w:pPr>
              <w:ind w:left="36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ind w:left="380"/>
              <w:spacing w:after="0"/>
              <w:rPr>
                <w:sz w:val="20"/>
                <w:szCs w:val="20"/>
                <w:color w:val="auto"/>
              </w:rPr>
            </w:pPr>
            <w:r>
              <w:rPr>
                <w:rFonts w:ascii="Arial" w:cs="Arial" w:eastAsia="Arial" w:hAnsi="Arial"/>
                <w:sz w:val="18"/>
                <w:szCs w:val="18"/>
                <w:color w:val="auto"/>
              </w:rPr>
              <w:t>OF TERRE HAUTE</w:t>
            </w:r>
          </w:p>
        </w:tc>
        <w:tc>
          <w:tcPr>
            <w:tcW w:w="2540" w:type="dxa"/>
            <w:vAlign w:val="bottom"/>
          </w:tcPr>
          <w:p>
            <w:pPr>
              <w:ind w:left="60"/>
              <w:spacing w:after="0"/>
              <w:rPr>
                <w:sz w:val="20"/>
                <w:szCs w:val="20"/>
                <w:color w:val="auto"/>
              </w:rPr>
            </w:pPr>
            <w:r>
              <w:rPr>
                <w:rFonts w:ascii="Arial" w:cs="Arial" w:eastAsia="Arial" w:hAnsi="Arial"/>
                <w:sz w:val="18"/>
                <w:szCs w:val="18"/>
                <w:color w:val="auto"/>
              </w:rPr>
              <w:t>Terre Haute, IN</w:t>
            </w:r>
          </w:p>
        </w:tc>
        <w:tc>
          <w:tcPr>
            <w:tcW w:w="110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COOPER HEALTH SYSTEM</w:t>
            </w:r>
          </w:p>
        </w:tc>
        <w:tc>
          <w:tcPr>
            <w:tcW w:w="2540" w:type="dxa"/>
            <w:vAlign w:val="bottom"/>
          </w:tcPr>
          <w:p>
            <w:pPr>
              <w:ind w:left="60"/>
              <w:spacing w:after="0"/>
              <w:rPr>
                <w:sz w:val="20"/>
                <w:szCs w:val="20"/>
                <w:color w:val="auto"/>
              </w:rPr>
            </w:pPr>
            <w:r>
              <w:rPr>
                <w:rFonts w:ascii="Arial" w:cs="Arial" w:eastAsia="Arial" w:hAnsi="Arial"/>
                <w:sz w:val="18"/>
                <w:szCs w:val="18"/>
                <w:color w:val="auto"/>
              </w:rPr>
              <w:t>1 Cooper Plaza</w:t>
            </w:r>
          </w:p>
        </w:tc>
        <w:tc>
          <w:tcPr>
            <w:tcW w:w="1100" w:type="dxa"/>
            <w:vAlign w:val="bottom"/>
          </w:tcPr>
          <w:p>
            <w:pPr>
              <w:ind w:left="36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auto"/>
              </w:rPr>
              <w:t>Camden, NJ 08103</w:t>
            </w:r>
          </w:p>
        </w:tc>
        <w:tc>
          <w:tcPr>
            <w:tcW w:w="110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CHRISTIANA CARE HEALTH</w:t>
            </w:r>
          </w:p>
        </w:tc>
        <w:tc>
          <w:tcPr>
            <w:tcW w:w="2540" w:type="dxa"/>
            <w:vAlign w:val="bottom"/>
          </w:tcPr>
          <w:p>
            <w:pPr>
              <w:ind w:left="60"/>
              <w:spacing w:after="0"/>
              <w:rPr>
                <w:sz w:val="20"/>
                <w:szCs w:val="20"/>
                <w:color w:val="auto"/>
              </w:rPr>
            </w:pPr>
            <w:r>
              <w:rPr>
                <w:rFonts w:ascii="Arial" w:cs="Arial" w:eastAsia="Arial" w:hAnsi="Arial"/>
                <w:sz w:val="18"/>
                <w:szCs w:val="18"/>
                <w:color w:val="auto"/>
              </w:rPr>
              <w:t>4755 Ogletown-Stanton Road</w:t>
            </w:r>
          </w:p>
        </w:tc>
        <w:tc>
          <w:tcPr>
            <w:tcW w:w="1100" w:type="dxa"/>
            <w:vAlign w:val="bottom"/>
          </w:tcPr>
          <w:p>
            <w:pPr>
              <w:ind w:left="36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ind w:left="380"/>
              <w:spacing w:after="0"/>
              <w:rPr>
                <w:sz w:val="20"/>
                <w:szCs w:val="20"/>
                <w:color w:val="auto"/>
              </w:rPr>
            </w:pPr>
            <w:r>
              <w:rPr>
                <w:rFonts w:ascii="Arial" w:cs="Arial" w:eastAsia="Arial" w:hAnsi="Arial"/>
                <w:sz w:val="18"/>
                <w:szCs w:val="18"/>
                <w:color w:val="auto"/>
              </w:rPr>
              <w:t>SERVICES</w:t>
            </w:r>
          </w:p>
        </w:tc>
        <w:tc>
          <w:tcPr>
            <w:tcW w:w="2540" w:type="dxa"/>
            <w:vAlign w:val="bottom"/>
          </w:tcPr>
          <w:p>
            <w:pPr>
              <w:ind w:left="60"/>
              <w:spacing w:after="0"/>
              <w:rPr>
                <w:sz w:val="20"/>
                <w:szCs w:val="20"/>
                <w:color w:val="auto"/>
              </w:rPr>
            </w:pPr>
            <w:r>
              <w:rPr>
                <w:rFonts w:ascii="Arial" w:cs="Arial" w:eastAsia="Arial" w:hAnsi="Arial"/>
                <w:sz w:val="18"/>
                <w:szCs w:val="18"/>
                <w:color w:val="auto"/>
              </w:rPr>
              <w:t>Newark, DE 19718</w:t>
            </w:r>
          </w:p>
        </w:tc>
        <w:tc>
          <w:tcPr>
            <w:tcW w:w="110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INSTITUTE OF OUTPATIENT</w:t>
            </w:r>
          </w:p>
        </w:tc>
        <w:tc>
          <w:tcPr>
            <w:tcW w:w="2540" w:type="dxa"/>
            <w:vAlign w:val="bottom"/>
          </w:tcPr>
          <w:p>
            <w:pPr>
              <w:ind w:left="60"/>
              <w:spacing w:after="0"/>
              <w:rPr>
                <w:sz w:val="20"/>
                <w:szCs w:val="20"/>
                <w:color w:val="auto"/>
              </w:rPr>
            </w:pPr>
            <w:r>
              <w:rPr>
                <w:rFonts w:ascii="Arial" w:cs="Arial" w:eastAsia="Arial" w:hAnsi="Arial"/>
                <w:sz w:val="18"/>
                <w:szCs w:val="18"/>
                <w:color w:val="auto"/>
              </w:rPr>
              <w:t>402 Keen Street</w:t>
            </w:r>
          </w:p>
        </w:tc>
        <w:tc>
          <w:tcPr>
            <w:tcW w:w="1100" w:type="dxa"/>
            <w:vAlign w:val="bottom"/>
          </w:tcPr>
          <w:p>
            <w:pPr>
              <w:ind w:left="360"/>
              <w:spacing w:after="0"/>
              <w:rPr>
                <w:sz w:val="20"/>
                <w:szCs w:val="20"/>
                <w:color w:val="auto"/>
              </w:rPr>
            </w:pPr>
            <w:r>
              <w:rPr>
                <w:rFonts w:ascii="Arial" w:cs="Arial" w:eastAsia="Arial" w:hAnsi="Arial"/>
                <w:sz w:val="18"/>
                <w:szCs w:val="18"/>
                <w:color w:val="auto"/>
                <w:w w:val="83"/>
              </w:rPr>
              <w:t>Consignee</w:t>
            </w:r>
          </w:p>
        </w:tc>
      </w:tr>
      <w:tr>
        <w:trPr>
          <w:trHeight w:val="216"/>
        </w:trPr>
        <w:tc>
          <w:tcPr>
            <w:tcW w:w="2720" w:type="dxa"/>
            <w:vAlign w:val="bottom"/>
          </w:tcPr>
          <w:p>
            <w:pPr>
              <w:spacing w:after="0"/>
              <w:rPr>
                <w:sz w:val="18"/>
                <w:szCs w:val="18"/>
                <w:color w:val="auto"/>
              </w:rPr>
            </w:pPr>
          </w:p>
        </w:tc>
        <w:tc>
          <w:tcPr>
            <w:tcW w:w="3180" w:type="dxa"/>
            <w:vAlign w:val="bottom"/>
          </w:tcPr>
          <w:p>
            <w:pPr>
              <w:ind w:left="380"/>
              <w:spacing w:after="0"/>
              <w:rPr>
                <w:sz w:val="20"/>
                <w:szCs w:val="20"/>
                <w:color w:val="auto"/>
              </w:rPr>
            </w:pPr>
            <w:r>
              <w:rPr>
                <w:rFonts w:ascii="Arial" w:cs="Arial" w:eastAsia="Arial" w:hAnsi="Arial"/>
                <w:sz w:val="18"/>
                <w:szCs w:val="18"/>
                <w:color w:val="auto"/>
              </w:rPr>
              <w:t>SURGERY</w:t>
            </w:r>
          </w:p>
        </w:tc>
        <w:tc>
          <w:tcPr>
            <w:tcW w:w="2540" w:type="dxa"/>
            <w:vAlign w:val="bottom"/>
          </w:tcPr>
          <w:p>
            <w:pPr>
              <w:ind w:left="60"/>
              <w:spacing w:after="0"/>
              <w:rPr>
                <w:sz w:val="20"/>
                <w:szCs w:val="20"/>
                <w:color w:val="auto"/>
              </w:rPr>
            </w:pPr>
            <w:r>
              <w:rPr>
                <w:rFonts w:ascii="Arial" w:cs="Arial" w:eastAsia="Arial" w:hAnsi="Arial"/>
                <w:sz w:val="18"/>
                <w:szCs w:val="18"/>
                <w:color w:val="auto"/>
              </w:rPr>
              <w:t>Suite 200</w:t>
            </w:r>
          </w:p>
        </w:tc>
        <w:tc>
          <w:tcPr>
            <w:tcW w:w="1100" w:type="dxa"/>
            <w:vAlign w:val="bottom"/>
          </w:tcPr>
          <w:p>
            <w:pPr>
              <w:spacing w:after="0"/>
              <w:rPr>
                <w:sz w:val="18"/>
                <w:szCs w:val="18"/>
                <w:color w:val="auto"/>
              </w:rPr>
            </w:pPr>
          </w:p>
        </w:tc>
      </w:tr>
      <w:tr>
        <w:trPr>
          <w:trHeight w:val="222"/>
        </w:trPr>
        <w:tc>
          <w:tcPr>
            <w:tcW w:w="27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auto"/>
              </w:rPr>
              <w:t>Columbia, MO 65201</w:t>
            </w:r>
          </w:p>
        </w:tc>
        <w:tc>
          <w:tcPr>
            <w:tcW w:w="110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CROSSGATE RIVER</w:t>
            </w:r>
          </w:p>
        </w:tc>
        <w:tc>
          <w:tcPr>
            <w:tcW w:w="2540" w:type="dxa"/>
            <w:vAlign w:val="bottom"/>
          </w:tcPr>
          <w:p>
            <w:pPr>
              <w:ind w:left="60"/>
              <w:spacing w:after="0"/>
              <w:rPr>
                <w:sz w:val="20"/>
                <w:szCs w:val="20"/>
                <w:color w:val="auto"/>
              </w:rPr>
            </w:pPr>
            <w:r>
              <w:rPr>
                <w:rFonts w:ascii="Arial" w:cs="Arial" w:eastAsia="Arial" w:hAnsi="Arial"/>
                <w:sz w:val="18"/>
                <w:szCs w:val="18"/>
                <w:color w:val="auto"/>
              </w:rPr>
              <w:t>350 Crossgates Blvd</w:t>
            </w:r>
          </w:p>
        </w:tc>
        <w:tc>
          <w:tcPr>
            <w:tcW w:w="1100" w:type="dxa"/>
            <w:vAlign w:val="bottom"/>
          </w:tcPr>
          <w:p>
            <w:pPr>
              <w:ind w:left="36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ind w:left="380"/>
              <w:spacing w:after="0"/>
              <w:rPr>
                <w:sz w:val="20"/>
                <w:szCs w:val="20"/>
                <w:color w:val="auto"/>
              </w:rPr>
            </w:pPr>
            <w:r>
              <w:rPr>
                <w:rFonts w:ascii="Arial" w:cs="Arial" w:eastAsia="Arial" w:hAnsi="Arial"/>
                <w:sz w:val="18"/>
                <w:szCs w:val="18"/>
                <w:color w:val="auto"/>
              </w:rPr>
              <w:t>OAKS</w:t>
            </w:r>
          </w:p>
        </w:tc>
        <w:tc>
          <w:tcPr>
            <w:tcW w:w="2540" w:type="dxa"/>
            <w:vAlign w:val="bottom"/>
          </w:tcPr>
          <w:p>
            <w:pPr>
              <w:ind w:left="60"/>
              <w:spacing w:after="0"/>
              <w:rPr>
                <w:sz w:val="20"/>
                <w:szCs w:val="20"/>
                <w:color w:val="auto"/>
              </w:rPr>
            </w:pPr>
            <w:r>
              <w:rPr>
                <w:rFonts w:ascii="Arial" w:cs="Arial" w:eastAsia="Arial" w:hAnsi="Arial"/>
                <w:sz w:val="18"/>
                <w:szCs w:val="18"/>
                <w:color w:val="auto"/>
              </w:rPr>
              <w:t>Brandon, MS 39042</w:t>
            </w:r>
          </w:p>
        </w:tc>
        <w:tc>
          <w:tcPr>
            <w:tcW w:w="110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ST LUKES HOSPITAL</w:t>
            </w:r>
          </w:p>
        </w:tc>
        <w:tc>
          <w:tcPr>
            <w:tcW w:w="2540" w:type="dxa"/>
            <w:vAlign w:val="bottom"/>
          </w:tcPr>
          <w:p>
            <w:pPr>
              <w:ind w:left="60"/>
              <w:spacing w:after="0"/>
              <w:rPr>
                <w:sz w:val="20"/>
                <w:szCs w:val="20"/>
                <w:color w:val="auto"/>
              </w:rPr>
            </w:pPr>
            <w:r>
              <w:rPr>
                <w:rFonts w:ascii="Arial" w:cs="Arial" w:eastAsia="Arial" w:hAnsi="Arial"/>
                <w:sz w:val="18"/>
                <w:szCs w:val="18"/>
                <w:color w:val="auto"/>
              </w:rPr>
              <w:t>PO Box 343930</w:t>
            </w:r>
          </w:p>
        </w:tc>
        <w:tc>
          <w:tcPr>
            <w:tcW w:w="1100" w:type="dxa"/>
            <w:vAlign w:val="bottom"/>
          </w:tcPr>
          <w:p>
            <w:pPr>
              <w:ind w:left="36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auto"/>
              </w:rPr>
              <w:t>Milwaukee, WI</w:t>
            </w:r>
          </w:p>
        </w:tc>
        <w:tc>
          <w:tcPr>
            <w:tcW w:w="110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SOUTH AUSTIN SURGERY</w:t>
            </w:r>
          </w:p>
        </w:tc>
        <w:tc>
          <w:tcPr>
            <w:tcW w:w="2540" w:type="dxa"/>
            <w:vAlign w:val="bottom"/>
          </w:tcPr>
          <w:p>
            <w:pPr>
              <w:ind w:left="60"/>
              <w:spacing w:after="0"/>
              <w:rPr>
                <w:sz w:val="20"/>
                <w:szCs w:val="20"/>
                <w:color w:val="auto"/>
              </w:rPr>
            </w:pPr>
            <w:r>
              <w:rPr>
                <w:rFonts w:ascii="Arial" w:cs="Arial" w:eastAsia="Arial" w:hAnsi="Arial"/>
                <w:sz w:val="18"/>
                <w:szCs w:val="18"/>
                <w:color w:val="auto"/>
              </w:rPr>
              <w:t>4207 James Casey Street</w:t>
            </w:r>
          </w:p>
        </w:tc>
        <w:tc>
          <w:tcPr>
            <w:tcW w:w="1100" w:type="dxa"/>
            <w:vAlign w:val="bottom"/>
          </w:tcPr>
          <w:p>
            <w:pPr>
              <w:ind w:left="36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ind w:left="380"/>
              <w:spacing w:after="0"/>
              <w:rPr>
                <w:sz w:val="20"/>
                <w:szCs w:val="20"/>
                <w:color w:val="auto"/>
              </w:rPr>
            </w:pPr>
            <w:r>
              <w:rPr>
                <w:rFonts w:ascii="Arial" w:cs="Arial" w:eastAsia="Arial" w:hAnsi="Arial"/>
                <w:sz w:val="18"/>
                <w:szCs w:val="18"/>
                <w:color w:val="auto"/>
              </w:rPr>
              <w:t>CENTER</w:t>
            </w:r>
          </w:p>
        </w:tc>
        <w:tc>
          <w:tcPr>
            <w:tcW w:w="2540" w:type="dxa"/>
            <w:vAlign w:val="bottom"/>
          </w:tcPr>
          <w:p>
            <w:pPr>
              <w:ind w:left="60"/>
              <w:spacing w:after="0"/>
              <w:rPr>
                <w:sz w:val="20"/>
                <w:szCs w:val="20"/>
                <w:color w:val="auto"/>
              </w:rPr>
            </w:pPr>
            <w:r>
              <w:rPr>
                <w:rFonts w:ascii="Arial" w:cs="Arial" w:eastAsia="Arial" w:hAnsi="Arial"/>
                <w:sz w:val="18"/>
                <w:szCs w:val="18"/>
                <w:color w:val="auto"/>
              </w:rPr>
              <w:t>Austin, TX 78745</w:t>
            </w:r>
          </w:p>
        </w:tc>
        <w:tc>
          <w:tcPr>
            <w:tcW w:w="110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w w:val="96"/>
              </w:rPr>
              <w:t>ST LUKES HOSPTIAL OF KANSAS</w:t>
            </w:r>
          </w:p>
        </w:tc>
        <w:tc>
          <w:tcPr>
            <w:tcW w:w="2540" w:type="dxa"/>
            <w:vAlign w:val="bottom"/>
          </w:tcPr>
          <w:p>
            <w:pPr>
              <w:ind w:left="60"/>
              <w:spacing w:after="0"/>
              <w:rPr>
                <w:sz w:val="20"/>
                <w:szCs w:val="20"/>
                <w:color w:val="auto"/>
              </w:rPr>
            </w:pPr>
            <w:r>
              <w:rPr>
                <w:rFonts w:ascii="Arial" w:cs="Arial" w:eastAsia="Arial" w:hAnsi="Arial"/>
                <w:sz w:val="18"/>
                <w:szCs w:val="18"/>
                <w:color w:val="auto"/>
              </w:rPr>
              <w:t>4401Wornall Road</w:t>
            </w:r>
          </w:p>
        </w:tc>
        <w:tc>
          <w:tcPr>
            <w:tcW w:w="1100" w:type="dxa"/>
            <w:vAlign w:val="bottom"/>
          </w:tcPr>
          <w:p>
            <w:pPr>
              <w:ind w:left="36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ind w:left="380"/>
              <w:spacing w:after="0"/>
              <w:rPr>
                <w:sz w:val="20"/>
                <w:szCs w:val="20"/>
                <w:color w:val="auto"/>
              </w:rPr>
            </w:pPr>
            <w:r>
              <w:rPr>
                <w:rFonts w:ascii="Arial" w:cs="Arial" w:eastAsia="Arial" w:hAnsi="Arial"/>
                <w:sz w:val="18"/>
                <w:szCs w:val="18"/>
                <w:color w:val="auto"/>
              </w:rPr>
              <w:t>CITY</w:t>
            </w:r>
          </w:p>
        </w:tc>
        <w:tc>
          <w:tcPr>
            <w:tcW w:w="2540" w:type="dxa"/>
            <w:vAlign w:val="bottom"/>
          </w:tcPr>
          <w:p>
            <w:pPr>
              <w:ind w:left="60"/>
              <w:spacing w:after="0"/>
              <w:rPr>
                <w:sz w:val="20"/>
                <w:szCs w:val="20"/>
                <w:color w:val="auto"/>
              </w:rPr>
            </w:pPr>
            <w:r>
              <w:rPr>
                <w:rFonts w:ascii="Arial" w:cs="Arial" w:eastAsia="Arial" w:hAnsi="Arial"/>
                <w:sz w:val="18"/>
                <w:szCs w:val="18"/>
                <w:color w:val="auto"/>
              </w:rPr>
              <w:t>Kansas City, MO 64111</w:t>
            </w:r>
          </w:p>
        </w:tc>
        <w:tc>
          <w:tcPr>
            <w:tcW w:w="110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CHRISTIAN NE HOSPITAL</w:t>
            </w:r>
          </w:p>
        </w:tc>
        <w:tc>
          <w:tcPr>
            <w:tcW w:w="2540" w:type="dxa"/>
            <w:vAlign w:val="bottom"/>
          </w:tcPr>
          <w:p>
            <w:pPr>
              <w:ind w:left="60"/>
              <w:spacing w:after="0"/>
              <w:rPr>
                <w:sz w:val="20"/>
                <w:szCs w:val="20"/>
                <w:color w:val="auto"/>
              </w:rPr>
            </w:pPr>
            <w:r>
              <w:rPr>
                <w:rFonts w:ascii="Arial" w:cs="Arial" w:eastAsia="Arial" w:hAnsi="Arial"/>
                <w:sz w:val="18"/>
                <w:szCs w:val="18"/>
                <w:color w:val="auto"/>
              </w:rPr>
              <w:t>1113 Dunn Road</w:t>
            </w:r>
          </w:p>
        </w:tc>
        <w:tc>
          <w:tcPr>
            <w:tcW w:w="1100" w:type="dxa"/>
            <w:vAlign w:val="bottom"/>
          </w:tcPr>
          <w:p>
            <w:pPr>
              <w:ind w:left="36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auto"/>
              </w:rPr>
              <w:t>St. Louis, MO 63136</w:t>
            </w:r>
          </w:p>
        </w:tc>
        <w:tc>
          <w:tcPr>
            <w:tcW w:w="110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LATTIMORE SURGERY CENTER</w:t>
            </w:r>
          </w:p>
        </w:tc>
        <w:tc>
          <w:tcPr>
            <w:tcW w:w="2540" w:type="dxa"/>
            <w:vAlign w:val="bottom"/>
          </w:tcPr>
          <w:p>
            <w:pPr>
              <w:ind w:left="60"/>
              <w:spacing w:after="0"/>
              <w:rPr>
                <w:sz w:val="20"/>
                <w:szCs w:val="20"/>
                <w:color w:val="auto"/>
              </w:rPr>
            </w:pPr>
            <w:r>
              <w:rPr>
                <w:rFonts w:ascii="Arial" w:cs="Arial" w:eastAsia="Arial" w:hAnsi="Arial"/>
                <w:sz w:val="18"/>
                <w:szCs w:val="18"/>
                <w:color w:val="auto"/>
              </w:rPr>
              <w:t>125 Lattimore Road</w:t>
            </w:r>
          </w:p>
        </w:tc>
        <w:tc>
          <w:tcPr>
            <w:tcW w:w="1100" w:type="dxa"/>
            <w:vAlign w:val="bottom"/>
          </w:tcPr>
          <w:p>
            <w:pPr>
              <w:ind w:left="36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auto"/>
              </w:rPr>
              <w:t>Rochester, NY 14620</w:t>
            </w:r>
          </w:p>
        </w:tc>
        <w:tc>
          <w:tcPr>
            <w:tcW w:w="110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PROVIDENCE ST JOSEPHS</w:t>
            </w:r>
          </w:p>
        </w:tc>
        <w:tc>
          <w:tcPr>
            <w:tcW w:w="2540" w:type="dxa"/>
            <w:vAlign w:val="bottom"/>
          </w:tcPr>
          <w:p>
            <w:pPr>
              <w:ind w:left="60"/>
              <w:spacing w:after="0"/>
              <w:rPr>
                <w:sz w:val="20"/>
                <w:szCs w:val="20"/>
                <w:color w:val="auto"/>
              </w:rPr>
            </w:pPr>
            <w:r>
              <w:rPr>
                <w:rFonts w:ascii="Arial" w:cs="Arial" w:eastAsia="Arial" w:hAnsi="Arial"/>
                <w:sz w:val="18"/>
                <w:szCs w:val="18"/>
                <w:color w:val="auto"/>
              </w:rPr>
              <w:t>501 S Buena Vista</w:t>
            </w:r>
          </w:p>
        </w:tc>
        <w:tc>
          <w:tcPr>
            <w:tcW w:w="1100" w:type="dxa"/>
            <w:vAlign w:val="bottom"/>
          </w:tcPr>
          <w:p>
            <w:pPr>
              <w:ind w:left="36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ind w:left="380"/>
              <w:spacing w:after="0"/>
              <w:rPr>
                <w:sz w:val="20"/>
                <w:szCs w:val="20"/>
                <w:color w:val="auto"/>
              </w:rPr>
            </w:pPr>
            <w:r>
              <w:rPr>
                <w:rFonts w:ascii="Arial" w:cs="Arial" w:eastAsia="Arial" w:hAnsi="Arial"/>
                <w:sz w:val="18"/>
                <w:szCs w:val="18"/>
                <w:color w:val="auto"/>
              </w:rPr>
              <w:t>HOSPITAL</w:t>
            </w:r>
          </w:p>
        </w:tc>
        <w:tc>
          <w:tcPr>
            <w:tcW w:w="2540" w:type="dxa"/>
            <w:vAlign w:val="bottom"/>
          </w:tcPr>
          <w:p>
            <w:pPr>
              <w:ind w:left="60"/>
              <w:spacing w:after="0"/>
              <w:rPr>
                <w:sz w:val="20"/>
                <w:szCs w:val="20"/>
                <w:color w:val="auto"/>
              </w:rPr>
            </w:pPr>
            <w:r>
              <w:rPr>
                <w:rFonts w:ascii="Arial" w:cs="Arial" w:eastAsia="Arial" w:hAnsi="Arial"/>
                <w:sz w:val="18"/>
                <w:szCs w:val="18"/>
                <w:color w:val="auto"/>
              </w:rPr>
              <w:t>Burbank, CA 91505</w:t>
            </w:r>
          </w:p>
        </w:tc>
        <w:tc>
          <w:tcPr>
            <w:tcW w:w="110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MEMORIAL REGIONAL</w:t>
            </w:r>
          </w:p>
        </w:tc>
        <w:tc>
          <w:tcPr>
            <w:tcW w:w="2540" w:type="dxa"/>
            <w:vAlign w:val="bottom"/>
          </w:tcPr>
          <w:p>
            <w:pPr>
              <w:ind w:left="60"/>
              <w:spacing w:after="0"/>
              <w:rPr>
                <w:sz w:val="20"/>
                <w:szCs w:val="20"/>
                <w:color w:val="auto"/>
              </w:rPr>
            </w:pPr>
            <w:r>
              <w:rPr>
                <w:rFonts w:ascii="Arial" w:cs="Arial" w:eastAsia="Arial" w:hAnsi="Arial"/>
                <w:sz w:val="18"/>
                <w:szCs w:val="18"/>
                <w:color w:val="auto"/>
              </w:rPr>
              <w:t>3501 Johnson Street</w:t>
            </w:r>
          </w:p>
        </w:tc>
        <w:tc>
          <w:tcPr>
            <w:tcW w:w="1100" w:type="dxa"/>
            <w:vAlign w:val="bottom"/>
          </w:tcPr>
          <w:p>
            <w:pPr>
              <w:ind w:left="36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ind w:left="380"/>
              <w:spacing w:after="0"/>
              <w:rPr>
                <w:sz w:val="20"/>
                <w:szCs w:val="20"/>
                <w:color w:val="auto"/>
              </w:rPr>
            </w:pPr>
            <w:r>
              <w:rPr>
                <w:rFonts w:ascii="Arial" w:cs="Arial" w:eastAsia="Arial" w:hAnsi="Arial"/>
                <w:sz w:val="18"/>
                <w:szCs w:val="18"/>
                <w:color w:val="auto"/>
              </w:rPr>
              <w:t>HOSPITAL</w:t>
            </w:r>
          </w:p>
        </w:tc>
        <w:tc>
          <w:tcPr>
            <w:tcW w:w="2540" w:type="dxa"/>
            <w:vAlign w:val="bottom"/>
          </w:tcPr>
          <w:p>
            <w:pPr>
              <w:ind w:left="60"/>
              <w:spacing w:after="0"/>
              <w:rPr>
                <w:sz w:val="20"/>
                <w:szCs w:val="20"/>
                <w:color w:val="auto"/>
              </w:rPr>
            </w:pPr>
            <w:r>
              <w:rPr>
                <w:rFonts w:ascii="Arial" w:cs="Arial" w:eastAsia="Arial" w:hAnsi="Arial"/>
                <w:sz w:val="18"/>
                <w:szCs w:val="18"/>
                <w:color w:val="auto"/>
              </w:rPr>
              <w:t>Hollywood, FL 33021</w:t>
            </w:r>
          </w:p>
        </w:tc>
        <w:tc>
          <w:tcPr>
            <w:tcW w:w="110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HAMOT HOSPITAL</w:t>
            </w:r>
          </w:p>
        </w:tc>
        <w:tc>
          <w:tcPr>
            <w:tcW w:w="2540" w:type="dxa"/>
            <w:vAlign w:val="bottom"/>
          </w:tcPr>
          <w:p>
            <w:pPr>
              <w:ind w:left="60"/>
              <w:spacing w:after="0"/>
              <w:rPr>
                <w:sz w:val="20"/>
                <w:szCs w:val="20"/>
                <w:color w:val="auto"/>
              </w:rPr>
            </w:pPr>
            <w:r>
              <w:rPr>
                <w:rFonts w:ascii="Arial" w:cs="Arial" w:eastAsia="Arial" w:hAnsi="Arial"/>
                <w:sz w:val="18"/>
                <w:szCs w:val="18"/>
                <w:color w:val="auto"/>
              </w:rPr>
              <w:t>201 State Street</w:t>
            </w:r>
          </w:p>
        </w:tc>
        <w:tc>
          <w:tcPr>
            <w:tcW w:w="1100" w:type="dxa"/>
            <w:vAlign w:val="bottom"/>
          </w:tcPr>
          <w:p>
            <w:pPr>
              <w:ind w:left="36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auto"/>
              </w:rPr>
              <w:t>Erie, PA 16550</w:t>
            </w:r>
          </w:p>
        </w:tc>
        <w:tc>
          <w:tcPr>
            <w:tcW w:w="110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SCRIPPS MEMORIAL HOSPITAL</w:t>
            </w:r>
          </w:p>
        </w:tc>
        <w:tc>
          <w:tcPr>
            <w:tcW w:w="2540" w:type="dxa"/>
            <w:vAlign w:val="bottom"/>
          </w:tcPr>
          <w:p>
            <w:pPr>
              <w:ind w:left="60"/>
              <w:spacing w:after="0"/>
              <w:rPr>
                <w:sz w:val="20"/>
                <w:szCs w:val="20"/>
                <w:color w:val="auto"/>
              </w:rPr>
            </w:pPr>
            <w:r>
              <w:rPr>
                <w:rFonts w:ascii="Arial" w:cs="Arial" w:eastAsia="Arial" w:hAnsi="Arial"/>
                <w:sz w:val="18"/>
                <w:szCs w:val="18"/>
                <w:color w:val="auto"/>
              </w:rPr>
              <w:t>9888 Genessee Avenue</w:t>
            </w:r>
          </w:p>
        </w:tc>
        <w:tc>
          <w:tcPr>
            <w:tcW w:w="1100" w:type="dxa"/>
            <w:vAlign w:val="bottom"/>
          </w:tcPr>
          <w:p>
            <w:pPr>
              <w:ind w:left="36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auto"/>
              </w:rPr>
              <w:t>La Jolla, CA 92037</w:t>
            </w:r>
          </w:p>
        </w:tc>
        <w:tc>
          <w:tcPr>
            <w:tcW w:w="110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OKLAHOMA CENTER FOR</w:t>
            </w:r>
          </w:p>
        </w:tc>
        <w:tc>
          <w:tcPr>
            <w:tcW w:w="2540" w:type="dxa"/>
            <w:vAlign w:val="bottom"/>
          </w:tcPr>
          <w:p>
            <w:pPr>
              <w:ind w:left="60"/>
              <w:spacing w:after="0"/>
              <w:rPr>
                <w:sz w:val="20"/>
                <w:szCs w:val="20"/>
                <w:color w:val="auto"/>
              </w:rPr>
            </w:pPr>
            <w:r>
              <w:rPr>
                <w:rFonts w:ascii="Arial" w:cs="Arial" w:eastAsia="Arial" w:hAnsi="Arial"/>
                <w:sz w:val="18"/>
                <w:szCs w:val="18"/>
                <w:color w:val="auto"/>
              </w:rPr>
              <w:t>8100 S Walker</w:t>
            </w:r>
          </w:p>
        </w:tc>
        <w:tc>
          <w:tcPr>
            <w:tcW w:w="1100" w:type="dxa"/>
            <w:vAlign w:val="bottom"/>
          </w:tcPr>
          <w:p>
            <w:pPr>
              <w:ind w:left="360"/>
              <w:spacing w:after="0"/>
              <w:rPr>
                <w:sz w:val="20"/>
                <w:szCs w:val="20"/>
                <w:color w:val="auto"/>
              </w:rPr>
            </w:pPr>
            <w:r>
              <w:rPr>
                <w:rFonts w:ascii="Arial" w:cs="Arial" w:eastAsia="Arial" w:hAnsi="Arial"/>
                <w:sz w:val="18"/>
                <w:szCs w:val="18"/>
                <w:color w:val="auto"/>
                <w:w w:val="83"/>
              </w:rPr>
              <w:t>Consignee</w:t>
            </w:r>
          </w:p>
        </w:tc>
      </w:tr>
      <w:tr>
        <w:trPr>
          <w:trHeight w:val="216"/>
        </w:trPr>
        <w:tc>
          <w:tcPr>
            <w:tcW w:w="2720" w:type="dxa"/>
            <w:vAlign w:val="bottom"/>
          </w:tcPr>
          <w:p>
            <w:pPr>
              <w:spacing w:after="0"/>
              <w:rPr>
                <w:sz w:val="18"/>
                <w:szCs w:val="18"/>
                <w:color w:val="auto"/>
              </w:rPr>
            </w:pPr>
          </w:p>
        </w:tc>
        <w:tc>
          <w:tcPr>
            <w:tcW w:w="3180" w:type="dxa"/>
            <w:vAlign w:val="bottom"/>
          </w:tcPr>
          <w:p>
            <w:pPr>
              <w:ind w:left="380"/>
              <w:spacing w:after="0"/>
              <w:rPr>
                <w:sz w:val="20"/>
                <w:szCs w:val="20"/>
                <w:color w:val="auto"/>
              </w:rPr>
            </w:pPr>
            <w:r>
              <w:rPr>
                <w:rFonts w:ascii="Arial" w:cs="Arial" w:eastAsia="Arial" w:hAnsi="Arial"/>
                <w:sz w:val="18"/>
                <w:szCs w:val="18"/>
                <w:color w:val="auto"/>
              </w:rPr>
              <w:t>ORTHOPAEDICS AND MULTI-</w:t>
            </w:r>
          </w:p>
        </w:tc>
        <w:tc>
          <w:tcPr>
            <w:tcW w:w="2540" w:type="dxa"/>
            <w:vAlign w:val="bottom"/>
          </w:tcPr>
          <w:p>
            <w:pPr>
              <w:ind w:left="60"/>
              <w:spacing w:after="0"/>
              <w:rPr>
                <w:sz w:val="20"/>
                <w:szCs w:val="20"/>
                <w:color w:val="auto"/>
              </w:rPr>
            </w:pPr>
            <w:r>
              <w:rPr>
                <w:rFonts w:ascii="Arial" w:cs="Arial" w:eastAsia="Arial" w:hAnsi="Arial"/>
                <w:sz w:val="18"/>
                <w:szCs w:val="18"/>
                <w:color w:val="auto"/>
              </w:rPr>
              <w:t>Bldg C</w:t>
            </w:r>
          </w:p>
        </w:tc>
        <w:tc>
          <w:tcPr>
            <w:tcW w:w="1100" w:type="dxa"/>
            <w:vAlign w:val="bottom"/>
          </w:tcPr>
          <w:p>
            <w:pPr>
              <w:spacing w:after="0"/>
              <w:rPr>
                <w:sz w:val="18"/>
                <w:szCs w:val="18"/>
                <w:color w:val="auto"/>
              </w:rPr>
            </w:pPr>
          </w:p>
        </w:tc>
      </w:tr>
      <w:tr>
        <w:trPr>
          <w:trHeight w:val="222"/>
        </w:trPr>
        <w:tc>
          <w:tcPr>
            <w:tcW w:w="2720" w:type="dxa"/>
            <w:vAlign w:val="bottom"/>
          </w:tcPr>
          <w:p>
            <w:pPr>
              <w:spacing w:after="0"/>
              <w:rPr>
                <w:sz w:val="19"/>
                <w:szCs w:val="19"/>
                <w:color w:val="auto"/>
              </w:rPr>
            </w:pPr>
          </w:p>
        </w:tc>
        <w:tc>
          <w:tcPr>
            <w:tcW w:w="3180" w:type="dxa"/>
            <w:vAlign w:val="bottom"/>
          </w:tcPr>
          <w:p>
            <w:pPr>
              <w:ind w:left="380"/>
              <w:spacing w:after="0"/>
              <w:rPr>
                <w:sz w:val="20"/>
                <w:szCs w:val="20"/>
                <w:color w:val="auto"/>
              </w:rPr>
            </w:pPr>
            <w:r>
              <w:rPr>
                <w:rFonts w:ascii="Arial" w:cs="Arial" w:eastAsia="Arial" w:hAnsi="Arial"/>
                <w:sz w:val="18"/>
                <w:szCs w:val="18"/>
                <w:color w:val="auto"/>
              </w:rPr>
              <w:t>SPECIALIST</w:t>
            </w:r>
          </w:p>
        </w:tc>
        <w:tc>
          <w:tcPr>
            <w:tcW w:w="2540" w:type="dxa"/>
            <w:vAlign w:val="bottom"/>
          </w:tcPr>
          <w:p>
            <w:pPr>
              <w:ind w:left="60"/>
              <w:spacing w:after="0"/>
              <w:rPr>
                <w:sz w:val="20"/>
                <w:szCs w:val="20"/>
                <w:color w:val="auto"/>
              </w:rPr>
            </w:pPr>
            <w:r>
              <w:rPr>
                <w:rFonts w:ascii="Arial" w:cs="Arial" w:eastAsia="Arial" w:hAnsi="Arial"/>
                <w:sz w:val="18"/>
                <w:szCs w:val="18"/>
                <w:color w:val="auto"/>
              </w:rPr>
              <w:t>Oklahoma City, OK 73102</w:t>
            </w:r>
          </w:p>
        </w:tc>
        <w:tc>
          <w:tcPr>
            <w:tcW w:w="110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80" w:type="dxa"/>
            <w:vAlign w:val="bottom"/>
          </w:tcPr>
          <w:p>
            <w:pPr>
              <w:ind w:left="380"/>
              <w:spacing w:after="0"/>
              <w:rPr>
                <w:sz w:val="20"/>
                <w:szCs w:val="20"/>
                <w:color w:val="auto"/>
              </w:rPr>
            </w:pPr>
            <w:r>
              <w:rPr>
                <w:rFonts w:ascii="Arial" w:cs="Arial" w:eastAsia="Arial" w:hAnsi="Arial"/>
                <w:sz w:val="18"/>
                <w:szCs w:val="18"/>
                <w:color w:val="auto"/>
              </w:rPr>
              <w:t>SURGERY CENTER OF</w:t>
            </w:r>
          </w:p>
        </w:tc>
        <w:tc>
          <w:tcPr>
            <w:tcW w:w="2540" w:type="dxa"/>
            <w:vAlign w:val="bottom"/>
          </w:tcPr>
          <w:p>
            <w:pPr>
              <w:ind w:left="60"/>
              <w:spacing w:after="0"/>
              <w:rPr>
                <w:sz w:val="20"/>
                <w:szCs w:val="20"/>
                <w:color w:val="auto"/>
              </w:rPr>
            </w:pPr>
            <w:r>
              <w:rPr>
                <w:rFonts w:ascii="Arial" w:cs="Arial" w:eastAsia="Arial" w:hAnsi="Arial"/>
                <w:sz w:val="18"/>
                <w:szCs w:val="18"/>
                <w:color w:val="auto"/>
              </w:rPr>
              <w:t>9500 N Broadway Ext</w:t>
            </w:r>
          </w:p>
        </w:tc>
        <w:tc>
          <w:tcPr>
            <w:tcW w:w="1100" w:type="dxa"/>
            <w:vAlign w:val="bottom"/>
          </w:tcPr>
          <w:p>
            <w:pPr>
              <w:ind w:left="36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80" w:type="dxa"/>
            <w:vAlign w:val="bottom"/>
          </w:tcPr>
          <w:p>
            <w:pPr>
              <w:ind w:left="380"/>
              <w:spacing w:after="0"/>
              <w:rPr>
                <w:sz w:val="20"/>
                <w:szCs w:val="20"/>
                <w:color w:val="auto"/>
              </w:rPr>
            </w:pPr>
            <w:r>
              <w:rPr>
                <w:rFonts w:ascii="Arial" w:cs="Arial" w:eastAsia="Arial" w:hAnsi="Arial"/>
                <w:sz w:val="18"/>
                <w:szCs w:val="18"/>
                <w:color w:val="auto"/>
              </w:rPr>
              <w:t>OKLAHOMA</w:t>
            </w:r>
          </w:p>
        </w:tc>
        <w:tc>
          <w:tcPr>
            <w:tcW w:w="2540" w:type="dxa"/>
            <w:vAlign w:val="bottom"/>
          </w:tcPr>
          <w:p>
            <w:pPr>
              <w:ind w:left="60"/>
              <w:spacing w:after="0"/>
              <w:rPr>
                <w:sz w:val="20"/>
                <w:szCs w:val="20"/>
                <w:color w:val="auto"/>
              </w:rPr>
            </w:pPr>
            <w:r>
              <w:rPr>
                <w:rFonts w:ascii="Arial" w:cs="Arial" w:eastAsia="Arial" w:hAnsi="Arial"/>
                <w:sz w:val="18"/>
                <w:szCs w:val="18"/>
                <w:color w:val="auto"/>
              </w:rPr>
              <w:t>Oklahoma City, OK 73102</w:t>
            </w:r>
          </w:p>
        </w:tc>
        <w:tc>
          <w:tcPr>
            <w:tcW w:w="1100" w:type="dxa"/>
            <w:vAlign w:val="bottom"/>
          </w:tcPr>
          <w:p>
            <w:pPr>
              <w:spacing w:after="0"/>
              <w:rPr>
                <w:sz w:val="19"/>
                <w:szCs w:val="19"/>
                <w:color w:val="auto"/>
              </w:rPr>
            </w:pPr>
          </w:p>
        </w:tc>
      </w:tr>
    </w:tbl>
    <w:p>
      <w:pPr>
        <w:sectPr>
          <w:pgSz w:w="11900" w:h="16838" w:orient="portrait"/>
          <w:cols w:equalWidth="0" w:num="1">
            <w:col w:w="10219"/>
          </w:cols>
          <w:pgMar w:left="240" w:top="280" w:right="1440" w:bottom="1440" w:gutter="0" w:footer="0" w:header="0"/>
        </w:sectPr>
      </w:pPr>
    </w:p>
    <w:bookmarkStart w:id="330" w:name="page331"/>
    <w:bookmarkEnd w:id="33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00" w:type="dxa"/>
            <w:vAlign w:val="bottom"/>
          </w:tcPr>
          <w:p>
            <w:pPr>
              <w:ind w:left="380"/>
              <w:spacing w:after="0"/>
              <w:rPr>
                <w:sz w:val="20"/>
                <w:szCs w:val="20"/>
                <w:color w:val="auto"/>
              </w:rPr>
            </w:pPr>
            <w:r>
              <w:rPr>
                <w:rFonts w:ascii="Arial" w:cs="Arial" w:eastAsia="Arial" w:hAnsi="Arial"/>
                <w:sz w:val="18"/>
                <w:szCs w:val="18"/>
                <w:color w:val="auto"/>
              </w:rPr>
              <w:t>BUTLER COUNTY MEMORIAL</w:t>
            </w:r>
          </w:p>
        </w:tc>
        <w:tc>
          <w:tcPr>
            <w:tcW w:w="2920" w:type="dxa"/>
            <w:vAlign w:val="bottom"/>
          </w:tcPr>
          <w:p>
            <w:pPr>
              <w:ind w:left="140"/>
              <w:spacing w:after="0"/>
              <w:rPr>
                <w:sz w:val="20"/>
                <w:szCs w:val="20"/>
                <w:color w:val="auto"/>
              </w:rPr>
            </w:pPr>
            <w:r>
              <w:rPr>
                <w:rFonts w:ascii="Arial" w:cs="Arial" w:eastAsia="Arial" w:hAnsi="Arial"/>
                <w:sz w:val="18"/>
                <w:szCs w:val="18"/>
                <w:color w:val="auto"/>
              </w:rPr>
              <w:t>3125 Hamilton Mason Road</w:t>
            </w:r>
          </w:p>
        </w:tc>
        <w:tc>
          <w:tcPr>
            <w:tcW w:w="800" w:type="dxa"/>
            <w:vAlign w:val="bottom"/>
          </w:tcPr>
          <w:p>
            <w:pPr>
              <w:ind w:left="6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00" w:type="dxa"/>
            <w:vAlign w:val="bottom"/>
          </w:tcPr>
          <w:p>
            <w:pPr>
              <w:ind w:left="380"/>
              <w:spacing w:after="0"/>
              <w:rPr>
                <w:sz w:val="20"/>
                <w:szCs w:val="20"/>
                <w:color w:val="auto"/>
              </w:rPr>
            </w:pPr>
            <w:r>
              <w:rPr>
                <w:rFonts w:ascii="Arial" w:cs="Arial" w:eastAsia="Arial" w:hAnsi="Arial"/>
                <w:sz w:val="18"/>
                <w:szCs w:val="18"/>
                <w:color w:val="auto"/>
              </w:rPr>
              <w:t>CNTR</w:t>
            </w:r>
          </w:p>
        </w:tc>
        <w:tc>
          <w:tcPr>
            <w:tcW w:w="2920" w:type="dxa"/>
            <w:vAlign w:val="bottom"/>
          </w:tcPr>
          <w:p>
            <w:pPr>
              <w:ind w:left="140"/>
              <w:spacing w:after="0"/>
              <w:rPr>
                <w:sz w:val="20"/>
                <w:szCs w:val="20"/>
                <w:color w:val="auto"/>
              </w:rPr>
            </w:pPr>
            <w:r>
              <w:rPr>
                <w:rFonts w:ascii="Arial" w:cs="Arial" w:eastAsia="Arial" w:hAnsi="Arial"/>
                <w:sz w:val="18"/>
                <w:szCs w:val="18"/>
                <w:color w:val="auto"/>
              </w:rPr>
              <w:t>Hamilton, OH 45011</w:t>
            </w:r>
          </w:p>
        </w:tc>
        <w:tc>
          <w:tcPr>
            <w:tcW w:w="80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00" w:type="dxa"/>
            <w:vAlign w:val="bottom"/>
          </w:tcPr>
          <w:p>
            <w:pPr>
              <w:ind w:left="380"/>
              <w:spacing w:after="0"/>
              <w:rPr>
                <w:sz w:val="20"/>
                <w:szCs w:val="20"/>
                <w:color w:val="auto"/>
              </w:rPr>
            </w:pPr>
            <w:r>
              <w:rPr>
                <w:rFonts w:ascii="Arial" w:cs="Arial" w:eastAsia="Arial" w:hAnsi="Arial"/>
                <w:sz w:val="18"/>
                <w:szCs w:val="18"/>
                <w:color w:val="auto"/>
              </w:rPr>
              <w:t>PASADENA ADVANCED SURG</w:t>
            </w:r>
          </w:p>
        </w:tc>
        <w:tc>
          <w:tcPr>
            <w:tcW w:w="2920" w:type="dxa"/>
            <w:vAlign w:val="bottom"/>
          </w:tcPr>
          <w:p>
            <w:pPr>
              <w:ind w:left="140"/>
              <w:spacing w:after="0"/>
              <w:rPr>
                <w:sz w:val="20"/>
                <w:szCs w:val="20"/>
                <w:color w:val="auto"/>
              </w:rPr>
            </w:pPr>
            <w:r>
              <w:rPr>
                <w:rFonts w:ascii="Arial" w:cs="Arial" w:eastAsia="Arial" w:hAnsi="Arial"/>
                <w:sz w:val="18"/>
                <w:szCs w:val="18"/>
                <w:color w:val="auto"/>
              </w:rPr>
              <w:t>1044 S Fair Oaks Avenue</w:t>
            </w:r>
          </w:p>
        </w:tc>
        <w:tc>
          <w:tcPr>
            <w:tcW w:w="800" w:type="dxa"/>
            <w:vAlign w:val="bottom"/>
          </w:tcPr>
          <w:p>
            <w:pPr>
              <w:ind w:left="60"/>
              <w:spacing w:after="0"/>
              <w:rPr>
                <w:sz w:val="20"/>
                <w:szCs w:val="20"/>
                <w:color w:val="auto"/>
              </w:rPr>
            </w:pPr>
            <w:r>
              <w:rPr>
                <w:rFonts w:ascii="Arial" w:cs="Arial" w:eastAsia="Arial" w:hAnsi="Arial"/>
                <w:sz w:val="18"/>
                <w:szCs w:val="18"/>
                <w:color w:val="auto"/>
                <w:w w:val="83"/>
              </w:rPr>
              <w:t>Consignee</w:t>
            </w:r>
          </w:p>
        </w:tc>
      </w:tr>
      <w:tr>
        <w:trPr>
          <w:trHeight w:val="216"/>
        </w:trPr>
        <w:tc>
          <w:tcPr>
            <w:tcW w:w="2720" w:type="dxa"/>
            <w:vAlign w:val="bottom"/>
          </w:tcPr>
          <w:p>
            <w:pPr>
              <w:spacing w:after="0"/>
              <w:rPr>
                <w:sz w:val="18"/>
                <w:szCs w:val="18"/>
                <w:color w:val="auto"/>
              </w:rPr>
            </w:pPr>
          </w:p>
        </w:tc>
        <w:tc>
          <w:tcPr>
            <w:tcW w:w="3100" w:type="dxa"/>
            <w:vAlign w:val="bottom"/>
          </w:tcPr>
          <w:p>
            <w:pPr>
              <w:ind w:left="380"/>
              <w:spacing w:after="0"/>
              <w:rPr>
                <w:sz w:val="20"/>
                <w:szCs w:val="20"/>
                <w:color w:val="auto"/>
              </w:rPr>
            </w:pPr>
            <w:r>
              <w:rPr>
                <w:rFonts w:ascii="Arial" w:cs="Arial" w:eastAsia="Arial" w:hAnsi="Arial"/>
                <w:sz w:val="18"/>
                <w:szCs w:val="18"/>
                <w:color w:val="auto"/>
              </w:rPr>
              <w:t>CENTER</w:t>
            </w:r>
          </w:p>
        </w:tc>
        <w:tc>
          <w:tcPr>
            <w:tcW w:w="2920" w:type="dxa"/>
            <w:vAlign w:val="bottom"/>
          </w:tcPr>
          <w:p>
            <w:pPr>
              <w:ind w:left="140"/>
              <w:spacing w:after="0"/>
              <w:rPr>
                <w:sz w:val="20"/>
                <w:szCs w:val="20"/>
                <w:color w:val="auto"/>
              </w:rPr>
            </w:pPr>
            <w:r>
              <w:rPr>
                <w:rFonts w:ascii="Arial" w:cs="Arial" w:eastAsia="Arial" w:hAnsi="Arial"/>
                <w:sz w:val="18"/>
                <w:szCs w:val="18"/>
                <w:color w:val="auto"/>
              </w:rPr>
              <w:t>Suite 110</w:t>
            </w:r>
          </w:p>
        </w:tc>
        <w:tc>
          <w:tcPr>
            <w:tcW w:w="800" w:type="dxa"/>
            <w:vAlign w:val="bottom"/>
          </w:tcPr>
          <w:p>
            <w:pPr>
              <w:spacing w:after="0"/>
              <w:rPr>
                <w:sz w:val="18"/>
                <w:szCs w:val="18"/>
                <w:color w:val="auto"/>
              </w:rPr>
            </w:pPr>
          </w:p>
        </w:tc>
      </w:tr>
      <w:tr>
        <w:trPr>
          <w:trHeight w:val="222"/>
        </w:trPr>
        <w:tc>
          <w:tcPr>
            <w:tcW w:w="27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920" w:type="dxa"/>
            <w:vAlign w:val="bottom"/>
          </w:tcPr>
          <w:p>
            <w:pPr>
              <w:ind w:left="140"/>
              <w:spacing w:after="0"/>
              <w:rPr>
                <w:sz w:val="20"/>
                <w:szCs w:val="20"/>
                <w:color w:val="auto"/>
              </w:rPr>
            </w:pPr>
            <w:r>
              <w:rPr>
                <w:rFonts w:ascii="Arial" w:cs="Arial" w:eastAsia="Arial" w:hAnsi="Arial"/>
                <w:sz w:val="18"/>
                <w:szCs w:val="18"/>
                <w:color w:val="auto"/>
              </w:rPr>
              <w:t>Pasadena, CA 91105</w:t>
            </w:r>
          </w:p>
        </w:tc>
        <w:tc>
          <w:tcPr>
            <w:tcW w:w="80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00" w:type="dxa"/>
            <w:vAlign w:val="bottom"/>
          </w:tcPr>
          <w:p>
            <w:pPr>
              <w:ind w:left="380"/>
              <w:spacing w:after="0"/>
              <w:rPr>
                <w:sz w:val="20"/>
                <w:szCs w:val="20"/>
                <w:color w:val="auto"/>
              </w:rPr>
            </w:pPr>
            <w:r>
              <w:rPr>
                <w:rFonts w:ascii="Arial" w:cs="Arial" w:eastAsia="Arial" w:hAnsi="Arial"/>
                <w:sz w:val="18"/>
                <w:szCs w:val="18"/>
                <w:color w:val="auto"/>
              </w:rPr>
              <w:t>PARK PLACE HOSPITAL</w:t>
            </w:r>
          </w:p>
        </w:tc>
        <w:tc>
          <w:tcPr>
            <w:tcW w:w="2920" w:type="dxa"/>
            <w:vAlign w:val="bottom"/>
          </w:tcPr>
          <w:p>
            <w:pPr>
              <w:ind w:left="140"/>
              <w:spacing w:after="0"/>
              <w:rPr>
                <w:sz w:val="20"/>
                <w:szCs w:val="20"/>
                <w:color w:val="auto"/>
              </w:rPr>
            </w:pPr>
            <w:r>
              <w:rPr>
                <w:rFonts w:ascii="Arial" w:cs="Arial" w:eastAsia="Arial" w:hAnsi="Arial"/>
                <w:sz w:val="18"/>
                <w:szCs w:val="18"/>
                <w:color w:val="auto"/>
              </w:rPr>
              <w:t>901 Wilson Street</w:t>
            </w:r>
          </w:p>
        </w:tc>
        <w:tc>
          <w:tcPr>
            <w:tcW w:w="800" w:type="dxa"/>
            <w:vAlign w:val="bottom"/>
          </w:tcPr>
          <w:p>
            <w:pPr>
              <w:ind w:left="6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920" w:type="dxa"/>
            <w:vAlign w:val="bottom"/>
          </w:tcPr>
          <w:p>
            <w:pPr>
              <w:ind w:left="140"/>
              <w:spacing w:after="0"/>
              <w:rPr>
                <w:sz w:val="20"/>
                <w:szCs w:val="20"/>
                <w:color w:val="auto"/>
              </w:rPr>
            </w:pPr>
            <w:r>
              <w:rPr>
                <w:rFonts w:ascii="Arial" w:cs="Arial" w:eastAsia="Arial" w:hAnsi="Arial"/>
                <w:sz w:val="18"/>
                <w:szCs w:val="18"/>
                <w:color w:val="auto"/>
              </w:rPr>
              <w:t>Lafayette, LA 70503</w:t>
            </w:r>
          </w:p>
        </w:tc>
        <w:tc>
          <w:tcPr>
            <w:tcW w:w="80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00" w:type="dxa"/>
            <w:vAlign w:val="bottom"/>
          </w:tcPr>
          <w:p>
            <w:pPr>
              <w:ind w:left="380"/>
              <w:spacing w:after="0"/>
              <w:rPr>
                <w:sz w:val="20"/>
                <w:szCs w:val="20"/>
                <w:color w:val="auto"/>
              </w:rPr>
            </w:pPr>
            <w:r>
              <w:rPr>
                <w:rFonts w:ascii="Arial" w:cs="Arial" w:eastAsia="Arial" w:hAnsi="Arial"/>
                <w:sz w:val="18"/>
                <w:szCs w:val="18"/>
                <w:color w:val="auto"/>
              </w:rPr>
              <w:t>OUR LADY OF THE LAKE</w:t>
            </w:r>
          </w:p>
        </w:tc>
        <w:tc>
          <w:tcPr>
            <w:tcW w:w="2920" w:type="dxa"/>
            <w:vAlign w:val="bottom"/>
          </w:tcPr>
          <w:p>
            <w:pPr>
              <w:ind w:left="140"/>
              <w:spacing w:after="0"/>
              <w:rPr>
                <w:sz w:val="20"/>
                <w:szCs w:val="20"/>
                <w:color w:val="auto"/>
              </w:rPr>
            </w:pPr>
            <w:r>
              <w:rPr>
                <w:rFonts w:ascii="Arial" w:cs="Arial" w:eastAsia="Arial" w:hAnsi="Arial"/>
                <w:sz w:val="18"/>
                <w:szCs w:val="18"/>
                <w:color w:val="auto"/>
              </w:rPr>
              <w:t>5300 Hennessey Blvd</w:t>
            </w:r>
          </w:p>
        </w:tc>
        <w:tc>
          <w:tcPr>
            <w:tcW w:w="800" w:type="dxa"/>
            <w:vAlign w:val="bottom"/>
          </w:tcPr>
          <w:p>
            <w:pPr>
              <w:ind w:left="6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920" w:type="dxa"/>
            <w:vAlign w:val="bottom"/>
          </w:tcPr>
          <w:p>
            <w:pPr>
              <w:ind w:left="140"/>
              <w:spacing w:after="0"/>
              <w:rPr>
                <w:sz w:val="20"/>
                <w:szCs w:val="20"/>
                <w:color w:val="auto"/>
              </w:rPr>
            </w:pPr>
            <w:r>
              <w:rPr>
                <w:rFonts w:ascii="Arial" w:cs="Arial" w:eastAsia="Arial" w:hAnsi="Arial"/>
                <w:sz w:val="18"/>
                <w:szCs w:val="18"/>
                <w:color w:val="auto"/>
              </w:rPr>
              <w:t>Baton Rouge, LA 70808</w:t>
            </w:r>
          </w:p>
        </w:tc>
        <w:tc>
          <w:tcPr>
            <w:tcW w:w="80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00" w:type="dxa"/>
            <w:vAlign w:val="bottom"/>
          </w:tcPr>
          <w:p>
            <w:pPr>
              <w:ind w:left="380"/>
              <w:spacing w:after="0"/>
              <w:rPr>
                <w:sz w:val="20"/>
                <w:szCs w:val="20"/>
                <w:color w:val="auto"/>
              </w:rPr>
            </w:pPr>
            <w:r>
              <w:rPr>
                <w:rFonts w:ascii="Arial" w:cs="Arial" w:eastAsia="Arial" w:hAnsi="Arial"/>
                <w:sz w:val="18"/>
                <w:szCs w:val="18"/>
                <w:color w:val="auto"/>
              </w:rPr>
              <w:t>RIVERVIEW MEDICAL CENTER</w:t>
            </w:r>
          </w:p>
        </w:tc>
        <w:tc>
          <w:tcPr>
            <w:tcW w:w="2920" w:type="dxa"/>
            <w:vAlign w:val="bottom"/>
          </w:tcPr>
          <w:p>
            <w:pPr>
              <w:ind w:left="140"/>
              <w:spacing w:after="0"/>
              <w:rPr>
                <w:sz w:val="20"/>
                <w:szCs w:val="20"/>
                <w:color w:val="auto"/>
              </w:rPr>
            </w:pPr>
            <w:r>
              <w:rPr>
                <w:rFonts w:ascii="Arial" w:cs="Arial" w:eastAsia="Arial" w:hAnsi="Arial"/>
                <w:sz w:val="18"/>
                <w:szCs w:val="18"/>
                <w:color w:val="auto"/>
              </w:rPr>
              <w:t>1 Riverview Plaza</w:t>
            </w:r>
          </w:p>
        </w:tc>
        <w:tc>
          <w:tcPr>
            <w:tcW w:w="800" w:type="dxa"/>
            <w:vAlign w:val="bottom"/>
          </w:tcPr>
          <w:p>
            <w:pPr>
              <w:ind w:left="6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920" w:type="dxa"/>
            <w:vAlign w:val="bottom"/>
          </w:tcPr>
          <w:p>
            <w:pPr>
              <w:ind w:left="140"/>
              <w:spacing w:after="0"/>
              <w:rPr>
                <w:sz w:val="20"/>
                <w:szCs w:val="20"/>
                <w:color w:val="auto"/>
              </w:rPr>
            </w:pPr>
            <w:r>
              <w:rPr>
                <w:rFonts w:ascii="Arial" w:cs="Arial" w:eastAsia="Arial" w:hAnsi="Arial"/>
                <w:sz w:val="18"/>
                <w:szCs w:val="18"/>
                <w:color w:val="auto"/>
              </w:rPr>
              <w:t>Red Bank, NJ</w:t>
            </w:r>
          </w:p>
        </w:tc>
        <w:tc>
          <w:tcPr>
            <w:tcW w:w="80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00" w:type="dxa"/>
            <w:vAlign w:val="bottom"/>
          </w:tcPr>
          <w:p>
            <w:pPr>
              <w:ind w:left="380"/>
              <w:spacing w:after="0"/>
              <w:rPr>
                <w:sz w:val="20"/>
                <w:szCs w:val="20"/>
                <w:color w:val="auto"/>
              </w:rPr>
            </w:pPr>
            <w:r>
              <w:rPr>
                <w:rFonts w:ascii="Arial" w:cs="Arial" w:eastAsia="Arial" w:hAnsi="Arial"/>
                <w:sz w:val="18"/>
                <w:szCs w:val="18"/>
                <w:color w:val="auto"/>
                <w:w w:val="98"/>
              </w:rPr>
              <w:t>LAWRENCE SURGERY CENTER</w:t>
            </w:r>
          </w:p>
        </w:tc>
        <w:tc>
          <w:tcPr>
            <w:tcW w:w="2920" w:type="dxa"/>
            <w:vAlign w:val="bottom"/>
          </w:tcPr>
          <w:p>
            <w:pPr>
              <w:ind w:left="140"/>
              <w:spacing w:after="0"/>
              <w:rPr>
                <w:sz w:val="20"/>
                <w:szCs w:val="20"/>
                <w:color w:val="auto"/>
              </w:rPr>
            </w:pPr>
            <w:r>
              <w:rPr>
                <w:rFonts w:ascii="Arial" w:cs="Arial" w:eastAsia="Arial" w:hAnsi="Arial"/>
                <w:sz w:val="18"/>
                <w:szCs w:val="18"/>
                <w:color w:val="auto"/>
                <w:w w:val="93"/>
              </w:rPr>
              <w:t>1112 W. 6</w:t>
            </w:r>
            <w:r>
              <w:rPr>
                <w:rFonts w:ascii="Arial" w:cs="Arial" w:eastAsia="Arial" w:hAnsi="Arial"/>
                <w:sz w:val="11"/>
                <w:szCs w:val="11"/>
                <w:color w:val="auto"/>
                <w:w w:val="93"/>
              </w:rPr>
              <w:t>th</w:t>
            </w:r>
            <w:r>
              <w:rPr>
                <w:rFonts w:ascii="Arial" w:cs="Arial" w:eastAsia="Arial" w:hAnsi="Arial"/>
                <w:sz w:val="18"/>
                <w:szCs w:val="18"/>
                <w:color w:val="auto"/>
                <w:w w:val="93"/>
              </w:rPr>
              <w:t xml:space="preserve"> street Lawrence, Kansas</w:t>
            </w:r>
          </w:p>
        </w:tc>
        <w:tc>
          <w:tcPr>
            <w:tcW w:w="800" w:type="dxa"/>
            <w:vAlign w:val="bottom"/>
          </w:tcPr>
          <w:p>
            <w:pPr>
              <w:ind w:left="60"/>
              <w:spacing w:after="0"/>
              <w:rPr>
                <w:sz w:val="20"/>
                <w:szCs w:val="20"/>
                <w:color w:val="auto"/>
              </w:rPr>
            </w:pPr>
            <w:r>
              <w:rPr>
                <w:rFonts w:ascii="Arial" w:cs="Arial" w:eastAsia="Arial" w:hAnsi="Arial"/>
                <w:sz w:val="18"/>
                <w:szCs w:val="18"/>
                <w:color w:val="auto"/>
                <w:w w:val="83"/>
              </w:rPr>
              <w:t>Consignee</w:t>
            </w:r>
          </w:p>
        </w:tc>
      </w:tr>
      <w:tr>
        <w:trPr>
          <w:trHeight w:val="216"/>
        </w:trPr>
        <w:tc>
          <w:tcPr>
            <w:tcW w:w="27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920" w:type="dxa"/>
            <w:vAlign w:val="bottom"/>
          </w:tcPr>
          <w:p>
            <w:pPr>
              <w:ind w:left="140"/>
              <w:spacing w:after="0"/>
              <w:rPr>
                <w:sz w:val="20"/>
                <w:szCs w:val="20"/>
                <w:color w:val="auto"/>
              </w:rPr>
            </w:pPr>
            <w:r>
              <w:rPr>
                <w:rFonts w:ascii="Arial" w:cs="Arial" w:eastAsia="Arial" w:hAnsi="Arial"/>
                <w:sz w:val="18"/>
                <w:szCs w:val="18"/>
                <w:color w:val="auto"/>
              </w:rPr>
              <w:t>66047</w:t>
            </w:r>
          </w:p>
        </w:tc>
        <w:tc>
          <w:tcPr>
            <w:tcW w:w="800" w:type="dxa"/>
            <w:vAlign w:val="bottom"/>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00" w:type="dxa"/>
            <w:vAlign w:val="bottom"/>
          </w:tcPr>
          <w:p>
            <w:pPr>
              <w:ind w:left="380"/>
              <w:spacing w:after="0"/>
              <w:rPr>
                <w:sz w:val="20"/>
                <w:szCs w:val="20"/>
                <w:color w:val="auto"/>
              </w:rPr>
            </w:pPr>
            <w:r>
              <w:rPr>
                <w:rFonts w:ascii="Arial" w:cs="Arial" w:eastAsia="Arial" w:hAnsi="Arial"/>
                <w:sz w:val="18"/>
                <w:szCs w:val="18"/>
                <w:color w:val="auto"/>
              </w:rPr>
              <w:t>CAPE COD HOSPITAL</w:t>
            </w:r>
          </w:p>
        </w:tc>
        <w:tc>
          <w:tcPr>
            <w:tcW w:w="2920" w:type="dxa"/>
            <w:vAlign w:val="bottom"/>
          </w:tcPr>
          <w:p>
            <w:pPr>
              <w:ind w:left="140"/>
              <w:spacing w:after="0"/>
              <w:rPr>
                <w:sz w:val="20"/>
                <w:szCs w:val="20"/>
                <w:color w:val="auto"/>
              </w:rPr>
            </w:pPr>
            <w:r>
              <w:rPr>
                <w:rFonts w:ascii="Arial" w:cs="Arial" w:eastAsia="Arial" w:hAnsi="Arial"/>
                <w:sz w:val="18"/>
                <w:szCs w:val="18"/>
                <w:color w:val="auto"/>
                <w:w w:val="97"/>
              </w:rPr>
              <w:t>27 Park Street, Hyannis, MA 02601</w:t>
            </w:r>
          </w:p>
        </w:tc>
        <w:tc>
          <w:tcPr>
            <w:tcW w:w="800" w:type="dxa"/>
            <w:vAlign w:val="bottom"/>
          </w:tcPr>
          <w:p>
            <w:pPr>
              <w:ind w:left="60"/>
              <w:spacing w:after="0"/>
              <w:rPr>
                <w:sz w:val="20"/>
                <w:szCs w:val="20"/>
                <w:color w:val="auto"/>
              </w:rPr>
            </w:pPr>
            <w:r>
              <w:rPr>
                <w:rFonts w:ascii="Arial" w:cs="Arial" w:eastAsia="Arial" w:hAnsi="Arial"/>
                <w:sz w:val="18"/>
                <w:szCs w:val="18"/>
                <w:color w:val="auto"/>
                <w:w w:val="83"/>
              </w:rPr>
              <w:t>Consignee</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00" w:type="dxa"/>
            <w:vAlign w:val="bottom"/>
          </w:tcPr>
          <w:p>
            <w:pPr>
              <w:ind w:left="380"/>
              <w:spacing w:after="0"/>
              <w:rPr>
                <w:sz w:val="20"/>
                <w:szCs w:val="20"/>
                <w:color w:val="auto"/>
              </w:rPr>
            </w:pPr>
            <w:r>
              <w:rPr>
                <w:rFonts w:ascii="Arial" w:cs="Arial" w:eastAsia="Arial" w:hAnsi="Arial"/>
                <w:sz w:val="18"/>
                <w:szCs w:val="18"/>
                <w:color w:val="auto"/>
              </w:rPr>
              <w:t>MCKENZIE – WILLIAMETTE</w:t>
            </w:r>
          </w:p>
        </w:tc>
        <w:tc>
          <w:tcPr>
            <w:tcW w:w="2920" w:type="dxa"/>
            <w:vAlign w:val="bottom"/>
          </w:tcPr>
          <w:p>
            <w:pPr>
              <w:ind w:left="140"/>
              <w:spacing w:after="0"/>
              <w:rPr>
                <w:sz w:val="20"/>
                <w:szCs w:val="20"/>
                <w:color w:val="auto"/>
              </w:rPr>
            </w:pPr>
            <w:r>
              <w:rPr>
                <w:rFonts w:ascii="Arial" w:cs="Arial" w:eastAsia="Arial" w:hAnsi="Arial"/>
                <w:sz w:val="18"/>
                <w:szCs w:val="18"/>
                <w:color w:val="auto"/>
                <w:w w:val="92"/>
              </w:rPr>
              <w:t>1460 G Street, Springfield, OR 97477</w:t>
            </w:r>
          </w:p>
        </w:tc>
        <w:tc>
          <w:tcPr>
            <w:tcW w:w="800" w:type="dxa"/>
            <w:vAlign w:val="bottom"/>
          </w:tcPr>
          <w:p>
            <w:pPr>
              <w:ind w:left="60"/>
              <w:spacing w:after="0"/>
              <w:rPr>
                <w:sz w:val="20"/>
                <w:szCs w:val="20"/>
                <w:color w:val="auto"/>
              </w:rPr>
            </w:pPr>
            <w:r>
              <w:rPr>
                <w:rFonts w:ascii="Arial" w:cs="Arial" w:eastAsia="Arial" w:hAnsi="Arial"/>
                <w:sz w:val="18"/>
                <w:szCs w:val="18"/>
                <w:color w:val="auto"/>
                <w:w w:val="83"/>
              </w:rPr>
              <w:t>Consignee</w:t>
            </w:r>
          </w:p>
        </w:tc>
      </w:tr>
      <w:tr>
        <w:trPr>
          <w:trHeight w:val="216"/>
        </w:trPr>
        <w:tc>
          <w:tcPr>
            <w:tcW w:w="2720" w:type="dxa"/>
            <w:vAlign w:val="bottom"/>
          </w:tcPr>
          <w:p>
            <w:pPr>
              <w:spacing w:after="0"/>
              <w:rPr>
                <w:sz w:val="18"/>
                <w:szCs w:val="18"/>
                <w:color w:val="auto"/>
              </w:rPr>
            </w:pPr>
          </w:p>
        </w:tc>
        <w:tc>
          <w:tcPr>
            <w:tcW w:w="3100" w:type="dxa"/>
            <w:vAlign w:val="bottom"/>
          </w:tcPr>
          <w:p>
            <w:pPr>
              <w:ind w:left="380"/>
              <w:spacing w:after="0"/>
              <w:rPr>
                <w:sz w:val="20"/>
                <w:szCs w:val="20"/>
                <w:color w:val="auto"/>
              </w:rPr>
            </w:pPr>
            <w:r>
              <w:rPr>
                <w:rFonts w:ascii="Arial" w:cs="Arial" w:eastAsia="Arial" w:hAnsi="Arial"/>
                <w:sz w:val="18"/>
                <w:szCs w:val="18"/>
                <w:color w:val="auto"/>
              </w:rPr>
              <w:t>HOSPITAL</w:t>
            </w:r>
          </w:p>
        </w:tc>
        <w:tc>
          <w:tcPr>
            <w:tcW w:w="29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00" w:type="dxa"/>
            <w:vAlign w:val="bottom"/>
          </w:tcPr>
          <w:p>
            <w:pPr>
              <w:ind w:left="380"/>
              <w:spacing w:after="0"/>
              <w:rPr>
                <w:sz w:val="20"/>
                <w:szCs w:val="20"/>
                <w:color w:val="auto"/>
              </w:rPr>
            </w:pPr>
            <w:r>
              <w:rPr>
                <w:rFonts w:ascii="Arial" w:cs="Arial" w:eastAsia="Arial" w:hAnsi="Arial"/>
                <w:sz w:val="18"/>
                <w:szCs w:val="18"/>
                <w:color w:val="auto"/>
              </w:rPr>
              <w:t>TAMPA GENERAL HOSPITAL</w:t>
            </w:r>
          </w:p>
        </w:tc>
        <w:tc>
          <w:tcPr>
            <w:tcW w:w="2920" w:type="dxa"/>
            <w:vAlign w:val="bottom"/>
          </w:tcPr>
          <w:p>
            <w:pPr>
              <w:ind w:left="140"/>
              <w:spacing w:after="0"/>
              <w:rPr>
                <w:sz w:val="20"/>
                <w:szCs w:val="20"/>
                <w:color w:val="auto"/>
              </w:rPr>
            </w:pPr>
            <w:r>
              <w:rPr>
                <w:rFonts w:ascii="Arial" w:cs="Arial" w:eastAsia="Arial" w:hAnsi="Arial"/>
                <w:sz w:val="18"/>
                <w:szCs w:val="18"/>
                <w:color w:val="auto"/>
                <w:w w:val="91"/>
              </w:rPr>
              <w:t>Tampa Gen. Circle Tampa, FL, 33606</w:t>
            </w:r>
          </w:p>
        </w:tc>
        <w:tc>
          <w:tcPr>
            <w:tcW w:w="800" w:type="dxa"/>
            <w:vAlign w:val="bottom"/>
          </w:tcPr>
          <w:p>
            <w:pPr>
              <w:ind w:left="60"/>
              <w:spacing w:after="0"/>
              <w:rPr>
                <w:sz w:val="20"/>
                <w:szCs w:val="20"/>
                <w:color w:val="auto"/>
              </w:rPr>
            </w:pPr>
            <w:r>
              <w:rPr>
                <w:rFonts w:ascii="Arial" w:cs="Arial" w:eastAsia="Arial" w:hAnsi="Arial"/>
                <w:sz w:val="18"/>
                <w:szCs w:val="18"/>
                <w:color w:val="auto"/>
                <w:w w:val="83"/>
              </w:rPr>
              <w:t>Consignee</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00" w:type="dxa"/>
            <w:vAlign w:val="bottom"/>
          </w:tcPr>
          <w:p>
            <w:pPr>
              <w:ind w:left="380"/>
              <w:spacing w:after="0"/>
              <w:rPr>
                <w:sz w:val="20"/>
                <w:szCs w:val="20"/>
                <w:color w:val="auto"/>
              </w:rPr>
            </w:pPr>
            <w:r>
              <w:rPr>
                <w:rFonts w:ascii="Arial" w:cs="Arial" w:eastAsia="Arial" w:hAnsi="Arial"/>
                <w:sz w:val="18"/>
                <w:szCs w:val="18"/>
                <w:color w:val="auto"/>
              </w:rPr>
              <w:t>JACKSON-MADISON CITY</w:t>
            </w:r>
          </w:p>
        </w:tc>
        <w:tc>
          <w:tcPr>
            <w:tcW w:w="2920" w:type="dxa"/>
            <w:vAlign w:val="bottom"/>
          </w:tcPr>
          <w:p>
            <w:pPr>
              <w:ind w:left="140"/>
              <w:spacing w:after="0"/>
              <w:rPr>
                <w:sz w:val="20"/>
                <w:szCs w:val="20"/>
                <w:color w:val="auto"/>
              </w:rPr>
            </w:pPr>
            <w:r>
              <w:rPr>
                <w:rFonts w:ascii="Arial" w:cs="Arial" w:eastAsia="Arial" w:hAnsi="Arial"/>
                <w:sz w:val="18"/>
                <w:szCs w:val="18"/>
                <w:color w:val="auto"/>
                <w:w w:val="97"/>
              </w:rPr>
              <w:t>620 Skyline Dr. Jackson, TN 38301</w:t>
            </w:r>
          </w:p>
        </w:tc>
        <w:tc>
          <w:tcPr>
            <w:tcW w:w="800" w:type="dxa"/>
            <w:vAlign w:val="bottom"/>
          </w:tcPr>
          <w:p>
            <w:pPr>
              <w:ind w:left="60"/>
              <w:spacing w:after="0"/>
              <w:rPr>
                <w:sz w:val="20"/>
                <w:szCs w:val="20"/>
                <w:color w:val="auto"/>
              </w:rPr>
            </w:pPr>
            <w:r>
              <w:rPr>
                <w:rFonts w:ascii="Arial" w:cs="Arial" w:eastAsia="Arial" w:hAnsi="Arial"/>
                <w:sz w:val="18"/>
                <w:szCs w:val="18"/>
                <w:color w:val="auto"/>
                <w:w w:val="83"/>
              </w:rPr>
              <w:t>Consignee</w:t>
            </w:r>
          </w:p>
        </w:tc>
      </w:tr>
      <w:tr>
        <w:trPr>
          <w:trHeight w:val="216"/>
        </w:trPr>
        <w:tc>
          <w:tcPr>
            <w:tcW w:w="2720" w:type="dxa"/>
            <w:vAlign w:val="bottom"/>
          </w:tcPr>
          <w:p>
            <w:pPr>
              <w:spacing w:after="0"/>
              <w:rPr>
                <w:sz w:val="18"/>
                <w:szCs w:val="18"/>
                <w:color w:val="auto"/>
              </w:rPr>
            </w:pPr>
          </w:p>
        </w:tc>
        <w:tc>
          <w:tcPr>
            <w:tcW w:w="3100" w:type="dxa"/>
            <w:vAlign w:val="bottom"/>
          </w:tcPr>
          <w:p>
            <w:pPr>
              <w:ind w:left="380"/>
              <w:spacing w:after="0"/>
              <w:rPr>
                <w:sz w:val="20"/>
                <w:szCs w:val="20"/>
                <w:color w:val="auto"/>
              </w:rPr>
            </w:pPr>
            <w:r>
              <w:rPr>
                <w:rFonts w:ascii="Arial" w:cs="Arial" w:eastAsia="Arial" w:hAnsi="Arial"/>
                <w:sz w:val="18"/>
                <w:szCs w:val="18"/>
                <w:color w:val="auto"/>
              </w:rPr>
              <w:t>GENERAL HOSPITAL</w:t>
            </w:r>
          </w:p>
        </w:tc>
        <w:tc>
          <w:tcPr>
            <w:tcW w:w="29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00" w:type="dxa"/>
            <w:vAlign w:val="bottom"/>
          </w:tcPr>
          <w:p>
            <w:pPr>
              <w:ind w:left="380"/>
              <w:spacing w:after="0"/>
              <w:rPr>
                <w:sz w:val="20"/>
                <w:szCs w:val="20"/>
                <w:color w:val="auto"/>
              </w:rPr>
            </w:pPr>
            <w:r>
              <w:rPr>
                <w:rFonts w:ascii="Arial" w:cs="Arial" w:eastAsia="Arial" w:hAnsi="Arial"/>
                <w:sz w:val="18"/>
                <w:szCs w:val="18"/>
                <w:color w:val="auto"/>
                <w:w w:val="97"/>
              </w:rPr>
              <w:t>SURGERY CENTER AT TRI-CITY</w:t>
            </w:r>
          </w:p>
        </w:tc>
        <w:tc>
          <w:tcPr>
            <w:tcW w:w="2920" w:type="dxa"/>
            <w:vAlign w:val="bottom"/>
          </w:tcPr>
          <w:p>
            <w:pPr>
              <w:ind w:left="140"/>
              <w:spacing w:after="0"/>
              <w:rPr>
                <w:sz w:val="20"/>
                <w:szCs w:val="20"/>
                <w:color w:val="auto"/>
              </w:rPr>
            </w:pPr>
            <w:r>
              <w:rPr>
                <w:rFonts w:ascii="Arial" w:cs="Arial" w:eastAsia="Arial" w:hAnsi="Arial"/>
                <w:sz w:val="18"/>
                <w:szCs w:val="18"/>
                <w:color w:val="auto"/>
              </w:rPr>
              <w:t>985 S. Goethals</w:t>
            </w:r>
          </w:p>
        </w:tc>
        <w:tc>
          <w:tcPr>
            <w:tcW w:w="800" w:type="dxa"/>
            <w:vAlign w:val="bottom"/>
          </w:tcPr>
          <w:p>
            <w:pPr>
              <w:ind w:left="6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00" w:type="dxa"/>
            <w:vAlign w:val="bottom"/>
          </w:tcPr>
          <w:p>
            <w:pPr>
              <w:ind w:left="380"/>
              <w:spacing w:after="0"/>
              <w:rPr>
                <w:sz w:val="20"/>
                <w:szCs w:val="20"/>
                <w:color w:val="auto"/>
              </w:rPr>
            </w:pPr>
            <w:r>
              <w:rPr>
                <w:rFonts w:ascii="Arial" w:cs="Arial" w:eastAsia="Arial" w:hAnsi="Arial"/>
                <w:sz w:val="18"/>
                <w:szCs w:val="18"/>
                <w:color w:val="auto"/>
              </w:rPr>
              <w:t>ORTHOPEDIC CLINIC</w:t>
            </w:r>
          </w:p>
        </w:tc>
        <w:tc>
          <w:tcPr>
            <w:tcW w:w="2920" w:type="dxa"/>
            <w:vAlign w:val="bottom"/>
          </w:tcPr>
          <w:p>
            <w:pPr>
              <w:ind w:left="140"/>
              <w:spacing w:after="0"/>
              <w:rPr>
                <w:sz w:val="20"/>
                <w:szCs w:val="20"/>
                <w:color w:val="auto"/>
              </w:rPr>
            </w:pPr>
            <w:r>
              <w:rPr>
                <w:rFonts w:ascii="Arial" w:cs="Arial" w:eastAsia="Arial" w:hAnsi="Arial"/>
                <w:sz w:val="18"/>
                <w:szCs w:val="18"/>
                <w:color w:val="auto"/>
              </w:rPr>
              <w:t>Richland, WA 99352</w:t>
            </w:r>
          </w:p>
        </w:tc>
        <w:tc>
          <w:tcPr>
            <w:tcW w:w="80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00" w:type="dxa"/>
            <w:vAlign w:val="bottom"/>
          </w:tcPr>
          <w:p>
            <w:pPr>
              <w:ind w:left="380"/>
              <w:spacing w:after="0"/>
              <w:rPr>
                <w:sz w:val="20"/>
                <w:szCs w:val="20"/>
                <w:color w:val="auto"/>
              </w:rPr>
            </w:pPr>
            <w:r>
              <w:rPr>
                <w:rFonts w:ascii="Arial" w:cs="Arial" w:eastAsia="Arial" w:hAnsi="Arial"/>
                <w:sz w:val="18"/>
                <w:szCs w:val="18"/>
                <w:color w:val="auto"/>
              </w:rPr>
              <w:t>ALLEGHENY GENERAL</w:t>
            </w:r>
          </w:p>
        </w:tc>
        <w:tc>
          <w:tcPr>
            <w:tcW w:w="2920" w:type="dxa"/>
            <w:vAlign w:val="bottom"/>
          </w:tcPr>
          <w:p>
            <w:pPr>
              <w:ind w:left="140"/>
              <w:spacing w:after="0"/>
              <w:rPr>
                <w:sz w:val="20"/>
                <w:szCs w:val="20"/>
                <w:color w:val="auto"/>
              </w:rPr>
            </w:pPr>
            <w:r>
              <w:rPr>
                <w:rFonts w:ascii="Arial" w:cs="Arial" w:eastAsia="Arial" w:hAnsi="Arial"/>
                <w:sz w:val="18"/>
                <w:szCs w:val="18"/>
                <w:color w:val="auto"/>
              </w:rPr>
              <w:t>320 E. North Ave.</w:t>
            </w:r>
          </w:p>
        </w:tc>
        <w:tc>
          <w:tcPr>
            <w:tcW w:w="800" w:type="dxa"/>
            <w:vAlign w:val="bottom"/>
          </w:tcPr>
          <w:p>
            <w:pPr>
              <w:ind w:left="6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00" w:type="dxa"/>
            <w:vAlign w:val="bottom"/>
          </w:tcPr>
          <w:p>
            <w:pPr>
              <w:ind w:left="380"/>
              <w:spacing w:after="0"/>
              <w:rPr>
                <w:sz w:val="20"/>
                <w:szCs w:val="20"/>
                <w:color w:val="auto"/>
              </w:rPr>
            </w:pPr>
            <w:r>
              <w:rPr>
                <w:rFonts w:ascii="Arial" w:cs="Arial" w:eastAsia="Arial" w:hAnsi="Arial"/>
                <w:sz w:val="18"/>
                <w:szCs w:val="18"/>
                <w:color w:val="auto"/>
              </w:rPr>
              <w:t>HOSPITAL</w:t>
            </w:r>
          </w:p>
        </w:tc>
        <w:tc>
          <w:tcPr>
            <w:tcW w:w="2920" w:type="dxa"/>
            <w:vAlign w:val="bottom"/>
          </w:tcPr>
          <w:p>
            <w:pPr>
              <w:ind w:left="140"/>
              <w:spacing w:after="0"/>
              <w:rPr>
                <w:sz w:val="20"/>
                <w:szCs w:val="20"/>
                <w:color w:val="auto"/>
              </w:rPr>
            </w:pPr>
            <w:r>
              <w:rPr>
                <w:rFonts w:ascii="Arial" w:cs="Arial" w:eastAsia="Arial" w:hAnsi="Arial"/>
                <w:sz w:val="18"/>
                <w:szCs w:val="18"/>
                <w:color w:val="auto"/>
              </w:rPr>
              <w:t>Pittsburg, PA 15212</w:t>
            </w:r>
          </w:p>
        </w:tc>
        <w:tc>
          <w:tcPr>
            <w:tcW w:w="80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00" w:type="dxa"/>
            <w:vAlign w:val="bottom"/>
          </w:tcPr>
          <w:p>
            <w:pPr>
              <w:ind w:left="380"/>
              <w:spacing w:after="0"/>
              <w:rPr>
                <w:sz w:val="20"/>
                <w:szCs w:val="20"/>
                <w:color w:val="auto"/>
              </w:rPr>
            </w:pPr>
            <w:r>
              <w:rPr>
                <w:rFonts w:ascii="Arial" w:cs="Arial" w:eastAsia="Arial" w:hAnsi="Arial"/>
                <w:sz w:val="18"/>
                <w:szCs w:val="18"/>
                <w:color w:val="auto"/>
              </w:rPr>
              <w:t>FAIRFIELD SURGERY</w:t>
            </w:r>
          </w:p>
        </w:tc>
        <w:tc>
          <w:tcPr>
            <w:tcW w:w="2920" w:type="dxa"/>
            <w:vAlign w:val="bottom"/>
          </w:tcPr>
          <w:p>
            <w:pPr>
              <w:ind w:left="140"/>
              <w:spacing w:after="0"/>
              <w:rPr>
                <w:sz w:val="20"/>
                <w:szCs w:val="20"/>
                <w:color w:val="auto"/>
              </w:rPr>
            </w:pPr>
            <w:r>
              <w:rPr>
                <w:rFonts w:ascii="Arial" w:cs="Arial" w:eastAsia="Arial" w:hAnsi="Arial"/>
                <w:sz w:val="18"/>
                <w:szCs w:val="18"/>
                <w:color w:val="auto"/>
                <w:w w:val="99"/>
              </w:rPr>
              <w:t>75 KINGS HWY CUTOFF 3RD FL.</w:t>
            </w:r>
          </w:p>
        </w:tc>
        <w:tc>
          <w:tcPr>
            <w:tcW w:w="800" w:type="dxa"/>
            <w:vAlign w:val="bottom"/>
          </w:tcPr>
          <w:p>
            <w:pPr>
              <w:ind w:left="60"/>
              <w:spacing w:after="0"/>
              <w:rPr>
                <w:sz w:val="20"/>
                <w:szCs w:val="20"/>
                <w:color w:val="auto"/>
              </w:rPr>
            </w:pPr>
            <w:r>
              <w:rPr>
                <w:rFonts w:ascii="Arial" w:cs="Arial" w:eastAsia="Arial" w:hAnsi="Arial"/>
                <w:sz w:val="18"/>
                <w:szCs w:val="18"/>
                <w:color w:val="auto"/>
                <w:w w:val="83"/>
              </w:rPr>
              <w:t>Consignee</w:t>
            </w:r>
          </w:p>
        </w:tc>
      </w:tr>
      <w:tr>
        <w:trPr>
          <w:trHeight w:val="216"/>
        </w:trPr>
        <w:tc>
          <w:tcPr>
            <w:tcW w:w="27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920" w:type="dxa"/>
            <w:vAlign w:val="bottom"/>
          </w:tcPr>
          <w:p>
            <w:pPr>
              <w:ind w:left="140"/>
              <w:spacing w:after="0"/>
              <w:rPr>
                <w:sz w:val="20"/>
                <w:szCs w:val="20"/>
                <w:color w:val="auto"/>
              </w:rPr>
            </w:pPr>
            <w:r>
              <w:rPr>
                <w:rFonts w:ascii="Arial" w:cs="Arial" w:eastAsia="Arial" w:hAnsi="Arial"/>
                <w:sz w:val="18"/>
                <w:szCs w:val="18"/>
                <w:color w:val="auto"/>
              </w:rPr>
              <w:t>Fairfield, CT 06824</w:t>
            </w:r>
          </w:p>
        </w:tc>
        <w:tc>
          <w:tcPr>
            <w:tcW w:w="800" w:type="dxa"/>
            <w:vAlign w:val="bottom"/>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00" w:type="dxa"/>
            <w:vAlign w:val="bottom"/>
          </w:tcPr>
          <w:p>
            <w:pPr>
              <w:ind w:left="380"/>
              <w:spacing w:after="0"/>
              <w:rPr>
                <w:sz w:val="20"/>
                <w:szCs w:val="20"/>
                <w:color w:val="auto"/>
              </w:rPr>
            </w:pPr>
            <w:r>
              <w:rPr>
                <w:rFonts w:ascii="Arial" w:cs="Arial" w:eastAsia="Arial" w:hAnsi="Arial"/>
                <w:sz w:val="18"/>
                <w:szCs w:val="18"/>
                <w:color w:val="auto"/>
              </w:rPr>
              <w:t>VALLEY BAPTIST MC</w:t>
            </w:r>
          </w:p>
        </w:tc>
        <w:tc>
          <w:tcPr>
            <w:tcW w:w="2920" w:type="dxa"/>
            <w:vAlign w:val="bottom"/>
          </w:tcPr>
          <w:p>
            <w:pPr>
              <w:ind w:left="140"/>
              <w:spacing w:after="0"/>
              <w:rPr>
                <w:sz w:val="20"/>
                <w:szCs w:val="20"/>
                <w:color w:val="auto"/>
              </w:rPr>
            </w:pPr>
            <w:r>
              <w:rPr>
                <w:rFonts w:ascii="Arial" w:cs="Arial" w:eastAsia="Arial" w:hAnsi="Arial"/>
                <w:sz w:val="18"/>
                <w:szCs w:val="18"/>
                <w:color w:val="auto"/>
              </w:rPr>
              <w:t>1040 WEST JEFFERSON ST.</w:t>
            </w:r>
          </w:p>
        </w:tc>
        <w:tc>
          <w:tcPr>
            <w:tcW w:w="800" w:type="dxa"/>
            <w:vAlign w:val="bottom"/>
          </w:tcPr>
          <w:p>
            <w:pPr>
              <w:ind w:left="60"/>
              <w:spacing w:after="0"/>
              <w:rPr>
                <w:sz w:val="20"/>
                <w:szCs w:val="20"/>
                <w:color w:val="auto"/>
              </w:rPr>
            </w:pPr>
            <w:r>
              <w:rPr>
                <w:rFonts w:ascii="Arial" w:cs="Arial" w:eastAsia="Arial" w:hAnsi="Arial"/>
                <w:sz w:val="18"/>
                <w:szCs w:val="18"/>
                <w:color w:val="auto"/>
                <w:w w:val="83"/>
              </w:rPr>
              <w:t>Consignee</w:t>
            </w:r>
          </w:p>
        </w:tc>
      </w:tr>
      <w:tr>
        <w:trPr>
          <w:trHeight w:val="216"/>
        </w:trPr>
        <w:tc>
          <w:tcPr>
            <w:tcW w:w="27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920" w:type="dxa"/>
            <w:vAlign w:val="bottom"/>
          </w:tcPr>
          <w:p>
            <w:pPr>
              <w:ind w:left="140"/>
              <w:spacing w:after="0"/>
              <w:rPr>
                <w:sz w:val="20"/>
                <w:szCs w:val="20"/>
                <w:color w:val="auto"/>
              </w:rPr>
            </w:pPr>
            <w:r>
              <w:rPr>
                <w:rFonts w:ascii="Arial" w:cs="Arial" w:eastAsia="Arial" w:hAnsi="Arial"/>
                <w:sz w:val="18"/>
                <w:szCs w:val="18"/>
                <w:color w:val="auto"/>
              </w:rPr>
              <w:t>Brownsville, TX 78520</w:t>
            </w:r>
          </w:p>
        </w:tc>
        <w:tc>
          <w:tcPr>
            <w:tcW w:w="800" w:type="dxa"/>
            <w:vAlign w:val="bottom"/>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00" w:type="dxa"/>
            <w:vAlign w:val="bottom"/>
          </w:tcPr>
          <w:p>
            <w:pPr>
              <w:ind w:left="380"/>
              <w:spacing w:after="0"/>
              <w:rPr>
                <w:sz w:val="20"/>
                <w:szCs w:val="20"/>
                <w:color w:val="auto"/>
              </w:rPr>
            </w:pPr>
            <w:r>
              <w:rPr>
                <w:rFonts w:ascii="Arial" w:cs="Arial" w:eastAsia="Arial" w:hAnsi="Arial"/>
                <w:sz w:val="18"/>
                <w:szCs w:val="18"/>
                <w:color w:val="auto"/>
              </w:rPr>
              <w:t>JOHN PETER SMITH HOSPITAL</w:t>
            </w:r>
          </w:p>
        </w:tc>
        <w:tc>
          <w:tcPr>
            <w:tcW w:w="2920" w:type="dxa"/>
            <w:vAlign w:val="bottom"/>
          </w:tcPr>
          <w:p>
            <w:pPr>
              <w:ind w:left="140"/>
              <w:spacing w:after="0"/>
              <w:rPr>
                <w:sz w:val="20"/>
                <w:szCs w:val="20"/>
                <w:color w:val="auto"/>
              </w:rPr>
            </w:pPr>
            <w:r>
              <w:rPr>
                <w:rFonts w:ascii="Arial" w:cs="Arial" w:eastAsia="Arial" w:hAnsi="Arial"/>
                <w:sz w:val="18"/>
                <w:szCs w:val="18"/>
                <w:color w:val="auto"/>
              </w:rPr>
              <w:t>1500 Main St.</w:t>
            </w:r>
          </w:p>
        </w:tc>
        <w:tc>
          <w:tcPr>
            <w:tcW w:w="800" w:type="dxa"/>
            <w:vAlign w:val="bottom"/>
          </w:tcPr>
          <w:p>
            <w:pPr>
              <w:ind w:left="6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920" w:type="dxa"/>
            <w:vAlign w:val="bottom"/>
          </w:tcPr>
          <w:p>
            <w:pPr>
              <w:ind w:left="140"/>
              <w:spacing w:after="0"/>
              <w:rPr>
                <w:sz w:val="20"/>
                <w:szCs w:val="20"/>
                <w:color w:val="auto"/>
              </w:rPr>
            </w:pPr>
            <w:r>
              <w:rPr>
                <w:rFonts w:ascii="Arial" w:cs="Arial" w:eastAsia="Arial" w:hAnsi="Arial"/>
                <w:sz w:val="18"/>
                <w:szCs w:val="18"/>
                <w:color w:val="auto"/>
              </w:rPr>
              <w:t>Ft. Worth, TX 76104</w:t>
            </w:r>
          </w:p>
        </w:tc>
        <w:tc>
          <w:tcPr>
            <w:tcW w:w="80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00" w:type="dxa"/>
            <w:vAlign w:val="bottom"/>
          </w:tcPr>
          <w:p>
            <w:pPr>
              <w:ind w:left="380"/>
              <w:spacing w:after="0"/>
              <w:rPr>
                <w:sz w:val="20"/>
                <w:szCs w:val="20"/>
                <w:color w:val="auto"/>
              </w:rPr>
            </w:pPr>
            <w:r>
              <w:rPr>
                <w:rFonts w:ascii="Arial" w:cs="Arial" w:eastAsia="Arial" w:hAnsi="Arial"/>
                <w:sz w:val="18"/>
                <w:szCs w:val="18"/>
                <w:color w:val="auto"/>
              </w:rPr>
              <w:t>UNIVERSITY OF CHICAGO</w:t>
            </w:r>
          </w:p>
        </w:tc>
        <w:tc>
          <w:tcPr>
            <w:tcW w:w="2920" w:type="dxa"/>
            <w:vAlign w:val="bottom"/>
          </w:tcPr>
          <w:p>
            <w:pPr>
              <w:ind w:left="140"/>
              <w:spacing w:after="0"/>
              <w:rPr>
                <w:sz w:val="20"/>
                <w:szCs w:val="20"/>
                <w:color w:val="auto"/>
              </w:rPr>
            </w:pPr>
            <w:r>
              <w:rPr>
                <w:rFonts w:ascii="Arial" w:cs="Arial" w:eastAsia="Arial" w:hAnsi="Arial"/>
                <w:sz w:val="18"/>
                <w:szCs w:val="18"/>
                <w:color w:val="auto"/>
              </w:rPr>
              <w:t>8201 S.Cass Ave.</w:t>
            </w:r>
          </w:p>
        </w:tc>
        <w:tc>
          <w:tcPr>
            <w:tcW w:w="800" w:type="dxa"/>
            <w:vAlign w:val="bottom"/>
          </w:tcPr>
          <w:p>
            <w:pPr>
              <w:ind w:left="6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920" w:type="dxa"/>
            <w:vAlign w:val="bottom"/>
          </w:tcPr>
          <w:p>
            <w:pPr>
              <w:ind w:left="140"/>
              <w:spacing w:after="0"/>
              <w:rPr>
                <w:sz w:val="20"/>
                <w:szCs w:val="20"/>
                <w:color w:val="auto"/>
              </w:rPr>
            </w:pPr>
            <w:r>
              <w:rPr>
                <w:rFonts w:ascii="Arial" w:cs="Arial" w:eastAsia="Arial" w:hAnsi="Arial"/>
                <w:sz w:val="18"/>
                <w:szCs w:val="18"/>
                <w:color w:val="auto"/>
              </w:rPr>
              <w:t>Darien, IL 60561</w:t>
            </w:r>
          </w:p>
        </w:tc>
        <w:tc>
          <w:tcPr>
            <w:tcW w:w="80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00" w:type="dxa"/>
            <w:vAlign w:val="bottom"/>
          </w:tcPr>
          <w:p>
            <w:pPr>
              <w:ind w:left="380"/>
              <w:spacing w:after="0"/>
              <w:rPr>
                <w:sz w:val="20"/>
                <w:szCs w:val="20"/>
                <w:color w:val="auto"/>
              </w:rPr>
            </w:pPr>
            <w:r>
              <w:rPr>
                <w:rFonts w:ascii="Arial" w:cs="Arial" w:eastAsia="Arial" w:hAnsi="Arial"/>
                <w:sz w:val="18"/>
                <w:szCs w:val="18"/>
                <w:color w:val="auto"/>
              </w:rPr>
              <w:t>FLAGSTAFF MEDICAL CENTER</w:t>
            </w:r>
          </w:p>
        </w:tc>
        <w:tc>
          <w:tcPr>
            <w:tcW w:w="2920" w:type="dxa"/>
            <w:vAlign w:val="bottom"/>
          </w:tcPr>
          <w:p>
            <w:pPr>
              <w:ind w:left="140"/>
              <w:spacing w:after="0"/>
              <w:rPr>
                <w:sz w:val="20"/>
                <w:szCs w:val="20"/>
                <w:color w:val="auto"/>
              </w:rPr>
            </w:pPr>
            <w:r>
              <w:rPr>
                <w:rFonts w:ascii="Arial" w:cs="Arial" w:eastAsia="Arial" w:hAnsi="Arial"/>
                <w:sz w:val="18"/>
                <w:szCs w:val="18"/>
                <w:color w:val="auto"/>
              </w:rPr>
              <w:t>1200 N. Beaver St.</w:t>
            </w:r>
          </w:p>
        </w:tc>
        <w:tc>
          <w:tcPr>
            <w:tcW w:w="800" w:type="dxa"/>
            <w:vAlign w:val="bottom"/>
          </w:tcPr>
          <w:p>
            <w:pPr>
              <w:ind w:left="6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920" w:type="dxa"/>
            <w:vAlign w:val="bottom"/>
          </w:tcPr>
          <w:p>
            <w:pPr>
              <w:ind w:left="140"/>
              <w:spacing w:after="0"/>
              <w:rPr>
                <w:sz w:val="20"/>
                <w:szCs w:val="20"/>
                <w:color w:val="auto"/>
              </w:rPr>
            </w:pPr>
            <w:r>
              <w:rPr>
                <w:rFonts w:ascii="Arial" w:cs="Arial" w:eastAsia="Arial" w:hAnsi="Arial"/>
                <w:sz w:val="18"/>
                <w:szCs w:val="18"/>
                <w:color w:val="auto"/>
              </w:rPr>
              <w:t>Flagstaff, AZ 56001</w:t>
            </w:r>
          </w:p>
        </w:tc>
        <w:tc>
          <w:tcPr>
            <w:tcW w:w="80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00" w:type="dxa"/>
            <w:vAlign w:val="bottom"/>
          </w:tcPr>
          <w:p>
            <w:pPr>
              <w:ind w:left="380"/>
              <w:spacing w:after="0"/>
              <w:rPr>
                <w:sz w:val="20"/>
                <w:szCs w:val="20"/>
                <w:color w:val="auto"/>
              </w:rPr>
            </w:pPr>
            <w:r>
              <w:rPr>
                <w:rFonts w:ascii="Arial" w:cs="Arial" w:eastAsia="Arial" w:hAnsi="Arial"/>
                <w:sz w:val="18"/>
                <w:szCs w:val="18"/>
                <w:color w:val="auto"/>
              </w:rPr>
              <w:t>HUNTINGTOM MEMORIAL</w:t>
            </w:r>
          </w:p>
        </w:tc>
        <w:tc>
          <w:tcPr>
            <w:tcW w:w="2920" w:type="dxa"/>
            <w:vAlign w:val="bottom"/>
          </w:tcPr>
          <w:p>
            <w:pPr>
              <w:ind w:left="140"/>
              <w:spacing w:after="0"/>
              <w:rPr>
                <w:sz w:val="20"/>
                <w:szCs w:val="20"/>
                <w:color w:val="auto"/>
              </w:rPr>
            </w:pPr>
            <w:r>
              <w:rPr>
                <w:rFonts w:ascii="Arial" w:cs="Arial" w:eastAsia="Arial" w:hAnsi="Arial"/>
                <w:sz w:val="18"/>
                <w:szCs w:val="18"/>
                <w:color w:val="auto"/>
                <w:w w:val="90"/>
              </w:rPr>
              <w:t>100 W. California Blvd. Pasadena, CA</w:t>
            </w:r>
          </w:p>
        </w:tc>
        <w:tc>
          <w:tcPr>
            <w:tcW w:w="800" w:type="dxa"/>
            <w:vAlign w:val="bottom"/>
          </w:tcPr>
          <w:p>
            <w:pPr>
              <w:ind w:left="60"/>
              <w:spacing w:after="0"/>
              <w:rPr>
                <w:sz w:val="20"/>
                <w:szCs w:val="20"/>
                <w:color w:val="auto"/>
              </w:rPr>
            </w:pPr>
            <w:r>
              <w:rPr>
                <w:rFonts w:ascii="Arial" w:cs="Arial" w:eastAsia="Arial" w:hAnsi="Arial"/>
                <w:sz w:val="18"/>
                <w:szCs w:val="18"/>
                <w:color w:val="auto"/>
                <w:w w:val="83"/>
              </w:rPr>
              <w:t>Consignee</w:t>
            </w:r>
          </w:p>
        </w:tc>
      </w:tr>
      <w:tr>
        <w:trPr>
          <w:trHeight w:val="216"/>
        </w:trPr>
        <w:tc>
          <w:tcPr>
            <w:tcW w:w="2720" w:type="dxa"/>
            <w:vAlign w:val="bottom"/>
          </w:tcPr>
          <w:p>
            <w:pPr>
              <w:spacing w:after="0"/>
              <w:rPr>
                <w:sz w:val="18"/>
                <w:szCs w:val="18"/>
                <w:color w:val="auto"/>
              </w:rPr>
            </w:pPr>
          </w:p>
        </w:tc>
        <w:tc>
          <w:tcPr>
            <w:tcW w:w="3100" w:type="dxa"/>
            <w:vAlign w:val="bottom"/>
          </w:tcPr>
          <w:p>
            <w:pPr>
              <w:ind w:left="380"/>
              <w:spacing w:after="0"/>
              <w:rPr>
                <w:sz w:val="20"/>
                <w:szCs w:val="20"/>
                <w:color w:val="auto"/>
              </w:rPr>
            </w:pPr>
            <w:r>
              <w:rPr>
                <w:rFonts w:ascii="Arial" w:cs="Arial" w:eastAsia="Arial" w:hAnsi="Arial"/>
                <w:sz w:val="18"/>
                <w:szCs w:val="18"/>
                <w:color w:val="auto"/>
              </w:rPr>
              <w:t>HOSPITAL</w:t>
            </w:r>
          </w:p>
        </w:tc>
        <w:tc>
          <w:tcPr>
            <w:tcW w:w="2920" w:type="dxa"/>
            <w:vAlign w:val="bottom"/>
          </w:tcPr>
          <w:p>
            <w:pPr>
              <w:ind w:left="140"/>
              <w:spacing w:after="0"/>
              <w:rPr>
                <w:sz w:val="20"/>
                <w:szCs w:val="20"/>
                <w:color w:val="auto"/>
              </w:rPr>
            </w:pPr>
            <w:r>
              <w:rPr>
                <w:rFonts w:ascii="Arial" w:cs="Arial" w:eastAsia="Arial" w:hAnsi="Arial"/>
                <w:sz w:val="18"/>
                <w:szCs w:val="18"/>
                <w:color w:val="auto"/>
              </w:rPr>
              <w:t>91109</w:t>
            </w:r>
          </w:p>
        </w:tc>
        <w:tc>
          <w:tcPr>
            <w:tcW w:w="800" w:type="dxa"/>
            <w:vAlign w:val="bottom"/>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00" w:type="dxa"/>
            <w:vAlign w:val="bottom"/>
          </w:tcPr>
          <w:p>
            <w:pPr>
              <w:ind w:left="380"/>
              <w:spacing w:after="0"/>
              <w:rPr>
                <w:sz w:val="20"/>
                <w:szCs w:val="20"/>
                <w:color w:val="auto"/>
              </w:rPr>
            </w:pPr>
            <w:r>
              <w:rPr>
                <w:rFonts w:ascii="Arial" w:cs="Arial" w:eastAsia="Arial" w:hAnsi="Arial"/>
                <w:sz w:val="18"/>
                <w:szCs w:val="18"/>
                <w:color w:val="auto"/>
              </w:rPr>
              <w:t>BETH ISRAEL</w:t>
            </w:r>
          </w:p>
        </w:tc>
        <w:tc>
          <w:tcPr>
            <w:tcW w:w="2920" w:type="dxa"/>
            <w:vAlign w:val="bottom"/>
          </w:tcPr>
          <w:p>
            <w:pPr>
              <w:ind w:left="140"/>
              <w:spacing w:after="0"/>
              <w:rPr>
                <w:sz w:val="20"/>
                <w:szCs w:val="20"/>
                <w:color w:val="auto"/>
              </w:rPr>
            </w:pPr>
            <w:r>
              <w:rPr>
                <w:rFonts w:ascii="Arial" w:cs="Arial" w:eastAsia="Arial" w:hAnsi="Arial"/>
                <w:sz w:val="18"/>
                <w:szCs w:val="18"/>
                <w:color w:val="auto"/>
              </w:rPr>
              <w:t>Beth Israel Medical Center, New</w:t>
            </w:r>
          </w:p>
        </w:tc>
        <w:tc>
          <w:tcPr>
            <w:tcW w:w="800" w:type="dxa"/>
            <w:vAlign w:val="bottom"/>
          </w:tcPr>
          <w:p>
            <w:pPr>
              <w:ind w:left="60"/>
              <w:spacing w:after="0"/>
              <w:rPr>
                <w:sz w:val="20"/>
                <w:szCs w:val="20"/>
                <w:color w:val="auto"/>
              </w:rPr>
            </w:pPr>
            <w:r>
              <w:rPr>
                <w:rFonts w:ascii="Arial" w:cs="Arial" w:eastAsia="Arial" w:hAnsi="Arial"/>
                <w:sz w:val="18"/>
                <w:szCs w:val="18"/>
                <w:color w:val="auto"/>
                <w:w w:val="83"/>
              </w:rPr>
              <w:t>Consignee</w:t>
            </w:r>
          </w:p>
        </w:tc>
      </w:tr>
      <w:tr>
        <w:trPr>
          <w:trHeight w:val="216"/>
        </w:trPr>
        <w:tc>
          <w:tcPr>
            <w:tcW w:w="27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920" w:type="dxa"/>
            <w:vAlign w:val="bottom"/>
          </w:tcPr>
          <w:p>
            <w:pPr>
              <w:ind w:left="140"/>
              <w:spacing w:after="0"/>
              <w:rPr>
                <w:sz w:val="20"/>
                <w:szCs w:val="20"/>
                <w:color w:val="auto"/>
              </w:rPr>
            </w:pPr>
            <w:r>
              <w:rPr>
                <w:rFonts w:ascii="Arial" w:cs="Arial" w:eastAsia="Arial" w:hAnsi="Arial"/>
                <w:sz w:val="18"/>
                <w:szCs w:val="18"/>
                <w:color w:val="auto"/>
              </w:rPr>
              <w:t>York, NY 10003</w:t>
            </w:r>
          </w:p>
        </w:tc>
        <w:tc>
          <w:tcPr>
            <w:tcW w:w="800" w:type="dxa"/>
            <w:vAlign w:val="bottom"/>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00" w:type="dxa"/>
            <w:vAlign w:val="bottom"/>
          </w:tcPr>
          <w:p>
            <w:pPr>
              <w:ind w:left="380"/>
              <w:spacing w:after="0"/>
              <w:rPr>
                <w:sz w:val="20"/>
                <w:szCs w:val="20"/>
                <w:color w:val="auto"/>
              </w:rPr>
            </w:pPr>
            <w:r>
              <w:rPr>
                <w:rFonts w:ascii="Arial" w:cs="Arial" w:eastAsia="Arial" w:hAnsi="Arial"/>
                <w:sz w:val="18"/>
                <w:szCs w:val="18"/>
                <w:color w:val="auto"/>
              </w:rPr>
              <w:t>FLORIDA HOSPTIAL EAST</w:t>
            </w:r>
          </w:p>
        </w:tc>
        <w:tc>
          <w:tcPr>
            <w:tcW w:w="2920" w:type="dxa"/>
            <w:vAlign w:val="bottom"/>
          </w:tcPr>
          <w:p>
            <w:pPr>
              <w:ind w:left="140"/>
              <w:spacing w:after="0"/>
              <w:rPr>
                <w:sz w:val="20"/>
                <w:szCs w:val="20"/>
                <w:color w:val="auto"/>
              </w:rPr>
            </w:pPr>
            <w:r>
              <w:rPr>
                <w:rFonts w:ascii="Arial" w:cs="Arial" w:eastAsia="Arial" w:hAnsi="Arial"/>
                <w:sz w:val="18"/>
                <w:szCs w:val="18"/>
                <w:color w:val="auto"/>
                <w:w w:val="94"/>
              </w:rPr>
              <w:t>7727 Lake Underhill Rd. Orlando, FL</w:t>
            </w:r>
          </w:p>
        </w:tc>
        <w:tc>
          <w:tcPr>
            <w:tcW w:w="800" w:type="dxa"/>
            <w:vAlign w:val="bottom"/>
          </w:tcPr>
          <w:p>
            <w:pPr>
              <w:ind w:left="6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920" w:type="dxa"/>
            <w:vAlign w:val="bottom"/>
          </w:tcPr>
          <w:p>
            <w:pPr>
              <w:ind w:left="140"/>
              <w:spacing w:after="0"/>
              <w:rPr>
                <w:sz w:val="20"/>
                <w:szCs w:val="20"/>
                <w:color w:val="auto"/>
              </w:rPr>
            </w:pPr>
            <w:r>
              <w:rPr>
                <w:rFonts w:ascii="Arial" w:cs="Arial" w:eastAsia="Arial" w:hAnsi="Arial"/>
                <w:sz w:val="18"/>
                <w:szCs w:val="18"/>
                <w:color w:val="auto"/>
              </w:rPr>
              <w:t>32822</w:t>
            </w:r>
          </w:p>
        </w:tc>
        <w:tc>
          <w:tcPr>
            <w:tcW w:w="800" w:type="dxa"/>
            <w:vAlign w:val="bottom"/>
          </w:tcPr>
          <w:p>
            <w:pPr>
              <w:spacing w:after="0"/>
              <w:rPr>
                <w:sz w:val="19"/>
                <w:szCs w:val="19"/>
                <w:color w:val="auto"/>
              </w:rPr>
            </w:pPr>
          </w:p>
        </w:tc>
      </w:tr>
    </w:tbl>
    <w:p>
      <w:pPr>
        <w:sectPr>
          <w:pgSz w:w="11900" w:h="16838" w:orient="portrait"/>
          <w:cols w:equalWidth="0" w:num="1">
            <w:col w:w="10219"/>
          </w:cols>
          <w:pgMar w:left="240" w:top="280" w:right="1440" w:bottom="1440" w:gutter="0" w:footer="0" w:header="0"/>
        </w:sectPr>
      </w:pPr>
    </w:p>
    <w:bookmarkStart w:id="331" w:name="page332"/>
    <w:bookmarkEnd w:id="33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ST. LUKE’S HOSPITAL</w:t>
            </w:r>
          </w:p>
        </w:tc>
        <w:tc>
          <w:tcPr>
            <w:tcW w:w="2860" w:type="dxa"/>
            <w:vAlign w:val="bottom"/>
          </w:tcPr>
          <w:p>
            <w:pPr>
              <w:ind w:left="80"/>
              <w:spacing w:after="0"/>
              <w:rPr>
                <w:sz w:val="20"/>
                <w:szCs w:val="20"/>
                <w:color w:val="auto"/>
              </w:rPr>
            </w:pPr>
            <w:r>
              <w:rPr>
                <w:rFonts w:ascii="Arial" w:cs="Arial" w:eastAsia="Arial" w:hAnsi="Arial"/>
                <w:sz w:val="18"/>
                <w:szCs w:val="18"/>
                <w:color w:val="auto"/>
                <w:w w:val="95"/>
              </w:rPr>
              <w:t>915 East First St. Duluth, MN 55805</w:t>
            </w:r>
          </w:p>
        </w:tc>
        <w:tc>
          <w:tcPr>
            <w:tcW w:w="800" w:type="dxa"/>
            <w:vAlign w:val="bottom"/>
          </w:tcPr>
          <w:p>
            <w:pPr>
              <w:ind w:left="60"/>
              <w:spacing w:after="0"/>
              <w:rPr>
                <w:sz w:val="20"/>
                <w:szCs w:val="20"/>
                <w:color w:val="auto"/>
              </w:rPr>
            </w:pPr>
            <w:r>
              <w:rPr>
                <w:rFonts w:ascii="Arial" w:cs="Arial" w:eastAsia="Arial" w:hAnsi="Arial"/>
                <w:sz w:val="18"/>
                <w:szCs w:val="18"/>
                <w:color w:val="auto"/>
                <w:w w:val="83"/>
              </w:rPr>
              <w:t>Consignee</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SCOTTSDALE OSBORN</w:t>
            </w:r>
          </w:p>
        </w:tc>
        <w:tc>
          <w:tcPr>
            <w:tcW w:w="2860" w:type="dxa"/>
            <w:vAlign w:val="bottom"/>
          </w:tcPr>
          <w:p>
            <w:pPr>
              <w:ind w:left="80"/>
              <w:spacing w:after="0"/>
              <w:rPr>
                <w:sz w:val="20"/>
                <w:szCs w:val="20"/>
                <w:color w:val="auto"/>
              </w:rPr>
            </w:pPr>
            <w:r>
              <w:rPr>
                <w:rFonts w:ascii="Arial" w:cs="Arial" w:eastAsia="Arial" w:hAnsi="Arial"/>
                <w:sz w:val="18"/>
                <w:szCs w:val="18"/>
                <w:color w:val="auto"/>
                <w:w w:val="98"/>
              </w:rPr>
              <w:t>7400 E. Osborn Rd. Scottsdale, AZ</w:t>
            </w:r>
          </w:p>
        </w:tc>
        <w:tc>
          <w:tcPr>
            <w:tcW w:w="800" w:type="dxa"/>
            <w:vAlign w:val="bottom"/>
          </w:tcPr>
          <w:p>
            <w:pPr>
              <w:ind w:left="60"/>
              <w:spacing w:after="0"/>
              <w:rPr>
                <w:sz w:val="20"/>
                <w:szCs w:val="20"/>
                <w:color w:val="auto"/>
              </w:rPr>
            </w:pPr>
            <w:r>
              <w:rPr>
                <w:rFonts w:ascii="Arial" w:cs="Arial" w:eastAsia="Arial" w:hAnsi="Arial"/>
                <w:sz w:val="18"/>
                <w:szCs w:val="18"/>
                <w:color w:val="auto"/>
                <w:w w:val="83"/>
              </w:rPr>
              <w:t>Consignee</w:t>
            </w:r>
          </w:p>
        </w:tc>
      </w:tr>
      <w:tr>
        <w:trPr>
          <w:trHeight w:val="216"/>
        </w:trPr>
        <w:tc>
          <w:tcPr>
            <w:tcW w:w="2720" w:type="dxa"/>
            <w:vAlign w:val="bottom"/>
          </w:tcPr>
          <w:p>
            <w:pPr>
              <w:spacing w:after="0"/>
              <w:rPr>
                <w:sz w:val="18"/>
                <w:szCs w:val="18"/>
                <w:color w:val="auto"/>
              </w:rPr>
            </w:pPr>
          </w:p>
        </w:tc>
        <w:tc>
          <w:tcPr>
            <w:tcW w:w="3160" w:type="dxa"/>
            <w:vAlign w:val="bottom"/>
          </w:tcPr>
          <w:p>
            <w:pPr>
              <w:ind w:left="380"/>
              <w:spacing w:after="0"/>
              <w:rPr>
                <w:sz w:val="20"/>
                <w:szCs w:val="20"/>
                <w:color w:val="auto"/>
              </w:rPr>
            </w:pPr>
            <w:r>
              <w:rPr>
                <w:rFonts w:ascii="Arial" w:cs="Arial" w:eastAsia="Arial" w:hAnsi="Arial"/>
                <w:sz w:val="18"/>
                <w:szCs w:val="18"/>
                <w:color w:val="auto"/>
              </w:rPr>
              <w:t>HOSPITAL</w:t>
            </w:r>
          </w:p>
        </w:tc>
        <w:tc>
          <w:tcPr>
            <w:tcW w:w="2860" w:type="dxa"/>
            <w:vAlign w:val="bottom"/>
          </w:tcPr>
          <w:p>
            <w:pPr>
              <w:ind w:left="80"/>
              <w:spacing w:after="0"/>
              <w:rPr>
                <w:sz w:val="20"/>
                <w:szCs w:val="20"/>
                <w:color w:val="auto"/>
              </w:rPr>
            </w:pPr>
            <w:r>
              <w:rPr>
                <w:rFonts w:ascii="Arial" w:cs="Arial" w:eastAsia="Arial" w:hAnsi="Arial"/>
                <w:sz w:val="18"/>
                <w:szCs w:val="18"/>
                <w:color w:val="auto"/>
              </w:rPr>
              <w:t>85251</w:t>
            </w:r>
          </w:p>
        </w:tc>
        <w:tc>
          <w:tcPr>
            <w:tcW w:w="800" w:type="dxa"/>
            <w:vAlign w:val="bottom"/>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w w:val="97"/>
              </w:rPr>
              <w:t>SCOTTSDALE THOMPSON PEAK</w:t>
            </w:r>
          </w:p>
        </w:tc>
        <w:tc>
          <w:tcPr>
            <w:tcW w:w="2860" w:type="dxa"/>
            <w:vAlign w:val="bottom"/>
          </w:tcPr>
          <w:p>
            <w:pPr>
              <w:ind w:left="80"/>
              <w:spacing w:after="0"/>
              <w:rPr>
                <w:sz w:val="20"/>
                <w:szCs w:val="20"/>
                <w:color w:val="auto"/>
              </w:rPr>
            </w:pPr>
            <w:r>
              <w:rPr>
                <w:rFonts w:ascii="Arial" w:cs="Arial" w:eastAsia="Arial" w:hAnsi="Arial"/>
                <w:sz w:val="18"/>
                <w:szCs w:val="18"/>
                <w:color w:val="auto"/>
                <w:w w:val="99"/>
              </w:rPr>
              <w:t>7400 E. Thompson Peak Parkway.</w:t>
            </w:r>
          </w:p>
        </w:tc>
        <w:tc>
          <w:tcPr>
            <w:tcW w:w="800" w:type="dxa"/>
            <w:vAlign w:val="bottom"/>
          </w:tcPr>
          <w:p>
            <w:pPr>
              <w:ind w:left="60"/>
              <w:spacing w:after="0"/>
              <w:rPr>
                <w:sz w:val="20"/>
                <w:szCs w:val="20"/>
                <w:color w:val="auto"/>
              </w:rPr>
            </w:pPr>
            <w:r>
              <w:rPr>
                <w:rFonts w:ascii="Arial" w:cs="Arial" w:eastAsia="Arial" w:hAnsi="Arial"/>
                <w:sz w:val="18"/>
                <w:szCs w:val="18"/>
                <w:color w:val="auto"/>
                <w:w w:val="83"/>
              </w:rPr>
              <w:t>Consignee</w:t>
            </w:r>
          </w:p>
        </w:tc>
      </w:tr>
      <w:tr>
        <w:trPr>
          <w:trHeight w:val="216"/>
        </w:trPr>
        <w:tc>
          <w:tcPr>
            <w:tcW w:w="2720" w:type="dxa"/>
            <w:vAlign w:val="bottom"/>
          </w:tcPr>
          <w:p>
            <w:pPr>
              <w:spacing w:after="0"/>
              <w:rPr>
                <w:sz w:val="18"/>
                <w:szCs w:val="18"/>
                <w:color w:val="auto"/>
              </w:rPr>
            </w:pPr>
          </w:p>
        </w:tc>
        <w:tc>
          <w:tcPr>
            <w:tcW w:w="3160" w:type="dxa"/>
            <w:vAlign w:val="bottom"/>
          </w:tcPr>
          <w:p>
            <w:pPr>
              <w:ind w:left="380"/>
              <w:spacing w:after="0"/>
              <w:rPr>
                <w:sz w:val="20"/>
                <w:szCs w:val="20"/>
                <w:color w:val="auto"/>
              </w:rPr>
            </w:pPr>
            <w:r>
              <w:rPr>
                <w:rFonts w:ascii="Arial" w:cs="Arial" w:eastAsia="Arial" w:hAnsi="Arial"/>
                <w:sz w:val="18"/>
                <w:szCs w:val="18"/>
                <w:color w:val="auto"/>
              </w:rPr>
              <w:t>HOSPITAL</w:t>
            </w:r>
          </w:p>
        </w:tc>
        <w:tc>
          <w:tcPr>
            <w:tcW w:w="2860" w:type="dxa"/>
            <w:vAlign w:val="bottom"/>
          </w:tcPr>
          <w:p>
            <w:pPr>
              <w:ind w:left="80"/>
              <w:spacing w:after="0"/>
              <w:rPr>
                <w:sz w:val="20"/>
                <w:szCs w:val="20"/>
                <w:color w:val="auto"/>
              </w:rPr>
            </w:pPr>
            <w:r>
              <w:rPr>
                <w:rFonts w:ascii="Arial" w:cs="Arial" w:eastAsia="Arial" w:hAnsi="Arial"/>
                <w:sz w:val="18"/>
                <w:szCs w:val="18"/>
                <w:color w:val="auto"/>
              </w:rPr>
              <w:t>Scottsdale, AZ 85255</w:t>
            </w:r>
          </w:p>
        </w:tc>
        <w:tc>
          <w:tcPr>
            <w:tcW w:w="800" w:type="dxa"/>
            <w:vAlign w:val="bottom"/>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EVANS SURGERY CENTER</w:t>
            </w:r>
          </w:p>
        </w:tc>
        <w:tc>
          <w:tcPr>
            <w:tcW w:w="2860" w:type="dxa"/>
            <w:vAlign w:val="bottom"/>
          </w:tcPr>
          <w:p>
            <w:pPr>
              <w:ind w:left="80"/>
              <w:spacing w:after="0"/>
              <w:rPr>
                <w:sz w:val="20"/>
                <w:szCs w:val="20"/>
                <w:color w:val="auto"/>
              </w:rPr>
            </w:pPr>
            <w:r>
              <w:rPr>
                <w:rFonts w:ascii="Arial" w:cs="Arial" w:eastAsia="Arial" w:hAnsi="Arial"/>
                <w:sz w:val="18"/>
                <w:szCs w:val="18"/>
                <w:color w:val="auto"/>
                <w:w w:val="93"/>
              </w:rPr>
              <w:t>635 Ronald Reagan Dr. Augusta, GA</w:t>
            </w:r>
          </w:p>
        </w:tc>
        <w:tc>
          <w:tcPr>
            <w:tcW w:w="800" w:type="dxa"/>
            <w:vAlign w:val="bottom"/>
          </w:tcPr>
          <w:p>
            <w:pPr>
              <w:ind w:left="60"/>
              <w:spacing w:after="0"/>
              <w:rPr>
                <w:sz w:val="20"/>
                <w:szCs w:val="20"/>
                <w:color w:val="auto"/>
              </w:rPr>
            </w:pPr>
            <w:r>
              <w:rPr>
                <w:rFonts w:ascii="Arial" w:cs="Arial" w:eastAsia="Arial" w:hAnsi="Arial"/>
                <w:sz w:val="18"/>
                <w:szCs w:val="18"/>
                <w:color w:val="auto"/>
                <w:w w:val="83"/>
              </w:rPr>
              <w:t>Consignee</w:t>
            </w:r>
          </w:p>
        </w:tc>
      </w:tr>
      <w:tr>
        <w:trPr>
          <w:trHeight w:val="216"/>
        </w:trPr>
        <w:tc>
          <w:tcPr>
            <w:tcW w:w="27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860" w:type="dxa"/>
            <w:vAlign w:val="bottom"/>
          </w:tcPr>
          <w:p>
            <w:pPr>
              <w:ind w:left="80"/>
              <w:spacing w:after="0"/>
              <w:rPr>
                <w:sz w:val="20"/>
                <w:szCs w:val="20"/>
                <w:color w:val="auto"/>
              </w:rPr>
            </w:pPr>
            <w:r>
              <w:rPr>
                <w:rFonts w:ascii="Arial" w:cs="Arial" w:eastAsia="Arial" w:hAnsi="Arial"/>
                <w:sz w:val="18"/>
                <w:szCs w:val="18"/>
                <w:color w:val="auto"/>
              </w:rPr>
              <w:t>30809</w:t>
            </w:r>
          </w:p>
        </w:tc>
        <w:tc>
          <w:tcPr>
            <w:tcW w:w="800" w:type="dxa"/>
            <w:vAlign w:val="bottom"/>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WISE REGIONAL MEDICAL</w:t>
            </w:r>
          </w:p>
        </w:tc>
        <w:tc>
          <w:tcPr>
            <w:tcW w:w="2860" w:type="dxa"/>
            <w:vAlign w:val="bottom"/>
          </w:tcPr>
          <w:p>
            <w:pPr>
              <w:ind w:left="80"/>
              <w:spacing w:after="0"/>
              <w:rPr>
                <w:sz w:val="20"/>
                <w:szCs w:val="20"/>
                <w:color w:val="auto"/>
              </w:rPr>
            </w:pPr>
            <w:r>
              <w:rPr>
                <w:rFonts w:ascii="Arial" w:cs="Arial" w:eastAsia="Arial" w:hAnsi="Arial"/>
                <w:sz w:val="18"/>
                <w:szCs w:val="18"/>
                <w:color w:val="auto"/>
              </w:rPr>
              <w:t>2000 S. Hwy 51 DECATUR, TX</w:t>
            </w:r>
          </w:p>
        </w:tc>
        <w:tc>
          <w:tcPr>
            <w:tcW w:w="800" w:type="dxa"/>
            <w:vAlign w:val="bottom"/>
          </w:tcPr>
          <w:p>
            <w:pPr>
              <w:ind w:left="60"/>
              <w:spacing w:after="0"/>
              <w:rPr>
                <w:sz w:val="20"/>
                <w:szCs w:val="20"/>
                <w:color w:val="auto"/>
              </w:rPr>
            </w:pPr>
            <w:r>
              <w:rPr>
                <w:rFonts w:ascii="Arial" w:cs="Arial" w:eastAsia="Arial" w:hAnsi="Arial"/>
                <w:sz w:val="18"/>
                <w:szCs w:val="18"/>
                <w:color w:val="auto"/>
                <w:w w:val="83"/>
              </w:rPr>
              <w:t>Consignee</w:t>
            </w:r>
          </w:p>
        </w:tc>
      </w:tr>
      <w:tr>
        <w:trPr>
          <w:trHeight w:val="216"/>
        </w:trPr>
        <w:tc>
          <w:tcPr>
            <w:tcW w:w="2720" w:type="dxa"/>
            <w:vAlign w:val="bottom"/>
          </w:tcPr>
          <w:p>
            <w:pPr>
              <w:spacing w:after="0"/>
              <w:rPr>
                <w:sz w:val="18"/>
                <w:szCs w:val="18"/>
                <w:color w:val="auto"/>
              </w:rPr>
            </w:pPr>
          </w:p>
        </w:tc>
        <w:tc>
          <w:tcPr>
            <w:tcW w:w="3160" w:type="dxa"/>
            <w:vAlign w:val="bottom"/>
          </w:tcPr>
          <w:p>
            <w:pPr>
              <w:ind w:left="380"/>
              <w:spacing w:after="0"/>
              <w:rPr>
                <w:sz w:val="20"/>
                <w:szCs w:val="20"/>
                <w:color w:val="auto"/>
              </w:rPr>
            </w:pPr>
            <w:r>
              <w:rPr>
                <w:rFonts w:ascii="Arial" w:cs="Arial" w:eastAsia="Arial" w:hAnsi="Arial"/>
                <w:sz w:val="18"/>
                <w:szCs w:val="18"/>
                <w:color w:val="auto"/>
              </w:rPr>
              <w:t>CENTER</w:t>
            </w:r>
          </w:p>
        </w:tc>
        <w:tc>
          <w:tcPr>
            <w:tcW w:w="2860" w:type="dxa"/>
            <w:vAlign w:val="bottom"/>
          </w:tcPr>
          <w:p>
            <w:pPr>
              <w:ind w:left="80"/>
              <w:spacing w:after="0"/>
              <w:rPr>
                <w:sz w:val="20"/>
                <w:szCs w:val="20"/>
                <w:color w:val="auto"/>
              </w:rPr>
            </w:pPr>
            <w:r>
              <w:rPr>
                <w:rFonts w:ascii="Arial" w:cs="Arial" w:eastAsia="Arial" w:hAnsi="Arial"/>
                <w:sz w:val="18"/>
                <w:szCs w:val="18"/>
                <w:color w:val="auto"/>
              </w:rPr>
              <w:t>76234</w:t>
            </w:r>
          </w:p>
        </w:tc>
        <w:tc>
          <w:tcPr>
            <w:tcW w:w="800" w:type="dxa"/>
            <w:vAlign w:val="bottom"/>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DENTON REGIONAL MEDICAL</w:t>
            </w:r>
          </w:p>
        </w:tc>
        <w:tc>
          <w:tcPr>
            <w:tcW w:w="2860" w:type="dxa"/>
            <w:vAlign w:val="bottom"/>
          </w:tcPr>
          <w:p>
            <w:pPr>
              <w:ind w:left="80"/>
              <w:spacing w:after="0"/>
              <w:rPr>
                <w:sz w:val="20"/>
                <w:szCs w:val="20"/>
                <w:color w:val="auto"/>
              </w:rPr>
            </w:pPr>
            <w:r>
              <w:rPr>
                <w:rFonts w:ascii="Arial" w:cs="Arial" w:eastAsia="Arial" w:hAnsi="Arial"/>
                <w:sz w:val="18"/>
                <w:szCs w:val="18"/>
                <w:color w:val="auto"/>
                <w:w w:val="93"/>
              </w:rPr>
              <w:t>3535 South I-35 E Denton, TX 76210</w:t>
            </w:r>
          </w:p>
        </w:tc>
        <w:tc>
          <w:tcPr>
            <w:tcW w:w="800" w:type="dxa"/>
            <w:vAlign w:val="bottom"/>
          </w:tcPr>
          <w:p>
            <w:pPr>
              <w:ind w:left="60"/>
              <w:spacing w:after="0"/>
              <w:rPr>
                <w:sz w:val="20"/>
                <w:szCs w:val="20"/>
                <w:color w:val="auto"/>
              </w:rPr>
            </w:pPr>
            <w:r>
              <w:rPr>
                <w:rFonts w:ascii="Arial" w:cs="Arial" w:eastAsia="Arial" w:hAnsi="Arial"/>
                <w:sz w:val="18"/>
                <w:szCs w:val="18"/>
                <w:color w:val="auto"/>
                <w:w w:val="83"/>
              </w:rPr>
              <w:t>Consignee</w:t>
            </w:r>
          </w:p>
        </w:tc>
      </w:tr>
      <w:tr>
        <w:trPr>
          <w:trHeight w:val="216"/>
        </w:trPr>
        <w:tc>
          <w:tcPr>
            <w:tcW w:w="2720" w:type="dxa"/>
            <w:vAlign w:val="bottom"/>
          </w:tcPr>
          <w:p>
            <w:pPr>
              <w:spacing w:after="0"/>
              <w:rPr>
                <w:sz w:val="18"/>
                <w:szCs w:val="18"/>
                <w:color w:val="auto"/>
              </w:rPr>
            </w:pPr>
          </w:p>
        </w:tc>
        <w:tc>
          <w:tcPr>
            <w:tcW w:w="3160" w:type="dxa"/>
            <w:vAlign w:val="bottom"/>
          </w:tcPr>
          <w:p>
            <w:pPr>
              <w:ind w:left="380"/>
              <w:spacing w:after="0"/>
              <w:rPr>
                <w:sz w:val="20"/>
                <w:szCs w:val="20"/>
                <w:color w:val="auto"/>
              </w:rPr>
            </w:pPr>
            <w:r>
              <w:rPr>
                <w:rFonts w:ascii="Arial" w:cs="Arial" w:eastAsia="Arial" w:hAnsi="Arial"/>
                <w:sz w:val="18"/>
                <w:szCs w:val="18"/>
                <w:color w:val="auto"/>
              </w:rPr>
              <w:t>CENTER</w:t>
            </w:r>
          </w:p>
        </w:tc>
        <w:tc>
          <w:tcPr>
            <w:tcW w:w="28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LIBERTY HOSPITAL</w:t>
            </w:r>
          </w:p>
        </w:tc>
        <w:tc>
          <w:tcPr>
            <w:tcW w:w="2860" w:type="dxa"/>
            <w:vAlign w:val="bottom"/>
          </w:tcPr>
          <w:p>
            <w:pPr>
              <w:ind w:left="80"/>
              <w:spacing w:after="0"/>
              <w:rPr>
                <w:sz w:val="20"/>
                <w:szCs w:val="20"/>
                <w:color w:val="auto"/>
              </w:rPr>
            </w:pPr>
            <w:r>
              <w:rPr>
                <w:rFonts w:ascii="Arial" w:cs="Arial" w:eastAsia="Arial" w:hAnsi="Arial"/>
                <w:sz w:val="18"/>
                <w:szCs w:val="18"/>
                <w:color w:val="auto"/>
                <w:w w:val="93"/>
              </w:rPr>
              <w:t>2525 Glenn Hendren Dr. Liberty, MO</w:t>
            </w:r>
          </w:p>
        </w:tc>
        <w:tc>
          <w:tcPr>
            <w:tcW w:w="800" w:type="dxa"/>
            <w:vAlign w:val="bottom"/>
          </w:tcPr>
          <w:p>
            <w:pPr>
              <w:ind w:left="60"/>
              <w:spacing w:after="0"/>
              <w:rPr>
                <w:sz w:val="20"/>
                <w:szCs w:val="20"/>
                <w:color w:val="auto"/>
              </w:rPr>
            </w:pPr>
            <w:r>
              <w:rPr>
                <w:rFonts w:ascii="Arial" w:cs="Arial" w:eastAsia="Arial" w:hAnsi="Arial"/>
                <w:sz w:val="18"/>
                <w:szCs w:val="18"/>
                <w:color w:val="auto"/>
                <w:w w:val="83"/>
              </w:rPr>
              <w:t>Consignee</w:t>
            </w:r>
          </w:p>
        </w:tc>
      </w:tr>
      <w:tr>
        <w:trPr>
          <w:trHeight w:val="216"/>
        </w:trPr>
        <w:tc>
          <w:tcPr>
            <w:tcW w:w="27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860" w:type="dxa"/>
            <w:vAlign w:val="bottom"/>
          </w:tcPr>
          <w:p>
            <w:pPr>
              <w:ind w:left="80"/>
              <w:spacing w:after="0"/>
              <w:rPr>
                <w:sz w:val="20"/>
                <w:szCs w:val="20"/>
                <w:color w:val="auto"/>
              </w:rPr>
            </w:pPr>
            <w:r>
              <w:rPr>
                <w:rFonts w:ascii="Arial" w:cs="Arial" w:eastAsia="Arial" w:hAnsi="Arial"/>
                <w:sz w:val="18"/>
                <w:szCs w:val="18"/>
                <w:color w:val="auto"/>
              </w:rPr>
              <w:t>64068</w:t>
            </w:r>
          </w:p>
        </w:tc>
        <w:tc>
          <w:tcPr>
            <w:tcW w:w="800" w:type="dxa"/>
            <w:vAlign w:val="bottom"/>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w w:val="94"/>
              </w:rPr>
              <w:t>SURGERY CENTER OF ROME, GA</w:t>
            </w:r>
          </w:p>
        </w:tc>
        <w:tc>
          <w:tcPr>
            <w:tcW w:w="2860" w:type="dxa"/>
            <w:vAlign w:val="bottom"/>
          </w:tcPr>
          <w:p>
            <w:pPr>
              <w:ind w:left="80"/>
              <w:spacing w:after="0"/>
              <w:rPr>
                <w:sz w:val="20"/>
                <w:szCs w:val="20"/>
                <w:color w:val="auto"/>
              </w:rPr>
            </w:pPr>
            <w:r>
              <w:rPr>
                <w:rFonts w:ascii="Arial" w:cs="Arial" w:eastAsia="Arial" w:hAnsi="Arial"/>
                <w:sz w:val="18"/>
                <w:szCs w:val="18"/>
                <w:color w:val="auto"/>
              </w:rPr>
              <w:t>16 John Maddox Drive</w:t>
            </w:r>
          </w:p>
        </w:tc>
        <w:tc>
          <w:tcPr>
            <w:tcW w:w="800" w:type="dxa"/>
            <w:vAlign w:val="bottom"/>
          </w:tcPr>
          <w:p>
            <w:pPr>
              <w:ind w:left="6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860" w:type="dxa"/>
            <w:vAlign w:val="bottom"/>
          </w:tcPr>
          <w:p>
            <w:pPr>
              <w:ind w:left="80"/>
              <w:spacing w:after="0"/>
              <w:rPr>
                <w:sz w:val="20"/>
                <w:szCs w:val="20"/>
                <w:color w:val="auto"/>
              </w:rPr>
            </w:pPr>
            <w:r>
              <w:rPr>
                <w:rFonts w:ascii="Arial" w:cs="Arial" w:eastAsia="Arial" w:hAnsi="Arial"/>
                <w:sz w:val="18"/>
                <w:szCs w:val="18"/>
                <w:color w:val="auto"/>
              </w:rPr>
              <w:t>Rome, GA 30165</w:t>
            </w:r>
          </w:p>
        </w:tc>
        <w:tc>
          <w:tcPr>
            <w:tcW w:w="80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WESTFALL SURGERY CENTER</w:t>
            </w:r>
          </w:p>
        </w:tc>
        <w:tc>
          <w:tcPr>
            <w:tcW w:w="2860" w:type="dxa"/>
            <w:vAlign w:val="bottom"/>
          </w:tcPr>
          <w:p>
            <w:pPr>
              <w:ind w:left="80"/>
              <w:spacing w:after="0"/>
              <w:rPr>
                <w:sz w:val="20"/>
                <w:szCs w:val="20"/>
                <w:color w:val="auto"/>
              </w:rPr>
            </w:pPr>
            <w:r>
              <w:rPr>
                <w:rFonts w:ascii="Arial" w:cs="Arial" w:eastAsia="Arial" w:hAnsi="Arial"/>
                <w:sz w:val="18"/>
                <w:szCs w:val="18"/>
                <w:color w:val="auto"/>
              </w:rPr>
              <w:t>1065 Senator Keating Blvd.</w:t>
            </w:r>
          </w:p>
        </w:tc>
        <w:tc>
          <w:tcPr>
            <w:tcW w:w="800" w:type="dxa"/>
            <w:vAlign w:val="bottom"/>
          </w:tcPr>
          <w:p>
            <w:pPr>
              <w:ind w:left="60"/>
              <w:spacing w:after="0"/>
              <w:rPr>
                <w:sz w:val="20"/>
                <w:szCs w:val="20"/>
                <w:color w:val="auto"/>
              </w:rPr>
            </w:pPr>
            <w:r>
              <w:rPr>
                <w:rFonts w:ascii="Arial" w:cs="Arial" w:eastAsia="Arial" w:hAnsi="Arial"/>
                <w:sz w:val="18"/>
                <w:szCs w:val="18"/>
                <w:color w:val="auto"/>
                <w:w w:val="83"/>
              </w:rPr>
              <w:t>Consignee</w:t>
            </w:r>
          </w:p>
        </w:tc>
      </w:tr>
      <w:tr>
        <w:trPr>
          <w:trHeight w:val="216"/>
        </w:trPr>
        <w:tc>
          <w:tcPr>
            <w:tcW w:w="27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860" w:type="dxa"/>
            <w:vAlign w:val="bottom"/>
          </w:tcPr>
          <w:p>
            <w:pPr>
              <w:ind w:left="80"/>
              <w:spacing w:after="0"/>
              <w:rPr>
                <w:sz w:val="20"/>
                <w:szCs w:val="20"/>
                <w:color w:val="auto"/>
              </w:rPr>
            </w:pPr>
            <w:r>
              <w:rPr>
                <w:rFonts w:ascii="Arial" w:cs="Arial" w:eastAsia="Arial" w:hAnsi="Arial"/>
                <w:sz w:val="18"/>
                <w:szCs w:val="18"/>
                <w:color w:val="auto"/>
              </w:rPr>
              <w:t>Rochester, NY 14626</w:t>
            </w:r>
          </w:p>
        </w:tc>
        <w:tc>
          <w:tcPr>
            <w:tcW w:w="800" w:type="dxa"/>
            <w:vAlign w:val="bottom"/>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OCHSNER BAPTIST MEDICAL</w:t>
            </w:r>
          </w:p>
        </w:tc>
        <w:tc>
          <w:tcPr>
            <w:tcW w:w="2860" w:type="dxa"/>
            <w:vAlign w:val="bottom"/>
          </w:tcPr>
          <w:p>
            <w:pPr>
              <w:ind w:left="80"/>
              <w:spacing w:after="0"/>
              <w:rPr>
                <w:sz w:val="20"/>
                <w:szCs w:val="20"/>
                <w:color w:val="auto"/>
              </w:rPr>
            </w:pPr>
            <w:r>
              <w:rPr>
                <w:rFonts w:ascii="Arial" w:cs="Arial" w:eastAsia="Arial" w:hAnsi="Arial"/>
                <w:sz w:val="18"/>
                <w:szCs w:val="18"/>
                <w:color w:val="auto"/>
                <w:w w:val="99"/>
              </w:rPr>
              <w:t>2700 Napoleon Ave. New Orleans,</w:t>
            </w:r>
          </w:p>
        </w:tc>
        <w:tc>
          <w:tcPr>
            <w:tcW w:w="800" w:type="dxa"/>
            <w:vAlign w:val="bottom"/>
          </w:tcPr>
          <w:p>
            <w:pPr>
              <w:ind w:left="60"/>
              <w:spacing w:after="0"/>
              <w:rPr>
                <w:sz w:val="20"/>
                <w:szCs w:val="20"/>
                <w:color w:val="auto"/>
              </w:rPr>
            </w:pPr>
            <w:r>
              <w:rPr>
                <w:rFonts w:ascii="Arial" w:cs="Arial" w:eastAsia="Arial" w:hAnsi="Arial"/>
                <w:sz w:val="18"/>
                <w:szCs w:val="18"/>
                <w:color w:val="auto"/>
                <w:w w:val="83"/>
              </w:rPr>
              <w:t>Consignee</w:t>
            </w:r>
          </w:p>
        </w:tc>
      </w:tr>
      <w:tr>
        <w:trPr>
          <w:trHeight w:val="216"/>
        </w:trPr>
        <w:tc>
          <w:tcPr>
            <w:tcW w:w="2720" w:type="dxa"/>
            <w:vAlign w:val="bottom"/>
          </w:tcPr>
          <w:p>
            <w:pPr>
              <w:spacing w:after="0"/>
              <w:rPr>
                <w:sz w:val="18"/>
                <w:szCs w:val="18"/>
                <w:color w:val="auto"/>
              </w:rPr>
            </w:pPr>
          </w:p>
        </w:tc>
        <w:tc>
          <w:tcPr>
            <w:tcW w:w="3160" w:type="dxa"/>
            <w:vAlign w:val="bottom"/>
          </w:tcPr>
          <w:p>
            <w:pPr>
              <w:ind w:left="380"/>
              <w:spacing w:after="0"/>
              <w:rPr>
                <w:sz w:val="20"/>
                <w:szCs w:val="20"/>
                <w:color w:val="auto"/>
              </w:rPr>
            </w:pPr>
            <w:r>
              <w:rPr>
                <w:rFonts w:ascii="Arial" w:cs="Arial" w:eastAsia="Arial" w:hAnsi="Arial"/>
                <w:sz w:val="18"/>
                <w:szCs w:val="18"/>
                <w:color w:val="auto"/>
              </w:rPr>
              <w:t>CENTER</w:t>
            </w:r>
          </w:p>
        </w:tc>
        <w:tc>
          <w:tcPr>
            <w:tcW w:w="2860" w:type="dxa"/>
            <w:vAlign w:val="bottom"/>
          </w:tcPr>
          <w:p>
            <w:pPr>
              <w:ind w:left="80"/>
              <w:spacing w:after="0"/>
              <w:rPr>
                <w:sz w:val="20"/>
                <w:szCs w:val="20"/>
                <w:color w:val="auto"/>
              </w:rPr>
            </w:pPr>
            <w:r>
              <w:rPr>
                <w:rFonts w:ascii="Arial" w:cs="Arial" w:eastAsia="Arial" w:hAnsi="Arial"/>
                <w:sz w:val="18"/>
                <w:szCs w:val="18"/>
                <w:color w:val="auto"/>
              </w:rPr>
              <w:t>LA 70115</w:t>
            </w:r>
          </w:p>
        </w:tc>
        <w:tc>
          <w:tcPr>
            <w:tcW w:w="800" w:type="dxa"/>
            <w:vAlign w:val="bottom"/>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ORTHO HOSP OF WISCONSIN</w:t>
            </w:r>
          </w:p>
        </w:tc>
        <w:tc>
          <w:tcPr>
            <w:tcW w:w="2860" w:type="dxa"/>
            <w:vAlign w:val="bottom"/>
          </w:tcPr>
          <w:p>
            <w:pPr>
              <w:ind w:left="80"/>
              <w:spacing w:after="0"/>
              <w:rPr>
                <w:sz w:val="20"/>
                <w:szCs w:val="20"/>
                <w:color w:val="auto"/>
              </w:rPr>
            </w:pPr>
            <w:r>
              <w:rPr>
                <w:rFonts w:ascii="Arial" w:cs="Arial" w:eastAsia="Arial" w:hAnsi="Arial"/>
                <w:sz w:val="18"/>
                <w:szCs w:val="18"/>
                <w:color w:val="auto"/>
              </w:rPr>
              <w:t>575 W. Riverwoods Parkway</w:t>
            </w:r>
          </w:p>
        </w:tc>
        <w:tc>
          <w:tcPr>
            <w:tcW w:w="800" w:type="dxa"/>
            <w:vAlign w:val="bottom"/>
          </w:tcPr>
          <w:p>
            <w:pPr>
              <w:ind w:left="60"/>
              <w:spacing w:after="0"/>
              <w:rPr>
                <w:sz w:val="20"/>
                <w:szCs w:val="20"/>
                <w:color w:val="auto"/>
              </w:rPr>
            </w:pPr>
            <w:r>
              <w:rPr>
                <w:rFonts w:ascii="Arial" w:cs="Arial" w:eastAsia="Arial" w:hAnsi="Arial"/>
                <w:sz w:val="18"/>
                <w:szCs w:val="18"/>
                <w:color w:val="auto"/>
                <w:w w:val="83"/>
              </w:rPr>
              <w:t>Consignee</w:t>
            </w:r>
          </w:p>
        </w:tc>
      </w:tr>
      <w:tr>
        <w:trPr>
          <w:trHeight w:val="216"/>
        </w:trPr>
        <w:tc>
          <w:tcPr>
            <w:tcW w:w="27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860" w:type="dxa"/>
            <w:vAlign w:val="bottom"/>
          </w:tcPr>
          <w:p>
            <w:pPr>
              <w:ind w:left="80"/>
              <w:spacing w:after="0"/>
              <w:rPr>
                <w:sz w:val="20"/>
                <w:szCs w:val="20"/>
                <w:color w:val="auto"/>
              </w:rPr>
            </w:pPr>
            <w:r>
              <w:rPr>
                <w:rFonts w:ascii="Arial" w:cs="Arial" w:eastAsia="Arial" w:hAnsi="Arial"/>
                <w:sz w:val="18"/>
                <w:szCs w:val="18"/>
                <w:color w:val="auto"/>
              </w:rPr>
              <w:t>Glendale, WI 53212</w:t>
            </w:r>
          </w:p>
        </w:tc>
        <w:tc>
          <w:tcPr>
            <w:tcW w:w="800" w:type="dxa"/>
            <w:vAlign w:val="bottom"/>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w w:val="94"/>
              </w:rPr>
              <w:t>CENTER FOR SPECIAL SURGERY</w:t>
            </w:r>
          </w:p>
        </w:tc>
        <w:tc>
          <w:tcPr>
            <w:tcW w:w="2860" w:type="dxa"/>
            <w:vAlign w:val="bottom"/>
          </w:tcPr>
          <w:p>
            <w:pPr>
              <w:ind w:left="80"/>
              <w:spacing w:after="0"/>
              <w:rPr>
                <w:sz w:val="20"/>
                <w:szCs w:val="20"/>
                <w:color w:val="auto"/>
              </w:rPr>
            </w:pPr>
            <w:r>
              <w:rPr>
                <w:rFonts w:ascii="Arial" w:cs="Arial" w:eastAsia="Arial" w:hAnsi="Arial"/>
                <w:sz w:val="18"/>
                <w:szCs w:val="18"/>
                <w:color w:val="auto"/>
                <w:w w:val="90"/>
              </w:rPr>
              <w:t>21 Spurs Ln Ste 100, San Antonio, TX</w:t>
            </w:r>
          </w:p>
        </w:tc>
        <w:tc>
          <w:tcPr>
            <w:tcW w:w="800" w:type="dxa"/>
            <w:vAlign w:val="bottom"/>
          </w:tcPr>
          <w:p>
            <w:pPr>
              <w:ind w:left="60"/>
              <w:spacing w:after="0"/>
              <w:rPr>
                <w:sz w:val="20"/>
                <w:szCs w:val="20"/>
                <w:color w:val="auto"/>
              </w:rPr>
            </w:pPr>
            <w:r>
              <w:rPr>
                <w:rFonts w:ascii="Arial" w:cs="Arial" w:eastAsia="Arial" w:hAnsi="Arial"/>
                <w:sz w:val="18"/>
                <w:szCs w:val="18"/>
                <w:color w:val="auto"/>
                <w:w w:val="83"/>
              </w:rPr>
              <w:t>Consignee</w:t>
            </w:r>
          </w:p>
        </w:tc>
      </w:tr>
      <w:tr>
        <w:trPr>
          <w:trHeight w:val="216"/>
        </w:trPr>
        <w:tc>
          <w:tcPr>
            <w:tcW w:w="27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860" w:type="dxa"/>
            <w:vAlign w:val="bottom"/>
          </w:tcPr>
          <w:p>
            <w:pPr>
              <w:ind w:left="80"/>
              <w:spacing w:after="0"/>
              <w:rPr>
                <w:sz w:val="20"/>
                <w:szCs w:val="20"/>
                <w:color w:val="auto"/>
              </w:rPr>
            </w:pPr>
            <w:r>
              <w:rPr>
                <w:rFonts w:ascii="Arial" w:cs="Arial" w:eastAsia="Arial" w:hAnsi="Arial"/>
                <w:sz w:val="18"/>
                <w:szCs w:val="18"/>
                <w:color w:val="auto"/>
              </w:rPr>
              <w:t>78240</w:t>
            </w:r>
          </w:p>
        </w:tc>
        <w:tc>
          <w:tcPr>
            <w:tcW w:w="800" w:type="dxa"/>
            <w:vAlign w:val="bottom"/>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KADLEC HOSPITAL</w:t>
            </w:r>
          </w:p>
        </w:tc>
        <w:tc>
          <w:tcPr>
            <w:tcW w:w="2860" w:type="dxa"/>
            <w:vAlign w:val="bottom"/>
          </w:tcPr>
          <w:p>
            <w:pPr>
              <w:ind w:left="80"/>
              <w:spacing w:after="0"/>
              <w:rPr>
                <w:sz w:val="20"/>
                <w:szCs w:val="20"/>
                <w:color w:val="auto"/>
              </w:rPr>
            </w:pPr>
            <w:r>
              <w:rPr>
                <w:rFonts w:ascii="Arial" w:cs="Arial" w:eastAsia="Arial" w:hAnsi="Arial"/>
                <w:sz w:val="18"/>
                <w:szCs w:val="18"/>
                <w:color w:val="auto"/>
                <w:w w:val="98"/>
              </w:rPr>
              <w:t>888 Swift blvd Richland, WA 99352</w:t>
            </w:r>
          </w:p>
        </w:tc>
        <w:tc>
          <w:tcPr>
            <w:tcW w:w="800" w:type="dxa"/>
            <w:vAlign w:val="bottom"/>
          </w:tcPr>
          <w:p>
            <w:pPr>
              <w:ind w:left="60"/>
              <w:spacing w:after="0"/>
              <w:rPr>
                <w:sz w:val="20"/>
                <w:szCs w:val="20"/>
                <w:color w:val="auto"/>
              </w:rPr>
            </w:pPr>
            <w:r>
              <w:rPr>
                <w:rFonts w:ascii="Arial" w:cs="Arial" w:eastAsia="Arial" w:hAnsi="Arial"/>
                <w:sz w:val="18"/>
                <w:szCs w:val="18"/>
                <w:color w:val="auto"/>
                <w:w w:val="83"/>
              </w:rPr>
              <w:t>Consignee</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SURGERY CENTER OF</w:t>
            </w:r>
          </w:p>
        </w:tc>
        <w:tc>
          <w:tcPr>
            <w:tcW w:w="2860" w:type="dxa"/>
            <w:vAlign w:val="bottom"/>
          </w:tcPr>
          <w:p>
            <w:pPr>
              <w:ind w:left="80"/>
              <w:spacing w:after="0"/>
              <w:rPr>
                <w:sz w:val="20"/>
                <w:szCs w:val="20"/>
                <w:color w:val="auto"/>
              </w:rPr>
            </w:pPr>
            <w:r>
              <w:rPr>
                <w:rFonts w:ascii="Arial" w:cs="Arial" w:eastAsia="Arial" w:hAnsi="Arial"/>
                <w:sz w:val="18"/>
                <w:szCs w:val="18"/>
                <w:color w:val="auto"/>
              </w:rPr>
              <w:t>2400 Matlock Rd. Arlington, TX</w:t>
            </w:r>
          </w:p>
        </w:tc>
        <w:tc>
          <w:tcPr>
            <w:tcW w:w="800" w:type="dxa"/>
            <w:vAlign w:val="bottom"/>
          </w:tcPr>
          <w:p>
            <w:pPr>
              <w:ind w:left="60"/>
              <w:spacing w:after="0"/>
              <w:rPr>
                <w:sz w:val="20"/>
                <w:szCs w:val="20"/>
                <w:color w:val="auto"/>
              </w:rPr>
            </w:pPr>
            <w:r>
              <w:rPr>
                <w:rFonts w:ascii="Arial" w:cs="Arial" w:eastAsia="Arial" w:hAnsi="Arial"/>
                <w:sz w:val="18"/>
                <w:szCs w:val="18"/>
                <w:color w:val="auto"/>
                <w:w w:val="83"/>
              </w:rPr>
              <w:t>Consignee</w:t>
            </w:r>
          </w:p>
        </w:tc>
      </w:tr>
      <w:tr>
        <w:trPr>
          <w:trHeight w:val="216"/>
        </w:trPr>
        <w:tc>
          <w:tcPr>
            <w:tcW w:w="2720" w:type="dxa"/>
            <w:vAlign w:val="bottom"/>
          </w:tcPr>
          <w:p>
            <w:pPr>
              <w:spacing w:after="0"/>
              <w:rPr>
                <w:sz w:val="18"/>
                <w:szCs w:val="18"/>
                <w:color w:val="auto"/>
              </w:rPr>
            </w:pPr>
          </w:p>
        </w:tc>
        <w:tc>
          <w:tcPr>
            <w:tcW w:w="3160" w:type="dxa"/>
            <w:vAlign w:val="bottom"/>
          </w:tcPr>
          <w:p>
            <w:pPr>
              <w:ind w:left="380"/>
              <w:spacing w:after="0"/>
              <w:rPr>
                <w:sz w:val="20"/>
                <w:szCs w:val="20"/>
                <w:color w:val="auto"/>
              </w:rPr>
            </w:pPr>
            <w:r>
              <w:rPr>
                <w:rFonts w:ascii="Arial" w:cs="Arial" w:eastAsia="Arial" w:hAnsi="Arial"/>
                <w:sz w:val="18"/>
                <w:szCs w:val="18"/>
                <w:color w:val="auto"/>
              </w:rPr>
              <w:t>ARLINGTON</w:t>
            </w:r>
          </w:p>
        </w:tc>
        <w:tc>
          <w:tcPr>
            <w:tcW w:w="2860" w:type="dxa"/>
            <w:vAlign w:val="bottom"/>
          </w:tcPr>
          <w:p>
            <w:pPr>
              <w:ind w:left="80"/>
              <w:spacing w:after="0"/>
              <w:rPr>
                <w:sz w:val="20"/>
                <w:szCs w:val="20"/>
                <w:color w:val="auto"/>
              </w:rPr>
            </w:pPr>
            <w:r>
              <w:rPr>
                <w:rFonts w:ascii="Arial" w:cs="Arial" w:eastAsia="Arial" w:hAnsi="Arial"/>
                <w:sz w:val="18"/>
                <w:szCs w:val="18"/>
                <w:color w:val="auto"/>
              </w:rPr>
              <w:t>76015</w:t>
            </w:r>
          </w:p>
        </w:tc>
        <w:tc>
          <w:tcPr>
            <w:tcW w:w="800" w:type="dxa"/>
            <w:vAlign w:val="bottom"/>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w w:val="95"/>
              </w:rPr>
              <w:t>CLEAR FORK SURGERY CENTER</w:t>
            </w:r>
          </w:p>
        </w:tc>
        <w:tc>
          <w:tcPr>
            <w:tcW w:w="2860" w:type="dxa"/>
            <w:vAlign w:val="bottom"/>
          </w:tcPr>
          <w:p>
            <w:pPr>
              <w:ind w:left="80"/>
              <w:spacing w:after="0"/>
              <w:rPr>
                <w:sz w:val="20"/>
                <w:szCs w:val="20"/>
                <w:color w:val="auto"/>
              </w:rPr>
            </w:pPr>
            <w:r>
              <w:rPr>
                <w:rFonts w:ascii="Arial" w:cs="Arial" w:eastAsia="Arial" w:hAnsi="Arial"/>
                <w:sz w:val="18"/>
                <w:szCs w:val="18"/>
                <w:color w:val="auto"/>
                <w:w w:val="98"/>
              </w:rPr>
              <w:t>800 5</w:t>
            </w:r>
            <w:r>
              <w:rPr>
                <w:rFonts w:ascii="Arial" w:cs="Arial" w:eastAsia="Arial" w:hAnsi="Arial"/>
                <w:sz w:val="11"/>
                <w:szCs w:val="11"/>
                <w:color w:val="auto"/>
                <w:w w:val="98"/>
              </w:rPr>
              <w:t>th</w:t>
            </w:r>
            <w:r>
              <w:rPr>
                <w:rFonts w:ascii="Arial" w:cs="Arial" w:eastAsia="Arial" w:hAnsi="Arial"/>
                <w:sz w:val="18"/>
                <w:szCs w:val="18"/>
                <w:color w:val="auto"/>
                <w:w w:val="98"/>
              </w:rPr>
              <w:t xml:space="preserve"> Ave Ste 200 Fort Worth, TX</w:t>
            </w:r>
          </w:p>
        </w:tc>
        <w:tc>
          <w:tcPr>
            <w:tcW w:w="800" w:type="dxa"/>
            <w:vAlign w:val="bottom"/>
          </w:tcPr>
          <w:p>
            <w:pPr>
              <w:ind w:left="60"/>
              <w:spacing w:after="0"/>
              <w:rPr>
                <w:sz w:val="20"/>
                <w:szCs w:val="20"/>
                <w:color w:val="auto"/>
              </w:rPr>
            </w:pPr>
            <w:r>
              <w:rPr>
                <w:rFonts w:ascii="Arial" w:cs="Arial" w:eastAsia="Arial" w:hAnsi="Arial"/>
                <w:sz w:val="18"/>
                <w:szCs w:val="18"/>
                <w:color w:val="auto"/>
                <w:w w:val="83"/>
              </w:rPr>
              <w:t>Consignee</w:t>
            </w:r>
          </w:p>
        </w:tc>
      </w:tr>
      <w:tr>
        <w:trPr>
          <w:trHeight w:val="216"/>
        </w:trPr>
        <w:tc>
          <w:tcPr>
            <w:tcW w:w="27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860" w:type="dxa"/>
            <w:vAlign w:val="bottom"/>
          </w:tcPr>
          <w:p>
            <w:pPr>
              <w:ind w:left="80"/>
              <w:spacing w:after="0"/>
              <w:rPr>
                <w:sz w:val="20"/>
                <w:szCs w:val="20"/>
                <w:color w:val="auto"/>
              </w:rPr>
            </w:pPr>
            <w:r>
              <w:rPr>
                <w:rFonts w:ascii="Arial" w:cs="Arial" w:eastAsia="Arial" w:hAnsi="Arial"/>
                <w:sz w:val="18"/>
                <w:szCs w:val="18"/>
                <w:color w:val="auto"/>
              </w:rPr>
              <w:t>76104</w:t>
            </w:r>
          </w:p>
        </w:tc>
        <w:tc>
          <w:tcPr>
            <w:tcW w:w="800" w:type="dxa"/>
            <w:vAlign w:val="bottom"/>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PG HOSPITAL CENTER</w:t>
            </w:r>
          </w:p>
        </w:tc>
        <w:tc>
          <w:tcPr>
            <w:tcW w:w="2860" w:type="dxa"/>
            <w:vAlign w:val="bottom"/>
          </w:tcPr>
          <w:p>
            <w:pPr>
              <w:ind w:left="80"/>
              <w:spacing w:after="0"/>
              <w:rPr>
                <w:sz w:val="20"/>
                <w:szCs w:val="20"/>
                <w:color w:val="auto"/>
              </w:rPr>
            </w:pPr>
            <w:r>
              <w:rPr>
                <w:rFonts w:ascii="Arial" w:cs="Arial" w:eastAsia="Arial" w:hAnsi="Arial"/>
                <w:sz w:val="18"/>
                <w:szCs w:val="18"/>
                <w:color w:val="auto"/>
              </w:rPr>
              <w:t>3001 Hospital Dr. Cheverly, MD</w:t>
            </w:r>
          </w:p>
        </w:tc>
        <w:tc>
          <w:tcPr>
            <w:tcW w:w="800" w:type="dxa"/>
            <w:vAlign w:val="bottom"/>
          </w:tcPr>
          <w:p>
            <w:pPr>
              <w:ind w:left="60"/>
              <w:spacing w:after="0"/>
              <w:rPr>
                <w:sz w:val="20"/>
                <w:szCs w:val="20"/>
                <w:color w:val="auto"/>
              </w:rPr>
            </w:pPr>
            <w:r>
              <w:rPr>
                <w:rFonts w:ascii="Arial" w:cs="Arial" w:eastAsia="Arial" w:hAnsi="Arial"/>
                <w:sz w:val="18"/>
                <w:szCs w:val="18"/>
                <w:color w:val="auto"/>
                <w:w w:val="83"/>
              </w:rPr>
              <w:t>Consignee</w:t>
            </w:r>
          </w:p>
        </w:tc>
      </w:tr>
      <w:tr>
        <w:trPr>
          <w:trHeight w:val="216"/>
        </w:trPr>
        <w:tc>
          <w:tcPr>
            <w:tcW w:w="27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860" w:type="dxa"/>
            <w:vAlign w:val="bottom"/>
          </w:tcPr>
          <w:p>
            <w:pPr>
              <w:ind w:left="80"/>
              <w:spacing w:after="0"/>
              <w:rPr>
                <w:sz w:val="20"/>
                <w:szCs w:val="20"/>
                <w:color w:val="auto"/>
              </w:rPr>
            </w:pPr>
            <w:r>
              <w:rPr>
                <w:rFonts w:ascii="Arial" w:cs="Arial" w:eastAsia="Arial" w:hAnsi="Arial"/>
                <w:sz w:val="18"/>
                <w:szCs w:val="18"/>
                <w:color w:val="auto"/>
              </w:rPr>
              <w:t>20785</w:t>
            </w:r>
          </w:p>
        </w:tc>
        <w:tc>
          <w:tcPr>
            <w:tcW w:w="800" w:type="dxa"/>
            <w:vAlign w:val="bottom"/>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GROUP HEALTH</w:t>
            </w:r>
          </w:p>
        </w:tc>
        <w:tc>
          <w:tcPr>
            <w:tcW w:w="2860" w:type="dxa"/>
            <w:vAlign w:val="bottom"/>
          </w:tcPr>
          <w:p>
            <w:pPr>
              <w:ind w:left="80"/>
              <w:spacing w:after="0"/>
              <w:rPr>
                <w:sz w:val="20"/>
                <w:szCs w:val="20"/>
                <w:color w:val="auto"/>
              </w:rPr>
            </w:pPr>
            <w:r>
              <w:rPr>
                <w:rFonts w:ascii="Arial" w:cs="Arial" w:eastAsia="Arial" w:hAnsi="Arial"/>
                <w:sz w:val="18"/>
                <w:szCs w:val="18"/>
                <w:color w:val="auto"/>
              </w:rPr>
              <w:t>11511 NE 10</w:t>
            </w:r>
            <w:r>
              <w:rPr>
                <w:rFonts w:ascii="Arial" w:cs="Arial" w:eastAsia="Arial" w:hAnsi="Arial"/>
                <w:sz w:val="11"/>
                <w:szCs w:val="11"/>
                <w:color w:val="auto"/>
              </w:rPr>
              <w:t>th</w:t>
            </w:r>
            <w:r>
              <w:rPr>
                <w:rFonts w:ascii="Arial" w:cs="Arial" w:eastAsia="Arial" w:hAnsi="Arial"/>
                <w:sz w:val="18"/>
                <w:szCs w:val="18"/>
                <w:color w:val="auto"/>
              </w:rPr>
              <w:t xml:space="preserve"> St. Bellevue, WA</w:t>
            </w:r>
          </w:p>
        </w:tc>
        <w:tc>
          <w:tcPr>
            <w:tcW w:w="800" w:type="dxa"/>
            <w:vAlign w:val="bottom"/>
          </w:tcPr>
          <w:p>
            <w:pPr>
              <w:ind w:left="60"/>
              <w:spacing w:after="0"/>
              <w:rPr>
                <w:sz w:val="20"/>
                <w:szCs w:val="20"/>
                <w:color w:val="auto"/>
              </w:rPr>
            </w:pPr>
            <w:r>
              <w:rPr>
                <w:rFonts w:ascii="Arial" w:cs="Arial" w:eastAsia="Arial" w:hAnsi="Arial"/>
                <w:sz w:val="18"/>
                <w:szCs w:val="18"/>
                <w:color w:val="auto"/>
                <w:w w:val="83"/>
              </w:rPr>
              <w:t>Consignee</w:t>
            </w:r>
          </w:p>
        </w:tc>
      </w:tr>
      <w:tr>
        <w:trPr>
          <w:trHeight w:val="216"/>
        </w:trPr>
        <w:tc>
          <w:tcPr>
            <w:tcW w:w="27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860" w:type="dxa"/>
            <w:vAlign w:val="bottom"/>
          </w:tcPr>
          <w:p>
            <w:pPr>
              <w:ind w:left="80"/>
              <w:spacing w:after="0"/>
              <w:rPr>
                <w:sz w:val="20"/>
                <w:szCs w:val="20"/>
                <w:color w:val="auto"/>
              </w:rPr>
            </w:pPr>
            <w:r>
              <w:rPr>
                <w:rFonts w:ascii="Arial" w:cs="Arial" w:eastAsia="Arial" w:hAnsi="Arial"/>
                <w:sz w:val="18"/>
                <w:szCs w:val="18"/>
                <w:color w:val="auto"/>
              </w:rPr>
              <w:t>98004</w:t>
            </w:r>
          </w:p>
        </w:tc>
        <w:tc>
          <w:tcPr>
            <w:tcW w:w="800" w:type="dxa"/>
            <w:vAlign w:val="bottom"/>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THE READING HOSITAL AND</w:t>
            </w:r>
          </w:p>
        </w:tc>
        <w:tc>
          <w:tcPr>
            <w:tcW w:w="2860" w:type="dxa"/>
            <w:vAlign w:val="bottom"/>
          </w:tcPr>
          <w:p>
            <w:pPr>
              <w:ind w:left="80"/>
              <w:spacing w:after="0"/>
              <w:rPr>
                <w:sz w:val="20"/>
                <w:szCs w:val="20"/>
                <w:color w:val="auto"/>
              </w:rPr>
            </w:pPr>
            <w:r>
              <w:rPr>
                <w:rFonts w:ascii="Arial" w:cs="Arial" w:eastAsia="Arial" w:hAnsi="Arial"/>
                <w:sz w:val="18"/>
                <w:szCs w:val="18"/>
                <w:color w:val="auto"/>
              </w:rPr>
              <w:t>6</w:t>
            </w:r>
            <w:r>
              <w:rPr>
                <w:rFonts w:ascii="Arial" w:cs="Arial" w:eastAsia="Arial" w:hAnsi="Arial"/>
                <w:sz w:val="11"/>
                <w:szCs w:val="11"/>
                <w:color w:val="auto"/>
              </w:rPr>
              <w:t>th</w:t>
            </w:r>
            <w:r>
              <w:rPr>
                <w:rFonts w:ascii="Arial" w:cs="Arial" w:eastAsia="Arial" w:hAnsi="Arial"/>
                <w:sz w:val="18"/>
                <w:szCs w:val="18"/>
                <w:color w:val="auto"/>
              </w:rPr>
              <w:t xml:space="preserve"> Avenue and Spruce St. West</w:t>
            </w:r>
          </w:p>
        </w:tc>
        <w:tc>
          <w:tcPr>
            <w:tcW w:w="800" w:type="dxa"/>
            <w:vAlign w:val="bottom"/>
          </w:tcPr>
          <w:p>
            <w:pPr>
              <w:ind w:left="60"/>
              <w:spacing w:after="0"/>
              <w:rPr>
                <w:sz w:val="20"/>
                <w:szCs w:val="20"/>
                <w:color w:val="auto"/>
              </w:rPr>
            </w:pPr>
            <w:r>
              <w:rPr>
                <w:rFonts w:ascii="Arial" w:cs="Arial" w:eastAsia="Arial" w:hAnsi="Arial"/>
                <w:sz w:val="18"/>
                <w:szCs w:val="18"/>
                <w:color w:val="auto"/>
                <w:w w:val="83"/>
              </w:rPr>
              <w:t>Consignee</w:t>
            </w:r>
          </w:p>
        </w:tc>
      </w:tr>
      <w:tr>
        <w:trPr>
          <w:trHeight w:val="216"/>
        </w:trPr>
        <w:tc>
          <w:tcPr>
            <w:tcW w:w="2720" w:type="dxa"/>
            <w:vAlign w:val="bottom"/>
          </w:tcPr>
          <w:p>
            <w:pPr>
              <w:spacing w:after="0"/>
              <w:rPr>
                <w:sz w:val="18"/>
                <w:szCs w:val="18"/>
                <w:color w:val="auto"/>
              </w:rPr>
            </w:pPr>
          </w:p>
        </w:tc>
        <w:tc>
          <w:tcPr>
            <w:tcW w:w="3160" w:type="dxa"/>
            <w:vAlign w:val="bottom"/>
          </w:tcPr>
          <w:p>
            <w:pPr>
              <w:ind w:left="380"/>
              <w:spacing w:after="0"/>
              <w:rPr>
                <w:sz w:val="20"/>
                <w:szCs w:val="20"/>
                <w:color w:val="auto"/>
              </w:rPr>
            </w:pPr>
            <w:r>
              <w:rPr>
                <w:rFonts w:ascii="Arial" w:cs="Arial" w:eastAsia="Arial" w:hAnsi="Arial"/>
                <w:sz w:val="18"/>
                <w:szCs w:val="18"/>
                <w:color w:val="auto"/>
              </w:rPr>
              <w:t>MEDICAL CENTER</w:t>
            </w:r>
          </w:p>
        </w:tc>
        <w:tc>
          <w:tcPr>
            <w:tcW w:w="2860" w:type="dxa"/>
            <w:vAlign w:val="bottom"/>
          </w:tcPr>
          <w:p>
            <w:pPr>
              <w:ind w:left="80"/>
              <w:spacing w:after="0"/>
              <w:rPr>
                <w:sz w:val="20"/>
                <w:szCs w:val="20"/>
                <w:color w:val="auto"/>
              </w:rPr>
            </w:pPr>
            <w:r>
              <w:rPr>
                <w:rFonts w:ascii="Arial" w:cs="Arial" w:eastAsia="Arial" w:hAnsi="Arial"/>
                <w:sz w:val="18"/>
                <w:szCs w:val="18"/>
                <w:color w:val="auto"/>
              </w:rPr>
              <w:t>Reading, PA 19611</w:t>
            </w:r>
          </w:p>
        </w:tc>
        <w:tc>
          <w:tcPr>
            <w:tcW w:w="800" w:type="dxa"/>
            <w:vAlign w:val="bottom"/>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MERCY MEDICAL CENTER</w:t>
            </w:r>
          </w:p>
        </w:tc>
        <w:tc>
          <w:tcPr>
            <w:tcW w:w="2860" w:type="dxa"/>
            <w:vAlign w:val="bottom"/>
          </w:tcPr>
          <w:p>
            <w:pPr>
              <w:ind w:left="80"/>
              <w:spacing w:after="0"/>
              <w:rPr>
                <w:sz w:val="20"/>
                <w:szCs w:val="20"/>
                <w:color w:val="auto"/>
              </w:rPr>
            </w:pPr>
            <w:r>
              <w:rPr>
                <w:rFonts w:ascii="Arial" w:cs="Arial" w:eastAsia="Arial" w:hAnsi="Arial"/>
                <w:sz w:val="18"/>
                <w:szCs w:val="18"/>
                <w:color w:val="auto"/>
                <w:w w:val="92"/>
              </w:rPr>
              <w:t>301 St. Paul St. Baltimore, MD 21202</w:t>
            </w:r>
          </w:p>
        </w:tc>
        <w:tc>
          <w:tcPr>
            <w:tcW w:w="800" w:type="dxa"/>
            <w:vAlign w:val="bottom"/>
          </w:tcPr>
          <w:p>
            <w:pPr>
              <w:ind w:left="60"/>
              <w:spacing w:after="0"/>
              <w:rPr>
                <w:sz w:val="20"/>
                <w:szCs w:val="20"/>
                <w:color w:val="auto"/>
              </w:rPr>
            </w:pPr>
            <w:r>
              <w:rPr>
                <w:rFonts w:ascii="Arial" w:cs="Arial" w:eastAsia="Arial" w:hAnsi="Arial"/>
                <w:sz w:val="18"/>
                <w:szCs w:val="18"/>
                <w:color w:val="auto"/>
                <w:w w:val="83"/>
              </w:rPr>
              <w:t>Consignee</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PRATT REGIONAL MEDICAL</w:t>
            </w:r>
          </w:p>
        </w:tc>
        <w:tc>
          <w:tcPr>
            <w:tcW w:w="2860" w:type="dxa"/>
            <w:vAlign w:val="bottom"/>
          </w:tcPr>
          <w:p>
            <w:pPr>
              <w:ind w:left="80"/>
              <w:spacing w:after="0"/>
              <w:rPr>
                <w:sz w:val="20"/>
                <w:szCs w:val="20"/>
                <w:color w:val="auto"/>
              </w:rPr>
            </w:pPr>
            <w:r>
              <w:rPr>
                <w:rFonts w:ascii="Arial" w:cs="Arial" w:eastAsia="Arial" w:hAnsi="Arial"/>
                <w:sz w:val="18"/>
                <w:szCs w:val="18"/>
                <w:color w:val="auto"/>
                <w:w w:val="94"/>
              </w:rPr>
              <w:t>200 Commodore St. Pratt, KS 67124</w:t>
            </w:r>
          </w:p>
        </w:tc>
        <w:tc>
          <w:tcPr>
            <w:tcW w:w="800" w:type="dxa"/>
            <w:vAlign w:val="bottom"/>
          </w:tcPr>
          <w:p>
            <w:pPr>
              <w:ind w:left="60"/>
              <w:spacing w:after="0"/>
              <w:rPr>
                <w:sz w:val="20"/>
                <w:szCs w:val="20"/>
                <w:color w:val="auto"/>
              </w:rPr>
            </w:pPr>
            <w:r>
              <w:rPr>
                <w:rFonts w:ascii="Arial" w:cs="Arial" w:eastAsia="Arial" w:hAnsi="Arial"/>
                <w:sz w:val="18"/>
                <w:szCs w:val="18"/>
                <w:color w:val="auto"/>
                <w:w w:val="83"/>
              </w:rPr>
              <w:t>Consignee</w:t>
            </w:r>
          </w:p>
        </w:tc>
      </w:tr>
      <w:tr>
        <w:trPr>
          <w:trHeight w:val="216"/>
        </w:trPr>
        <w:tc>
          <w:tcPr>
            <w:tcW w:w="2720" w:type="dxa"/>
            <w:vAlign w:val="bottom"/>
          </w:tcPr>
          <w:p>
            <w:pPr>
              <w:spacing w:after="0"/>
              <w:rPr>
                <w:sz w:val="18"/>
                <w:szCs w:val="18"/>
                <w:color w:val="auto"/>
              </w:rPr>
            </w:pPr>
          </w:p>
        </w:tc>
        <w:tc>
          <w:tcPr>
            <w:tcW w:w="3160" w:type="dxa"/>
            <w:vAlign w:val="bottom"/>
          </w:tcPr>
          <w:p>
            <w:pPr>
              <w:ind w:left="380"/>
              <w:spacing w:after="0"/>
              <w:rPr>
                <w:sz w:val="20"/>
                <w:szCs w:val="20"/>
                <w:color w:val="auto"/>
              </w:rPr>
            </w:pPr>
            <w:r>
              <w:rPr>
                <w:rFonts w:ascii="Arial" w:cs="Arial" w:eastAsia="Arial" w:hAnsi="Arial"/>
                <w:sz w:val="18"/>
                <w:szCs w:val="18"/>
                <w:color w:val="auto"/>
              </w:rPr>
              <w:t>CENTER</w:t>
            </w:r>
          </w:p>
        </w:tc>
        <w:tc>
          <w:tcPr>
            <w:tcW w:w="28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3160" w:type="dxa"/>
            <w:vAlign w:val="bottom"/>
          </w:tcPr>
          <w:p>
            <w:pPr>
              <w:ind w:left="380"/>
              <w:spacing w:after="0"/>
              <w:rPr>
                <w:sz w:val="20"/>
                <w:szCs w:val="20"/>
                <w:color w:val="auto"/>
              </w:rPr>
            </w:pPr>
            <w:r>
              <w:rPr>
                <w:rFonts w:ascii="Arial" w:cs="Arial" w:eastAsia="Arial" w:hAnsi="Arial"/>
                <w:sz w:val="18"/>
                <w:szCs w:val="18"/>
                <w:color w:val="auto"/>
              </w:rPr>
              <w:t>PAOLI</w:t>
            </w:r>
          </w:p>
        </w:tc>
        <w:tc>
          <w:tcPr>
            <w:tcW w:w="2860" w:type="dxa"/>
            <w:vAlign w:val="bottom"/>
          </w:tcPr>
          <w:p>
            <w:pPr>
              <w:ind w:left="80"/>
              <w:spacing w:after="0"/>
              <w:rPr>
                <w:sz w:val="20"/>
                <w:szCs w:val="20"/>
                <w:color w:val="auto"/>
              </w:rPr>
            </w:pPr>
            <w:r>
              <w:rPr>
                <w:rFonts w:ascii="Arial" w:cs="Arial" w:eastAsia="Arial" w:hAnsi="Arial"/>
                <w:sz w:val="18"/>
                <w:szCs w:val="18"/>
                <w:color w:val="auto"/>
              </w:rPr>
              <w:t>255 W. Lancaster Ave. Paoli, PA</w:t>
            </w:r>
          </w:p>
        </w:tc>
        <w:tc>
          <w:tcPr>
            <w:tcW w:w="800" w:type="dxa"/>
            <w:vAlign w:val="bottom"/>
          </w:tcPr>
          <w:p>
            <w:pPr>
              <w:ind w:left="6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860" w:type="dxa"/>
            <w:vAlign w:val="bottom"/>
          </w:tcPr>
          <w:p>
            <w:pPr>
              <w:ind w:left="80"/>
              <w:spacing w:after="0"/>
              <w:rPr>
                <w:sz w:val="20"/>
                <w:szCs w:val="20"/>
                <w:color w:val="auto"/>
              </w:rPr>
            </w:pPr>
            <w:r>
              <w:rPr>
                <w:rFonts w:ascii="Arial" w:cs="Arial" w:eastAsia="Arial" w:hAnsi="Arial"/>
                <w:sz w:val="18"/>
                <w:szCs w:val="18"/>
                <w:color w:val="auto"/>
              </w:rPr>
              <w:t>19301</w:t>
            </w:r>
          </w:p>
        </w:tc>
        <w:tc>
          <w:tcPr>
            <w:tcW w:w="800" w:type="dxa"/>
            <w:vAlign w:val="bottom"/>
          </w:tcPr>
          <w:p>
            <w:pPr>
              <w:spacing w:after="0"/>
              <w:rPr>
                <w:sz w:val="19"/>
                <w:szCs w:val="19"/>
                <w:color w:val="auto"/>
              </w:rPr>
            </w:pPr>
          </w:p>
        </w:tc>
      </w:tr>
    </w:tbl>
    <w:p>
      <w:pPr>
        <w:sectPr>
          <w:pgSz w:w="11900" w:h="16838" w:orient="portrait"/>
          <w:cols w:equalWidth="0" w:num="1">
            <w:col w:w="10219"/>
          </w:cols>
          <w:pgMar w:left="240" w:top="280" w:right="1440" w:bottom="1440" w:gutter="0" w:footer="0" w:header="0"/>
        </w:sectPr>
      </w:pPr>
    </w:p>
    <w:bookmarkStart w:id="332" w:name="page333"/>
    <w:bookmarkEnd w:id="33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2720" w:type="dxa"/>
            <w:vAlign w:val="bottom"/>
          </w:tcPr>
          <w:p>
            <w:pPr>
              <w:ind w:left="380"/>
              <w:spacing w:after="0"/>
              <w:rPr>
                <w:sz w:val="20"/>
                <w:szCs w:val="20"/>
                <w:color w:val="auto"/>
              </w:rPr>
            </w:pPr>
            <w:r>
              <w:rPr>
                <w:rFonts w:ascii="Arial" w:cs="Arial" w:eastAsia="Arial" w:hAnsi="Arial"/>
                <w:sz w:val="18"/>
                <w:szCs w:val="18"/>
                <w:color w:val="auto"/>
              </w:rPr>
              <w:t>CROUSE IRVING</w:t>
            </w:r>
          </w:p>
        </w:tc>
        <w:tc>
          <w:tcPr>
            <w:tcW w:w="3140" w:type="dxa"/>
            <w:vAlign w:val="bottom"/>
          </w:tcPr>
          <w:p>
            <w:pPr>
              <w:ind w:left="520"/>
              <w:spacing w:after="0"/>
              <w:rPr>
                <w:sz w:val="20"/>
                <w:szCs w:val="20"/>
                <w:color w:val="auto"/>
              </w:rPr>
            </w:pPr>
            <w:r>
              <w:rPr>
                <w:rFonts w:ascii="Arial" w:cs="Arial" w:eastAsia="Arial" w:hAnsi="Arial"/>
                <w:sz w:val="18"/>
                <w:szCs w:val="18"/>
                <w:color w:val="auto"/>
              </w:rPr>
              <w:t>736 Irving Ave. Syracuse, NY</w:t>
            </w:r>
          </w:p>
        </w:tc>
        <w:tc>
          <w:tcPr>
            <w:tcW w:w="960" w:type="dxa"/>
            <w:vAlign w:val="bottom"/>
          </w:tcPr>
          <w:p>
            <w:pPr>
              <w:ind w:left="220"/>
              <w:spacing w:after="0"/>
              <w:rPr>
                <w:sz w:val="20"/>
                <w:szCs w:val="20"/>
                <w:color w:val="auto"/>
              </w:rPr>
            </w:pPr>
            <w:r>
              <w:rPr>
                <w:rFonts w:ascii="Arial" w:cs="Arial" w:eastAsia="Arial" w:hAnsi="Arial"/>
                <w:sz w:val="18"/>
                <w:szCs w:val="18"/>
                <w:color w:val="auto"/>
                <w:w w:val="83"/>
              </w:rPr>
              <w:t>Consignee</w:t>
            </w:r>
          </w:p>
        </w:tc>
      </w:tr>
      <w:tr>
        <w:trPr>
          <w:trHeight w:val="216"/>
        </w:trPr>
        <w:tc>
          <w:tcPr>
            <w:tcW w:w="2720" w:type="dxa"/>
            <w:vAlign w:val="bottom"/>
          </w:tcPr>
          <w:p>
            <w:pPr>
              <w:spacing w:after="0"/>
              <w:rPr>
                <w:sz w:val="18"/>
                <w:szCs w:val="18"/>
                <w:color w:val="auto"/>
              </w:rPr>
            </w:pPr>
          </w:p>
        </w:tc>
        <w:tc>
          <w:tcPr>
            <w:tcW w:w="2720" w:type="dxa"/>
            <w:vAlign w:val="bottom"/>
          </w:tcPr>
          <w:p>
            <w:pPr>
              <w:ind w:left="380"/>
              <w:spacing w:after="0"/>
              <w:rPr>
                <w:sz w:val="20"/>
                <w:szCs w:val="20"/>
                <w:color w:val="auto"/>
              </w:rPr>
            </w:pPr>
            <w:r>
              <w:rPr>
                <w:rFonts w:ascii="Arial" w:cs="Arial" w:eastAsia="Arial" w:hAnsi="Arial"/>
                <w:sz w:val="18"/>
                <w:szCs w:val="18"/>
                <w:color w:val="auto"/>
              </w:rPr>
              <w:t>MEMORIAL</w:t>
            </w:r>
          </w:p>
        </w:tc>
        <w:tc>
          <w:tcPr>
            <w:tcW w:w="3140" w:type="dxa"/>
            <w:vAlign w:val="bottom"/>
          </w:tcPr>
          <w:p>
            <w:pPr>
              <w:ind w:left="520"/>
              <w:spacing w:after="0"/>
              <w:rPr>
                <w:sz w:val="20"/>
                <w:szCs w:val="20"/>
                <w:color w:val="auto"/>
              </w:rPr>
            </w:pPr>
            <w:r>
              <w:rPr>
                <w:rFonts w:ascii="Arial" w:cs="Arial" w:eastAsia="Arial" w:hAnsi="Arial"/>
                <w:sz w:val="18"/>
                <w:szCs w:val="18"/>
                <w:color w:val="auto"/>
              </w:rPr>
              <w:t>13210</w:t>
            </w:r>
          </w:p>
        </w:tc>
        <w:tc>
          <w:tcPr>
            <w:tcW w:w="960" w:type="dxa"/>
            <w:vAlign w:val="bottom"/>
          </w:tcPr>
          <w:p>
            <w:pPr>
              <w:spacing w:after="0"/>
              <w:rPr>
                <w:sz w:val="18"/>
                <w:szCs w:val="18"/>
                <w:color w:val="auto"/>
              </w:rPr>
            </w:pPr>
          </w:p>
        </w:tc>
      </w:tr>
      <w:tr>
        <w:trPr>
          <w:trHeight w:val="222"/>
        </w:trPr>
        <w:tc>
          <w:tcPr>
            <w:tcW w:w="2720" w:type="dxa"/>
            <w:vAlign w:val="bottom"/>
          </w:tcPr>
          <w:p>
            <w:pPr>
              <w:spacing w:after="0"/>
              <w:rPr>
                <w:sz w:val="19"/>
                <w:szCs w:val="19"/>
                <w:color w:val="auto"/>
              </w:rPr>
            </w:pPr>
          </w:p>
        </w:tc>
        <w:tc>
          <w:tcPr>
            <w:tcW w:w="2720" w:type="dxa"/>
            <w:vAlign w:val="bottom"/>
          </w:tcPr>
          <w:p>
            <w:pPr>
              <w:ind w:left="380"/>
              <w:spacing w:after="0"/>
              <w:rPr>
                <w:sz w:val="20"/>
                <w:szCs w:val="20"/>
                <w:color w:val="auto"/>
              </w:rPr>
            </w:pPr>
            <w:r>
              <w:rPr>
                <w:rFonts w:ascii="Arial" w:cs="Arial" w:eastAsia="Arial" w:hAnsi="Arial"/>
                <w:sz w:val="18"/>
                <w:szCs w:val="18"/>
                <w:color w:val="auto"/>
              </w:rPr>
              <w:t>HOSPITAL</w:t>
            </w:r>
          </w:p>
        </w:tc>
        <w:tc>
          <w:tcPr>
            <w:tcW w:w="31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2720" w:type="dxa"/>
            <w:vAlign w:val="bottom"/>
          </w:tcPr>
          <w:p>
            <w:pPr>
              <w:ind w:left="380"/>
              <w:spacing w:after="0"/>
              <w:rPr>
                <w:sz w:val="20"/>
                <w:szCs w:val="20"/>
                <w:color w:val="auto"/>
              </w:rPr>
            </w:pPr>
            <w:r>
              <w:rPr>
                <w:rFonts w:ascii="Arial" w:cs="Arial" w:eastAsia="Arial" w:hAnsi="Arial"/>
                <w:sz w:val="18"/>
                <w:szCs w:val="18"/>
                <w:color w:val="auto"/>
              </w:rPr>
              <w:t>PARRISH MEDICAL</w:t>
            </w:r>
          </w:p>
        </w:tc>
        <w:tc>
          <w:tcPr>
            <w:tcW w:w="3140" w:type="dxa"/>
            <w:vAlign w:val="bottom"/>
          </w:tcPr>
          <w:p>
            <w:pPr>
              <w:ind w:left="520"/>
              <w:spacing w:after="0"/>
              <w:rPr>
                <w:sz w:val="20"/>
                <w:szCs w:val="20"/>
                <w:color w:val="auto"/>
              </w:rPr>
            </w:pPr>
            <w:r>
              <w:rPr>
                <w:rFonts w:ascii="Arial" w:cs="Arial" w:eastAsia="Arial" w:hAnsi="Arial"/>
                <w:sz w:val="18"/>
                <w:szCs w:val="18"/>
                <w:color w:val="auto"/>
              </w:rPr>
              <w:t>951 North Washington Ave.</w:t>
            </w:r>
          </w:p>
        </w:tc>
        <w:tc>
          <w:tcPr>
            <w:tcW w:w="960" w:type="dxa"/>
            <w:vAlign w:val="bottom"/>
          </w:tcPr>
          <w:p>
            <w:pPr>
              <w:ind w:left="22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2720" w:type="dxa"/>
            <w:vAlign w:val="bottom"/>
          </w:tcPr>
          <w:p>
            <w:pPr>
              <w:ind w:left="380"/>
              <w:spacing w:after="0"/>
              <w:rPr>
                <w:sz w:val="20"/>
                <w:szCs w:val="20"/>
                <w:color w:val="auto"/>
              </w:rPr>
            </w:pPr>
            <w:r>
              <w:rPr>
                <w:rFonts w:ascii="Arial" w:cs="Arial" w:eastAsia="Arial" w:hAnsi="Arial"/>
                <w:sz w:val="18"/>
                <w:szCs w:val="18"/>
                <w:color w:val="auto"/>
              </w:rPr>
              <w:t>CENTER</w:t>
            </w:r>
          </w:p>
        </w:tc>
        <w:tc>
          <w:tcPr>
            <w:tcW w:w="3140" w:type="dxa"/>
            <w:vAlign w:val="bottom"/>
          </w:tcPr>
          <w:p>
            <w:pPr>
              <w:ind w:left="520"/>
              <w:spacing w:after="0"/>
              <w:rPr>
                <w:sz w:val="20"/>
                <w:szCs w:val="20"/>
                <w:color w:val="auto"/>
              </w:rPr>
            </w:pPr>
            <w:r>
              <w:rPr>
                <w:rFonts w:ascii="Arial" w:cs="Arial" w:eastAsia="Arial" w:hAnsi="Arial"/>
                <w:sz w:val="18"/>
                <w:szCs w:val="18"/>
                <w:color w:val="auto"/>
              </w:rPr>
              <w:t>Titusville, FL 32796</w:t>
            </w:r>
          </w:p>
        </w:tc>
        <w:tc>
          <w:tcPr>
            <w:tcW w:w="96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2720" w:type="dxa"/>
            <w:vAlign w:val="bottom"/>
          </w:tcPr>
          <w:p>
            <w:pPr>
              <w:ind w:left="380"/>
              <w:spacing w:after="0"/>
              <w:rPr>
                <w:sz w:val="20"/>
                <w:szCs w:val="20"/>
                <w:color w:val="auto"/>
              </w:rPr>
            </w:pPr>
            <w:r>
              <w:rPr>
                <w:rFonts w:ascii="Arial" w:cs="Arial" w:eastAsia="Arial" w:hAnsi="Arial"/>
                <w:sz w:val="18"/>
                <w:szCs w:val="18"/>
                <w:color w:val="auto"/>
              </w:rPr>
              <w:t>CHILDRENS MEDICAL</w:t>
            </w:r>
          </w:p>
        </w:tc>
        <w:tc>
          <w:tcPr>
            <w:tcW w:w="3140" w:type="dxa"/>
            <w:vAlign w:val="bottom"/>
          </w:tcPr>
          <w:p>
            <w:pPr>
              <w:ind w:left="520"/>
              <w:spacing w:after="0"/>
              <w:rPr>
                <w:sz w:val="20"/>
                <w:szCs w:val="20"/>
                <w:color w:val="auto"/>
              </w:rPr>
            </w:pPr>
            <w:r>
              <w:rPr>
                <w:rFonts w:ascii="Arial" w:cs="Arial" w:eastAsia="Arial" w:hAnsi="Arial"/>
                <w:sz w:val="18"/>
                <w:szCs w:val="18"/>
                <w:color w:val="auto"/>
              </w:rPr>
              <w:t>1 Childrens Plaza, Dayton, OH</w:t>
            </w:r>
          </w:p>
        </w:tc>
        <w:tc>
          <w:tcPr>
            <w:tcW w:w="960" w:type="dxa"/>
            <w:vAlign w:val="bottom"/>
          </w:tcPr>
          <w:p>
            <w:pPr>
              <w:ind w:left="22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2720" w:type="dxa"/>
            <w:vAlign w:val="bottom"/>
          </w:tcPr>
          <w:p>
            <w:pPr>
              <w:ind w:left="380"/>
              <w:spacing w:after="0"/>
              <w:rPr>
                <w:sz w:val="20"/>
                <w:szCs w:val="20"/>
                <w:color w:val="auto"/>
              </w:rPr>
            </w:pPr>
            <w:r>
              <w:rPr>
                <w:rFonts w:ascii="Arial" w:cs="Arial" w:eastAsia="Arial" w:hAnsi="Arial"/>
                <w:sz w:val="18"/>
                <w:szCs w:val="18"/>
                <w:color w:val="auto"/>
              </w:rPr>
              <w:t>CENTER OF DA</w:t>
            </w:r>
          </w:p>
        </w:tc>
        <w:tc>
          <w:tcPr>
            <w:tcW w:w="3140" w:type="dxa"/>
            <w:vAlign w:val="bottom"/>
          </w:tcPr>
          <w:p>
            <w:pPr>
              <w:ind w:left="520"/>
              <w:spacing w:after="0"/>
              <w:rPr>
                <w:sz w:val="20"/>
                <w:szCs w:val="20"/>
                <w:color w:val="auto"/>
              </w:rPr>
            </w:pPr>
            <w:r>
              <w:rPr>
                <w:rFonts w:ascii="Arial" w:cs="Arial" w:eastAsia="Arial" w:hAnsi="Arial"/>
                <w:sz w:val="18"/>
                <w:szCs w:val="18"/>
                <w:color w:val="auto"/>
              </w:rPr>
              <w:t>45405</w:t>
            </w:r>
          </w:p>
        </w:tc>
        <w:tc>
          <w:tcPr>
            <w:tcW w:w="96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2720" w:type="dxa"/>
            <w:vAlign w:val="bottom"/>
          </w:tcPr>
          <w:p>
            <w:pPr>
              <w:ind w:left="380"/>
              <w:spacing w:after="0"/>
              <w:rPr>
                <w:sz w:val="20"/>
                <w:szCs w:val="20"/>
                <w:color w:val="auto"/>
              </w:rPr>
            </w:pPr>
            <w:r>
              <w:rPr>
                <w:rFonts w:ascii="Arial" w:cs="Arial" w:eastAsia="Arial" w:hAnsi="Arial"/>
                <w:sz w:val="18"/>
                <w:szCs w:val="18"/>
                <w:color w:val="auto"/>
              </w:rPr>
              <w:t>ST. JOSEPH’S</w:t>
            </w:r>
          </w:p>
        </w:tc>
        <w:tc>
          <w:tcPr>
            <w:tcW w:w="3140" w:type="dxa"/>
            <w:vAlign w:val="bottom"/>
          </w:tcPr>
          <w:p>
            <w:pPr>
              <w:ind w:left="520"/>
              <w:spacing w:after="0"/>
              <w:rPr>
                <w:sz w:val="20"/>
                <w:szCs w:val="20"/>
                <w:color w:val="auto"/>
              </w:rPr>
            </w:pPr>
            <w:r>
              <w:rPr>
                <w:rFonts w:ascii="Arial" w:cs="Arial" w:eastAsia="Arial" w:hAnsi="Arial"/>
                <w:sz w:val="18"/>
                <w:szCs w:val="18"/>
                <w:color w:val="auto"/>
              </w:rPr>
              <w:t>201 North Mayfair Rd</w:t>
            </w:r>
          </w:p>
        </w:tc>
        <w:tc>
          <w:tcPr>
            <w:tcW w:w="960" w:type="dxa"/>
            <w:vAlign w:val="bottom"/>
          </w:tcPr>
          <w:p>
            <w:pPr>
              <w:ind w:left="22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2720" w:type="dxa"/>
            <w:vAlign w:val="bottom"/>
          </w:tcPr>
          <w:p>
            <w:pPr>
              <w:ind w:left="380"/>
              <w:spacing w:after="0"/>
              <w:rPr>
                <w:sz w:val="20"/>
                <w:szCs w:val="20"/>
                <w:color w:val="auto"/>
              </w:rPr>
            </w:pPr>
            <w:r>
              <w:rPr>
                <w:rFonts w:ascii="Arial" w:cs="Arial" w:eastAsia="Arial" w:hAnsi="Arial"/>
                <w:sz w:val="18"/>
                <w:szCs w:val="18"/>
                <w:color w:val="auto"/>
              </w:rPr>
              <w:t>HOSPITAL</w:t>
            </w:r>
          </w:p>
        </w:tc>
        <w:tc>
          <w:tcPr>
            <w:tcW w:w="3140" w:type="dxa"/>
            <w:vAlign w:val="bottom"/>
          </w:tcPr>
          <w:p>
            <w:pPr>
              <w:ind w:left="520"/>
              <w:spacing w:after="0"/>
              <w:rPr>
                <w:sz w:val="20"/>
                <w:szCs w:val="20"/>
                <w:color w:val="auto"/>
              </w:rPr>
            </w:pPr>
            <w:r>
              <w:rPr>
                <w:rFonts w:ascii="Arial" w:cs="Arial" w:eastAsia="Arial" w:hAnsi="Arial"/>
                <w:sz w:val="18"/>
                <w:szCs w:val="18"/>
                <w:color w:val="auto"/>
              </w:rPr>
              <w:t>Wauwatosa, WI 53226</w:t>
            </w:r>
          </w:p>
        </w:tc>
        <w:tc>
          <w:tcPr>
            <w:tcW w:w="96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2720" w:type="dxa"/>
            <w:vAlign w:val="bottom"/>
          </w:tcPr>
          <w:p>
            <w:pPr>
              <w:ind w:left="380"/>
              <w:spacing w:after="0"/>
              <w:rPr>
                <w:sz w:val="20"/>
                <w:szCs w:val="20"/>
                <w:color w:val="auto"/>
              </w:rPr>
            </w:pPr>
            <w:r>
              <w:rPr>
                <w:rFonts w:ascii="Arial" w:cs="Arial" w:eastAsia="Arial" w:hAnsi="Arial"/>
                <w:sz w:val="18"/>
                <w:szCs w:val="18"/>
                <w:color w:val="auto"/>
              </w:rPr>
              <w:t>MEDICAL CENTER OF</w:t>
            </w:r>
          </w:p>
        </w:tc>
        <w:tc>
          <w:tcPr>
            <w:tcW w:w="3140" w:type="dxa"/>
            <w:vAlign w:val="bottom"/>
          </w:tcPr>
          <w:p>
            <w:pPr>
              <w:ind w:left="520"/>
              <w:spacing w:after="0"/>
              <w:rPr>
                <w:sz w:val="20"/>
                <w:szCs w:val="20"/>
                <w:color w:val="auto"/>
              </w:rPr>
            </w:pPr>
            <w:r>
              <w:rPr>
                <w:rFonts w:ascii="Arial" w:cs="Arial" w:eastAsia="Arial" w:hAnsi="Arial"/>
                <w:sz w:val="18"/>
                <w:szCs w:val="18"/>
                <w:color w:val="auto"/>
              </w:rPr>
              <w:t>777 Hemlock St. Macon, GA</w:t>
            </w:r>
          </w:p>
        </w:tc>
        <w:tc>
          <w:tcPr>
            <w:tcW w:w="960" w:type="dxa"/>
            <w:vAlign w:val="bottom"/>
          </w:tcPr>
          <w:p>
            <w:pPr>
              <w:ind w:left="22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2720" w:type="dxa"/>
            <w:vAlign w:val="bottom"/>
          </w:tcPr>
          <w:p>
            <w:pPr>
              <w:ind w:left="380"/>
              <w:spacing w:after="0"/>
              <w:rPr>
                <w:sz w:val="20"/>
                <w:szCs w:val="20"/>
                <w:color w:val="auto"/>
              </w:rPr>
            </w:pPr>
            <w:r>
              <w:rPr>
                <w:rFonts w:ascii="Arial" w:cs="Arial" w:eastAsia="Arial" w:hAnsi="Arial"/>
                <w:sz w:val="18"/>
                <w:szCs w:val="18"/>
                <w:color w:val="auto"/>
              </w:rPr>
              <w:t>CENTROL GEORGIA</w:t>
            </w:r>
          </w:p>
        </w:tc>
        <w:tc>
          <w:tcPr>
            <w:tcW w:w="3140" w:type="dxa"/>
            <w:vAlign w:val="bottom"/>
          </w:tcPr>
          <w:p>
            <w:pPr>
              <w:ind w:left="520"/>
              <w:spacing w:after="0"/>
              <w:rPr>
                <w:sz w:val="20"/>
                <w:szCs w:val="20"/>
                <w:color w:val="auto"/>
              </w:rPr>
            </w:pPr>
            <w:r>
              <w:rPr>
                <w:rFonts w:ascii="Arial" w:cs="Arial" w:eastAsia="Arial" w:hAnsi="Arial"/>
                <w:sz w:val="18"/>
                <w:szCs w:val="18"/>
                <w:color w:val="auto"/>
              </w:rPr>
              <w:t>31201</w:t>
            </w:r>
          </w:p>
        </w:tc>
        <w:tc>
          <w:tcPr>
            <w:tcW w:w="96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2720" w:type="dxa"/>
            <w:vAlign w:val="bottom"/>
          </w:tcPr>
          <w:p>
            <w:pPr>
              <w:ind w:left="380"/>
              <w:spacing w:after="0"/>
              <w:rPr>
                <w:sz w:val="20"/>
                <w:szCs w:val="20"/>
                <w:color w:val="auto"/>
              </w:rPr>
            </w:pPr>
            <w:r>
              <w:rPr>
                <w:rFonts w:ascii="Arial" w:cs="Arial" w:eastAsia="Arial" w:hAnsi="Arial"/>
                <w:sz w:val="18"/>
                <w:szCs w:val="18"/>
                <w:color w:val="auto"/>
              </w:rPr>
              <w:t>LSU SHREVEPORT</w:t>
            </w:r>
          </w:p>
        </w:tc>
        <w:tc>
          <w:tcPr>
            <w:tcW w:w="3140" w:type="dxa"/>
            <w:vAlign w:val="bottom"/>
          </w:tcPr>
          <w:p>
            <w:pPr>
              <w:ind w:left="520"/>
              <w:spacing w:after="0"/>
              <w:rPr>
                <w:sz w:val="20"/>
                <w:szCs w:val="20"/>
                <w:color w:val="auto"/>
              </w:rPr>
            </w:pPr>
            <w:r>
              <w:rPr>
                <w:rFonts w:ascii="Arial" w:cs="Arial" w:eastAsia="Arial" w:hAnsi="Arial"/>
                <w:sz w:val="18"/>
                <w:szCs w:val="18"/>
                <w:color w:val="auto"/>
              </w:rPr>
              <w:t>1501 Kinkgs Highway</w:t>
            </w:r>
          </w:p>
        </w:tc>
        <w:tc>
          <w:tcPr>
            <w:tcW w:w="960" w:type="dxa"/>
            <w:vAlign w:val="bottom"/>
          </w:tcPr>
          <w:p>
            <w:pPr>
              <w:ind w:left="22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2720" w:type="dxa"/>
            <w:vAlign w:val="bottom"/>
          </w:tcPr>
          <w:p>
            <w:pPr>
              <w:ind w:left="380"/>
              <w:spacing w:after="0"/>
              <w:rPr>
                <w:sz w:val="20"/>
                <w:szCs w:val="20"/>
                <w:color w:val="auto"/>
              </w:rPr>
            </w:pPr>
            <w:r>
              <w:rPr>
                <w:rFonts w:ascii="Arial" w:cs="Arial" w:eastAsia="Arial" w:hAnsi="Arial"/>
                <w:sz w:val="18"/>
                <w:szCs w:val="18"/>
                <w:color w:val="auto"/>
              </w:rPr>
              <w:t>MEDICAL CENTER</w:t>
            </w:r>
          </w:p>
        </w:tc>
        <w:tc>
          <w:tcPr>
            <w:tcW w:w="3140" w:type="dxa"/>
            <w:vAlign w:val="bottom"/>
          </w:tcPr>
          <w:p>
            <w:pPr>
              <w:ind w:left="520"/>
              <w:spacing w:after="0"/>
              <w:rPr>
                <w:sz w:val="20"/>
                <w:szCs w:val="20"/>
                <w:color w:val="auto"/>
              </w:rPr>
            </w:pPr>
            <w:r>
              <w:rPr>
                <w:rFonts w:ascii="Arial" w:cs="Arial" w:eastAsia="Arial" w:hAnsi="Arial"/>
                <w:sz w:val="18"/>
                <w:szCs w:val="18"/>
                <w:color w:val="auto"/>
              </w:rPr>
              <w:t>Shreveport, LA 71103</w:t>
            </w:r>
          </w:p>
        </w:tc>
        <w:tc>
          <w:tcPr>
            <w:tcW w:w="96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2720" w:type="dxa"/>
            <w:vAlign w:val="bottom"/>
          </w:tcPr>
          <w:p>
            <w:pPr>
              <w:ind w:left="380"/>
              <w:spacing w:after="0"/>
              <w:rPr>
                <w:sz w:val="20"/>
                <w:szCs w:val="20"/>
                <w:color w:val="auto"/>
              </w:rPr>
            </w:pPr>
            <w:r>
              <w:rPr>
                <w:rFonts w:ascii="Arial" w:cs="Arial" w:eastAsia="Arial" w:hAnsi="Arial"/>
                <w:sz w:val="18"/>
                <w:szCs w:val="18"/>
                <w:color w:val="auto"/>
              </w:rPr>
              <w:t>CHARLESTON</w:t>
            </w:r>
          </w:p>
        </w:tc>
        <w:tc>
          <w:tcPr>
            <w:tcW w:w="3140" w:type="dxa"/>
            <w:vAlign w:val="bottom"/>
          </w:tcPr>
          <w:p>
            <w:pPr>
              <w:ind w:left="520"/>
              <w:spacing w:after="0"/>
              <w:rPr>
                <w:sz w:val="20"/>
                <w:szCs w:val="20"/>
                <w:color w:val="auto"/>
              </w:rPr>
            </w:pPr>
            <w:r>
              <w:rPr>
                <w:rFonts w:ascii="Arial" w:cs="Arial" w:eastAsia="Arial" w:hAnsi="Arial"/>
                <w:sz w:val="18"/>
                <w:szCs w:val="18"/>
                <w:color w:val="auto"/>
              </w:rPr>
              <w:t>2690 Lake Park Drive N</w:t>
            </w:r>
          </w:p>
        </w:tc>
        <w:tc>
          <w:tcPr>
            <w:tcW w:w="960" w:type="dxa"/>
            <w:vAlign w:val="bottom"/>
          </w:tcPr>
          <w:p>
            <w:pPr>
              <w:ind w:left="22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2720" w:type="dxa"/>
            <w:vAlign w:val="bottom"/>
          </w:tcPr>
          <w:p>
            <w:pPr>
              <w:ind w:left="380"/>
              <w:spacing w:after="0"/>
              <w:rPr>
                <w:sz w:val="20"/>
                <w:szCs w:val="20"/>
                <w:color w:val="auto"/>
              </w:rPr>
            </w:pPr>
            <w:r>
              <w:rPr>
                <w:rFonts w:ascii="Arial" w:cs="Arial" w:eastAsia="Arial" w:hAnsi="Arial"/>
                <w:sz w:val="18"/>
                <w:szCs w:val="18"/>
                <w:color w:val="auto"/>
              </w:rPr>
              <w:t>SURGERY CENTER</w:t>
            </w:r>
          </w:p>
        </w:tc>
        <w:tc>
          <w:tcPr>
            <w:tcW w:w="3140" w:type="dxa"/>
            <w:vAlign w:val="bottom"/>
          </w:tcPr>
          <w:p>
            <w:pPr>
              <w:ind w:left="520"/>
              <w:spacing w:after="0"/>
              <w:rPr>
                <w:sz w:val="20"/>
                <w:szCs w:val="20"/>
                <w:color w:val="auto"/>
              </w:rPr>
            </w:pPr>
            <w:r>
              <w:rPr>
                <w:rFonts w:ascii="Arial" w:cs="Arial" w:eastAsia="Arial" w:hAnsi="Arial"/>
                <w:sz w:val="18"/>
                <w:szCs w:val="18"/>
                <w:color w:val="auto"/>
              </w:rPr>
              <w:t>Charleston, SC 29406</w:t>
            </w:r>
          </w:p>
        </w:tc>
        <w:tc>
          <w:tcPr>
            <w:tcW w:w="96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2720" w:type="dxa"/>
            <w:vAlign w:val="bottom"/>
          </w:tcPr>
          <w:p>
            <w:pPr>
              <w:ind w:left="380"/>
              <w:spacing w:after="0"/>
              <w:rPr>
                <w:sz w:val="20"/>
                <w:szCs w:val="20"/>
                <w:color w:val="auto"/>
              </w:rPr>
            </w:pPr>
            <w:r>
              <w:rPr>
                <w:rFonts w:ascii="Arial" w:cs="Arial" w:eastAsia="Arial" w:hAnsi="Arial"/>
                <w:sz w:val="18"/>
                <w:szCs w:val="18"/>
                <w:color w:val="auto"/>
              </w:rPr>
              <w:t>TRIDENT SURGERY</w:t>
            </w:r>
          </w:p>
        </w:tc>
        <w:tc>
          <w:tcPr>
            <w:tcW w:w="3140" w:type="dxa"/>
            <w:vAlign w:val="bottom"/>
          </w:tcPr>
          <w:p>
            <w:pPr>
              <w:ind w:left="520"/>
              <w:spacing w:after="0"/>
              <w:rPr>
                <w:sz w:val="20"/>
                <w:szCs w:val="20"/>
                <w:color w:val="auto"/>
              </w:rPr>
            </w:pPr>
            <w:r>
              <w:rPr>
                <w:rFonts w:ascii="Arial" w:cs="Arial" w:eastAsia="Arial" w:hAnsi="Arial"/>
                <w:sz w:val="18"/>
                <w:szCs w:val="18"/>
                <w:color w:val="auto"/>
              </w:rPr>
              <w:t>9313 Medical Plaza Dr.</w:t>
            </w:r>
          </w:p>
        </w:tc>
        <w:tc>
          <w:tcPr>
            <w:tcW w:w="960" w:type="dxa"/>
            <w:vAlign w:val="bottom"/>
          </w:tcPr>
          <w:p>
            <w:pPr>
              <w:ind w:left="22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2720" w:type="dxa"/>
            <w:vAlign w:val="bottom"/>
          </w:tcPr>
          <w:p>
            <w:pPr>
              <w:ind w:left="380"/>
              <w:spacing w:after="0"/>
              <w:rPr>
                <w:sz w:val="20"/>
                <w:szCs w:val="20"/>
                <w:color w:val="auto"/>
              </w:rPr>
            </w:pPr>
            <w:r>
              <w:rPr>
                <w:rFonts w:ascii="Arial" w:cs="Arial" w:eastAsia="Arial" w:hAnsi="Arial"/>
                <w:sz w:val="18"/>
                <w:szCs w:val="18"/>
                <w:color w:val="auto"/>
              </w:rPr>
              <w:t>CENTER</w:t>
            </w:r>
          </w:p>
        </w:tc>
        <w:tc>
          <w:tcPr>
            <w:tcW w:w="3140" w:type="dxa"/>
            <w:vAlign w:val="bottom"/>
          </w:tcPr>
          <w:p>
            <w:pPr>
              <w:ind w:left="520"/>
              <w:spacing w:after="0"/>
              <w:rPr>
                <w:sz w:val="20"/>
                <w:szCs w:val="20"/>
                <w:color w:val="auto"/>
              </w:rPr>
            </w:pPr>
            <w:r>
              <w:rPr>
                <w:rFonts w:ascii="Arial" w:cs="Arial" w:eastAsia="Arial" w:hAnsi="Arial"/>
                <w:sz w:val="18"/>
                <w:szCs w:val="18"/>
                <w:color w:val="auto"/>
              </w:rPr>
              <w:t>Charleston, SC 29406</w:t>
            </w:r>
          </w:p>
        </w:tc>
        <w:tc>
          <w:tcPr>
            <w:tcW w:w="96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2720" w:type="dxa"/>
            <w:vAlign w:val="bottom"/>
          </w:tcPr>
          <w:p>
            <w:pPr>
              <w:ind w:left="380"/>
              <w:spacing w:after="0"/>
              <w:rPr>
                <w:sz w:val="20"/>
                <w:szCs w:val="20"/>
                <w:color w:val="auto"/>
              </w:rPr>
            </w:pPr>
            <w:r>
              <w:rPr>
                <w:rFonts w:ascii="Arial" w:cs="Arial" w:eastAsia="Arial" w:hAnsi="Arial"/>
                <w:sz w:val="18"/>
                <w:szCs w:val="18"/>
                <w:color w:val="auto"/>
              </w:rPr>
              <w:t>CITRUS MEMORIAL</w:t>
            </w:r>
          </w:p>
        </w:tc>
        <w:tc>
          <w:tcPr>
            <w:tcW w:w="3140" w:type="dxa"/>
            <w:vAlign w:val="bottom"/>
          </w:tcPr>
          <w:p>
            <w:pPr>
              <w:ind w:left="520"/>
              <w:spacing w:after="0"/>
              <w:rPr>
                <w:sz w:val="20"/>
                <w:szCs w:val="20"/>
                <w:color w:val="auto"/>
              </w:rPr>
            </w:pPr>
            <w:r>
              <w:rPr>
                <w:rFonts w:ascii="Arial" w:cs="Arial" w:eastAsia="Arial" w:hAnsi="Arial"/>
                <w:sz w:val="18"/>
                <w:szCs w:val="18"/>
                <w:color w:val="auto"/>
                <w:w w:val="97"/>
              </w:rPr>
              <w:t>502 W. Highland Blvd. Inverness,</w:t>
            </w:r>
          </w:p>
        </w:tc>
        <w:tc>
          <w:tcPr>
            <w:tcW w:w="960" w:type="dxa"/>
            <w:vAlign w:val="bottom"/>
          </w:tcPr>
          <w:p>
            <w:pPr>
              <w:ind w:left="22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3140" w:type="dxa"/>
            <w:vAlign w:val="bottom"/>
          </w:tcPr>
          <w:p>
            <w:pPr>
              <w:ind w:left="520"/>
              <w:spacing w:after="0"/>
              <w:rPr>
                <w:sz w:val="20"/>
                <w:szCs w:val="20"/>
                <w:color w:val="auto"/>
              </w:rPr>
            </w:pPr>
            <w:r>
              <w:rPr>
                <w:rFonts w:ascii="Arial" w:cs="Arial" w:eastAsia="Arial" w:hAnsi="Arial"/>
                <w:sz w:val="18"/>
                <w:szCs w:val="18"/>
                <w:color w:val="auto"/>
              </w:rPr>
              <w:t>FL 34452</w:t>
            </w:r>
          </w:p>
        </w:tc>
        <w:tc>
          <w:tcPr>
            <w:tcW w:w="96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2720" w:type="dxa"/>
            <w:vAlign w:val="bottom"/>
          </w:tcPr>
          <w:p>
            <w:pPr>
              <w:ind w:left="380"/>
              <w:spacing w:after="0"/>
              <w:rPr>
                <w:sz w:val="20"/>
                <w:szCs w:val="20"/>
                <w:color w:val="auto"/>
              </w:rPr>
            </w:pPr>
            <w:r>
              <w:rPr>
                <w:rFonts w:ascii="Arial" w:cs="Arial" w:eastAsia="Arial" w:hAnsi="Arial"/>
                <w:sz w:val="18"/>
                <w:szCs w:val="18"/>
                <w:color w:val="auto"/>
              </w:rPr>
              <w:t>SEVEN RIVERS</w:t>
            </w:r>
          </w:p>
        </w:tc>
        <w:tc>
          <w:tcPr>
            <w:tcW w:w="3140" w:type="dxa"/>
            <w:vAlign w:val="bottom"/>
          </w:tcPr>
          <w:p>
            <w:pPr>
              <w:ind w:left="520"/>
              <w:spacing w:after="0"/>
              <w:rPr>
                <w:sz w:val="20"/>
                <w:szCs w:val="20"/>
                <w:color w:val="auto"/>
              </w:rPr>
            </w:pPr>
            <w:r>
              <w:rPr>
                <w:rFonts w:ascii="Arial" w:cs="Arial" w:eastAsia="Arial" w:hAnsi="Arial"/>
                <w:sz w:val="18"/>
                <w:szCs w:val="18"/>
                <w:color w:val="auto"/>
              </w:rPr>
              <w:t>6201 N. Suncoast Blvd. Crystal</w:t>
            </w:r>
          </w:p>
        </w:tc>
        <w:tc>
          <w:tcPr>
            <w:tcW w:w="960" w:type="dxa"/>
            <w:vAlign w:val="bottom"/>
          </w:tcPr>
          <w:p>
            <w:pPr>
              <w:ind w:left="22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3140" w:type="dxa"/>
            <w:vAlign w:val="bottom"/>
          </w:tcPr>
          <w:p>
            <w:pPr>
              <w:ind w:left="520"/>
              <w:spacing w:after="0"/>
              <w:rPr>
                <w:sz w:val="20"/>
                <w:szCs w:val="20"/>
                <w:color w:val="auto"/>
              </w:rPr>
            </w:pPr>
            <w:r>
              <w:rPr>
                <w:rFonts w:ascii="Arial" w:cs="Arial" w:eastAsia="Arial" w:hAnsi="Arial"/>
                <w:sz w:val="18"/>
                <w:szCs w:val="18"/>
                <w:color w:val="auto"/>
              </w:rPr>
              <w:t>River, FL 34428</w:t>
            </w:r>
          </w:p>
        </w:tc>
        <w:tc>
          <w:tcPr>
            <w:tcW w:w="96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2720" w:type="dxa"/>
            <w:vAlign w:val="bottom"/>
          </w:tcPr>
          <w:p>
            <w:pPr>
              <w:ind w:left="380"/>
              <w:spacing w:after="0"/>
              <w:rPr>
                <w:sz w:val="20"/>
                <w:szCs w:val="20"/>
                <w:color w:val="auto"/>
              </w:rPr>
            </w:pPr>
            <w:r>
              <w:rPr>
                <w:rFonts w:ascii="Arial" w:cs="Arial" w:eastAsia="Arial" w:hAnsi="Arial"/>
                <w:sz w:val="18"/>
                <w:szCs w:val="18"/>
                <w:color w:val="auto"/>
              </w:rPr>
              <w:t>ATHENS</w:t>
            </w:r>
          </w:p>
        </w:tc>
        <w:tc>
          <w:tcPr>
            <w:tcW w:w="3140" w:type="dxa"/>
            <w:vAlign w:val="bottom"/>
          </w:tcPr>
          <w:p>
            <w:pPr>
              <w:ind w:left="520"/>
              <w:spacing w:after="0"/>
              <w:rPr>
                <w:sz w:val="20"/>
                <w:szCs w:val="20"/>
                <w:color w:val="auto"/>
              </w:rPr>
            </w:pPr>
            <w:r>
              <w:rPr>
                <w:rFonts w:ascii="Arial" w:cs="Arial" w:eastAsia="Arial" w:hAnsi="Arial"/>
                <w:sz w:val="18"/>
                <w:szCs w:val="18"/>
                <w:color w:val="auto"/>
              </w:rPr>
              <w:t>1765 Old west broad st. bldg</w:t>
            </w:r>
          </w:p>
        </w:tc>
        <w:tc>
          <w:tcPr>
            <w:tcW w:w="960" w:type="dxa"/>
            <w:vAlign w:val="bottom"/>
          </w:tcPr>
          <w:p>
            <w:pPr>
              <w:ind w:left="220"/>
              <w:spacing w:after="0"/>
              <w:rPr>
                <w:sz w:val="20"/>
                <w:szCs w:val="20"/>
                <w:color w:val="auto"/>
              </w:rPr>
            </w:pPr>
            <w:r>
              <w:rPr>
                <w:rFonts w:ascii="Arial" w:cs="Arial" w:eastAsia="Arial" w:hAnsi="Arial"/>
                <w:sz w:val="18"/>
                <w:szCs w:val="18"/>
                <w:color w:val="auto"/>
                <w:w w:val="83"/>
              </w:rPr>
              <w:t>Consignee</w:t>
            </w:r>
          </w:p>
        </w:tc>
      </w:tr>
      <w:tr>
        <w:trPr>
          <w:trHeight w:val="216"/>
        </w:trPr>
        <w:tc>
          <w:tcPr>
            <w:tcW w:w="2720" w:type="dxa"/>
            <w:vAlign w:val="bottom"/>
          </w:tcPr>
          <w:p>
            <w:pPr>
              <w:spacing w:after="0"/>
              <w:rPr>
                <w:sz w:val="18"/>
                <w:szCs w:val="18"/>
                <w:color w:val="auto"/>
              </w:rPr>
            </w:pPr>
          </w:p>
        </w:tc>
        <w:tc>
          <w:tcPr>
            <w:tcW w:w="2720" w:type="dxa"/>
            <w:vAlign w:val="bottom"/>
          </w:tcPr>
          <w:p>
            <w:pPr>
              <w:ind w:left="380"/>
              <w:spacing w:after="0"/>
              <w:rPr>
                <w:sz w:val="20"/>
                <w:szCs w:val="20"/>
                <w:color w:val="auto"/>
              </w:rPr>
            </w:pPr>
            <w:r>
              <w:rPr>
                <w:rFonts w:ascii="Arial" w:cs="Arial" w:eastAsia="Arial" w:hAnsi="Arial"/>
                <w:sz w:val="18"/>
                <w:szCs w:val="18"/>
                <w:color w:val="auto"/>
              </w:rPr>
              <w:t>ORTHOPEDIC CLINIC</w:t>
            </w:r>
          </w:p>
        </w:tc>
        <w:tc>
          <w:tcPr>
            <w:tcW w:w="3140" w:type="dxa"/>
            <w:vAlign w:val="bottom"/>
          </w:tcPr>
          <w:p>
            <w:pPr>
              <w:ind w:left="520"/>
              <w:spacing w:after="0"/>
              <w:rPr>
                <w:sz w:val="20"/>
                <w:szCs w:val="20"/>
                <w:color w:val="auto"/>
              </w:rPr>
            </w:pPr>
            <w:r>
              <w:rPr>
                <w:rFonts w:ascii="Arial" w:cs="Arial" w:eastAsia="Arial" w:hAnsi="Arial"/>
                <w:sz w:val="18"/>
                <w:szCs w:val="18"/>
                <w:color w:val="auto"/>
              </w:rPr>
              <w:t># 1</w:t>
            </w:r>
          </w:p>
        </w:tc>
        <w:tc>
          <w:tcPr>
            <w:tcW w:w="960" w:type="dxa"/>
            <w:vAlign w:val="bottom"/>
          </w:tcPr>
          <w:p>
            <w:pPr>
              <w:spacing w:after="0"/>
              <w:rPr>
                <w:sz w:val="18"/>
                <w:szCs w:val="18"/>
                <w:color w:val="auto"/>
              </w:rPr>
            </w:pPr>
          </w:p>
        </w:tc>
      </w:tr>
      <w:tr>
        <w:trPr>
          <w:trHeight w:val="222"/>
        </w:trPr>
        <w:tc>
          <w:tcPr>
            <w:tcW w:w="27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3140" w:type="dxa"/>
            <w:vAlign w:val="bottom"/>
          </w:tcPr>
          <w:p>
            <w:pPr>
              <w:ind w:left="520"/>
              <w:spacing w:after="0"/>
              <w:rPr>
                <w:sz w:val="20"/>
                <w:szCs w:val="20"/>
                <w:color w:val="auto"/>
              </w:rPr>
            </w:pPr>
            <w:r>
              <w:rPr>
                <w:rFonts w:ascii="Arial" w:cs="Arial" w:eastAsia="Arial" w:hAnsi="Arial"/>
                <w:sz w:val="18"/>
                <w:szCs w:val="18"/>
                <w:color w:val="auto"/>
              </w:rPr>
              <w:t>– ste 300 Athens , GA 30606</w:t>
            </w:r>
          </w:p>
        </w:tc>
        <w:tc>
          <w:tcPr>
            <w:tcW w:w="96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2720" w:type="dxa"/>
            <w:vAlign w:val="bottom"/>
          </w:tcPr>
          <w:p>
            <w:pPr>
              <w:ind w:left="380"/>
              <w:spacing w:after="0"/>
              <w:rPr>
                <w:sz w:val="20"/>
                <w:szCs w:val="20"/>
                <w:color w:val="auto"/>
              </w:rPr>
            </w:pPr>
            <w:r>
              <w:rPr>
                <w:rFonts w:ascii="Arial" w:cs="Arial" w:eastAsia="Arial" w:hAnsi="Arial"/>
                <w:sz w:val="18"/>
                <w:szCs w:val="18"/>
                <w:color w:val="auto"/>
              </w:rPr>
              <w:t>SPECIALTY SURGERY</w:t>
            </w:r>
          </w:p>
        </w:tc>
        <w:tc>
          <w:tcPr>
            <w:tcW w:w="3140" w:type="dxa"/>
            <w:vAlign w:val="bottom"/>
          </w:tcPr>
          <w:p>
            <w:pPr>
              <w:ind w:left="520"/>
              <w:spacing w:after="0"/>
              <w:rPr>
                <w:sz w:val="20"/>
                <w:szCs w:val="20"/>
                <w:color w:val="auto"/>
              </w:rPr>
            </w:pPr>
            <w:r>
              <w:rPr>
                <w:rFonts w:ascii="Arial" w:cs="Arial" w:eastAsia="Arial" w:hAnsi="Arial"/>
                <w:sz w:val="18"/>
                <w:szCs w:val="18"/>
                <w:color w:val="auto"/>
                <w:w w:val="96"/>
              </w:rPr>
              <w:t>7200 Cathedral Rock, Las Vegas,</w:t>
            </w:r>
          </w:p>
        </w:tc>
        <w:tc>
          <w:tcPr>
            <w:tcW w:w="960" w:type="dxa"/>
            <w:vAlign w:val="bottom"/>
          </w:tcPr>
          <w:p>
            <w:pPr>
              <w:ind w:left="22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2720" w:type="dxa"/>
            <w:vAlign w:val="bottom"/>
          </w:tcPr>
          <w:p>
            <w:pPr>
              <w:ind w:left="380"/>
              <w:spacing w:after="0"/>
              <w:rPr>
                <w:sz w:val="20"/>
                <w:szCs w:val="20"/>
                <w:color w:val="auto"/>
              </w:rPr>
            </w:pPr>
            <w:r>
              <w:rPr>
                <w:rFonts w:ascii="Arial" w:cs="Arial" w:eastAsia="Arial" w:hAnsi="Arial"/>
                <w:sz w:val="18"/>
                <w:szCs w:val="18"/>
                <w:color w:val="auto"/>
              </w:rPr>
              <w:t>CENTER</w:t>
            </w:r>
          </w:p>
        </w:tc>
        <w:tc>
          <w:tcPr>
            <w:tcW w:w="3140" w:type="dxa"/>
            <w:vAlign w:val="bottom"/>
          </w:tcPr>
          <w:p>
            <w:pPr>
              <w:ind w:left="520"/>
              <w:spacing w:after="0"/>
              <w:rPr>
                <w:sz w:val="20"/>
                <w:szCs w:val="20"/>
                <w:color w:val="auto"/>
              </w:rPr>
            </w:pPr>
            <w:r>
              <w:rPr>
                <w:rFonts w:ascii="Arial" w:cs="Arial" w:eastAsia="Arial" w:hAnsi="Arial"/>
                <w:sz w:val="18"/>
                <w:szCs w:val="18"/>
                <w:color w:val="auto"/>
              </w:rPr>
              <w:t>NV 89128</w:t>
            </w:r>
          </w:p>
        </w:tc>
        <w:tc>
          <w:tcPr>
            <w:tcW w:w="96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2720" w:type="dxa"/>
            <w:vAlign w:val="bottom"/>
          </w:tcPr>
          <w:p>
            <w:pPr>
              <w:ind w:left="380"/>
              <w:spacing w:after="0"/>
              <w:rPr>
                <w:sz w:val="20"/>
                <w:szCs w:val="20"/>
                <w:color w:val="auto"/>
              </w:rPr>
            </w:pPr>
            <w:r>
              <w:rPr>
                <w:rFonts w:ascii="Arial" w:cs="Arial" w:eastAsia="Arial" w:hAnsi="Arial"/>
                <w:sz w:val="18"/>
                <w:szCs w:val="18"/>
                <w:color w:val="auto"/>
              </w:rPr>
              <w:t>ATHENS REGIONAL</w:t>
            </w:r>
          </w:p>
        </w:tc>
        <w:tc>
          <w:tcPr>
            <w:tcW w:w="3140" w:type="dxa"/>
            <w:vAlign w:val="bottom"/>
          </w:tcPr>
          <w:p>
            <w:pPr>
              <w:ind w:left="520"/>
              <w:spacing w:after="0"/>
              <w:rPr>
                <w:sz w:val="20"/>
                <w:szCs w:val="20"/>
                <w:color w:val="auto"/>
              </w:rPr>
            </w:pPr>
            <w:r>
              <w:rPr>
                <w:rFonts w:ascii="Arial" w:cs="Arial" w:eastAsia="Arial" w:hAnsi="Arial"/>
                <w:sz w:val="18"/>
                <w:szCs w:val="18"/>
                <w:color w:val="auto"/>
              </w:rPr>
              <w:t>1199 Prince Ave., Athens, GA</w:t>
            </w:r>
          </w:p>
        </w:tc>
        <w:tc>
          <w:tcPr>
            <w:tcW w:w="960" w:type="dxa"/>
            <w:vAlign w:val="bottom"/>
          </w:tcPr>
          <w:p>
            <w:pPr>
              <w:ind w:left="22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2720" w:type="dxa"/>
            <w:vAlign w:val="bottom"/>
          </w:tcPr>
          <w:p>
            <w:pPr>
              <w:ind w:left="380"/>
              <w:spacing w:after="0"/>
              <w:rPr>
                <w:sz w:val="20"/>
                <w:szCs w:val="20"/>
                <w:color w:val="auto"/>
              </w:rPr>
            </w:pPr>
            <w:r>
              <w:rPr>
                <w:rFonts w:ascii="Arial" w:cs="Arial" w:eastAsia="Arial" w:hAnsi="Arial"/>
                <w:sz w:val="18"/>
                <w:szCs w:val="18"/>
                <w:color w:val="auto"/>
              </w:rPr>
              <w:t>MEDICALCENTER</w:t>
            </w:r>
          </w:p>
        </w:tc>
        <w:tc>
          <w:tcPr>
            <w:tcW w:w="3140" w:type="dxa"/>
            <w:vAlign w:val="bottom"/>
          </w:tcPr>
          <w:p>
            <w:pPr>
              <w:ind w:left="520"/>
              <w:spacing w:after="0"/>
              <w:rPr>
                <w:sz w:val="20"/>
                <w:szCs w:val="20"/>
                <w:color w:val="auto"/>
              </w:rPr>
            </w:pPr>
            <w:r>
              <w:rPr>
                <w:rFonts w:ascii="Arial" w:cs="Arial" w:eastAsia="Arial" w:hAnsi="Arial"/>
                <w:sz w:val="18"/>
                <w:szCs w:val="18"/>
                <w:color w:val="auto"/>
              </w:rPr>
              <w:t>30606</w:t>
            </w:r>
          </w:p>
        </w:tc>
        <w:tc>
          <w:tcPr>
            <w:tcW w:w="96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2720" w:type="dxa"/>
            <w:vAlign w:val="bottom"/>
          </w:tcPr>
          <w:p>
            <w:pPr>
              <w:ind w:left="380"/>
              <w:spacing w:after="0"/>
              <w:rPr>
                <w:sz w:val="20"/>
                <w:szCs w:val="20"/>
                <w:color w:val="auto"/>
              </w:rPr>
            </w:pPr>
            <w:r>
              <w:rPr>
                <w:rFonts w:ascii="Arial" w:cs="Arial" w:eastAsia="Arial" w:hAnsi="Arial"/>
                <w:sz w:val="18"/>
                <w:szCs w:val="18"/>
                <w:color w:val="auto"/>
              </w:rPr>
              <w:t>YELLOWSTONE</w:t>
            </w:r>
          </w:p>
        </w:tc>
        <w:tc>
          <w:tcPr>
            <w:tcW w:w="3140" w:type="dxa"/>
            <w:vAlign w:val="bottom"/>
          </w:tcPr>
          <w:p>
            <w:pPr>
              <w:ind w:left="520"/>
              <w:spacing w:after="0"/>
              <w:rPr>
                <w:sz w:val="20"/>
                <w:szCs w:val="20"/>
                <w:color w:val="auto"/>
              </w:rPr>
            </w:pPr>
            <w:r>
              <w:rPr>
                <w:rFonts w:ascii="Arial" w:cs="Arial" w:eastAsia="Arial" w:hAnsi="Arial"/>
                <w:sz w:val="18"/>
                <w:szCs w:val="18"/>
                <w:color w:val="auto"/>
              </w:rPr>
              <w:t>1144 N 28</w:t>
            </w:r>
            <w:r>
              <w:rPr>
                <w:rFonts w:ascii="Arial" w:cs="Arial" w:eastAsia="Arial" w:hAnsi="Arial"/>
                <w:sz w:val="11"/>
                <w:szCs w:val="11"/>
                <w:color w:val="auto"/>
              </w:rPr>
              <w:t>th</w:t>
            </w:r>
            <w:r>
              <w:rPr>
                <w:rFonts w:ascii="Arial" w:cs="Arial" w:eastAsia="Arial" w:hAnsi="Arial"/>
                <w:sz w:val="18"/>
                <w:szCs w:val="18"/>
                <w:color w:val="auto"/>
              </w:rPr>
              <w:t xml:space="preserve"> St., Billings, MT</w:t>
            </w:r>
          </w:p>
        </w:tc>
        <w:tc>
          <w:tcPr>
            <w:tcW w:w="960" w:type="dxa"/>
            <w:vAlign w:val="bottom"/>
          </w:tcPr>
          <w:p>
            <w:pPr>
              <w:ind w:left="22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2720" w:type="dxa"/>
            <w:vAlign w:val="bottom"/>
          </w:tcPr>
          <w:p>
            <w:pPr>
              <w:ind w:left="380"/>
              <w:spacing w:after="0"/>
              <w:rPr>
                <w:sz w:val="20"/>
                <w:szCs w:val="20"/>
                <w:color w:val="auto"/>
              </w:rPr>
            </w:pPr>
            <w:r>
              <w:rPr>
                <w:rFonts w:ascii="Arial" w:cs="Arial" w:eastAsia="Arial" w:hAnsi="Arial"/>
                <w:sz w:val="18"/>
                <w:szCs w:val="18"/>
                <w:color w:val="auto"/>
              </w:rPr>
              <w:t>SURGERY CENTER</w:t>
            </w:r>
          </w:p>
        </w:tc>
        <w:tc>
          <w:tcPr>
            <w:tcW w:w="3140" w:type="dxa"/>
            <w:vAlign w:val="bottom"/>
          </w:tcPr>
          <w:p>
            <w:pPr>
              <w:ind w:left="520"/>
              <w:spacing w:after="0"/>
              <w:rPr>
                <w:sz w:val="20"/>
                <w:szCs w:val="20"/>
                <w:color w:val="auto"/>
              </w:rPr>
            </w:pPr>
            <w:r>
              <w:rPr>
                <w:rFonts w:ascii="Arial" w:cs="Arial" w:eastAsia="Arial" w:hAnsi="Arial"/>
                <w:sz w:val="18"/>
                <w:szCs w:val="18"/>
                <w:color w:val="auto"/>
              </w:rPr>
              <w:t>59101</w:t>
            </w:r>
          </w:p>
        </w:tc>
        <w:tc>
          <w:tcPr>
            <w:tcW w:w="96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2720" w:type="dxa"/>
            <w:vAlign w:val="bottom"/>
          </w:tcPr>
          <w:p>
            <w:pPr>
              <w:ind w:left="380"/>
              <w:spacing w:after="0"/>
              <w:rPr>
                <w:sz w:val="20"/>
                <w:szCs w:val="20"/>
                <w:color w:val="auto"/>
              </w:rPr>
            </w:pPr>
            <w:r>
              <w:rPr>
                <w:rFonts w:ascii="Arial" w:cs="Arial" w:eastAsia="Arial" w:hAnsi="Arial"/>
                <w:sz w:val="18"/>
                <w:szCs w:val="18"/>
                <w:color w:val="auto"/>
              </w:rPr>
              <w:t>GEISINGER HEALTH</w:t>
            </w:r>
          </w:p>
        </w:tc>
        <w:tc>
          <w:tcPr>
            <w:tcW w:w="3140" w:type="dxa"/>
            <w:vAlign w:val="bottom"/>
          </w:tcPr>
          <w:p>
            <w:pPr>
              <w:ind w:left="520"/>
              <w:spacing w:after="0"/>
              <w:rPr>
                <w:sz w:val="20"/>
                <w:szCs w:val="20"/>
                <w:color w:val="auto"/>
              </w:rPr>
            </w:pPr>
            <w:r>
              <w:rPr>
                <w:rFonts w:ascii="Arial" w:cs="Arial" w:eastAsia="Arial" w:hAnsi="Arial"/>
                <w:sz w:val="18"/>
                <w:szCs w:val="18"/>
                <w:color w:val="auto"/>
              </w:rPr>
              <w:t>100 N. Academy Avenue</w:t>
            </w:r>
          </w:p>
        </w:tc>
        <w:tc>
          <w:tcPr>
            <w:tcW w:w="960" w:type="dxa"/>
            <w:vAlign w:val="bottom"/>
          </w:tcPr>
          <w:p>
            <w:pPr>
              <w:ind w:left="22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2720" w:type="dxa"/>
            <w:vAlign w:val="bottom"/>
          </w:tcPr>
          <w:p>
            <w:pPr>
              <w:ind w:left="380"/>
              <w:spacing w:after="0"/>
              <w:rPr>
                <w:sz w:val="20"/>
                <w:szCs w:val="20"/>
                <w:color w:val="auto"/>
              </w:rPr>
            </w:pPr>
            <w:r>
              <w:rPr>
                <w:rFonts w:ascii="Arial" w:cs="Arial" w:eastAsia="Arial" w:hAnsi="Arial"/>
                <w:sz w:val="18"/>
                <w:szCs w:val="18"/>
                <w:color w:val="auto"/>
              </w:rPr>
              <w:t>SYSTEM</w:t>
            </w:r>
          </w:p>
        </w:tc>
        <w:tc>
          <w:tcPr>
            <w:tcW w:w="3140" w:type="dxa"/>
            <w:vAlign w:val="bottom"/>
          </w:tcPr>
          <w:p>
            <w:pPr>
              <w:ind w:left="520"/>
              <w:spacing w:after="0"/>
              <w:rPr>
                <w:sz w:val="20"/>
                <w:szCs w:val="20"/>
                <w:color w:val="auto"/>
              </w:rPr>
            </w:pPr>
            <w:r>
              <w:rPr>
                <w:rFonts w:ascii="Arial" w:cs="Arial" w:eastAsia="Arial" w:hAnsi="Arial"/>
                <w:sz w:val="18"/>
                <w:szCs w:val="18"/>
                <w:color w:val="auto"/>
              </w:rPr>
              <w:t>Danville, PA 17822</w:t>
            </w:r>
          </w:p>
        </w:tc>
        <w:tc>
          <w:tcPr>
            <w:tcW w:w="96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2720" w:type="dxa"/>
            <w:vAlign w:val="bottom"/>
          </w:tcPr>
          <w:p>
            <w:pPr>
              <w:ind w:left="380"/>
              <w:spacing w:after="0"/>
              <w:rPr>
                <w:sz w:val="20"/>
                <w:szCs w:val="20"/>
                <w:color w:val="auto"/>
              </w:rPr>
            </w:pPr>
            <w:r>
              <w:rPr>
                <w:rFonts w:ascii="Arial" w:cs="Arial" w:eastAsia="Arial" w:hAnsi="Arial"/>
                <w:sz w:val="18"/>
                <w:szCs w:val="18"/>
                <w:color w:val="auto"/>
              </w:rPr>
              <w:t>PROVIDENCE</w:t>
            </w:r>
          </w:p>
        </w:tc>
        <w:tc>
          <w:tcPr>
            <w:tcW w:w="3140" w:type="dxa"/>
            <w:vAlign w:val="bottom"/>
          </w:tcPr>
          <w:p>
            <w:pPr>
              <w:ind w:left="520"/>
              <w:spacing w:after="0"/>
              <w:rPr>
                <w:sz w:val="20"/>
                <w:szCs w:val="20"/>
                <w:color w:val="auto"/>
              </w:rPr>
            </w:pPr>
            <w:r>
              <w:rPr>
                <w:rFonts w:ascii="Arial" w:cs="Arial" w:eastAsia="Arial" w:hAnsi="Arial"/>
                <w:sz w:val="18"/>
                <w:szCs w:val="18"/>
                <w:color w:val="auto"/>
              </w:rPr>
              <w:t>2435 Forest Drive,</w:t>
            </w:r>
          </w:p>
        </w:tc>
        <w:tc>
          <w:tcPr>
            <w:tcW w:w="960" w:type="dxa"/>
            <w:vAlign w:val="bottom"/>
          </w:tcPr>
          <w:p>
            <w:pPr>
              <w:ind w:left="22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2720" w:type="dxa"/>
            <w:vAlign w:val="bottom"/>
          </w:tcPr>
          <w:p>
            <w:pPr>
              <w:ind w:left="380"/>
              <w:spacing w:after="0"/>
              <w:rPr>
                <w:sz w:val="20"/>
                <w:szCs w:val="20"/>
                <w:color w:val="auto"/>
              </w:rPr>
            </w:pPr>
            <w:r>
              <w:rPr>
                <w:rFonts w:ascii="Arial" w:cs="Arial" w:eastAsia="Arial" w:hAnsi="Arial"/>
                <w:sz w:val="18"/>
                <w:szCs w:val="18"/>
                <w:color w:val="auto"/>
              </w:rPr>
              <w:t>HOSPITAL</w:t>
            </w:r>
          </w:p>
        </w:tc>
        <w:tc>
          <w:tcPr>
            <w:tcW w:w="3140" w:type="dxa"/>
            <w:vAlign w:val="bottom"/>
          </w:tcPr>
          <w:p>
            <w:pPr>
              <w:ind w:left="520"/>
              <w:spacing w:after="0"/>
              <w:rPr>
                <w:sz w:val="20"/>
                <w:szCs w:val="20"/>
                <w:color w:val="auto"/>
              </w:rPr>
            </w:pPr>
            <w:r>
              <w:rPr>
                <w:rFonts w:ascii="Arial" w:cs="Arial" w:eastAsia="Arial" w:hAnsi="Arial"/>
                <w:sz w:val="18"/>
                <w:szCs w:val="18"/>
                <w:color w:val="auto"/>
              </w:rPr>
              <w:t>Columbia, SC 29204</w:t>
            </w:r>
          </w:p>
        </w:tc>
        <w:tc>
          <w:tcPr>
            <w:tcW w:w="96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2720" w:type="dxa"/>
            <w:vAlign w:val="bottom"/>
          </w:tcPr>
          <w:p>
            <w:pPr>
              <w:ind w:left="380"/>
              <w:spacing w:after="0"/>
              <w:rPr>
                <w:sz w:val="20"/>
                <w:szCs w:val="20"/>
                <w:color w:val="auto"/>
              </w:rPr>
            </w:pPr>
            <w:r>
              <w:rPr>
                <w:rFonts w:ascii="Arial" w:cs="Arial" w:eastAsia="Arial" w:hAnsi="Arial"/>
                <w:sz w:val="18"/>
                <w:szCs w:val="18"/>
                <w:color w:val="auto"/>
              </w:rPr>
              <w:t>PACIFIC RIM</w:t>
            </w:r>
          </w:p>
        </w:tc>
        <w:tc>
          <w:tcPr>
            <w:tcW w:w="3140" w:type="dxa"/>
            <w:vAlign w:val="bottom"/>
          </w:tcPr>
          <w:p>
            <w:pPr>
              <w:ind w:left="520"/>
              <w:spacing w:after="0"/>
              <w:rPr>
                <w:sz w:val="20"/>
                <w:szCs w:val="20"/>
                <w:color w:val="auto"/>
              </w:rPr>
            </w:pPr>
            <w:r>
              <w:rPr>
                <w:rFonts w:ascii="Arial" w:cs="Arial" w:eastAsia="Arial" w:hAnsi="Arial"/>
                <w:sz w:val="18"/>
                <w:szCs w:val="18"/>
                <w:color w:val="auto"/>
              </w:rPr>
              <w:t>3009 Squalicum Parkway</w:t>
            </w:r>
          </w:p>
        </w:tc>
        <w:tc>
          <w:tcPr>
            <w:tcW w:w="960" w:type="dxa"/>
            <w:vAlign w:val="bottom"/>
          </w:tcPr>
          <w:p>
            <w:pPr>
              <w:ind w:left="22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3140" w:type="dxa"/>
            <w:vAlign w:val="bottom"/>
          </w:tcPr>
          <w:p>
            <w:pPr>
              <w:ind w:left="520"/>
              <w:spacing w:after="0"/>
              <w:rPr>
                <w:sz w:val="20"/>
                <w:szCs w:val="20"/>
                <w:color w:val="auto"/>
              </w:rPr>
            </w:pPr>
            <w:r>
              <w:rPr>
                <w:rFonts w:ascii="Arial" w:cs="Arial" w:eastAsia="Arial" w:hAnsi="Arial"/>
                <w:sz w:val="18"/>
                <w:szCs w:val="18"/>
                <w:color w:val="auto"/>
              </w:rPr>
              <w:t>Bellingham, WA 98225</w:t>
            </w:r>
          </w:p>
        </w:tc>
        <w:tc>
          <w:tcPr>
            <w:tcW w:w="96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2720" w:type="dxa"/>
            <w:vAlign w:val="bottom"/>
          </w:tcPr>
          <w:p>
            <w:pPr>
              <w:ind w:left="380"/>
              <w:spacing w:after="0"/>
              <w:rPr>
                <w:sz w:val="20"/>
                <w:szCs w:val="20"/>
                <w:color w:val="auto"/>
              </w:rPr>
            </w:pPr>
            <w:r>
              <w:rPr>
                <w:rFonts w:ascii="Arial" w:cs="Arial" w:eastAsia="Arial" w:hAnsi="Arial"/>
                <w:sz w:val="18"/>
                <w:szCs w:val="18"/>
                <w:color w:val="auto"/>
              </w:rPr>
              <w:t>NORTHSIDE</w:t>
            </w:r>
          </w:p>
        </w:tc>
        <w:tc>
          <w:tcPr>
            <w:tcW w:w="3140" w:type="dxa"/>
            <w:vAlign w:val="bottom"/>
          </w:tcPr>
          <w:p>
            <w:pPr>
              <w:ind w:left="520"/>
              <w:spacing w:after="0"/>
              <w:rPr>
                <w:sz w:val="20"/>
                <w:szCs w:val="20"/>
                <w:color w:val="auto"/>
              </w:rPr>
            </w:pPr>
            <w:r>
              <w:rPr>
                <w:rFonts w:ascii="Arial" w:cs="Arial" w:eastAsia="Arial" w:hAnsi="Arial"/>
                <w:sz w:val="18"/>
                <w:szCs w:val="18"/>
                <w:color w:val="auto"/>
              </w:rPr>
              <w:t>1000 Johnson Ferry Road NE,</w:t>
            </w:r>
          </w:p>
        </w:tc>
        <w:tc>
          <w:tcPr>
            <w:tcW w:w="960" w:type="dxa"/>
            <w:vAlign w:val="bottom"/>
          </w:tcPr>
          <w:p>
            <w:pPr>
              <w:ind w:left="22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2720" w:type="dxa"/>
            <w:vAlign w:val="bottom"/>
          </w:tcPr>
          <w:p>
            <w:pPr>
              <w:ind w:left="380"/>
              <w:spacing w:after="0"/>
              <w:rPr>
                <w:sz w:val="20"/>
                <w:szCs w:val="20"/>
                <w:color w:val="auto"/>
              </w:rPr>
            </w:pPr>
            <w:r>
              <w:rPr>
                <w:rFonts w:ascii="Arial" w:cs="Arial" w:eastAsia="Arial" w:hAnsi="Arial"/>
                <w:sz w:val="18"/>
                <w:szCs w:val="18"/>
                <w:color w:val="auto"/>
              </w:rPr>
              <w:t>HOSPITAL</w:t>
            </w:r>
          </w:p>
        </w:tc>
        <w:tc>
          <w:tcPr>
            <w:tcW w:w="3140" w:type="dxa"/>
            <w:vAlign w:val="bottom"/>
          </w:tcPr>
          <w:p>
            <w:pPr>
              <w:ind w:left="520"/>
              <w:spacing w:after="0"/>
              <w:rPr>
                <w:sz w:val="20"/>
                <w:szCs w:val="20"/>
                <w:color w:val="auto"/>
              </w:rPr>
            </w:pPr>
            <w:r>
              <w:rPr>
                <w:rFonts w:ascii="Arial" w:cs="Arial" w:eastAsia="Arial" w:hAnsi="Arial"/>
                <w:sz w:val="18"/>
                <w:szCs w:val="18"/>
                <w:color w:val="auto"/>
              </w:rPr>
              <w:t>Atlanta, GA 30342</w:t>
            </w:r>
          </w:p>
        </w:tc>
        <w:tc>
          <w:tcPr>
            <w:tcW w:w="96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2720" w:type="dxa"/>
            <w:vAlign w:val="bottom"/>
          </w:tcPr>
          <w:p>
            <w:pPr>
              <w:ind w:left="380"/>
              <w:spacing w:after="0"/>
              <w:rPr>
                <w:sz w:val="20"/>
                <w:szCs w:val="20"/>
                <w:color w:val="auto"/>
              </w:rPr>
            </w:pPr>
            <w:r>
              <w:rPr>
                <w:rFonts w:ascii="Arial" w:cs="Arial" w:eastAsia="Arial" w:hAnsi="Arial"/>
                <w:sz w:val="18"/>
                <w:szCs w:val="18"/>
                <w:color w:val="auto"/>
              </w:rPr>
              <w:t>THE ORTHOPEDIC</w:t>
            </w:r>
          </w:p>
        </w:tc>
        <w:tc>
          <w:tcPr>
            <w:tcW w:w="3140" w:type="dxa"/>
            <w:vAlign w:val="bottom"/>
          </w:tcPr>
          <w:p>
            <w:pPr>
              <w:ind w:left="520"/>
              <w:spacing w:after="0"/>
              <w:rPr>
                <w:sz w:val="20"/>
                <w:szCs w:val="20"/>
                <w:color w:val="auto"/>
              </w:rPr>
            </w:pPr>
            <w:r>
              <w:rPr>
                <w:rFonts w:ascii="Arial" w:cs="Arial" w:eastAsia="Arial" w:hAnsi="Arial"/>
                <w:sz w:val="18"/>
                <w:szCs w:val="18"/>
                <w:color w:val="auto"/>
              </w:rPr>
              <w:t>3610 Springhill Memorial Drive</w:t>
            </w:r>
          </w:p>
        </w:tc>
        <w:tc>
          <w:tcPr>
            <w:tcW w:w="960" w:type="dxa"/>
            <w:vAlign w:val="bottom"/>
          </w:tcPr>
          <w:p>
            <w:pPr>
              <w:ind w:left="220"/>
              <w:spacing w:after="0"/>
              <w:rPr>
                <w:sz w:val="20"/>
                <w:szCs w:val="20"/>
                <w:color w:val="auto"/>
              </w:rPr>
            </w:pPr>
            <w:r>
              <w:rPr>
                <w:rFonts w:ascii="Arial" w:cs="Arial" w:eastAsia="Arial" w:hAnsi="Arial"/>
                <w:sz w:val="18"/>
                <w:szCs w:val="18"/>
                <w:color w:val="auto"/>
                <w:w w:val="83"/>
              </w:rPr>
              <w:t>Consignee</w:t>
            </w:r>
          </w:p>
        </w:tc>
      </w:tr>
      <w:tr>
        <w:trPr>
          <w:trHeight w:val="216"/>
        </w:trPr>
        <w:tc>
          <w:tcPr>
            <w:tcW w:w="2720" w:type="dxa"/>
            <w:vAlign w:val="bottom"/>
          </w:tcPr>
          <w:p>
            <w:pPr>
              <w:spacing w:after="0"/>
              <w:rPr>
                <w:sz w:val="18"/>
                <w:szCs w:val="18"/>
                <w:color w:val="auto"/>
              </w:rPr>
            </w:pPr>
          </w:p>
        </w:tc>
        <w:tc>
          <w:tcPr>
            <w:tcW w:w="2720" w:type="dxa"/>
            <w:vAlign w:val="bottom"/>
          </w:tcPr>
          <w:p>
            <w:pPr>
              <w:ind w:left="380"/>
              <w:spacing w:after="0"/>
              <w:rPr>
                <w:sz w:val="20"/>
                <w:szCs w:val="20"/>
                <w:color w:val="auto"/>
              </w:rPr>
            </w:pPr>
            <w:r>
              <w:rPr>
                <w:rFonts w:ascii="Arial" w:cs="Arial" w:eastAsia="Arial" w:hAnsi="Arial"/>
                <w:sz w:val="18"/>
                <w:szCs w:val="18"/>
                <w:color w:val="auto"/>
              </w:rPr>
              <w:t>CENTER AT</w:t>
            </w:r>
          </w:p>
        </w:tc>
        <w:tc>
          <w:tcPr>
            <w:tcW w:w="3140" w:type="dxa"/>
            <w:vAlign w:val="bottom"/>
          </w:tcPr>
          <w:p>
            <w:pPr>
              <w:ind w:left="520"/>
              <w:spacing w:after="0"/>
              <w:rPr>
                <w:sz w:val="20"/>
                <w:szCs w:val="20"/>
                <w:color w:val="auto"/>
              </w:rPr>
            </w:pPr>
            <w:r>
              <w:rPr>
                <w:rFonts w:ascii="Arial" w:cs="Arial" w:eastAsia="Arial" w:hAnsi="Arial"/>
                <w:sz w:val="18"/>
                <w:szCs w:val="18"/>
                <w:color w:val="auto"/>
              </w:rPr>
              <w:t>Mobile, AL 36608</w:t>
            </w:r>
          </w:p>
        </w:tc>
        <w:tc>
          <w:tcPr>
            <w:tcW w:w="960" w:type="dxa"/>
            <w:vAlign w:val="bottom"/>
          </w:tcPr>
          <w:p>
            <w:pPr>
              <w:spacing w:after="0"/>
              <w:rPr>
                <w:sz w:val="18"/>
                <w:szCs w:val="18"/>
                <w:color w:val="auto"/>
              </w:rPr>
            </w:pPr>
          </w:p>
        </w:tc>
      </w:tr>
      <w:tr>
        <w:trPr>
          <w:trHeight w:val="222"/>
        </w:trPr>
        <w:tc>
          <w:tcPr>
            <w:tcW w:w="2720" w:type="dxa"/>
            <w:vAlign w:val="bottom"/>
          </w:tcPr>
          <w:p>
            <w:pPr>
              <w:spacing w:after="0"/>
              <w:rPr>
                <w:sz w:val="19"/>
                <w:szCs w:val="19"/>
                <w:color w:val="auto"/>
              </w:rPr>
            </w:pPr>
          </w:p>
        </w:tc>
        <w:tc>
          <w:tcPr>
            <w:tcW w:w="2720" w:type="dxa"/>
            <w:vAlign w:val="bottom"/>
          </w:tcPr>
          <w:p>
            <w:pPr>
              <w:ind w:left="380"/>
              <w:spacing w:after="0"/>
              <w:rPr>
                <w:sz w:val="20"/>
                <w:szCs w:val="20"/>
                <w:color w:val="auto"/>
              </w:rPr>
            </w:pPr>
            <w:r>
              <w:rPr>
                <w:rFonts w:ascii="Arial" w:cs="Arial" w:eastAsia="Arial" w:hAnsi="Arial"/>
                <w:sz w:val="18"/>
                <w:szCs w:val="18"/>
                <w:color w:val="auto"/>
              </w:rPr>
              <w:t>SPRINGHILL</w:t>
            </w:r>
          </w:p>
        </w:tc>
        <w:tc>
          <w:tcPr>
            <w:tcW w:w="31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2720" w:type="dxa"/>
            <w:vAlign w:val="bottom"/>
          </w:tcPr>
          <w:p>
            <w:pPr>
              <w:ind w:left="380"/>
              <w:spacing w:after="0"/>
              <w:rPr>
                <w:sz w:val="20"/>
                <w:szCs w:val="20"/>
                <w:color w:val="auto"/>
              </w:rPr>
            </w:pPr>
            <w:r>
              <w:rPr>
                <w:rFonts w:ascii="Arial" w:cs="Arial" w:eastAsia="Arial" w:hAnsi="Arial"/>
                <w:sz w:val="18"/>
                <w:szCs w:val="18"/>
                <w:color w:val="auto"/>
              </w:rPr>
              <w:t>OSF HEALTHCARE</w:t>
            </w:r>
          </w:p>
        </w:tc>
        <w:tc>
          <w:tcPr>
            <w:tcW w:w="3140" w:type="dxa"/>
            <w:vAlign w:val="bottom"/>
          </w:tcPr>
          <w:p>
            <w:pPr>
              <w:ind w:left="520"/>
              <w:spacing w:after="0"/>
              <w:rPr>
                <w:sz w:val="20"/>
                <w:szCs w:val="20"/>
                <w:color w:val="auto"/>
              </w:rPr>
            </w:pPr>
            <w:r>
              <w:rPr>
                <w:rFonts w:ascii="Arial" w:cs="Arial" w:eastAsia="Arial" w:hAnsi="Arial"/>
                <w:sz w:val="18"/>
                <w:szCs w:val="18"/>
                <w:color w:val="auto"/>
              </w:rPr>
              <w:t>530 N.E. Glen Oak Avenue</w:t>
            </w:r>
          </w:p>
        </w:tc>
        <w:tc>
          <w:tcPr>
            <w:tcW w:w="960" w:type="dxa"/>
            <w:vAlign w:val="bottom"/>
          </w:tcPr>
          <w:p>
            <w:pPr>
              <w:ind w:left="22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3140" w:type="dxa"/>
            <w:vAlign w:val="bottom"/>
          </w:tcPr>
          <w:p>
            <w:pPr>
              <w:ind w:left="520"/>
              <w:spacing w:after="0"/>
              <w:rPr>
                <w:sz w:val="20"/>
                <w:szCs w:val="20"/>
                <w:color w:val="auto"/>
              </w:rPr>
            </w:pPr>
            <w:r>
              <w:rPr>
                <w:rFonts w:ascii="Arial" w:cs="Arial" w:eastAsia="Arial" w:hAnsi="Arial"/>
                <w:sz w:val="18"/>
                <w:szCs w:val="18"/>
                <w:color w:val="auto"/>
              </w:rPr>
              <w:t>Peoria, IL 61637</w:t>
            </w:r>
          </w:p>
        </w:tc>
        <w:tc>
          <w:tcPr>
            <w:tcW w:w="96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2720" w:type="dxa"/>
            <w:vAlign w:val="bottom"/>
          </w:tcPr>
          <w:p>
            <w:pPr>
              <w:ind w:left="380"/>
              <w:spacing w:after="0"/>
              <w:rPr>
                <w:sz w:val="20"/>
                <w:szCs w:val="20"/>
                <w:color w:val="auto"/>
              </w:rPr>
            </w:pPr>
            <w:r>
              <w:rPr>
                <w:rFonts w:ascii="Arial" w:cs="Arial" w:eastAsia="Arial" w:hAnsi="Arial"/>
                <w:sz w:val="18"/>
                <w:szCs w:val="18"/>
                <w:color w:val="auto"/>
              </w:rPr>
              <w:t>VILLAGE</w:t>
            </w:r>
          </w:p>
        </w:tc>
        <w:tc>
          <w:tcPr>
            <w:tcW w:w="3140" w:type="dxa"/>
            <w:vAlign w:val="bottom"/>
          </w:tcPr>
          <w:p>
            <w:pPr>
              <w:ind w:left="520"/>
              <w:spacing w:after="0"/>
              <w:rPr>
                <w:sz w:val="20"/>
                <w:szCs w:val="20"/>
                <w:color w:val="auto"/>
              </w:rPr>
            </w:pPr>
            <w:r>
              <w:rPr>
                <w:rFonts w:ascii="Arial" w:cs="Arial" w:eastAsia="Arial" w:hAnsi="Arial"/>
                <w:sz w:val="18"/>
                <w:szCs w:val="18"/>
                <w:color w:val="auto"/>
              </w:rPr>
              <w:t>5473 Village Common Drive</w:t>
            </w:r>
          </w:p>
        </w:tc>
        <w:tc>
          <w:tcPr>
            <w:tcW w:w="960" w:type="dxa"/>
            <w:vAlign w:val="bottom"/>
          </w:tcPr>
          <w:p>
            <w:pPr>
              <w:ind w:left="22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2720" w:type="dxa"/>
            <w:vAlign w:val="bottom"/>
          </w:tcPr>
          <w:p>
            <w:pPr>
              <w:ind w:left="380"/>
              <w:spacing w:after="0"/>
              <w:rPr>
                <w:sz w:val="20"/>
                <w:szCs w:val="20"/>
                <w:color w:val="auto"/>
              </w:rPr>
            </w:pPr>
            <w:r>
              <w:rPr>
                <w:rFonts w:ascii="Arial" w:cs="Arial" w:eastAsia="Arial" w:hAnsi="Arial"/>
                <w:sz w:val="18"/>
                <w:szCs w:val="18"/>
                <w:color w:val="auto"/>
              </w:rPr>
              <w:t>SURICENTER</w:t>
            </w:r>
          </w:p>
        </w:tc>
        <w:tc>
          <w:tcPr>
            <w:tcW w:w="3140" w:type="dxa"/>
            <w:vAlign w:val="bottom"/>
          </w:tcPr>
          <w:p>
            <w:pPr>
              <w:ind w:left="520"/>
              <w:spacing w:after="0"/>
              <w:rPr>
                <w:sz w:val="20"/>
                <w:szCs w:val="20"/>
                <w:color w:val="auto"/>
              </w:rPr>
            </w:pPr>
            <w:r>
              <w:rPr>
                <w:rFonts w:ascii="Arial" w:cs="Arial" w:eastAsia="Arial" w:hAnsi="Arial"/>
                <w:sz w:val="18"/>
                <w:szCs w:val="18"/>
                <w:color w:val="auto"/>
              </w:rPr>
              <w:t>Erie, PA 16506</w:t>
            </w:r>
          </w:p>
        </w:tc>
        <w:tc>
          <w:tcPr>
            <w:tcW w:w="960" w:type="dxa"/>
            <w:vAlign w:val="bottom"/>
          </w:tcPr>
          <w:p>
            <w:pPr>
              <w:spacing w:after="0"/>
              <w:rPr>
                <w:sz w:val="19"/>
                <w:szCs w:val="19"/>
                <w:color w:val="auto"/>
              </w:rPr>
            </w:pPr>
          </w:p>
        </w:tc>
      </w:tr>
    </w:tbl>
    <w:p>
      <w:pPr>
        <w:sectPr>
          <w:pgSz w:w="11900" w:h="16838" w:orient="portrait"/>
          <w:cols w:equalWidth="0" w:num="1">
            <w:col w:w="10219"/>
          </w:cols>
          <w:pgMar w:left="240" w:top="279" w:right="1440" w:bottom="1440" w:gutter="0" w:footer="0" w:header="0"/>
        </w:sectPr>
      </w:pPr>
    </w:p>
    <w:bookmarkStart w:id="333" w:name="page334"/>
    <w:bookmarkEnd w:id="33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2740" w:type="dxa"/>
            <w:vAlign w:val="bottom"/>
          </w:tcPr>
          <w:p>
            <w:pPr>
              <w:ind w:left="380"/>
              <w:spacing w:after="0"/>
              <w:rPr>
                <w:sz w:val="20"/>
                <w:szCs w:val="20"/>
                <w:color w:val="auto"/>
              </w:rPr>
            </w:pPr>
            <w:r>
              <w:rPr>
                <w:rFonts w:ascii="Arial" w:cs="Arial" w:eastAsia="Arial" w:hAnsi="Arial"/>
                <w:sz w:val="18"/>
                <w:szCs w:val="18"/>
                <w:color w:val="auto"/>
              </w:rPr>
              <w:t>BAYFRONT MEDICAL</w:t>
            </w:r>
          </w:p>
        </w:tc>
        <w:tc>
          <w:tcPr>
            <w:tcW w:w="3000" w:type="dxa"/>
            <w:vAlign w:val="bottom"/>
          </w:tcPr>
          <w:p>
            <w:pPr>
              <w:ind w:left="500"/>
              <w:spacing w:after="0"/>
              <w:rPr>
                <w:sz w:val="20"/>
                <w:szCs w:val="20"/>
                <w:color w:val="auto"/>
              </w:rPr>
            </w:pPr>
            <w:r>
              <w:rPr>
                <w:rFonts w:ascii="Arial" w:cs="Arial" w:eastAsia="Arial" w:hAnsi="Arial"/>
                <w:sz w:val="18"/>
                <w:szCs w:val="18"/>
                <w:color w:val="auto"/>
              </w:rPr>
              <w:t>701 6</w:t>
            </w:r>
            <w:r>
              <w:rPr>
                <w:rFonts w:ascii="Arial" w:cs="Arial" w:eastAsia="Arial" w:hAnsi="Arial"/>
                <w:sz w:val="11"/>
                <w:szCs w:val="11"/>
                <w:color w:val="auto"/>
              </w:rPr>
              <w:t>th</w:t>
            </w:r>
            <w:r>
              <w:rPr>
                <w:rFonts w:ascii="Arial" w:cs="Arial" w:eastAsia="Arial" w:hAnsi="Arial"/>
                <w:sz w:val="18"/>
                <w:szCs w:val="18"/>
                <w:color w:val="auto"/>
              </w:rPr>
              <w:t xml:space="preserve"> Street South, Street</w:t>
            </w:r>
          </w:p>
        </w:tc>
        <w:tc>
          <w:tcPr>
            <w:tcW w:w="1080" w:type="dxa"/>
            <w:vAlign w:val="bottom"/>
          </w:tcPr>
          <w:p>
            <w:pPr>
              <w:ind w:left="34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2740" w:type="dxa"/>
            <w:vAlign w:val="bottom"/>
          </w:tcPr>
          <w:p>
            <w:pPr>
              <w:ind w:left="380"/>
              <w:spacing w:after="0"/>
              <w:rPr>
                <w:sz w:val="20"/>
                <w:szCs w:val="20"/>
                <w:color w:val="auto"/>
              </w:rPr>
            </w:pPr>
            <w:r>
              <w:rPr>
                <w:rFonts w:ascii="Arial" w:cs="Arial" w:eastAsia="Arial" w:hAnsi="Arial"/>
                <w:sz w:val="18"/>
                <w:szCs w:val="18"/>
                <w:color w:val="auto"/>
              </w:rPr>
              <w:t>CENTER</w:t>
            </w:r>
          </w:p>
        </w:tc>
        <w:tc>
          <w:tcPr>
            <w:tcW w:w="3000" w:type="dxa"/>
            <w:vAlign w:val="bottom"/>
          </w:tcPr>
          <w:p>
            <w:pPr>
              <w:ind w:left="500"/>
              <w:spacing w:after="0"/>
              <w:rPr>
                <w:sz w:val="20"/>
                <w:szCs w:val="20"/>
                <w:color w:val="auto"/>
              </w:rPr>
            </w:pPr>
            <w:r>
              <w:rPr>
                <w:rFonts w:ascii="Arial" w:cs="Arial" w:eastAsia="Arial" w:hAnsi="Arial"/>
                <w:sz w:val="18"/>
                <w:szCs w:val="18"/>
                <w:color w:val="auto"/>
              </w:rPr>
              <w:t>Petersburg, FL 33701</w:t>
            </w:r>
          </w:p>
        </w:tc>
        <w:tc>
          <w:tcPr>
            <w:tcW w:w="108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2740" w:type="dxa"/>
            <w:vAlign w:val="bottom"/>
          </w:tcPr>
          <w:p>
            <w:pPr>
              <w:ind w:left="380"/>
              <w:spacing w:after="0"/>
              <w:rPr>
                <w:sz w:val="20"/>
                <w:szCs w:val="20"/>
                <w:color w:val="auto"/>
              </w:rPr>
            </w:pPr>
            <w:r>
              <w:rPr>
                <w:rFonts w:ascii="Arial" w:cs="Arial" w:eastAsia="Arial" w:hAnsi="Arial"/>
                <w:sz w:val="18"/>
                <w:szCs w:val="18"/>
                <w:color w:val="auto"/>
              </w:rPr>
              <w:t>ST JOSEPH HEALTH</w:t>
            </w:r>
          </w:p>
        </w:tc>
        <w:tc>
          <w:tcPr>
            <w:tcW w:w="3000" w:type="dxa"/>
            <w:vAlign w:val="bottom"/>
          </w:tcPr>
          <w:p>
            <w:pPr>
              <w:ind w:left="500"/>
              <w:spacing w:after="0"/>
              <w:rPr>
                <w:sz w:val="20"/>
                <w:szCs w:val="20"/>
                <w:color w:val="auto"/>
              </w:rPr>
            </w:pPr>
            <w:r>
              <w:rPr>
                <w:rFonts w:ascii="Arial" w:cs="Arial" w:eastAsia="Arial" w:hAnsi="Arial"/>
                <w:sz w:val="18"/>
                <w:szCs w:val="18"/>
                <w:color w:val="auto"/>
              </w:rPr>
              <w:t>300 First Capitol Drive</w:t>
            </w:r>
          </w:p>
        </w:tc>
        <w:tc>
          <w:tcPr>
            <w:tcW w:w="1080" w:type="dxa"/>
            <w:vAlign w:val="bottom"/>
          </w:tcPr>
          <w:p>
            <w:pPr>
              <w:ind w:left="34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2740" w:type="dxa"/>
            <w:vAlign w:val="bottom"/>
          </w:tcPr>
          <w:p>
            <w:pPr>
              <w:ind w:left="380"/>
              <w:spacing w:after="0"/>
              <w:rPr>
                <w:sz w:val="20"/>
                <w:szCs w:val="20"/>
                <w:color w:val="auto"/>
              </w:rPr>
            </w:pPr>
            <w:r>
              <w:rPr>
                <w:rFonts w:ascii="Arial" w:cs="Arial" w:eastAsia="Arial" w:hAnsi="Arial"/>
                <w:sz w:val="18"/>
                <w:szCs w:val="18"/>
                <w:color w:val="auto"/>
              </w:rPr>
              <w:t>CENTER</w:t>
            </w:r>
          </w:p>
        </w:tc>
        <w:tc>
          <w:tcPr>
            <w:tcW w:w="3000" w:type="dxa"/>
            <w:vAlign w:val="bottom"/>
          </w:tcPr>
          <w:p>
            <w:pPr>
              <w:ind w:left="500"/>
              <w:spacing w:after="0"/>
              <w:rPr>
                <w:sz w:val="20"/>
                <w:szCs w:val="20"/>
                <w:color w:val="auto"/>
              </w:rPr>
            </w:pPr>
            <w:r>
              <w:rPr>
                <w:rFonts w:ascii="Arial" w:cs="Arial" w:eastAsia="Arial" w:hAnsi="Arial"/>
                <w:sz w:val="18"/>
                <w:szCs w:val="18"/>
                <w:color w:val="auto"/>
              </w:rPr>
              <w:t>St. Charles, MO, 63301</w:t>
            </w:r>
          </w:p>
        </w:tc>
        <w:tc>
          <w:tcPr>
            <w:tcW w:w="108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2740" w:type="dxa"/>
            <w:vAlign w:val="bottom"/>
          </w:tcPr>
          <w:p>
            <w:pPr>
              <w:ind w:left="380"/>
              <w:spacing w:after="0"/>
              <w:rPr>
                <w:sz w:val="20"/>
                <w:szCs w:val="20"/>
                <w:color w:val="auto"/>
              </w:rPr>
            </w:pPr>
            <w:r>
              <w:rPr>
                <w:rFonts w:ascii="Arial" w:cs="Arial" w:eastAsia="Arial" w:hAnsi="Arial"/>
                <w:sz w:val="18"/>
                <w:szCs w:val="18"/>
                <w:color w:val="auto"/>
              </w:rPr>
              <w:t>EMORY-ADVENTIST</w:t>
            </w:r>
          </w:p>
        </w:tc>
        <w:tc>
          <w:tcPr>
            <w:tcW w:w="3000" w:type="dxa"/>
            <w:vAlign w:val="bottom"/>
          </w:tcPr>
          <w:p>
            <w:pPr>
              <w:ind w:left="500"/>
              <w:spacing w:after="0"/>
              <w:rPr>
                <w:sz w:val="20"/>
                <w:szCs w:val="20"/>
                <w:color w:val="auto"/>
              </w:rPr>
            </w:pPr>
            <w:r>
              <w:rPr>
                <w:rFonts w:ascii="Arial" w:cs="Arial" w:eastAsia="Arial" w:hAnsi="Arial"/>
                <w:sz w:val="18"/>
                <w:szCs w:val="18"/>
                <w:color w:val="auto"/>
              </w:rPr>
              <w:t>3949 S. Cobb Drive</w:t>
            </w:r>
          </w:p>
        </w:tc>
        <w:tc>
          <w:tcPr>
            <w:tcW w:w="1080" w:type="dxa"/>
            <w:vAlign w:val="bottom"/>
          </w:tcPr>
          <w:p>
            <w:pPr>
              <w:ind w:left="34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000" w:type="dxa"/>
            <w:vAlign w:val="bottom"/>
          </w:tcPr>
          <w:p>
            <w:pPr>
              <w:ind w:left="500"/>
              <w:spacing w:after="0"/>
              <w:rPr>
                <w:sz w:val="20"/>
                <w:szCs w:val="20"/>
                <w:color w:val="auto"/>
              </w:rPr>
            </w:pPr>
            <w:r>
              <w:rPr>
                <w:rFonts w:ascii="Arial" w:cs="Arial" w:eastAsia="Arial" w:hAnsi="Arial"/>
                <w:sz w:val="18"/>
                <w:szCs w:val="18"/>
                <w:color w:val="auto"/>
              </w:rPr>
              <w:t>Smyrna, GA 30080</w:t>
            </w:r>
          </w:p>
        </w:tc>
        <w:tc>
          <w:tcPr>
            <w:tcW w:w="108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2740" w:type="dxa"/>
            <w:vAlign w:val="bottom"/>
          </w:tcPr>
          <w:p>
            <w:pPr>
              <w:ind w:left="380"/>
              <w:spacing w:after="0"/>
              <w:rPr>
                <w:sz w:val="20"/>
                <w:szCs w:val="20"/>
                <w:color w:val="auto"/>
              </w:rPr>
            </w:pPr>
            <w:r>
              <w:rPr>
                <w:rFonts w:ascii="Arial" w:cs="Arial" w:eastAsia="Arial" w:hAnsi="Arial"/>
                <w:sz w:val="18"/>
                <w:szCs w:val="18"/>
                <w:color w:val="auto"/>
              </w:rPr>
              <w:t>ST. JOSEPH HOSPITAL</w:t>
            </w:r>
          </w:p>
        </w:tc>
        <w:tc>
          <w:tcPr>
            <w:tcW w:w="3000" w:type="dxa"/>
            <w:vAlign w:val="bottom"/>
          </w:tcPr>
          <w:p>
            <w:pPr>
              <w:ind w:left="500"/>
              <w:spacing w:after="0"/>
              <w:rPr>
                <w:sz w:val="20"/>
                <w:szCs w:val="20"/>
                <w:color w:val="auto"/>
              </w:rPr>
            </w:pPr>
            <w:r>
              <w:rPr>
                <w:rFonts w:ascii="Arial" w:cs="Arial" w:eastAsia="Arial" w:hAnsi="Arial"/>
                <w:sz w:val="18"/>
                <w:szCs w:val="18"/>
                <w:color w:val="auto"/>
              </w:rPr>
              <w:t>100 Medical Plaza, Lake Saint</w:t>
            </w:r>
          </w:p>
        </w:tc>
        <w:tc>
          <w:tcPr>
            <w:tcW w:w="1080" w:type="dxa"/>
            <w:vAlign w:val="bottom"/>
          </w:tcPr>
          <w:p>
            <w:pPr>
              <w:ind w:left="34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000" w:type="dxa"/>
            <w:vAlign w:val="bottom"/>
          </w:tcPr>
          <w:p>
            <w:pPr>
              <w:ind w:left="500"/>
              <w:spacing w:after="0"/>
              <w:rPr>
                <w:sz w:val="20"/>
                <w:szCs w:val="20"/>
                <w:color w:val="auto"/>
              </w:rPr>
            </w:pPr>
            <w:r>
              <w:rPr>
                <w:rFonts w:ascii="Arial" w:cs="Arial" w:eastAsia="Arial" w:hAnsi="Arial"/>
                <w:sz w:val="18"/>
                <w:szCs w:val="18"/>
                <w:color w:val="auto"/>
              </w:rPr>
              <w:t>Louis, MO, 63367-1366</w:t>
            </w:r>
          </w:p>
        </w:tc>
        <w:tc>
          <w:tcPr>
            <w:tcW w:w="108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2740" w:type="dxa"/>
            <w:vAlign w:val="bottom"/>
          </w:tcPr>
          <w:p>
            <w:pPr>
              <w:ind w:left="380"/>
              <w:spacing w:after="0"/>
              <w:rPr>
                <w:sz w:val="20"/>
                <w:szCs w:val="20"/>
                <w:color w:val="auto"/>
              </w:rPr>
            </w:pPr>
            <w:r>
              <w:rPr>
                <w:rFonts w:ascii="Arial" w:cs="Arial" w:eastAsia="Arial" w:hAnsi="Arial"/>
                <w:sz w:val="18"/>
                <w:szCs w:val="18"/>
                <w:color w:val="auto"/>
              </w:rPr>
              <w:t>ST. VINCENT MERCY</w:t>
            </w:r>
          </w:p>
        </w:tc>
        <w:tc>
          <w:tcPr>
            <w:tcW w:w="3000" w:type="dxa"/>
            <w:vAlign w:val="bottom"/>
          </w:tcPr>
          <w:p>
            <w:pPr>
              <w:ind w:left="500"/>
              <w:spacing w:after="0"/>
              <w:rPr>
                <w:sz w:val="20"/>
                <w:szCs w:val="20"/>
                <w:color w:val="auto"/>
              </w:rPr>
            </w:pPr>
            <w:r>
              <w:rPr>
                <w:rFonts w:ascii="Arial" w:cs="Arial" w:eastAsia="Arial" w:hAnsi="Arial"/>
                <w:sz w:val="18"/>
                <w:szCs w:val="18"/>
                <w:color w:val="auto"/>
              </w:rPr>
              <w:t>2213 Cherry Street</w:t>
            </w:r>
          </w:p>
        </w:tc>
        <w:tc>
          <w:tcPr>
            <w:tcW w:w="1080" w:type="dxa"/>
            <w:vAlign w:val="bottom"/>
          </w:tcPr>
          <w:p>
            <w:pPr>
              <w:ind w:left="34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000" w:type="dxa"/>
            <w:vAlign w:val="bottom"/>
          </w:tcPr>
          <w:p>
            <w:pPr>
              <w:ind w:left="500"/>
              <w:spacing w:after="0"/>
              <w:rPr>
                <w:sz w:val="20"/>
                <w:szCs w:val="20"/>
                <w:color w:val="auto"/>
              </w:rPr>
            </w:pPr>
            <w:r>
              <w:rPr>
                <w:rFonts w:ascii="Arial" w:cs="Arial" w:eastAsia="Arial" w:hAnsi="Arial"/>
                <w:sz w:val="18"/>
                <w:szCs w:val="18"/>
                <w:color w:val="auto"/>
              </w:rPr>
              <w:t>Toledo, OH, 43608</w:t>
            </w:r>
          </w:p>
        </w:tc>
        <w:tc>
          <w:tcPr>
            <w:tcW w:w="108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2740" w:type="dxa"/>
            <w:vAlign w:val="bottom"/>
          </w:tcPr>
          <w:p>
            <w:pPr>
              <w:ind w:left="380"/>
              <w:spacing w:after="0"/>
              <w:rPr>
                <w:sz w:val="20"/>
                <w:szCs w:val="20"/>
                <w:color w:val="auto"/>
              </w:rPr>
            </w:pPr>
            <w:r>
              <w:rPr>
                <w:rFonts w:ascii="Arial" w:cs="Arial" w:eastAsia="Arial" w:hAnsi="Arial"/>
                <w:sz w:val="18"/>
                <w:szCs w:val="18"/>
                <w:color w:val="auto"/>
              </w:rPr>
              <w:t>ST. LUKE’S MEDICAL</w:t>
            </w:r>
          </w:p>
        </w:tc>
        <w:tc>
          <w:tcPr>
            <w:tcW w:w="3000" w:type="dxa"/>
            <w:vAlign w:val="bottom"/>
          </w:tcPr>
          <w:p>
            <w:pPr>
              <w:ind w:left="500"/>
              <w:spacing w:after="0"/>
              <w:rPr>
                <w:sz w:val="20"/>
                <w:szCs w:val="20"/>
                <w:color w:val="auto"/>
              </w:rPr>
            </w:pPr>
            <w:r>
              <w:rPr>
                <w:rFonts w:ascii="Arial" w:cs="Arial" w:eastAsia="Arial" w:hAnsi="Arial"/>
                <w:sz w:val="18"/>
                <w:szCs w:val="18"/>
                <w:color w:val="auto"/>
              </w:rPr>
              <w:t>920 East 1</w:t>
            </w:r>
            <w:r>
              <w:rPr>
                <w:rFonts w:ascii="Arial" w:cs="Arial" w:eastAsia="Arial" w:hAnsi="Arial"/>
                <w:sz w:val="11"/>
                <w:szCs w:val="11"/>
                <w:color w:val="auto"/>
              </w:rPr>
              <w:t>st</w:t>
            </w:r>
            <w:r>
              <w:rPr>
                <w:rFonts w:ascii="Arial" w:cs="Arial" w:eastAsia="Arial" w:hAnsi="Arial"/>
                <w:sz w:val="18"/>
                <w:szCs w:val="18"/>
                <w:color w:val="auto"/>
              </w:rPr>
              <w:t xml:space="preserve"> Street</w:t>
            </w:r>
          </w:p>
        </w:tc>
        <w:tc>
          <w:tcPr>
            <w:tcW w:w="1080" w:type="dxa"/>
            <w:vAlign w:val="bottom"/>
          </w:tcPr>
          <w:p>
            <w:pPr>
              <w:ind w:left="34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2740" w:type="dxa"/>
            <w:vAlign w:val="bottom"/>
          </w:tcPr>
          <w:p>
            <w:pPr>
              <w:ind w:left="380"/>
              <w:spacing w:after="0"/>
              <w:rPr>
                <w:sz w:val="20"/>
                <w:szCs w:val="20"/>
                <w:color w:val="auto"/>
              </w:rPr>
            </w:pPr>
            <w:r>
              <w:rPr>
                <w:rFonts w:ascii="Arial" w:cs="Arial" w:eastAsia="Arial" w:hAnsi="Arial"/>
                <w:sz w:val="18"/>
                <w:szCs w:val="18"/>
                <w:color w:val="auto"/>
              </w:rPr>
              <w:t>CENTER</w:t>
            </w:r>
          </w:p>
        </w:tc>
        <w:tc>
          <w:tcPr>
            <w:tcW w:w="3000" w:type="dxa"/>
            <w:vAlign w:val="bottom"/>
          </w:tcPr>
          <w:p>
            <w:pPr>
              <w:ind w:left="500"/>
              <w:spacing w:after="0"/>
              <w:rPr>
                <w:sz w:val="20"/>
                <w:szCs w:val="20"/>
                <w:color w:val="auto"/>
              </w:rPr>
            </w:pPr>
            <w:r>
              <w:rPr>
                <w:rFonts w:ascii="Arial" w:cs="Arial" w:eastAsia="Arial" w:hAnsi="Arial"/>
                <w:sz w:val="18"/>
                <w:szCs w:val="18"/>
                <w:color w:val="auto"/>
              </w:rPr>
              <w:t>Duluth, MN 55805</w:t>
            </w:r>
          </w:p>
        </w:tc>
        <w:tc>
          <w:tcPr>
            <w:tcW w:w="108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2740" w:type="dxa"/>
            <w:vAlign w:val="bottom"/>
          </w:tcPr>
          <w:p>
            <w:pPr>
              <w:ind w:left="380"/>
              <w:spacing w:after="0"/>
              <w:rPr>
                <w:sz w:val="20"/>
                <w:szCs w:val="20"/>
                <w:color w:val="auto"/>
              </w:rPr>
            </w:pPr>
            <w:r>
              <w:rPr>
                <w:rFonts w:ascii="Arial" w:cs="Arial" w:eastAsia="Arial" w:hAnsi="Arial"/>
                <w:sz w:val="18"/>
                <w:szCs w:val="18"/>
                <w:color w:val="auto"/>
              </w:rPr>
              <w:t>DETAR HOSPITAL</w:t>
            </w:r>
          </w:p>
        </w:tc>
        <w:tc>
          <w:tcPr>
            <w:tcW w:w="3000" w:type="dxa"/>
            <w:vAlign w:val="bottom"/>
          </w:tcPr>
          <w:p>
            <w:pPr>
              <w:ind w:left="500"/>
              <w:spacing w:after="0"/>
              <w:rPr>
                <w:sz w:val="20"/>
                <w:szCs w:val="20"/>
                <w:color w:val="auto"/>
              </w:rPr>
            </w:pPr>
            <w:r>
              <w:rPr>
                <w:rFonts w:ascii="Arial" w:cs="Arial" w:eastAsia="Arial" w:hAnsi="Arial"/>
                <w:sz w:val="18"/>
                <w:szCs w:val="18"/>
                <w:color w:val="auto"/>
              </w:rPr>
              <w:t>506 E. San Antonio Street</w:t>
            </w:r>
          </w:p>
        </w:tc>
        <w:tc>
          <w:tcPr>
            <w:tcW w:w="1080" w:type="dxa"/>
            <w:vAlign w:val="bottom"/>
          </w:tcPr>
          <w:p>
            <w:pPr>
              <w:ind w:left="34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000" w:type="dxa"/>
            <w:vAlign w:val="bottom"/>
          </w:tcPr>
          <w:p>
            <w:pPr>
              <w:ind w:left="500"/>
              <w:spacing w:after="0"/>
              <w:rPr>
                <w:sz w:val="20"/>
                <w:szCs w:val="20"/>
                <w:color w:val="auto"/>
              </w:rPr>
            </w:pPr>
            <w:r>
              <w:rPr>
                <w:rFonts w:ascii="Arial" w:cs="Arial" w:eastAsia="Arial" w:hAnsi="Arial"/>
                <w:sz w:val="18"/>
                <w:szCs w:val="18"/>
                <w:color w:val="auto"/>
              </w:rPr>
              <w:t>Victoria, TX 77902</w:t>
            </w:r>
          </w:p>
        </w:tc>
        <w:tc>
          <w:tcPr>
            <w:tcW w:w="108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2740" w:type="dxa"/>
            <w:vAlign w:val="bottom"/>
          </w:tcPr>
          <w:p>
            <w:pPr>
              <w:ind w:left="380"/>
              <w:spacing w:after="0"/>
              <w:rPr>
                <w:sz w:val="20"/>
                <w:szCs w:val="20"/>
                <w:color w:val="auto"/>
              </w:rPr>
            </w:pPr>
            <w:r>
              <w:rPr>
                <w:rFonts w:ascii="Arial" w:cs="Arial" w:eastAsia="Arial" w:hAnsi="Arial"/>
                <w:sz w:val="18"/>
                <w:szCs w:val="18"/>
                <w:color w:val="auto"/>
              </w:rPr>
              <w:t>RIVERVIEW</w:t>
            </w:r>
          </w:p>
        </w:tc>
        <w:tc>
          <w:tcPr>
            <w:tcW w:w="3000" w:type="dxa"/>
            <w:vAlign w:val="bottom"/>
          </w:tcPr>
          <w:p>
            <w:pPr>
              <w:ind w:left="500"/>
              <w:spacing w:after="0"/>
              <w:rPr>
                <w:sz w:val="20"/>
                <w:szCs w:val="20"/>
                <w:color w:val="auto"/>
              </w:rPr>
            </w:pPr>
            <w:r>
              <w:rPr>
                <w:rFonts w:ascii="Arial" w:cs="Arial" w:eastAsia="Arial" w:hAnsi="Arial"/>
                <w:sz w:val="18"/>
                <w:szCs w:val="18"/>
                <w:color w:val="auto"/>
              </w:rPr>
              <w:t>410 Dewwy Street</w:t>
            </w:r>
          </w:p>
        </w:tc>
        <w:tc>
          <w:tcPr>
            <w:tcW w:w="1080" w:type="dxa"/>
            <w:vAlign w:val="bottom"/>
          </w:tcPr>
          <w:p>
            <w:pPr>
              <w:ind w:left="34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2740" w:type="dxa"/>
            <w:vAlign w:val="bottom"/>
          </w:tcPr>
          <w:p>
            <w:pPr>
              <w:ind w:left="380"/>
              <w:spacing w:after="0"/>
              <w:rPr>
                <w:sz w:val="20"/>
                <w:szCs w:val="20"/>
                <w:color w:val="auto"/>
              </w:rPr>
            </w:pPr>
            <w:r>
              <w:rPr>
                <w:rFonts w:ascii="Arial" w:cs="Arial" w:eastAsia="Arial" w:hAnsi="Arial"/>
                <w:sz w:val="18"/>
                <w:szCs w:val="18"/>
                <w:color w:val="auto"/>
              </w:rPr>
              <w:t>HOSPITAL</w:t>
            </w:r>
          </w:p>
        </w:tc>
        <w:tc>
          <w:tcPr>
            <w:tcW w:w="3000" w:type="dxa"/>
            <w:vAlign w:val="bottom"/>
          </w:tcPr>
          <w:p>
            <w:pPr>
              <w:ind w:left="500"/>
              <w:spacing w:after="0"/>
              <w:rPr>
                <w:sz w:val="20"/>
                <w:szCs w:val="20"/>
                <w:color w:val="auto"/>
              </w:rPr>
            </w:pPr>
            <w:r>
              <w:rPr>
                <w:rFonts w:ascii="Arial" w:cs="Arial" w:eastAsia="Arial" w:hAnsi="Arial"/>
                <w:sz w:val="18"/>
                <w:szCs w:val="18"/>
                <w:color w:val="auto"/>
              </w:rPr>
              <w:t>Wisconsin Rapids, WI 54494</w:t>
            </w:r>
          </w:p>
        </w:tc>
        <w:tc>
          <w:tcPr>
            <w:tcW w:w="108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2740" w:type="dxa"/>
            <w:vAlign w:val="bottom"/>
          </w:tcPr>
          <w:p>
            <w:pPr>
              <w:ind w:left="380"/>
              <w:spacing w:after="0"/>
              <w:rPr>
                <w:sz w:val="20"/>
                <w:szCs w:val="20"/>
                <w:color w:val="auto"/>
              </w:rPr>
            </w:pPr>
            <w:r>
              <w:rPr>
                <w:rFonts w:ascii="Arial" w:cs="Arial" w:eastAsia="Arial" w:hAnsi="Arial"/>
                <w:sz w:val="18"/>
                <w:szCs w:val="18"/>
                <w:color w:val="auto"/>
              </w:rPr>
              <w:t>PROVIDENCE ST.</w:t>
            </w:r>
          </w:p>
        </w:tc>
        <w:tc>
          <w:tcPr>
            <w:tcW w:w="3000" w:type="dxa"/>
            <w:vAlign w:val="bottom"/>
          </w:tcPr>
          <w:p>
            <w:pPr>
              <w:ind w:left="500"/>
              <w:spacing w:after="0"/>
              <w:rPr>
                <w:sz w:val="20"/>
                <w:szCs w:val="20"/>
                <w:color w:val="auto"/>
              </w:rPr>
            </w:pPr>
            <w:r>
              <w:rPr>
                <w:rFonts w:ascii="Arial" w:cs="Arial" w:eastAsia="Arial" w:hAnsi="Arial"/>
                <w:sz w:val="18"/>
                <w:szCs w:val="18"/>
                <w:color w:val="auto"/>
              </w:rPr>
              <w:t>9205 SW Barnes Road</w:t>
            </w:r>
          </w:p>
        </w:tc>
        <w:tc>
          <w:tcPr>
            <w:tcW w:w="1080" w:type="dxa"/>
            <w:vAlign w:val="bottom"/>
          </w:tcPr>
          <w:p>
            <w:pPr>
              <w:ind w:left="34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2740" w:type="dxa"/>
            <w:vAlign w:val="bottom"/>
          </w:tcPr>
          <w:p>
            <w:pPr>
              <w:ind w:left="380"/>
              <w:spacing w:after="0"/>
              <w:rPr>
                <w:sz w:val="20"/>
                <w:szCs w:val="20"/>
                <w:color w:val="auto"/>
              </w:rPr>
            </w:pPr>
            <w:r>
              <w:rPr>
                <w:rFonts w:ascii="Arial" w:cs="Arial" w:eastAsia="Arial" w:hAnsi="Arial"/>
                <w:sz w:val="18"/>
                <w:szCs w:val="18"/>
                <w:color w:val="auto"/>
              </w:rPr>
              <w:t>VINCENT</w:t>
            </w:r>
          </w:p>
        </w:tc>
        <w:tc>
          <w:tcPr>
            <w:tcW w:w="3000" w:type="dxa"/>
            <w:vAlign w:val="bottom"/>
          </w:tcPr>
          <w:p>
            <w:pPr>
              <w:ind w:left="500"/>
              <w:spacing w:after="0"/>
              <w:rPr>
                <w:sz w:val="20"/>
                <w:szCs w:val="20"/>
                <w:color w:val="auto"/>
              </w:rPr>
            </w:pPr>
            <w:r>
              <w:rPr>
                <w:rFonts w:ascii="Arial" w:cs="Arial" w:eastAsia="Arial" w:hAnsi="Arial"/>
                <w:sz w:val="18"/>
                <w:szCs w:val="18"/>
                <w:color w:val="auto"/>
              </w:rPr>
              <w:t>Portland, OR 97225</w:t>
            </w:r>
          </w:p>
        </w:tc>
        <w:tc>
          <w:tcPr>
            <w:tcW w:w="108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2740" w:type="dxa"/>
            <w:vAlign w:val="bottom"/>
          </w:tcPr>
          <w:p>
            <w:pPr>
              <w:ind w:left="380"/>
              <w:spacing w:after="0"/>
              <w:rPr>
                <w:sz w:val="20"/>
                <w:szCs w:val="20"/>
                <w:color w:val="auto"/>
              </w:rPr>
            </w:pPr>
            <w:r>
              <w:rPr>
                <w:rFonts w:ascii="Arial" w:cs="Arial" w:eastAsia="Arial" w:hAnsi="Arial"/>
                <w:sz w:val="18"/>
                <w:szCs w:val="18"/>
                <w:color w:val="auto"/>
              </w:rPr>
              <w:t>ST LUKE’S</w:t>
            </w:r>
          </w:p>
        </w:tc>
        <w:tc>
          <w:tcPr>
            <w:tcW w:w="3000" w:type="dxa"/>
            <w:vAlign w:val="bottom"/>
          </w:tcPr>
          <w:p>
            <w:pPr>
              <w:ind w:left="500"/>
              <w:spacing w:after="0"/>
              <w:rPr>
                <w:sz w:val="20"/>
                <w:szCs w:val="20"/>
                <w:color w:val="auto"/>
              </w:rPr>
            </w:pPr>
            <w:r>
              <w:rPr>
                <w:rFonts w:ascii="Arial" w:cs="Arial" w:eastAsia="Arial" w:hAnsi="Arial"/>
                <w:sz w:val="18"/>
                <w:szCs w:val="18"/>
                <w:color w:val="auto"/>
              </w:rPr>
              <w:t>6720 Bertner Avenue</w:t>
            </w:r>
          </w:p>
        </w:tc>
        <w:tc>
          <w:tcPr>
            <w:tcW w:w="1080" w:type="dxa"/>
            <w:vAlign w:val="bottom"/>
          </w:tcPr>
          <w:p>
            <w:pPr>
              <w:ind w:left="34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2740" w:type="dxa"/>
            <w:vAlign w:val="bottom"/>
          </w:tcPr>
          <w:p>
            <w:pPr>
              <w:ind w:left="380"/>
              <w:spacing w:after="0"/>
              <w:rPr>
                <w:sz w:val="20"/>
                <w:szCs w:val="20"/>
                <w:color w:val="auto"/>
              </w:rPr>
            </w:pPr>
            <w:r>
              <w:rPr>
                <w:rFonts w:ascii="Arial" w:cs="Arial" w:eastAsia="Arial" w:hAnsi="Arial"/>
                <w:sz w:val="18"/>
                <w:szCs w:val="18"/>
                <w:color w:val="auto"/>
              </w:rPr>
              <w:t>EPISCOPAL</w:t>
            </w:r>
          </w:p>
        </w:tc>
        <w:tc>
          <w:tcPr>
            <w:tcW w:w="3000" w:type="dxa"/>
            <w:vAlign w:val="bottom"/>
          </w:tcPr>
          <w:p>
            <w:pPr>
              <w:ind w:left="500"/>
              <w:spacing w:after="0"/>
              <w:rPr>
                <w:sz w:val="20"/>
                <w:szCs w:val="20"/>
                <w:color w:val="auto"/>
              </w:rPr>
            </w:pPr>
            <w:r>
              <w:rPr>
                <w:rFonts w:ascii="Arial" w:cs="Arial" w:eastAsia="Arial" w:hAnsi="Arial"/>
                <w:sz w:val="18"/>
                <w:szCs w:val="18"/>
                <w:color w:val="auto"/>
              </w:rPr>
              <w:t>Houston, TX 77225</w:t>
            </w:r>
          </w:p>
        </w:tc>
        <w:tc>
          <w:tcPr>
            <w:tcW w:w="108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2740" w:type="dxa"/>
            <w:vAlign w:val="bottom"/>
          </w:tcPr>
          <w:p>
            <w:pPr>
              <w:ind w:left="380"/>
              <w:spacing w:after="0"/>
              <w:rPr>
                <w:sz w:val="20"/>
                <w:szCs w:val="20"/>
                <w:color w:val="auto"/>
              </w:rPr>
            </w:pPr>
            <w:r>
              <w:rPr>
                <w:rFonts w:ascii="Arial" w:cs="Arial" w:eastAsia="Arial" w:hAnsi="Arial"/>
                <w:sz w:val="18"/>
                <w:szCs w:val="18"/>
                <w:color w:val="auto"/>
              </w:rPr>
              <w:t>ALBERT EINSTEIN</w:t>
            </w:r>
          </w:p>
        </w:tc>
        <w:tc>
          <w:tcPr>
            <w:tcW w:w="3000" w:type="dxa"/>
            <w:vAlign w:val="bottom"/>
          </w:tcPr>
          <w:p>
            <w:pPr>
              <w:ind w:left="500"/>
              <w:spacing w:after="0"/>
              <w:rPr>
                <w:sz w:val="20"/>
                <w:szCs w:val="20"/>
                <w:color w:val="auto"/>
              </w:rPr>
            </w:pPr>
            <w:r>
              <w:rPr>
                <w:rFonts w:ascii="Arial" w:cs="Arial" w:eastAsia="Arial" w:hAnsi="Arial"/>
                <w:sz w:val="18"/>
                <w:szCs w:val="18"/>
                <w:color w:val="auto"/>
              </w:rPr>
              <w:t>5501 Old York Road</w:t>
            </w:r>
          </w:p>
        </w:tc>
        <w:tc>
          <w:tcPr>
            <w:tcW w:w="1080" w:type="dxa"/>
            <w:vAlign w:val="bottom"/>
          </w:tcPr>
          <w:p>
            <w:pPr>
              <w:ind w:left="34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000" w:type="dxa"/>
            <w:vAlign w:val="bottom"/>
          </w:tcPr>
          <w:p>
            <w:pPr>
              <w:ind w:left="500"/>
              <w:spacing w:after="0"/>
              <w:rPr>
                <w:sz w:val="20"/>
                <w:szCs w:val="20"/>
                <w:color w:val="auto"/>
              </w:rPr>
            </w:pPr>
            <w:r>
              <w:rPr>
                <w:rFonts w:ascii="Arial" w:cs="Arial" w:eastAsia="Arial" w:hAnsi="Arial"/>
                <w:sz w:val="18"/>
                <w:szCs w:val="18"/>
                <w:color w:val="auto"/>
              </w:rPr>
              <w:t>Philadelphia, PA 19141</w:t>
            </w:r>
          </w:p>
        </w:tc>
        <w:tc>
          <w:tcPr>
            <w:tcW w:w="108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2740" w:type="dxa"/>
            <w:vAlign w:val="bottom"/>
          </w:tcPr>
          <w:p>
            <w:pPr>
              <w:ind w:left="380"/>
              <w:spacing w:after="0"/>
              <w:rPr>
                <w:sz w:val="20"/>
                <w:szCs w:val="20"/>
                <w:color w:val="auto"/>
              </w:rPr>
            </w:pPr>
            <w:r>
              <w:rPr>
                <w:rFonts w:ascii="Arial" w:cs="Arial" w:eastAsia="Arial" w:hAnsi="Arial"/>
                <w:sz w:val="18"/>
                <w:szCs w:val="18"/>
                <w:color w:val="auto"/>
              </w:rPr>
              <w:t>ST. MICHAELS</w:t>
            </w:r>
          </w:p>
        </w:tc>
        <w:tc>
          <w:tcPr>
            <w:tcW w:w="3000" w:type="dxa"/>
            <w:vAlign w:val="bottom"/>
          </w:tcPr>
          <w:p>
            <w:pPr>
              <w:ind w:left="500"/>
              <w:spacing w:after="0"/>
              <w:rPr>
                <w:sz w:val="20"/>
                <w:szCs w:val="20"/>
                <w:color w:val="auto"/>
              </w:rPr>
            </w:pPr>
            <w:r>
              <w:rPr>
                <w:rFonts w:ascii="Arial" w:cs="Arial" w:eastAsia="Arial" w:hAnsi="Arial"/>
                <w:sz w:val="18"/>
                <w:szCs w:val="18"/>
                <w:color w:val="auto"/>
              </w:rPr>
              <w:t>1605 Airport Freeway</w:t>
            </w:r>
          </w:p>
        </w:tc>
        <w:tc>
          <w:tcPr>
            <w:tcW w:w="1080" w:type="dxa"/>
            <w:vAlign w:val="bottom"/>
          </w:tcPr>
          <w:p>
            <w:pPr>
              <w:ind w:left="340"/>
              <w:spacing w:after="0"/>
              <w:rPr>
                <w:sz w:val="20"/>
                <w:szCs w:val="20"/>
                <w:color w:val="auto"/>
              </w:rPr>
            </w:pPr>
            <w:r>
              <w:rPr>
                <w:rFonts w:ascii="Arial" w:cs="Arial" w:eastAsia="Arial" w:hAnsi="Arial"/>
                <w:sz w:val="18"/>
                <w:szCs w:val="18"/>
                <w:color w:val="auto"/>
                <w:w w:val="83"/>
              </w:rPr>
              <w:t>Consignee</w:t>
            </w:r>
          </w:p>
        </w:tc>
      </w:tr>
      <w:tr>
        <w:trPr>
          <w:trHeight w:val="216"/>
        </w:trPr>
        <w:tc>
          <w:tcPr>
            <w:tcW w:w="2720" w:type="dxa"/>
            <w:vAlign w:val="bottom"/>
          </w:tcPr>
          <w:p>
            <w:pPr>
              <w:spacing w:after="0"/>
              <w:rPr>
                <w:sz w:val="18"/>
                <w:szCs w:val="18"/>
                <w:color w:val="auto"/>
              </w:rPr>
            </w:pPr>
          </w:p>
        </w:tc>
        <w:tc>
          <w:tcPr>
            <w:tcW w:w="2740" w:type="dxa"/>
            <w:vAlign w:val="bottom"/>
          </w:tcPr>
          <w:p>
            <w:pPr>
              <w:ind w:left="380"/>
              <w:spacing w:after="0"/>
              <w:rPr>
                <w:sz w:val="20"/>
                <w:szCs w:val="20"/>
                <w:color w:val="auto"/>
              </w:rPr>
            </w:pPr>
            <w:r>
              <w:rPr>
                <w:rFonts w:ascii="Arial" w:cs="Arial" w:eastAsia="Arial" w:hAnsi="Arial"/>
                <w:sz w:val="18"/>
                <w:szCs w:val="18"/>
                <w:color w:val="auto"/>
              </w:rPr>
              <w:t>CENTER FOR SPECIAL</w:t>
            </w:r>
          </w:p>
        </w:tc>
        <w:tc>
          <w:tcPr>
            <w:tcW w:w="3000" w:type="dxa"/>
            <w:vAlign w:val="bottom"/>
          </w:tcPr>
          <w:p>
            <w:pPr>
              <w:ind w:left="500"/>
              <w:spacing w:after="0"/>
              <w:rPr>
                <w:sz w:val="20"/>
                <w:szCs w:val="20"/>
                <w:color w:val="auto"/>
              </w:rPr>
            </w:pPr>
            <w:r>
              <w:rPr>
                <w:rFonts w:ascii="Arial" w:cs="Arial" w:eastAsia="Arial" w:hAnsi="Arial"/>
                <w:sz w:val="18"/>
                <w:szCs w:val="18"/>
                <w:color w:val="auto"/>
              </w:rPr>
              <w:t>Bedford, TX 76021</w:t>
            </w:r>
          </w:p>
        </w:tc>
        <w:tc>
          <w:tcPr>
            <w:tcW w:w="1080" w:type="dxa"/>
            <w:vAlign w:val="bottom"/>
          </w:tcPr>
          <w:p>
            <w:pPr>
              <w:spacing w:after="0"/>
              <w:rPr>
                <w:sz w:val="18"/>
                <w:szCs w:val="18"/>
                <w:color w:val="auto"/>
              </w:rPr>
            </w:pPr>
          </w:p>
        </w:tc>
      </w:tr>
      <w:tr>
        <w:trPr>
          <w:trHeight w:val="222"/>
        </w:trPr>
        <w:tc>
          <w:tcPr>
            <w:tcW w:w="2720" w:type="dxa"/>
            <w:vAlign w:val="bottom"/>
          </w:tcPr>
          <w:p>
            <w:pPr>
              <w:spacing w:after="0"/>
              <w:rPr>
                <w:sz w:val="19"/>
                <w:szCs w:val="19"/>
                <w:color w:val="auto"/>
              </w:rPr>
            </w:pPr>
          </w:p>
        </w:tc>
        <w:tc>
          <w:tcPr>
            <w:tcW w:w="2740" w:type="dxa"/>
            <w:vAlign w:val="bottom"/>
          </w:tcPr>
          <w:p>
            <w:pPr>
              <w:ind w:left="380"/>
              <w:spacing w:after="0"/>
              <w:rPr>
                <w:sz w:val="20"/>
                <w:szCs w:val="20"/>
                <w:color w:val="auto"/>
              </w:rPr>
            </w:pPr>
            <w:r>
              <w:rPr>
                <w:rFonts w:ascii="Arial" w:cs="Arial" w:eastAsia="Arial" w:hAnsi="Arial"/>
                <w:sz w:val="18"/>
                <w:szCs w:val="18"/>
                <w:color w:val="auto"/>
              </w:rPr>
              <w:t>SURGERY</w:t>
            </w:r>
          </w:p>
        </w:tc>
        <w:tc>
          <w:tcPr>
            <w:tcW w:w="30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2740" w:type="dxa"/>
            <w:vAlign w:val="bottom"/>
          </w:tcPr>
          <w:p>
            <w:pPr>
              <w:ind w:left="380"/>
              <w:spacing w:after="0"/>
              <w:rPr>
                <w:sz w:val="20"/>
                <w:szCs w:val="20"/>
                <w:color w:val="auto"/>
              </w:rPr>
            </w:pPr>
            <w:r>
              <w:rPr>
                <w:rFonts w:ascii="Arial" w:cs="Arial" w:eastAsia="Arial" w:hAnsi="Arial"/>
                <w:sz w:val="18"/>
                <w:szCs w:val="18"/>
                <w:color w:val="auto"/>
              </w:rPr>
              <w:t>BAYLOR ALL SAINTS</w:t>
            </w:r>
          </w:p>
        </w:tc>
        <w:tc>
          <w:tcPr>
            <w:tcW w:w="3000" w:type="dxa"/>
            <w:vAlign w:val="bottom"/>
          </w:tcPr>
          <w:p>
            <w:pPr>
              <w:ind w:left="500"/>
              <w:spacing w:after="0"/>
              <w:rPr>
                <w:sz w:val="20"/>
                <w:szCs w:val="20"/>
                <w:color w:val="auto"/>
              </w:rPr>
            </w:pPr>
            <w:r>
              <w:rPr>
                <w:rFonts w:ascii="Arial" w:cs="Arial" w:eastAsia="Arial" w:hAnsi="Arial"/>
                <w:sz w:val="18"/>
                <w:szCs w:val="18"/>
                <w:color w:val="auto"/>
              </w:rPr>
              <w:t>1400 Eighth Avenue</w:t>
            </w:r>
          </w:p>
        </w:tc>
        <w:tc>
          <w:tcPr>
            <w:tcW w:w="1080" w:type="dxa"/>
            <w:vAlign w:val="bottom"/>
          </w:tcPr>
          <w:p>
            <w:pPr>
              <w:ind w:left="34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000" w:type="dxa"/>
            <w:vAlign w:val="bottom"/>
          </w:tcPr>
          <w:p>
            <w:pPr>
              <w:ind w:left="500"/>
              <w:spacing w:after="0"/>
              <w:rPr>
                <w:sz w:val="20"/>
                <w:szCs w:val="20"/>
                <w:color w:val="auto"/>
              </w:rPr>
            </w:pPr>
            <w:r>
              <w:rPr>
                <w:rFonts w:ascii="Arial" w:cs="Arial" w:eastAsia="Arial" w:hAnsi="Arial"/>
                <w:sz w:val="18"/>
                <w:szCs w:val="18"/>
                <w:color w:val="auto"/>
              </w:rPr>
              <w:t>Fort Worth, TX 76104</w:t>
            </w:r>
          </w:p>
        </w:tc>
        <w:tc>
          <w:tcPr>
            <w:tcW w:w="108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2740" w:type="dxa"/>
            <w:vAlign w:val="bottom"/>
          </w:tcPr>
          <w:p>
            <w:pPr>
              <w:ind w:left="380"/>
              <w:spacing w:after="0"/>
              <w:rPr>
                <w:sz w:val="20"/>
                <w:szCs w:val="20"/>
                <w:color w:val="auto"/>
              </w:rPr>
            </w:pPr>
            <w:r>
              <w:rPr>
                <w:rFonts w:ascii="Arial" w:cs="Arial" w:eastAsia="Arial" w:hAnsi="Arial"/>
                <w:sz w:val="18"/>
                <w:szCs w:val="18"/>
                <w:color w:val="auto"/>
              </w:rPr>
              <w:t>ST. LUKES HOSPITAL</w:t>
            </w:r>
          </w:p>
        </w:tc>
        <w:tc>
          <w:tcPr>
            <w:tcW w:w="3000" w:type="dxa"/>
            <w:vAlign w:val="bottom"/>
          </w:tcPr>
          <w:p>
            <w:pPr>
              <w:ind w:left="500"/>
              <w:spacing w:after="0"/>
              <w:rPr>
                <w:sz w:val="20"/>
                <w:szCs w:val="20"/>
                <w:color w:val="auto"/>
              </w:rPr>
            </w:pPr>
            <w:r>
              <w:rPr>
                <w:rFonts w:ascii="Arial" w:cs="Arial" w:eastAsia="Arial" w:hAnsi="Arial"/>
                <w:sz w:val="18"/>
                <w:szCs w:val="18"/>
                <w:color w:val="auto"/>
              </w:rPr>
              <w:t>1111 Amsterdam Avenue</w:t>
            </w:r>
          </w:p>
        </w:tc>
        <w:tc>
          <w:tcPr>
            <w:tcW w:w="1080" w:type="dxa"/>
            <w:vAlign w:val="bottom"/>
          </w:tcPr>
          <w:p>
            <w:pPr>
              <w:ind w:left="34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000" w:type="dxa"/>
            <w:vAlign w:val="bottom"/>
          </w:tcPr>
          <w:p>
            <w:pPr>
              <w:ind w:left="500"/>
              <w:spacing w:after="0"/>
              <w:rPr>
                <w:sz w:val="20"/>
                <w:szCs w:val="20"/>
                <w:color w:val="auto"/>
              </w:rPr>
            </w:pPr>
            <w:r>
              <w:rPr>
                <w:rFonts w:ascii="Arial" w:cs="Arial" w:eastAsia="Arial" w:hAnsi="Arial"/>
                <w:sz w:val="18"/>
                <w:szCs w:val="18"/>
                <w:color w:val="auto"/>
              </w:rPr>
              <w:t>NY, NY 10025</w:t>
            </w:r>
          </w:p>
        </w:tc>
        <w:tc>
          <w:tcPr>
            <w:tcW w:w="108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2740" w:type="dxa"/>
            <w:vAlign w:val="bottom"/>
          </w:tcPr>
          <w:p>
            <w:pPr>
              <w:ind w:left="380"/>
              <w:spacing w:after="0"/>
              <w:rPr>
                <w:sz w:val="20"/>
                <w:szCs w:val="20"/>
                <w:color w:val="auto"/>
              </w:rPr>
            </w:pPr>
            <w:r>
              <w:rPr>
                <w:rFonts w:ascii="Arial" w:cs="Arial" w:eastAsia="Arial" w:hAnsi="Arial"/>
                <w:sz w:val="18"/>
                <w:szCs w:val="18"/>
                <w:color w:val="auto"/>
              </w:rPr>
              <w:t>BAYLOR MEDICAL</w:t>
            </w:r>
          </w:p>
        </w:tc>
        <w:tc>
          <w:tcPr>
            <w:tcW w:w="3000" w:type="dxa"/>
            <w:vAlign w:val="bottom"/>
          </w:tcPr>
          <w:p>
            <w:pPr>
              <w:ind w:left="500"/>
              <w:spacing w:after="0"/>
              <w:rPr>
                <w:sz w:val="20"/>
                <w:szCs w:val="20"/>
                <w:color w:val="auto"/>
              </w:rPr>
            </w:pPr>
            <w:r>
              <w:rPr>
                <w:rFonts w:ascii="Arial" w:cs="Arial" w:eastAsia="Arial" w:hAnsi="Arial"/>
                <w:sz w:val="18"/>
                <w:szCs w:val="18"/>
                <w:color w:val="auto"/>
              </w:rPr>
              <w:t>2300 Marie Curie Blvd.</w:t>
            </w:r>
          </w:p>
        </w:tc>
        <w:tc>
          <w:tcPr>
            <w:tcW w:w="1080" w:type="dxa"/>
            <w:vAlign w:val="bottom"/>
          </w:tcPr>
          <w:p>
            <w:pPr>
              <w:ind w:left="340"/>
              <w:spacing w:after="0"/>
              <w:rPr>
                <w:sz w:val="20"/>
                <w:szCs w:val="20"/>
                <w:color w:val="auto"/>
              </w:rPr>
            </w:pPr>
            <w:r>
              <w:rPr>
                <w:rFonts w:ascii="Arial" w:cs="Arial" w:eastAsia="Arial" w:hAnsi="Arial"/>
                <w:sz w:val="18"/>
                <w:szCs w:val="18"/>
                <w:color w:val="auto"/>
                <w:w w:val="83"/>
              </w:rPr>
              <w:t>Consignee</w:t>
            </w:r>
          </w:p>
        </w:tc>
      </w:tr>
      <w:tr>
        <w:trPr>
          <w:trHeight w:val="216"/>
        </w:trPr>
        <w:tc>
          <w:tcPr>
            <w:tcW w:w="2720" w:type="dxa"/>
            <w:vAlign w:val="bottom"/>
          </w:tcPr>
          <w:p>
            <w:pPr>
              <w:spacing w:after="0"/>
              <w:rPr>
                <w:sz w:val="18"/>
                <w:szCs w:val="18"/>
                <w:color w:val="auto"/>
              </w:rPr>
            </w:pPr>
          </w:p>
        </w:tc>
        <w:tc>
          <w:tcPr>
            <w:tcW w:w="2740" w:type="dxa"/>
            <w:vAlign w:val="bottom"/>
          </w:tcPr>
          <w:p>
            <w:pPr>
              <w:ind w:left="380"/>
              <w:spacing w:after="0"/>
              <w:rPr>
                <w:sz w:val="20"/>
                <w:szCs w:val="20"/>
                <w:color w:val="auto"/>
              </w:rPr>
            </w:pPr>
            <w:r>
              <w:rPr>
                <w:rFonts w:ascii="Arial" w:cs="Arial" w:eastAsia="Arial" w:hAnsi="Arial"/>
                <w:sz w:val="18"/>
                <w:szCs w:val="18"/>
                <w:color w:val="auto"/>
              </w:rPr>
              <w:t>CENTER OF</w:t>
            </w:r>
          </w:p>
        </w:tc>
        <w:tc>
          <w:tcPr>
            <w:tcW w:w="3000" w:type="dxa"/>
            <w:vAlign w:val="bottom"/>
          </w:tcPr>
          <w:p>
            <w:pPr>
              <w:ind w:left="500"/>
              <w:spacing w:after="0"/>
              <w:rPr>
                <w:sz w:val="20"/>
                <w:szCs w:val="20"/>
                <w:color w:val="auto"/>
              </w:rPr>
            </w:pPr>
            <w:r>
              <w:rPr>
                <w:rFonts w:ascii="Arial" w:cs="Arial" w:eastAsia="Arial" w:hAnsi="Arial"/>
                <w:sz w:val="18"/>
                <w:szCs w:val="18"/>
                <w:color w:val="auto"/>
              </w:rPr>
              <w:t>Garland, TX 75042</w:t>
            </w:r>
          </w:p>
        </w:tc>
        <w:tc>
          <w:tcPr>
            <w:tcW w:w="1080" w:type="dxa"/>
            <w:vAlign w:val="bottom"/>
          </w:tcPr>
          <w:p>
            <w:pPr>
              <w:spacing w:after="0"/>
              <w:rPr>
                <w:sz w:val="18"/>
                <w:szCs w:val="18"/>
                <w:color w:val="auto"/>
              </w:rPr>
            </w:pPr>
          </w:p>
        </w:tc>
      </w:tr>
      <w:tr>
        <w:trPr>
          <w:trHeight w:val="222"/>
        </w:trPr>
        <w:tc>
          <w:tcPr>
            <w:tcW w:w="2720" w:type="dxa"/>
            <w:vAlign w:val="bottom"/>
          </w:tcPr>
          <w:p>
            <w:pPr>
              <w:spacing w:after="0"/>
              <w:rPr>
                <w:sz w:val="19"/>
                <w:szCs w:val="19"/>
                <w:color w:val="auto"/>
              </w:rPr>
            </w:pPr>
          </w:p>
        </w:tc>
        <w:tc>
          <w:tcPr>
            <w:tcW w:w="2740" w:type="dxa"/>
            <w:vAlign w:val="bottom"/>
          </w:tcPr>
          <w:p>
            <w:pPr>
              <w:ind w:left="380"/>
              <w:spacing w:after="0"/>
              <w:rPr>
                <w:sz w:val="20"/>
                <w:szCs w:val="20"/>
                <w:color w:val="auto"/>
              </w:rPr>
            </w:pPr>
            <w:r>
              <w:rPr>
                <w:rFonts w:ascii="Arial" w:cs="Arial" w:eastAsia="Arial" w:hAnsi="Arial"/>
                <w:sz w:val="18"/>
                <w:szCs w:val="18"/>
                <w:color w:val="auto"/>
              </w:rPr>
              <w:t>GARLAND</w:t>
            </w:r>
          </w:p>
        </w:tc>
        <w:tc>
          <w:tcPr>
            <w:tcW w:w="30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2740" w:type="dxa"/>
            <w:vAlign w:val="bottom"/>
          </w:tcPr>
          <w:p>
            <w:pPr>
              <w:ind w:left="380"/>
              <w:spacing w:after="0"/>
              <w:rPr>
                <w:sz w:val="20"/>
                <w:szCs w:val="20"/>
                <w:color w:val="auto"/>
              </w:rPr>
            </w:pPr>
            <w:r>
              <w:rPr>
                <w:rFonts w:ascii="Arial" w:cs="Arial" w:eastAsia="Arial" w:hAnsi="Arial"/>
                <w:sz w:val="18"/>
                <w:szCs w:val="18"/>
                <w:color w:val="auto"/>
              </w:rPr>
              <w:t>MINNESOTA VALLEY</w:t>
            </w:r>
          </w:p>
        </w:tc>
        <w:tc>
          <w:tcPr>
            <w:tcW w:w="3000" w:type="dxa"/>
            <w:vAlign w:val="bottom"/>
          </w:tcPr>
          <w:p>
            <w:pPr>
              <w:ind w:left="500"/>
              <w:spacing w:after="0"/>
              <w:rPr>
                <w:sz w:val="20"/>
                <w:szCs w:val="20"/>
                <w:color w:val="auto"/>
              </w:rPr>
            </w:pPr>
            <w:r>
              <w:rPr>
                <w:rFonts w:ascii="Arial" w:cs="Arial" w:eastAsia="Arial" w:hAnsi="Arial"/>
                <w:sz w:val="18"/>
                <w:szCs w:val="18"/>
                <w:color w:val="auto"/>
              </w:rPr>
              <w:t>1000 140</w:t>
            </w:r>
            <w:r>
              <w:rPr>
                <w:rFonts w:ascii="Arial" w:cs="Arial" w:eastAsia="Arial" w:hAnsi="Arial"/>
                <w:sz w:val="11"/>
                <w:szCs w:val="11"/>
                <w:color w:val="auto"/>
              </w:rPr>
              <w:t>th</w:t>
            </w:r>
            <w:r>
              <w:rPr>
                <w:rFonts w:ascii="Arial" w:cs="Arial" w:eastAsia="Arial" w:hAnsi="Arial"/>
                <w:sz w:val="18"/>
                <w:szCs w:val="18"/>
                <w:color w:val="auto"/>
              </w:rPr>
              <w:t xml:space="preserve"> St. W. ste102,</w:t>
            </w:r>
          </w:p>
        </w:tc>
        <w:tc>
          <w:tcPr>
            <w:tcW w:w="1080" w:type="dxa"/>
            <w:vAlign w:val="bottom"/>
          </w:tcPr>
          <w:p>
            <w:pPr>
              <w:ind w:left="34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2740" w:type="dxa"/>
            <w:vAlign w:val="bottom"/>
          </w:tcPr>
          <w:p>
            <w:pPr>
              <w:ind w:left="380"/>
              <w:spacing w:after="0"/>
              <w:rPr>
                <w:sz w:val="20"/>
                <w:szCs w:val="20"/>
                <w:color w:val="auto"/>
              </w:rPr>
            </w:pPr>
            <w:r>
              <w:rPr>
                <w:rFonts w:ascii="Arial" w:cs="Arial" w:eastAsia="Arial" w:hAnsi="Arial"/>
                <w:sz w:val="18"/>
                <w:szCs w:val="18"/>
                <w:color w:val="auto"/>
              </w:rPr>
              <w:t>SURGERY CENTER</w:t>
            </w:r>
          </w:p>
        </w:tc>
        <w:tc>
          <w:tcPr>
            <w:tcW w:w="3000" w:type="dxa"/>
            <w:vAlign w:val="bottom"/>
          </w:tcPr>
          <w:p>
            <w:pPr>
              <w:ind w:left="500"/>
              <w:spacing w:after="0"/>
              <w:rPr>
                <w:sz w:val="20"/>
                <w:szCs w:val="20"/>
                <w:color w:val="auto"/>
              </w:rPr>
            </w:pPr>
            <w:r>
              <w:rPr>
                <w:rFonts w:ascii="Arial" w:cs="Arial" w:eastAsia="Arial" w:hAnsi="Arial"/>
                <w:sz w:val="18"/>
                <w:szCs w:val="18"/>
                <w:color w:val="auto"/>
              </w:rPr>
              <w:t>Burnsville, MN 55337</w:t>
            </w:r>
          </w:p>
        </w:tc>
        <w:tc>
          <w:tcPr>
            <w:tcW w:w="108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2740" w:type="dxa"/>
            <w:vAlign w:val="bottom"/>
          </w:tcPr>
          <w:p>
            <w:pPr>
              <w:ind w:left="380"/>
              <w:spacing w:after="0"/>
              <w:rPr>
                <w:sz w:val="20"/>
                <w:szCs w:val="20"/>
                <w:color w:val="auto"/>
              </w:rPr>
            </w:pPr>
            <w:r>
              <w:rPr>
                <w:rFonts w:ascii="Arial" w:cs="Arial" w:eastAsia="Arial" w:hAnsi="Arial"/>
                <w:sz w:val="18"/>
                <w:szCs w:val="18"/>
                <w:color w:val="auto"/>
              </w:rPr>
              <w:t>OWATONNA HOSPITAL</w:t>
            </w:r>
          </w:p>
        </w:tc>
        <w:tc>
          <w:tcPr>
            <w:tcW w:w="3000" w:type="dxa"/>
            <w:vAlign w:val="bottom"/>
          </w:tcPr>
          <w:p>
            <w:pPr>
              <w:ind w:left="500"/>
              <w:spacing w:after="0"/>
              <w:rPr>
                <w:sz w:val="20"/>
                <w:szCs w:val="20"/>
                <w:color w:val="auto"/>
              </w:rPr>
            </w:pPr>
            <w:r>
              <w:rPr>
                <w:rFonts w:ascii="Arial" w:cs="Arial" w:eastAsia="Arial" w:hAnsi="Arial"/>
                <w:sz w:val="18"/>
                <w:szCs w:val="18"/>
                <w:color w:val="auto"/>
              </w:rPr>
              <w:t>2250 NW 26</w:t>
            </w:r>
            <w:r>
              <w:rPr>
                <w:rFonts w:ascii="Arial" w:cs="Arial" w:eastAsia="Arial" w:hAnsi="Arial"/>
                <w:sz w:val="11"/>
                <w:szCs w:val="11"/>
                <w:color w:val="auto"/>
              </w:rPr>
              <w:t>th</w:t>
            </w:r>
            <w:r>
              <w:rPr>
                <w:rFonts w:ascii="Arial" w:cs="Arial" w:eastAsia="Arial" w:hAnsi="Arial"/>
                <w:sz w:val="18"/>
                <w:szCs w:val="18"/>
                <w:color w:val="auto"/>
              </w:rPr>
              <w:t xml:space="preserve"> Street</w:t>
            </w:r>
          </w:p>
        </w:tc>
        <w:tc>
          <w:tcPr>
            <w:tcW w:w="1080" w:type="dxa"/>
            <w:vAlign w:val="bottom"/>
          </w:tcPr>
          <w:p>
            <w:pPr>
              <w:ind w:left="34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000" w:type="dxa"/>
            <w:vAlign w:val="bottom"/>
          </w:tcPr>
          <w:p>
            <w:pPr>
              <w:ind w:left="500"/>
              <w:spacing w:after="0"/>
              <w:rPr>
                <w:sz w:val="20"/>
                <w:szCs w:val="20"/>
                <w:color w:val="auto"/>
              </w:rPr>
            </w:pPr>
            <w:r>
              <w:rPr>
                <w:rFonts w:ascii="Arial" w:cs="Arial" w:eastAsia="Arial" w:hAnsi="Arial"/>
                <w:sz w:val="18"/>
                <w:szCs w:val="18"/>
                <w:color w:val="auto"/>
              </w:rPr>
              <w:t>Owatonna, MN 55060</w:t>
            </w:r>
          </w:p>
        </w:tc>
        <w:tc>
          <w:tcPr>
            <w:tcW w:w="108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2740" w:type="dxa"/>
            <w:vAlign w:val="bottom"/>
          </w:tcPr>
          <w:p>
            <w:pPr>
              <w:ind w:left="380"/>
              <w:spacing w:after="0"/>
              <w:rPr>
                <w:sz w:val="20"/>
                <w:szCs w:val="20"/>
                <w:color w:val="auto"/>
              </w:rPr>
            </w:pPr>
            <w:r>
              <w:rPr>
                <w:rFonts w:ascii="Arial" w:cs="Arial" w:eastAsia="Arial" w:hAnsi="Arial"/>
                <w:sz w:val="18"/>
                <w:szCs w:val="18"/>
                <w:color w:val="auto"/>
              </w:rPr>
              <w:t>GEORGETOWN</w:t>
            </w:r>
          </w:p>
        </w:tc>
        <w:tc>
          <w:tcPr>
            <w:tcW w:w="3000" w:type="dxa"/>
            <w:vAlign w:val="bottom"/>
          </w:tcPr>
          <w:p>
            <w:pPr>
              <w:ind w:left="500"/>
              <w:spacing w:after="0"/>
              <w:rPr>
                <w:sz w:val="20"/>
                <w:szCs w:val="20"/>
                <w:color w:val="auto"/>
              </w:rPr>
            </w:pPr>
            <w:r>
              <w:rPr>
                <w:rFonts w:ascii="Arial" w:cs="Arial" w:eastAsia="Arial" w:hAnsi="Arial"/>
                <w:sz w:val="18"/>
                <w:szCs w:val="18"/>
                <w:color w:val="auto"/>
              </w:rPr>
              <w:t>3800 Reservoir Road, NW</w:t>
            </w:r>
          </w:p>
        </w:tc>
        <w:tc>
          <w:tcPr>
            <w:tcW w:w="1080" w:type="dxa"/>
            <w:vAlign w:val="bottom"/>
          </w:tcPr>
          <w:p>
            <w:pPr>
              <w:ind w:left="340"/>
              <w:spacing w:after="0"/>
              <w:rPr>
                <w:sz w:val="20"/>
                <w:szCs w:val="20"/>
                <w:color w:val="auto"/>
              </w:rPr>
            </w:pPr>
            <w:r>
              <w:rPr>
                <w:rFonts w:ascii="Arial" w:cs="Arial" w:eastAsia="Arial" w:hAnsi="Arial"/>
                <w:sz w:val="18"/>
                <w:szCs w:val="18"/>
                <w:color w:val="auto"/>
                <w:w w:val="83"/>
              </w:rPr>
              <w:t>Consignee</w:t>
            </w:r>
          </w:p>
        </w:tc>
      </w:tr>
      <w:tr>
        <w:trPr>
          <w:trHeight w:val="216"/>
        </w:trPr>
        <w:tc>
          <w:tcPr>
            <w:tcW w:w="2720" w:type="dxa"/>
            <w:vAlign w:val="bottom"/>
          </w:tcPr>
          <w:p>
            <w:pPr>
              <w:spacing w:after="0"/>
              <w:rPr>
                <w:sz w:val="18"/>
                <w:szCs w:val="18"/>
                <w:color w:val="auto"/>
              </w:rPr>
            </w:pPr>
          </w:p>
        </w:tc>
        <w:tc>
          <w:tcPr>
            <w:tcW w:w="2740" w:type="dxa"/>
            <w:vAlign w:val="bottom"/>
          </w:tcPr>
          <w:p>
            <w:pPr>
              <w:ind w:left="380"/>
              <w:spacing w:after="0"/>
              <w:rPr>
                <w:sz w:val="20"/>
                <w:szCs w:val="20"/>
                <w:color w:val="auto"/>
              </w:rPr>
            </w:pPr>
            <w:r>
              <w:rPr>
                <w:rFonts w:ascii="Arial" w:cs="Arial" w:eastAsia="Arial" w:hAnsi="Arial"/>
                <w:sz w:val="18"/>
                <w:szCs w:val="18"/>
                <w:color w:val="auto"/>
              </w:rPr>
              <w:t>UNIVERSITY</w:t>
            </w:r>
          </w:p>
        </w:tc>
        <w:tc>
          <w:tcPr>
            <w:tcW w:w="3000" w:type="dxa"/>
            <w:vAlign w:val="bottom"/>
          </w:tcPr>
          <w:p>
            <w:pPr>
              <w:ind w:left="500"/>
              <w:spacing w:after="0"/>
              <w:rPr>
                <w:sz w:val="20"/>
                <w:szCs w:val="20"/>
                <w:color w:val="auto"/>
              </w:rPr>
            </w:pPr>
            <w:r>
              <w:rPr>
                <w:rFonts w:ascii="Arial" w:cs="Arial" w:eastAsia="Arial" w:hAnsi="Arial"/>
                <w:sz w:val="18"/>
                <w:szCs w:val="18"/>
                <w:color w:val="auto"/>
              </w:rPr>
              <w:t>Washington, DC 20007</w:t>
            </w:r>
          </w:p>
        </w:tc>
        <w:tc>
          <w:tcPr>
            <w:tcW w:w="1080" w:type="dxa"/>
            <w:vAlign w:val="bottom"/>
          </w:tcPr>
          <w:p>
            <w:pPr>
              <w:spacing w:after="0"/>
              <w:rPr>
                <w:sz w:val="18"/>
                <w:szCs w:val="18"/>
                <w:color w:val="auto"/>
              </w:rPr>
            </w:pPr>
          </w:p>
        </w:tc>
      </w:tr>
      <w:tr>
        <w:trPr>
          <w:trHeight w:val="222"/>
        </w:trPr>
        <w:tc>
          <w:tcPr>
            <w:tcW w:w="2720" w:type="dxa"/>
            <w:vAlign w:val="bottom"/>
          </w:tcPr>
          <w:p>
            <w:pPr>
              <w:spacing w:after="0"/>
              <w:rPr>
                <w:sz w:val="19"/>
                <w:szCs w:val="19"/>
                <w:color w:val="auto"/>
              </w:rPr>
            </w:pPr>
          </w:p>
        </w:tc>
        <w:tc>
          <w:tcPr>
            <w:tcW w:w="2740" w:type="dxa"/>
            <w:vAlign w:val="bottom"/>
          </w:tcPr>
          <w:p>
            <w:pPr>
              <w:ind w:left="380"/>
              <w:spacing w:after="0"/>
              <w:rPr>
                <w:sz w:val="20"/>
                <w:szCs w:val="20"/>
                <w:color w:val="auto"/>
              </w:rPr>
            </w:pPr>
            <w:r>
              <w:rPr>
                <w:rFonts w:ascii="Arial" w:cs="Arial" w:eastAsia="Arial" w:hAnsi="Arial"/>
                <w:sz w:val="18"/>
                <w:szCs w:val="18"/>
                <w:color w:val="auto"/>
              </w:rPr>
              <w:t>HOSPITAL</w:t>
            </w:r>
          </w:p>
        </w:tc>
        <w:tc>
          <w:tcPr>
            <w:tcW w:w="30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2740" w:type="dxa"/>
            <w:vAlign w:val="bottom"/>
          </w:tcPr>
          <w:p>
            <w:pPr>
              <w:ind w:left="380"/>
              <w:spacing w:after="0"/>
              <w:rPr>
                <w:sz w:val="20"/>
                <w:szCs w:val="20"/>
                <w:color w:val="auto"/>
              </w:rPr>
            </w:pPr>
            <w:r>
              <w:rPr>
                <w:rFonts w:ascii="Arial" w:cs="Arial" w:eastAsia="Arial" w:hAnsi="Arial"/>
                <w:sz w:val="18"/>
                <w:szCs w:val="18"/>
                <w:color w:val="auto"/>
              </w:rPr>
              <w:t>MARY GREELEY</w:t>
            </w:r>
          </w:p>
        </w:tc>
        <w:tc>
          <w:tcPr>
            <w:tcW w:w="3000" w:type="dxa"/>
            <w:vAlign w:val="bottom"/>
          </w:tcPr>
          <w:p>
            <w:pPr>
              <w:ind w:left="500"/>
              <w:spacing w:after="0"/>
              <w:rPr>
                <w:sz w:val="20"/>
                <w:szCs w:val="20"/>
                <w:color w:val="auto"/>
              </w:rPr>
            </w:pPr>
            <w:r>
              <w:rPr>
                <w:rFonts w:ascii="Arial" w:cs="Arial" w:eastAsia="Arial" w:hAnsi="Arial"/>
                <w:sz w:val="18"/>
                <w:szCs w:val="18"/>
                <w:color w:val="auto"/>
              </w:rPr>
              <w:t>1111 Duff Avenue</w:t>
            </w:r>
          </w:p>
        </w:tc>
        <w:tc>
          <w:tcPr>
            <w:tcW w:w="1080" w:type="dxa"/>
            <w:vAlign w:val="bottom"/>
          </w:tcPr>
          <w:p>
            <w:pPr>
              <w:ind w:left="34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2740" w:type="dxa"/>
            <w:vAlign w:val="bottom"/>
          </w:tcPr>
          <w:p>
            <w:pPr>
              <w:ind w:left="380"/>
              <w:spacing w:after="0"/>
              <w:rPr>
                <w:sz w:val="20"/>
                <w:szCs w:val="20"/>
                <w:color w:val="auto"/>
              </w:rPr>
            </w:pPr>
            <w:r>
              <w:rPr>
                <w:rFonts w:ascii="Arial" w:cs="Arial" w:eastAsia="Arial" w:hAnsi="Arial"/>
                <w:sz w:val="18"/>
                <w:szCs w:val="18"/>
                <w:color w:val="auto"/>
              </w:rPr>
              <w:t>MEDICAL CENTER</w:t>
            </w:r>
          </w:p>
        </w:tc>
        <w:tc>
          <w:tcPr>
            <w:tcW w:w="3000" w:type="dxa"/>
            <w:vAlign w:val="bottom"/>
          </w:tcPr>
          <w:p>
            <w:pPr>
              <w:ind w:left="500"/>
              <w:spacing w:after="0"/>
              <w:rPr>
                <w:sz w:val="20"/>
                <w:szCs w:val="20"/>
                <w:color w:val="auto"/>
              </w:rPr>
            </w:pPr>
            <w:r>
              <w:rPr>
                <w:rFonts w:ascii="Arial" w:cs="Arial" w:eastAsia="Arial" w:hAnsi="Arial"/>
                <w:sz w:val="18"/>
                <w:szCs w:val="18"/>
                <w:color w:val="auto"/>
              </w:rPr>
              <w:t>Ames, IA 50010</w:t>
            </w:r>
          </w:p>
        </w:tc>
        <w:tc>
          <w:tcPr>
            <w:tcW w:w="108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2740" w:type="dxa"/>
            <w:vAlign w:val="bottom"/>
          </w:tcPr>
          <w:p>
            <w:pPr>
              <w:ind w:left="380"/>
              <w:spacing w:after="0"/>
              <w:rPr>
                <w:sz w:val="20"/>
                <w:szCs w:val="20"/>
                <w:color w:val="auto"/>
              </w:rPr>
            </w:pPr>
            <w:r>
              <w:rPr>
                <w:rFonts w:ascii="Arial" w:cs="Arial" w:eastAsia="Arial" w:hAnsi="Arial"/>
                <w:sz w:val="18"/>
                <w:szCs w:val="18"/>
                <w:color w:val="auto"/>
              </w:rPr>
              <w:t>CAPE FEAR VALLEY</w:t>
            </w:r>
          </w:p>
        </w:tc>
        <w:tc>
          <w:tcPr>
            <w:tcW w:w="3000" w:type="dxa"/>
            <w:vAlign w:val="bottom"/>
          </w:tcPr>
          <w:p>
            <w:pPr>
              <w:ind w:left="500"/>
              <w:spacing w:after="0"/>
              <w:rPr>
                <w:sz w:val="20"/>
                <w:szCs w:val="20"/>
                <w:color w:val="auto"/>
              </w:rPr>
            </w:pPr>
            <w:r>
              <w:rPr>
                <w:rFonts w:ascii="Arial" w:cs="Arial" w:eastAsia="Arial" w:hAnsi="Arial"/>
                <w:sz w:val="18"/>
                <w:szCs w:val="18"/>
                <w:color w:val="auto"/>
              </w:rPr>
              <w:t>1638 Owens Drive</w:t>
            </w:r>
          </w:p>
        </w:tc>
        <w:tc>
          <w:tcPr>
            <w:tcW w:w="1080" w:type="dxa"/>
            <w:vAlign w:val="bottom"/>
          </w:tcPr>
          <w:p>
            <w:pPr>
              <w:ind w:left="340"/>
              <w:spacing w:after="0"/>
              <w:rPr>
                <w:sz w:val="20"/>
                <w:szCs w:val="20"/>
                <w:color w:val="auto"/>
              </w:rPr>
            </w:pPr>
            <w:r>
              <w:rPr>
                <w:rFonts w:ascii="Arial" w:cs="Arial" w:eastAsia="Arial" w:hAnsi="Arial"/>
                <w:sz w:val="18"/>
                <w:szCs w:val="18"/>
                <w:color w:val="auto"/>
                <w:w w:val="83"/>
              </w:rPr>
              <w:t>Consignee</w:t>
            </w:r>
          </w:p>
        </w:tc>
      </w:tr>
      <w:tr>
        <w:trPr>
          <w:trHeight w:val="216"/>
        </w:trPr>
        <w:tc>
          <w:tcPr>
            <w:tcW w:w="2720" w:type="dxa"/>
            <w:vAlign w:val="bottom"/>
          </w:tcPr>
          <w:p>
            <w:pPr>
              <w:spacing w:after="0"/>
              <w:rPr>
                <w:sz w:val="18"/>
                <w:szCs w:val="18"/>
                <w:color w:val="auto"/>
              </w:rPr>
            </w:pPr>
          </w:p>
        </w:tc>
        <w:tc>
          <w:tcPr>
            <w:tcW w:w="2740" w:type="dxa"/>
            <w:vAlign w:val="bottom"/>
          </w:tcPr>
          <w:p>
            <w:pPr>
              <w:ind w:left="380"/>
              <w:spacing w:after="0"/>
              <w:rPr>
                <w:sz w:val="20"/>
                <w:szCs w:val="20"/>
                <w:color w:val="auto"/>
              </w:rPr>
            </w:pPr>
            <w:r>
              <w:rPr>
                <w:rFonts w:ascii="Arial" w:cs="Arial" w:eastAsia="Arial" w:hAnsi="Arial"/>
                <w:sz w:val="18"/>
                <w:szCs w:val="18"/>
                <w:color w:val="auto"/>
              </w:rPr>
              <w:t>REGIONAL MEDICAL</w:t>
            </w:r>
          </w:p>
        </w:tc>
        <w:tc>
          <w:tcPr>
            <w:tcW w:w="3000" w:type="dxa"/>
            <w:vAlign w:val="bottom"/>
          </w:tcPr>
          <w:p>
            <w:pPr>
              <w:ind w:left="500"/>
              <w:spacing w:after="0"/>
              <w:rPr>
                <w:sz w:val="20"/>
                <w:szCs w:val="20"/>
                <w:color w:val="auto"/>
              </w:rPr>
            </w:pPr>
            <w:r>
              <w:rPr>
                <w:rFonts w:ascii="Arial" w:cs="Arial" w:eastAsia="Arial" w:hAnsi="Arial"/>
                <w:sz w:val="18"/>
                <w:szCs w:val="18"/>
                <w:color w:val="auto"/>
              </w:rPr>
              <w:t>Fayetteville, NC 28304</w:t>
            </w:r>
          </w:p>
        </w:tc>
        <w:tc>
          <w:tcPr>
            <w:tcW w:w="1080" w:type="dxa"/>
            <w:vAlign w:val="bottom"/>
          </w:tcPr>
          <w:p>
            <w:pPr>
              <w:spacing w:after="0"/>
              <w:rPr>
                <w:sz w:val="18"/>
                <w:szCs w:val="18"/>
                <w:color w:val="auto"/>
              </w:rPr>
            </w:pPr>
          </w:p>
        </w:tc>
      </w:tr>
      <w:tr>
        <w:trPr>
          <w:trHeight w:val="222"/>
        </w:trPr>
        <w:tc>
          <w:tcPr>
            <w:tcW w:w="2720" w:type="dxa"/>
            <w:vAlign w:val="bottom"/>
          </w:tcPr>
          <w:p>
            <w:pPr>
              <w:spacing w:after="0"/>
              <w:rPr>
                <w:sz w:val="19"/>
                <w:szCs w:val="19"/>
                <w:color w:val="auto"/>
              </w:rPr>
            </w:pPr>
          </w:p>
        </w:tc>
        <w:tc>
          <w:tcPr>
            <w:tcW w:w="2740" w:type="dxa"/>
            <w:vAlign w:val="bottom"/>
          </w:tcPr>
          <w:p>
            <w:pPr>
              <w:ind w:left="380"/>
              <w:spacing w:after="0"/>
              <w:rPr>
                <w:sz w:val="20"/>
                <w:szCs w:val="20"/>
                <w:color w:val="auto"/>
              </w:rPr>
            </w:pPr>
            <w:r>
              <w:rPr>
                <w:rFonts w:ascii="Arial" w:cs="Arial" w:eastAsia="Arial" w:hAnsi="Arial"/>
                <w:sz w:val="18"/>
                <w:szCs w:val="18"/>
                <w:color w:val="auto"/>
              </w:rPr>
              <w:t>CENTER</w:t>
            </w:r>
          </w:p>
        </w:tc>
        <w:tc>
          <w:tcPr>
            <w:tcW w:w="3000" w:type="dxa"/>
            <w:vAlign w:val="bottom"/>
          </w:tcPr>
          <w:p>
            <w:pPr>
              <w:spacing w:after="0"/>
              <w:rPr>
                <w:sz w:val="19"/>
                <w:szCs w:val="19"/>
                <w:color w:val="auto"/>
              </w:rPr>
            </w:pPr>
          </w:p>
        </w:tc>
        <w:tc>
          <w:tcPr>
            <w:tcW w:w="1080" w:type="dxa"/>
            <w:vAlign w:val="bottom"/>
          </w:tcPr>
          <w:p>
            <w:pPr>
              <w:spacing w:after="0"/>
              <w:rPr>
                <w:sz w:val="19"/>
                <w:szCs w:val="19"/>
                <w:color w:val="auto"/>
              </w:rPr>
            </w:pPr>
          </w:p>
        </w:tc>
      </w:tr>
    </w:tbl>
    <w:p>
      <w:pPr>
        <w:sectPr>
          <w:pgSz w:w="11900" w:h="16838" w:orient="portrait"/>
          <w:cols w:equalWidth="0" w:num="1">
            <w:col w:w="10219"/>
          </w:cols>
          <w:pgMar w:left="240" w:top="279" w:right="1440" w:bottom="1440" w:gutter="0" w:footer="0" w:header="0"/>
        </w:sectPr>
      </w:pPr>
    </w:p>
    <w:bookmarkStart w:id="334" w:name="page335"/>
    <w:bookmarkEnd w:id="33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20"/>
                <w:szCs w:val="20"/>
                <w:color w:val="auto"/>
              </w:rPr>
            </w:pPr>
            <w:r>
              <w:rPr>
                <w:rFonts w:ascii="Arial" w:cs="Arial" w:eastAsia="Arial" w:hAnsi="Arial"/>
                <w:sz w:val="18"/>
                <w:szCs w:val="18"/>
                <w:color w:val="auto"/>
                <w:w w:val="94"/>
              </w:rPr>
              <w:t>Integra LifeSciences Corporation</w:t>
            </w:r>
          </w:p>
        </w:tc>
        <w:tc>
          <w:tcPr>
            <w:tcW w:w="3380" w:type="dxa"/>
            <w:vAlign w:val="bottom"/>
          </w:tcPr>
          <w:p>
            <w:pPr>
              <w:ind w:left="140"/>
              <w:spacing w:after="0"/>
              <w:rPr>
                <w:sz w:val="20"/>
                <w:szCs w:val="20"/>
                <w:color w:val="auto"/>
              </w:rPr>
            </w:pPr>
            <w:r>
              <w:rPr>
                <w:rFonts w:ascii="Arial" w:cs="Arial" w:eastAsia="Arial" w:hAnsi="Arial"/>
                <w:sz w:val="18"/>
                <w:szCs w:val="18"/>
                <w:color w:val="auto"/>
              </w:rPr>
              <w:t>WYOMING MEDICAL</w:t>
            </w:r>
          </w:p>
        </w:tc>
        <w:tc>
          <w:tcPr>
            <w:tcW w:w="3560" w:type="dxa"/>
            <w:vAlign w:val="bottom"/>
          </w:tcPr>
          <w:p>
            <w:pPr>
              <w:ind w:left="80"/>
              <w:spacing w:after="0"/>
              <w:rPr>
                <w:sz w:val="20"/>
                <w:szCs w:val="20"/>
                <w:color w:val="auto"/>
              </w:rPr>
            </w:pPr>
            <w:r>
              <w:rPr>
                <w:rFonts w:ascii="Arial" w:cs="Arial" w:eastAsia="Arial" w:hAnsi="Arial"/>
                <w:sz w:val="18"/>
                <w:szCs w:val="18"/>
                <w:color w:val="auto"/>
              </w:rPr>
              <w:t>1233 E. 2</w:t>
            </w:r>
            <w:r>
              <w:rPr>
                <w:rFonts w:ascii="Arial" w:cs="Arial" w:eastAsia="Arial" w:hAnsi="Arial"/>
                <w:sz w:val="11"/>
                <w:szCs w:val="11"/>
                <w:color w:val="auto"/>
              </w:rPr>
              <w:t>nd</w:t>
            </w:r>
            <w:r>
              <w:rPr>
                <w:rFonts w:ascii="Arial" w:cs="Arial" w:eastAsia="Arial" w:hAnsi="Arial"/>
                <w:sz w:val="18"/>
                <w:szCs w:val="18"/>
                <w:color w:val="auto"/>
              </w:rPr>
              <w:t xml:space="preserve"> Street Casper, WY</w:t>
            </w:r>
          </w:p>
        </w:tc>
        <w:tc>
          <w:tcPr>
            <w:tcW w:w="1820" w:type="dxa"/>
            <w:vAlign w:val="bottom"/>
          </w:tcPr>
          <w:p>
            <w:pPr>
              <w:ind w:left="1080"/>
              <w:spacing w:after="0"/>
              <w:rPr>
                <w:sz w:val="20"/>
                <w:szCs w:val="20"/>
                <w:color w:val="auto"/>
              </w:rPr>
            </w:pPr>
            <w:r>
              <w:rPr>
                <w:rFonts w:ascii="Arial" w:cs="Arial" w:eastAsia="Arial" w:hAnsi="Arial"/>
                <w:sz w:val="18"/>
                <w:szCs w:val="18"/>
                <w:color w:val="auto"/>
                <w:w w:val="83"/>
              </w:rPr>
              <w:t>Consignee</w:t>
            </w:r>
          </w:p>
        </w:tc>
      </w:tr>
      <w:tr>
        <w:trPr>
          <w:trHeight w:val="222"/>
        </w:trPr>
        <w:tc>
          <w:tcPr>
            <w:tcW w:w="2500" w:type="dxa"/>
            <w:vAlign w:val="bottom"/>
          </w:tcPr>
          <w:p>
            <w:pPr>
              <w:spacing w:after="0"/>
              <w:rPr>
                <w:sz w:val="19"/>
                <w:szCs w:val="19"/>
                <w:color w:val="auto"/>
              </w:rPr>
            </w:pPr>
          </w:p>
        </w:tc>
        <w:tc>
          <w:tcPr>
            <w:tcW w:w="3380" w:type="dxa"/>
            <w:vAlign w:val="bottom"/>
          </w:tcPr>
          <w:p>
            <w:pPr>
              <w:ind w:left="140"/>
              <w:spacing w:after="0"/>
              <w:rPr>
                <w:sz w:val="20"/>
                <w:szCs w:val="20"/>
                <w:color w:val="auto"/>
              </w:rPr>
            </w:pPr>
            <w:r>
              <w:rPr>
                <w:rFonts w:ascii="Arial" w:cs="Arial" w:eastAsia="Arial" w:hAnsi="Arial"/>
                <w:sz w:val="18"/>
                <w:szCs w:val="18"/>
                <w:color w:val="auto"/>
              </w:rPr>
              <w:t>CENTER</w:t>
            </w:r>
          </w:p>
        </w:tc>
        <w:tc>
          <w:tcPr>
            <w:tcW w:w="3560" w:type="dxa"/>
            <w:vAlign w:val="bottom"/>
          </w:tcPr>
          <w:p>
            <w:pPr>
              <w:ind w:left="80"/>
              <w:spacing w:after="0"/>
              <w:rPr>
                <w:sz w:val="20"/>
                <w:szCs w:val="20"/>
                <w:color w:val="auto"/>
              </w:rPr>
            </w:pPr>
            <w:r>
              <w:rPr>
                <w:rFonts w:ascii="Arial" w:cs="Arial" w:eastAsia="Arial" w:hAnsi="Arial"/>
                <w:sz w:val="18"/>
                <w:szCs w:val="18"/>
                <w:color w:val="auto"/>
              </w:rPr>
              <w:t>82601</w:t>
            </w:r>
          </w:p>
        </w:tc>
        <w:tc>
          <w:tcPr>
            <w:tcW w:w="1820" w:type="dxa"/>
            <w:vAlign w:val="bottom"/>
          </w:tcPr>
          <w:p>
            <w:pPr>
              <w:spacing w:after="0"/>
              <w:rPr>
                <w:sz w:val="19"/>
                <w:szCs w:val="19"/>
                <w:color w:val="auto"/>
              </w:rPr>
            </w:pPr>
          </w:p>
        </w:tc>
      </w:tr>
      <w:tr>
        <w:trPr>
          <w:trHeight w:val="223"/>
        </w:trPr>
        <w:tc>
          <w:tcPr>
            <w:tcW w:w="2500" w:type="dxa"/>
            <w:vAlign w:val="bottom"/>
          </w:tcPr>
          <w:p>
            <w:pPr>
              <w:spacing w:after="0"/>
              <w:rPr>
                <w:sz w:val="20"/>
                <w:szCs w:val="20"/>
                <w:color w:val="auto"/>
              </w:rPr>
            </w:pPr>
            <w:r>
              <w:rPr>
                <w:rFonts w:ascii="Arial" w:cs="Arial" w:eastAsia="Arial" w:hAnsi="Arial"/>
                <w:sz w:val="18"/>
                <w:szCs w:val="18"/>
                <w:color w:val="auto"/>
                <w:w w:val="94"/>
              </w:rPr>
              <w:t>Integra LifeSciences Corporation</w:t>
            </w:r>
          </w:p>
        </w:tc>
        <w:tc>
          <w:tcPr>
            <w:tcW w:w="3380" w:type="dxa"/>
            <w:vAlign w:val="bottom"/>
          </w:tcPr>
          <w:p>
            <w:pPr>
              <w:ind w:left="140"/>
              <w:spacing w:after="0"/>
              <w:rPr>
                <w:sz w:val="20"/>
                <w:szCs w:val="20"/>
                <w:color w:val="auto"/>
              </w:rPr>
            </w:pPr>
            <w:r>
              <w:rPr>
                <w:rFonts w:ascii="Arial" w:cs="Arial" w:eastAsia="Arial" w:hAnsi="Arial"/>
                <w:sz w:val="18"/>
                <w:szCs w:val="18"/>
                <w:color w:val="auto"/>
              </w:rPr>
              <w:t>ST.MARY MERCY</w:t>
            </w:r>
          </w:p>
        </w:tc>
        <w:tc>
          <w:tcPr>
            <w:tcW w:w="3560" w:type="dxa"/>
            <w:vAlign w:val="bottom"/>
          </w:tcPr>
          <w:p>
            <w:pPr>
              <w:ind w:left="80"/>
              <w:spacing w:after="0"/>
              <w:rPr>
                <w:sz w:val="20"/>
                <w:szCs w:val="20"/>
                <w:color w:val="auto"/>
              </w:rPr>
            </w:pPr>
            <w:r>
              <w:rPr>
                <w:rFonts w:ascii="Arial" w:cs="Arial" w:eastAsia="Arial" w:hAnsi="Arial"/>
                <w:sz w:val="18"/>
                <w:szCs w:val="18"/>
                <w:color w:val="auto"/>
              </w:rPr>
              <w:t>36475 5 Mile Road Livonia, MI</w:t>
            </w:r>
          </w:p>
        </w:tc>
        <w:tc>
          <w:tcPr>
            <w:tcW w:w="1820" w:type="dxa"/>
            <w:vAlign w:val="bottom"/>
          </w:tcPr>
          <w:p>
            <w:pPr>
              <w:ind w:left="1080"/>
              <w:spacing w:after="0"/>
              <w:rPr>
                <w:sz w:val="20"/>
                <w:szCs w:val="20"/>
                <w:color w:val="auto"/>
              </w:rPr>
            </w:pPr>
            <w:r>
              <w:rPr>
                <w:rFonts w:ascii="Arial" w:cs="Arial" w:eastAsia="Arial" w:hAnsi="Arial"/>
                <w:sz w:val="18"/>
                <w:szCs w:val="18"/>
                <w:color w:val="auto"/>
                <w:w w:val="83"/>
              </w:rPr>
              <w:t>Consignee</w:t>
            </w:r>
          </w:p>
        </w:tc>
      </w:tr>
      <w:tr>
        <w:trPr>
          <w:trHeight w:val="222"/>
        </w:trPr>
        <w:tc>
          <w:tcPr>
            <w:tcW w:w="2500" w:type="dxa"/>
            <w:vAlign w:val="bottom"/>
          </w:tcPr>
          <w:p>
            <w:pPr>
              <w:spacing w:after="0"/>
              <w:rPr>
                <w:sz w:val="19"/>
                <w:szCs w:val="19"/>
                <w:color w:val="auto"/>
              </w:rPr>
            </w:pPr>
          </w:p>
        </w:tc>
        <w:tc>
          <w:tcPr>
            <w:tcW w:w="3380" w:type="dxa"/>
            <w:vAlign w:val="bottom"/>
          </w:tcPr>
          <w:p>
            <w:pPr>
              <w:ind w:left="140"/>
              <w:spacing w:after="0"/>
              <w:rPr>
                <w:sz w:val="20"/>
                <w:szCs w:val="20"/>
                <w:color w:val="auto"/>
              </w:rPr>
            </w:pPr>
            <w:r>
              <w:rPr>
                <w:rFonts w:ascii="Arial" w:cs="Arial" w:eastAsia="Arial" w:hAnsi="Arial"/>
                <w:sz w:val="18"/>
                <w:szCs w:val="18"/>
                <w:color w:val="auto"/>
              </w:rPr>
              <w:t>HOSPITAL</w:t>
            </w:r>
          </w:p>
        </w:tc>
        <w:tc>
          <w:tcPr>
            <w:tcW w:w="3560" w:type="dxa"/>
            <w:vAlign w:val="bottom"/>
          </w:tcPr>
          <w:p>
            <w:pPr>
              <w:ind w:left="80"/>
              <w:spacing w:after="0"/>
              <w:rPr>
                <w:sz w:val="20"/>
                <w:szCs w:val="20"/>
                <w:color w:val="auto"/>
              </w:rPr>
            </w:pPr>
            <w:r>
              <w:rPr>
                <w:rFonts w:ascii="Arial" w:cs="Arial" w:eastAsia="Arial" w:hAnsi="Arial"/>
                <w:sz w:val="18"/>
                <w:szCs w:val="18"/>
                <w:color w:val="auto"/>
              </w:rPr>
              <w:t>48154</w:t>
            </w:r>
          </w:p>
        </w:tc>
        <w:tc>
          <w:tcPr>
            <w:tcW w:w="1820" w:type="dxa"/>
            <w:vAlign w:val="bottom"/>
          </w:tcPr>
          <w:p>
            <w:pPr>
              <w:spacing w:after="0"/>
              <w:rPr>
                <w:sz w:val="19"/>
                <w:szCs w:val="19"/>
                <w:color w:val="auto"/>
              </w:rPr>
            </w:pPr>
          </w:p>
        </w:tc>
      </w:tr>
      <w:tr>
        <w:trPr>
          <w:trHeight w:val="223"/>
        </w:trPr>
        <w:tc>
          <w:tcPr>
            <w:tcW w:w="2500" w:type="dxa"/>
            <w:vAlign w:val="bottom"/>
          </w:tcPr>
          <w:p>
            <w:pPr>
              <w:spacing w:after="0"/>
              <w:rPr>
                <w:sz w:val="20"/>
                <w:szCs w:val="20"/>
                <w:color w:val="auto"/>
              </w:rPr>
            </w:pPr>
            <w:r>
              <w:rPr>
                <w:rFonts w:ascii="Arial" w:cs="Arial" w:eastAsia="Arial" w:hAnsi="Arial"/>
                <w:sz w:val="18"/>
                <w:szCs w:val="18"/>
                <w:color w:val="auto"/>
                <w:w w:val="94"/>
              </w:rPr>
              <w:t>Integra LifeSciences Corporation</w:t>
            </w:r>
          </w:p>
        </w:tc>
        <w:tc>
          <w:tcPr>
            <w:tcW w:w="3380" w:type="dxa"/>
            <w:vAlign w:val="bottom"/>
          </w:tcPr>
          <w:p>
            <w:pPr>
              <w:ind w:left="140"/>
              <w:spacing w:after="0"/>
              <w:rPr>
                <w:sz w:val="20"/>
                <w:szCs w:val="20"/>
                <w:color w:val="auto"/>
              </w:rPr>
            </w:pPr>
            <w:r>
              <w:rPr>
                <w:rFonts w:ascii="Arial" w:cs="Arial" w:eastAsia="Arial" w:hAnsi="Arial"/>
                <w:sz w:val="18"/>
                <w:szCs w:val="18"/>
                <w:color w:val="auto"/>
              </w:rPr>
              <w:t>FLORIDA HOSPITAL</w:t>
            </w:r>
          </w:p>
        </w:tc>
        <w:tc>
          <w:tcPr>
            <w:tcW w:w="3560" w:type="dxa"/>
            <w:vAlign w:val="bottom"/>
          </w:tcPr>
          <w:p>
            <w:pPr>
              <w:ind w:left="80"/>
              <w:spacing w:after="0"/>
              <w:rPr>
                <w:sz w:val="20"/>
                <w:szCs w:val="20"/>
                <w:color w:val="auto"/>
              </w:rPr>
            </w:pPr>
            <w:r>
              <w:rPr>
                <w:rFonts w:ascii="Arial" w:cs="Arial" w:eastAsia="Arial" w:hAnsi="Arial"/>
                <w:sz w:val="18"/>
                <w:szCs w:val="18"/>
                <w:color w:val="auto"/>
              </w:rPr>
              <w:t>2135 Sprint Blvd, Apopka, FL</w:t>
            </w:r>
          </w:p>
        </w:tc>
        <w:tc>
          <w:tcPr>
            <w:tcW w:w="1820" w:type="dxa"/>
            <w:vAlign w:val="bottom"/>
          </w:tcPr>
          <w:p>
            <w:pPr>
              <w:ind w:left="1080"/>
              <w:spacing w:after="0"/>
              <w:rPr>
                <w:sz w:val="20"/>
                <w:szCs w:val="20"/>
                <w:color w:val="auto"/>
              </w:rPr>
            </w:pPr>
            <w:r>
              <w:rPr>
                <w:rFonts w:ascii="Arial" w:cs="Arial" w:eastAsia="Arial" w:hAnsi="Arial"/>
                <w:sz w:val="18"/>
                <w:szCs w:val="18"/>
                <w:color w:val="auto"/>
                <w:w w:val="83"/>
              </w:rPr>
              <w:t>Consignee</w:t>
            </w:r>
          </w:p>
        </w:tc>
      </w:tr>
      <w:tr>
        <w:trPr>
          <w:trHeight w:val="222"/>
        </w:trPr>
        <w:tc>
          <w:tcPr>
            <w:tcW w:w="25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3560" w:type="dxa"/>
            <w:vAlign w:val="bottom"/>
          </w:tcPr>
          <w:p>
            <w:pPr>
              <w:ind w:left="80"/>
              <w:spacing w:after="0"/>
              <w:rPr>
                <w:sz w:val="20"/>
                <w:szCs w:val="20"/>
                <w:color w:val="auto"/>
              </w:rPr>
            </w:pPr>
            <w:r>
              <w:rPr>
                <w:rFonts w:ascii="Arial" w:cs="Arial" w:eastAsia="Arial" w:hAnsi="Arial"/>
                <w:sz w:val="18"/>
                <w:szCs w:val="18"/>
                <w:color w:val="auto"/>
              </w:rPr>
              <w:t>32703</w:t>
            </w:r>
          </w:p>
        </w:tc>
        <w:tc>
          <w:tcPr>
            <w:tcW w:w="1820" w:type="dxa"/>
            <w:vAlign w:val="bottom"/>
          </w:tcPr>
          <w:p>
            <w:pPr>
              <w:spacing w:after="0"/>
              <w:rPr>
                <w:sz w:val="19"/>
                <w:szCs w:val="19"/>
                <w:color w:val="auto"/>
              </w:rPr>
            </w:pPr>
          </w:p>
        </w:tc>
      </w:tr>
      <w:tr>
        <w:trPr>
          <w:trHeight w:val="223"/>
        </w:trPr>
        <w:tc>
          <w:tcPr>
            <w:tcW w:w="2500" w:type="dxa"/>
            <w:vAlign w:val="bottom"/>
          </w:tcPr>
          <w:p>
            <w:pPr>
              <w:spacing w:after="0"/>
              <w:rPr>
                <w:sz w:val="20"/>
                <w:szCs w:val="20"/>
                <w:color w:val="auto"/>
              </w:rPr>
            </w:pPr>
            <w:r>
              <w:rPr>
                <w:rFonts w:ascii="Arial" w:cs="Arial" w:eastAsia="Arial" w:hAnsi="Arial"/>
                <w:sz w:val="18"/>
                <w:szCs w:val="18"/>
                <w:color w:val="auto"/>
                <w:w w:val="94"/>
              </w:rPr>
              <w:t>Integra LifeSciences Corporation</w:t>
            </w:r>
          </w:p>
        </w:tc>
        <w:tc>
          <w:tcPr>
            <w:tcW w:w="3380" w:type="dxa"/>
            <w:vAlign w:val="bottom"/>
          </w:tcPr>
          <w:p>
            <w:pPr>
              <w:ind w:left="140"/>
              <w:spacing w:after="0"/>
              <w:rPr>
                <w:sz w:val="20"/>
                <w:szCs w:val="20"/>
                <w:color w:val="auto"/>
              </w:rPr>
            </w:pPr>
            <w:r>
              <w:rPr>
                <w:rFonts w:ascii="Arial" w:cs="Arial" w:eastAsia="Arial" w:hAnsi="Arial"/>
                <w:sz w:val="18"/>
                <w:szCs w:val="18"/>
                <w:color w:val="auto"/>
              </w:rPr>
              <w:t>OHIO STATE UNIVERSITY</w:t>
            </w:r>
          </w:p>
        </w:tc>
        <w:tc>
          <w:tcPr>
            <w:tcW w:w="3560" w:type="dxa"/>
            <w:vAlign w:val="bottom"/>
          </w:tcPr>
          <w:p>
            <w:pPr>
              <w:ind w:left="80"/>
              <w:spacing w:after="0"/>
              <w:rPr>
                <w:sz w:val="20"/>
                <w:szCs w:val="20"/>
                <w:color w:val="auto"/>
              </w:rPr>
            </w:pPr>
            <w:r>
              <w:rPr>
                <w:rFonts w:ascii="Arial" w:cs="Arial" w:eastAsia="Arial" w:hAnsi="Arial"/>
                <w:sz w:val="18"/>
                <w:szCs w:val="18"/>
                <w:color w:val="auto"/>
              </w:rPr>
              <w:t>410 W. 10</w:t>
            </w:r>
            <w:r>
              <w:rPr>
                <w:rFonts w:ascii="Arial" w:cs="Arial" w:eastAsia="Arial" w:hAnsi="Arial"/>
                <w:sz w:val="11"/>
                <w:szCs w:val="11"/>
                <w:color w:val="auto"/>
              </w:rPr>
              <w:t>th</w:t>
            </w:r>
            <w:r>
              <w:rPr>
                <w:rFonts w:ascii="Arial" w:cs="Arial" w:eastAsia="Arial" w:hAnsi="Arial"/>
                <w:sz w:val="18"/>
                <w:szCs w:val="18"/>
                <w:color w:val="auto"/>
              </w:rPr>
              <w:t xml:space="preserve"> Avenue Columbus,</w:t>
            </w:r>
          </w:p>
        </w:tc>
        <w:tc>
          <w:tcPr>
            <w:tcW w:w="1820" w:type="dxa"/>
            <w:vAlign w:val="bottom"/>
          </w:tcPr>
          <w:p>
            <w:pPr>
              <w:ind w:left="1080"/>
              <w:spacing w:after="0"/>
              <w:rPr>
                <w:sz w:val="20"/>
                <w:szCs w:val="20"/>
                <w:color w:val="auto"/>
              </w:rPr>
            </w:pPr>
            <w:r>
              <w:rPr>
                <w:rFonts w:ascii="Arial" w:cs="Arial" w:eastAsia="Arial" w:hAnsi="Arial"/>
                <w:sz w:val="18"/>
                <w:szCs w:val="18"/>
                <w:color w:val="auto"/>
                <w:w w:val="83"/>
              </w:rPr>
              <w:t>Consignee</w:t>
            </w:r>
          </w:p>
        </w:tc>
      </w:tr>
      <w:tr>
        <w:trPr>
          <w:trHeight w:val="222"/>
        </w:trPr>
        <w:tc>
          <w:tcPr>
            <w:tcW w:w="25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3560" w:type="dxa"/>
            <w:vAlign w:val="bottom"/>
          </w:tcPr>
          <w:p>
            <w:pPr>
              <w:ind w:left="80"/>
              <w:spacing w:after="0"/>
              <w:rPr>
                <w:sz w:val="20"/>
                <w:szCs w:val="20"/>
                <w:color w:val="auto"/>
              </w:rPr>
            </w:pPr>
            <w:r>
              <w:rPr>
                <w:rFonts w:ascii="Arial" w:cs="Arial" w:eastAsia="Arial" w:hAnsi="Arial"/>
                <w:sz w:val="18"/>
                <w:szCs w:val="18"/>
                <w:color w:val="auto"/>
              </w:rPr>
              <w:t>OH 43210</w:t>
            </w:r>
          </w:p>
        </w:tc>
        <w:tc>
          <w:tcPr>
            <w:tcW w:w="1820" w:type="dxa"/>
            <w:vAlign w:val="bottom"/>
          </w:tcPr>
          <w:p>
            <w:pPr>
              <w:spacing w:after="0"/>
              <w:rPr>
                <w:sz w:val="19"/>
                <w:szCs w:val="19"/>
                <w:color w:val="auto"/>
              </w:rPr>
            </w:pPr>
          </w:p>
        </w:tc>
      </w:tr>
      <w:tr>
        <w:trPr>
          <w:trHeight w:val="223"/>
        </w:trPr>
        <w:tc>
          <w:tcPr>
            <w:tcW w:w="2500" w:type="dxa"/>
            <w:vAlign w:val="bottom"/>
          </w:tcPr>
          <w:p>
            <w:pPr>
              <w:spacing w:after="0"/>
              <w:rPr>
                <w:sz w:val="20"/>
                <w:szCs w:val="20"/>
                <w:color w:val="auto"/>
              </w:rPr>
            </w:pPr>
            <w:r>
              <w:rPr>
                <w:rFonts w:ascii="Arial" w:cs="Arial" w:eastAsia="Arial" w:hAnsi="Arial"/>
                <w:sz w:val="18"/>
                <w:szCs w:val="18"/>
                <w:color w:val="auto"/>
                <w:w w:val="94"/>
              </w:rPr>
              <w:t>Integra LifeSciences Corporation</w:t>
            </w:r>
          </w:p>
        </w:tc>
        <w:tc>
          <w:tcPr>
            <w:tcW w:w="3380" w:type="dxa"/>
            <w:vAlign w:val="bottom"/>
          </w:tcPr>
          <w:p>
            <w:pPr>
              <w:ind w:left="140"/>
              <w:spacing w:after="0"/>
              <w:rPr>
                <w:sz w:val="20"/>
                <w:szCs w:val="20"/>
                <w:color w:val="auto"/>
              </w:rPr>
            </w:pPr>
            <w:r>
              <w:rPr>
                <w:rFonts w:ascii="Arial" w:cs="Arial" w:eastAsia="Arial" w:hAnsi="Arial"/>
                <w:sz w:val="18"/>
                <w:szCs w:val="18"/>
                <w:color w:val="auto"/>
              </w:rPr>
              <w:t>REGIONAL MEDICAL CENTER</w:t>
            </w:r>
          </w:p>
        </w:tc>
        <w:tc>
          <w:tcPr>
            <w:tcW w:w="3560" w:type="dxa"/>
            <w:vAlign w:val="bottom"/>
          </w:tcPr>
          <w:p>
            <w:pPr>
              <w:ind w:left="80"/>
              <w:spacing w:after="0"/>
              <w:rPr>
                <w:sz w:val="20"/>
                <w:szCs w:val="20"/>
                <w:color w:val="auto"/>
              </w:rPr>
            </w:pPr>
            <w:r>
              <w:rPr>
                <w:rFonts w:ascii="Arial" w:cs="Arial" w:eastAsia="Arial" w:hAnsi="Arial"/>
                <w:sz w:val="18"/>
                <w:szCs w:val="18"/>
                <w:color w:val="auto"/>
              </w:rPr>
              <w:t>3000 St. Mathews Road,</w:t>
            </w:r>
          </w:p>
        </w:tc>
        <w:tc>
          <w:tcPr>
            <w:tcW w:w="1820" w:type="dxa"/>
            <w:vAlign w:val="bottom"/>
          </w:tcPr>
          <w:p>
            <w:pPr>
              <w:ind w:left="1080"/>
              <w:spacing w:after="0"/>
              <w:rPr>
                <w:sz w:val="20"/>
                <w:szCs w:val="20"/>
                <w:color w:val="auto"/>
              </w:rPr>
            </w:pPr>
            <w:r>
              <w:rPr>
                <w:rFonts w:ascii="Arial" w:cs="Arial" w:eastAsia="Arial" w:hAnsi="Arial"/>
                <w:sz w:val="18"/>
                <w:szCs w:val="18"/>
                <w:color w:val="auto"/>
                <w:w w:val="83"/>
              </w:rPr>
              <w:t>Consignee</w:t>
            </w:r>
          </w:p>
        </w:tc>
      </w:tr>
      <w:tr>
        <w:trPr>
          <w:trHeight w:val="222"/>
        </w:trPr>
        <w:tc>
          <w:tcPr>
            <w:tcW w:w="25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3560" w:type="dxa"/>
            <w:vAlign w:val="bottom"/>
          </w:tcPr>
          <w:p>
            <w:pPr>
              <w:ind w:left="80"/>
              <w:spacing w:after="0"/>
              <w:rPr>
                <w:sz w:val="20"/>
                <w:szCs w:val="20"/>
                <w:color w:val="auto"/>
              </w:rPr>
            </w:pPr>
            <w:r>
              <w:rPr>
                <w:rFonts w:ascii="Arial" w:cs="Arial" w:eastAsia="Arial" w:hAnsi="Arial"/>
                <w:sz w:val="18"/>
                <w:szCs w:val="18"/>
                <w:color w:val="auto"/>
              </w:rPr>
              <w:t>Orangeburg. SC, 29118</w:t>
            </w:r>
          </w:p>
        </w:tc>
        <w:tc>
          <w:tcPr>
            <w:tcW w:w="1820" w:type="dxa"/>
            <w:vAlign w:val="bottom"/>
          </w:tcPr>
          <w:p>
            <w:pPr>
              <w:spacing w:after="0"/>
              <w:rPr>
                <w:sz w:val="19"/>
                <w:szCs w:val="19"/>
                <w:color w:val="auto"/>
              </w:rPr>
            </w:pPr>
          </w:p>
        </w:tc>
      </w:tr>
      <w:tr>
        <w:trPr>
          <w:trHeight w:val="223"/>
        </w:trPr>
        <w:tc>
          <w:tcPr>
            <w:tcW w:w="2500" w:type="dxa"/>
            <w:vAlign w:val="bottom"/>
          </w:tcPr>
          <w:p>
            <w:pPr>
              <w:spacing w:after="0"/>
              <w:rPr>
                <w:sz w:val="20"/>
                <w:szCs w:val="20"/>
                <w:color w:val="auto"/>
              </w:rPr>
            </w:pPr>
            <w:r>
              <w:rPr>
                <w:rFonts w:ascii="Arial" w:cs="Arial" w:eastAsia="Arial" w:hAnsi="Arial"/>
                <w:sz w:val="18"/>
                <w:szCs w:val="18"/>
                <w:color w:val="auto"/>
                <w:w w:val="94"/>
              </w:rPr>
              <w:t>Integra LifeSciences Corporation</w:t>
            </w:r>
          </w:p>
        </w:tc>
        <w:tc>
          <w:tcPr>
            <w:tcW w:w="3380" w:type="dxa"/>
            <w:vAlign w:val="bottom"/>
          </w:tcPr>
          <w:p>
            <w:pPr>
              <w:ind w:left="140"/>
              <w:spacing w:after="0"/>
              <w:rPr>
                <w:sz w:val="20"/>
                <w:szCs w:val="20"/>
                <w:color w:val="auto"/>
              </w:rPr>
            </w:pPr>
            <w:r>
              <w:rPr>
                <w:rFonts w:ascii="Arial" w:cs="Arial" w:eastAsia="Arial" w:hAnsi="Arial"/>
                <w:sz w:val="18"/>
                <w:szCs w:val="18"/>
                <w:color w:val="auto"/>
              </w:rPr>
              <w:t>UNIVERSITY OF</w:t>
            </w:r>
          </w:p>
        </w:tc>
        <w:tc>
          <w:tcPr>
            <w:tcW w:w="3560" w:type="dxa"/>
            <w:vAlign w:val="bottom"/>
          </w:tcPr>
          <w:p>
            <w:pPr>
              <w:ind w:left="80"/>
              <w:spacing w:after="0"/>
              <w:rPr>
                <w:sz w:val="20"/>
                <w:szCs w:val="20"/>
                <w:color w:val="auto"/>
              </w:rPr>
            </w:pPr>
            <w:r>
              <w:rPr>
                <w:rFonts w:ascii="Arial" w:cs="Arial" w:eastAsia="Arial" w:hAnsi="Arial"/>
                <w:sz w:val="18"/>
                <w:szCs w:val="18"/>
                <w:color w:val="auto"/>
              </w:rPr>
              <w:t>3901 Rainbow Boulevard, Kansas</w:t>
            </w:r>
          </w:p>
        </w:tc>
        <w:tc>
          <w:tcPr>
            <w:tcW w:w="1820" w:type="dxa"/>
            <w:vAlign w:val="bottom"/>
          </w:tcPr>
          <w:p>
            <w:pPr>
              <w:ind w:left="1080"/>
              <w:spacing w:after="0"/>
              <w:rPr>
                <w:sz w:val="20"/>
                <w:szCs w:val="20"/>
                <w:color w:val="auto"/>
              </w:rPr>
            </w:pPr>
            <w:r>
              <w:rPr>
                <w:rFonts w:ascii="Arial" w:cs="Arial" w:eastAsia="Arial" w:hAnsi="Arial"/>
                <w:sz w:val="18"/>
                <w:szCs w:val="18"/>
                <w:color w:val="auto"/>
                <w:w w:val="83"/>
              </w:rPr>
              <w:t>Consignee</w:t>
            </w:r>
          </w:p>
        </w:tc>
      </w:tr>
      <w:tr>
        <w:trPr>
          <w:trHeight w:val="222"/>
        </w:trPr>
        <w:tc>
          <w:tcPr>
            <w:tcW w:w="2500" w:type="dxa"/>
            <w:vAlign w:val="bottom"/>
          </w:tcPr>
          <w:p>
            <w:pPr>
              <w:spacing w:after="0"/>
              <w:rPr>
                <w:sz w:val="19"/>
                <w:szCs w:val="19"/>
                <w:color w:val="auto"/>
              </w:rPr>
            </w:pPr>
          </w:p>
        </w:tc>
        <w:tc>
          <w:tcPr>
            <w:tcW w:w="3380" w:type="dxa"/>
            <w:vAlign w:val="bottom"/>
          </w:tcPr>
          <w:p>
            <w:pPr>
              <w:ind w:left="140"/>
              <w:spacing w:after="0"/>
              <w:rPr>
                <w:sz w:val="20"/>
                <w:szCs w:val="20"/>
                <w:color w:val="auto"/>
              </w:rPr>
            </w:pPr>
            <w:r>
              <w:rPr>
                <w:rFonts w:ascii="Arial" w:cs="Arial" w:eastAsia="Arial" w:hAnsi="Arial"/>
                <w:sz w:val="18"/>
                <w:szCs w:val="18"/>
                <w:color w:val="auto"/>
              </w:rPr>
              <w:t>KANSAS HOSPITAL AUTHORITY</w:t>
            </w:r>
          </w:p>
        </w:tc>
        <w:tc>
          <w:tcPr>
            <w:tcW w:w="3560" w:type="dxa"/>
            <w:vAlign w:val="bottom"/>
          </w:tcPr>
          <w:p>
            <w:pPr>
              <w:ind w:left="80"/>
              <w:spacing w:after="0"/>
              <w:rPr>
                <w:sz w:val="20"/>
                <w:szCs w:val="20"/>
                <w:color w:val="auto"/>
              </w:rPr>
            </w:pPr>
            <w:r>
              <w:rPr>
                <w:rFonts w:ascii="Arial" w:cs="Arial" w:eastAsia="Arial" w:hAnsi="Arial"/>
                <w:sz w:val="18"/>
                <w:szCs w:val="18"/>
                <w:color w:val="auto"/>
              </w:rPr>
              <w:t>City, KS 64160</w:t>
            </w:r>
          </w:p>
        </w:tc>
        <w:tc>
          <w:tcPr>
            <w:tcW w:w="1820" w:type="dxa"/>
            <w:vAlign w:val="bottom"/>
          </w:tcPr>
          <w:p>
            <w:pPr>
              <w:spacing w:after="0"/>
              <w:rPr>
                <w:sz w:val="19"/>
                <w:szCs w:val="19"/>
                <w:color w:val="auto"/>
              </w:rPr>
            </w:pPr>
          </w:p>
        </w:tc>
      </w:tr>
      <w:tr>
        <w:trPr>
          <w:trHeight w:val="223"/>
        </w:trPr>
        <w:tc>
          <w:tcPr>
            <w:tcW w:w="2500" w:type="dxa"/>
            <w:vAlign w:val="bottom"/>
          </w:tcPr>
          <w:p>
            <w:pPr>
              <w:spacing w:after="0"/>
              <w:rPr>
                <w:sz w:val="20"/>
                <w:szCs w:val="20"/>
                <w:color w:val="auto"/>
              </w:rPr>
            </w:pPr>
            <w:r>
              <w:rPr>
                <w:rFonts w:ascii="Arial" w:cs="Arial" w:eastAsia="Arial" w:hAnsi="Arial"/>
                <w:sz w:val="18"/>
                <w:szCs w:val="18"/>
                <w:color w:val="auto"/>
                <w:w w:val="94"/>
              </w:rPr>
              <w:t>Integra LifeSciences Corporation</w:t>
            </w:r>
          </w:p>
        </w:tc>
        <w:tc>
          <w:tcPr>
            <w:tcW w:w="3380" w:type="dxa"/>
            <w:vAlign w:val="bottom"/>
          </w:tcPr>
          <w:p>
            <w:pPr>
              <w:ind w:left="140"/>
              <w:spacing w:after="0"/>
              <w:rPr>
                <w:sz w:val="20"/>
                <w:szCs w:val="20"/>
                <w:color w:val="auto"/>
              </w:rPr>
            </w:pPr>
            <w:r>
              <w:rPr>
                <w:rFonts w:ascii="Arial" w:cs="Arial" w:eastAsia="Arial" w:hAnsi="Arial"/>
                <w:sz w:val="18"/>
                <w:szCs w:val="18"/>
                <w:color w:val="auto"/>
              </w:rPr>
              <w:t>WEST PORTLAND</w:t>
            </w:r>
          </w:p>
        </w:tc>
        <w:tc>
          <w:tcPr>
            <w:tcW w:w="3560" w:type="dxa"/>
            <w:vAlign w:val="bottom"/>
          </w:tcPr>
          <w:p>
            <w:pPr>
              <w:ind w:left="80"/>
              <w:spacing w:after="0"/>
              <w:rPr>
                <w:sz w:val="20"/>
                <w:szCs w:val="20"/>
                <w:color w:val="auto"/>
              </w:rPr>
            </w:pPr>
            <w:r>
              <w:rPr>
                <w:rFonts w:ascii="Arial" w:cs="Arial" w:eastAsia="Arial" w:hAnsi="Arial"/>
                <w:sz w:val="18"/>
                <w:szCs w:val="18"/>
                <w:color w:val="auto"/>
              </w:rPr>
              <w:t>16985 NW Cornell Road,</w:t>
            </w:r>
          </w:p>
        </w:tc>
        <w:tc>
          <w:tcPr>
            <w:tcW w:w="1820" w:type="dxa"/>
            <w:vAlign w:val="bottom"/>
          </w:tcPr>
          <w:p>
            <w:pPr>
              <w:ind w:left="1080"/>
              <w:spacing w:after="0"/>
              <w:rPr>
                <w:sz w:val="20"/>
                <w:szCs w:val="20"/>
                <w:color w:val="auto"/>
              </w:rPr>
            </w:pPr>
            <w:r>
              <w:rPr>
                <w:rFonts w:ascii="Arial" w:cs="Arial" w:eastAsia="Arial" w:hAnsi="Arial"/>
                <w:sz w:val="18"/>
                <w:szCs w:val="18"/>
                <w:color w:val="auto"/>
                <w:w w:val="83"/>
              </w:rPr>
              <w:t>Consignee</w:t>
            </w:r>
          </w:p>
        </w:tc>
      </w:tr>
      <w:tr>
        <w:trPr>
          <w:trHeight w:val="216"/>
        </w:trPr>
        <w:tc>
          <w:tcPr>
            <w:tcW w:w="2500" w:type="dxa"/>
            <w:vAlign w:val="bottom"/>
          </w:tcPr>
          <w:p>
            <w:pPr>
              <w:spacing w:after="0"/>
              <w:rPr>
                <w:sz w:val="18"/>
                <w:szCs w:val="18"/>
                <w:color w:val="auto"/>
              </w:rPr>
            </w:pPr>
          </w:p>
        </w:tc>
        <w:tc>
          <w:tcPr>
            <w:tcW w:w="3380" w:type="dxa"/>
            <w:vAlign w:val="bottom"/>
          </w:tcPr>
          <w:p>
            <w:pPr>
              <w:ind w:left="140"/>
              <w:spacing w:after="0"/>
              <w:rPr>
                <w:sz w:val="20"/>
                <w:szCs w:val="20"/>
                <w:color w:val="auto"/>
              </w:rPr>
            </w:pPr>
            <w:r>
              <w:rPr>
                <w:rFonts w:ascii="Arial" w:cs="Arial" w:eastAsia="Arial" w:hAnsi="Arial"/>
                <w:sz w:val="18"/>
                <w:szCs w:val="18"/>
                <w:color w:val="auto"/>
              </w:rPr>
              <w:t>SURGERY CENTER</w:t>
            </w:r>
          </w:p>
        </w:tc>
        <w:tc>
          <w:tcPr>
            <w:tcW w:w="3560" w:type="dxa"/>
            <w:vAlign w:val="bottom"/>
          </w:tcPr>
          <w:p>
            <w:pPr>
              <w:ind w:left="80"/>
              <w:spacing w:after="0"/>
              <w:rPr>
                <w:sz w:val="20"/>
                <w:szCs w:val="20"/>
                <w:color w:val="auto"/>
              </w:rPr>
            </w:pPr>
            <w:r>
              <w:rPr>
                <w:rFonts w:ascii="Arial" w:cs="Arial" w:eastAsia="Arial" w:hAnsi="Arial"/>
                <w:sz w:val="18"/>
                <w:szCs w:val="18"/>
                <w:color w:val="auto"/>
              </w:rPr>
              <w:t>Beaverton, Oregon 97006</w:t>
            </w:r>
          </w:p>
        </w:tc>
        <w:tc>
          <w:tcPr>
            <w:tcW w:w="182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3380" w:type="dxa"/>
            <w:vAlign w:val="bottom"/>
          </w:tcPr>
          <w:p>
            <w:pPr>
              <w:ind w:left="140"/>
              <w:spacing w:after="0"/>
              <w:rPr>
                <w:sz w:val="20"/>
                <w:szCs w:val="20"/>
                <w:color w:val="auto"/>
              </w:rPr>
            </w:pPr>
            <w:r>
              <w:rPr>
                <w:rFonts w:ascii="Arial" w:cs="Arial" w:eastAsia="Arial" w:hAnsi="Arial"/>
                <w:sz w:val="18"/>
                <w:szCs w:val="18"/>
                <w:color w:val="auto"/>
              </w:rPr>
              <w:t>D/B/A CORNELL</w:t>
            </w:r>
          </w:p>
        </w:tc>
        <w:tc>
          <w:tcPr>
            <w:tcW w:w="356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22"/>
        </w:trPr>
        <w:tc>
          <w:tcPr>
            <w:tcW w:w="2500" w:type="dxa"/>
            <w:vAlign w:val="bottom"/>
          </w:tcPr>
          <w:p>
            <w:pPr>
              <w:spacing w:after="0"/>
              <w:rPr>
                <w:sz w:val="19"/>
                <w:szCs w:val="19"/>
                <w:color w:val="auto"/>
              </w:rPr>
            </w:pPr>
          </w:p>
        </w:tc>
        <w:tc>
          <w:tcPr>
            <w:tcW w:w="3380" w:type="dxa"/>
            <w:vAlign w:val="bottom"/>
          </w:tcPr>
          <w:p>
            <w:pPr>
              <w:ind w:left="140"/>
              <w:spacing w:after="0"/>
              <w:rPr>
                <w:sz w:val="20"/>
                <w:szCs w:val="20"/>
                <w:color w:val="auto"/>
              </w:rPr>
            </w:pPr>
            <w:r>
              <w:rPr>
                <w:rFonts w:ascii="Arial" w:cs="Arial" w:eastAsia="Arial" w:hAnsi="Arial"/>
                <w:sz w:val="18"/>
                <w:szCs w:val="18"/>
                <w:color w:val="auto"/>
              </w:rPr>
              <w:t>SURGERY CENTER</w:t>
            </w:r>
          </w:p>
        </w:tc>
        <w:tc>
          <w:tcPr>
            <w:tcW w:w="35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23"/>
        </w:trPr>
        <w:tc>
          <w:tcPr>
            <w:tcW w:w="2500" w:type="dxa"/>
            <w:vAlign w:val="bottom"/>
          </w:tcPr>
          <w:p>
            <w:pPr>
              <w:spacing w:after="0"/>
              <w:rPr>
                <w:sz w:val="20"/>
                <w:szCs w:val="20"/>
                <w:color w:val="auto"/>
              </w:rPr>
            </w:pPr>
            <w:r>
              <w:rPr>
                <w:rFonts w:ascii="Arial" w:cs="Arial" w:eastAsia="Arial" w:hAnsi="Arial"/>
                <w:sz w:val="18"/>
                <w:szCs w:val="18"/>
                <w:color w:val="auto"/>
                <w:w w:val="94"/>
              </w:rPr>
              <w:t>Integra LifeSciences Corporation</w:t>
            </w:r>
          </w:p>
        </w:tc>
        <w:tc>
          <w:tcPr>
            <w:tcW w:w="3380" w:type="dxa"/>
            <w:vAlign w:val="bottom"/>
          </w:tcPr>
          <w:p>
            <w:pPr>
              <w:ind w:left="140"/>
              <w:spacing w:after="0"/>
              <w:rPr>
                <w:sz w:val="20"/>
                <w:szCs w:val="20"/>
                <w:color w:val="auto"/>
              </w:rPr>
            </w:pPr>
            <w:r>
              <w:rPr>
                <w:rFonts w:ascii="Arial" w:cs="Arial" w:eastAsia="Arial" w:hAnsi="Arial"/>
                <w:sz w:val="18"/>
                <w:szCs w:val="18"/>
                <w:color w:val="auto"/>
              </w:rPr>
              <w:t>ORTHOPEDIC CENTER</w:t>
            </w:r>
          </w:p>
        </w:tc>
        <w:tc>
          <w:tcPr>
            <w:tcW w:w="3560" w:type="dxa"/>
            <w:vAlign w:val="bottom"/>
          </w:tcPr>
          <w:p>
            <w:pPr>
              <w:ind w:left="80"/>
              <w:spacing w:after="0"/>
              <w:rPr>
                <w:sz w:val="20"/>
                <w:szCs w:val="20"/>
                <w:color w:val="auto"/>
              </w:rPr>
            </w:pPr>
            <w:r>
              <w:rPr>
                <w:rFonts w:ascii="Arial" w:cs="Arial" w:eastAsia="Arial" w:hAnsi="Arial"/>
                <w:sz w:val="18"/>
                <w:szCs w:val="18"/>
                <w:color w:val="auto"/>
              </w:rPr>
              <w:t>1401 25</w:t>
            </w:r>
            <w:r>
              <w:rPr>
                <w:rFonts w:ascii="Arial" w:cs="Arial" w:eastAsia="Arial" w:hAnsi="Arial"/>
                <w:sz w:val="11"/>
                <w:szCs w:val="11"/>
                <w:color w:val="auto"/>
              </w:rPr>
              <w:t>th</w:t>
            </w:r>
            <w:r>
              <w:rPr>
                <w:rFonts w:ascii="Arial" w:cs="Arial" w:eastAsia="Arial" w:hAnsi="Arial"/>
                <w:sz w:val="18"/>
                <w:szCs w:val="18"/>
                <w:color w:val="auto"/>
              </w:rPr>
              <w:t xml:space="preserve"> Street South, Great</w:t>
            </w:r>
          </w:p>
        </w:tc>
        <w:tc>
          <w:tcPr>
            <w:tcW w:w="1820" w:type="dxa"/>
            <w:vAlign w:val="bottom"/>
          </w:tcPr>
          <w:p>
            <w:pPr>
              <w:ind w:left="1080"/>
              <w:spacing w:after="0"/>
              <w:rPr>
                <w:sz w:val="20"/>
                <w:szCs w:val="20"/>
                <w:color w:val="auto"/>
              </w:rPr>
            </w:pPr>
            <w:r>
              <w:rPr>
                <w:rFonts w:ascii="Arial" w:cs="Arial" w:eastAsia="Arial" w:hAnsi="Arial"/>
                <w:sz w:val="18"/>
                <w:szCs w:val="18"/>
                <w:color w:val="auto"/>
                <w:w w:val="83"/>
              </w:rPr>
              <w:t>Consignee</w:t>
            </w:r>
          </w:p>
        </w:tc>
      </w:tr>
      <w:tr>
        <w:trPr>
          <w:trHeight w:val="222"/>
        </w:trPr>
        <w:tc>
          <w:tcPr>
            <w:tcW w:w="2500" w:type="dxa"/>
            <w:vAlign w:val="bottom"/>
          </w:tcPr>
          <w:p>
            <w:pPr>
              <w:spacing w:after="0"/>
              <w:rPr>
                <w:sz w:val="19"/>
                <w:szCs w:val="19"/>
                <w:color w:val="auto"/>
              </w:rPr>
            </w:pPr>
          </w:p>
        </w:tc>
        <w:tc>
          <w:tcPr>
            <w:tcW w:w="3380" w:type="dxa"/>
            <w:vAlign w:val="bottom"/>
          </w:tcPr>
          <w:p>
            <w:pPr>
              <w:ind w:left="140"/>
              <w:spacing w:after="0"/>
              <w:rPr>
                <w:sz w:val="20"/>
                <w:szCs w:val="20"/>
                <w:color w:val="auto"/>
              </w:rPr>
            </w:pPr>
            <w:r>
              <w:rPr>
                <w:rFonts w:ascii="Arial" w:cs="Arial" w:eastAsia="Arial" w:hAnsi="Arial"/>
                <w:sz w:val="18"/>
                <w:szCs w:val="18"/>
                <w:color w:val="auto"/>
              </w:rPr>
              <w:t>OF MONTANA</w:t>
            </w:r>
          </w:p>
        </w:tc>
        <w:tc>
          <w:tcPr>
            <w:tcW w:w="3560" w:type="dxa"/>
            <w:vAlign w:val="bottom"/>
          </w:tcPr>
          <w:p>
            <w:pPr>
              <w:ind w:left="80"/>
              <w:spacing w:after="0"/>
              <w:rPr>
                <w:sz w:val="20"/>
                <w:szCs w:val="20"/>
                <w:color w:val="auto"/>
              </w:rPr>
            </w:pPr>
            <w:r>
              <w:rPr>
                <w:rFonts w:ascii="Arial" w:cs="Arial" w:eastAsia="Arial" w:hAnsi="Arial"/>
                <w:sz w:val="18"/>
                <w:szCs w:val="18"/>
                <w:color w:val="auto"/>
              </w:rPr>
              <w:t>Falls, MT 59405</w:t>
            </w:r>
          </w:p>
        </w:tc>
        <w:tc>
          <w:tcPr>
            <w:tcW w:w="1820" w:type="dxa"/>
            <w:vAlign w:val="bottom"/>
          </w:tcPr>
          <w:p>
            <w:pPr>
              <w:spacing w:after="0"/>
              <w:rPr>
                <w:sz w:val="19"/>
                <w:szCs w:val="19"/>
                <w:color w:val="auto"/>
              </w:rPr>
            </w:pPr>
          </w:p>
        </w:tc>
      </w:tr>
      <w:tr>
        <w:trPr>
          <w:trHeight w:val="223"/>
        </w:trPr>
        <w:tc>
          <w:tcPr>
            <w:tcW w:w="2500" w:type="dxa"/>
            <w:vAlign w:val="bottom"/>
          </w:tcPr>
          <w:p>
            <w:pPr>
              <w:spacing w:after="0"/>
              <w:rPr>
                <w:sz w:val="20"/>
                <w:szCs w:val="20"/>
                <w:color w:val="auto"/>
              </w:rPr>
            </w:pPr>
            <w:r>
              <w:rPr>
                <w:rFonts w:ascii="Arial" w:cs="Arial" w:eastAsia="Arial" w:hAnsi="Arial"/>
                <w:sz w:val="18"/>
                <w:szCs w:val="18"/>
                <w:color w:val="auto"/>
                <w:w w:val="94"/>
              </w:rPr>
              <w:t>Integra LifeSciences Corporation</w:t>
            </w:r>
          </w:p>
        </w:tc>
        <w:tc>
          <w:tcPr>
            <w:tcW w:w="3380" w:type="dxa"/>
            <w:vAlign w:val="bottom"/>
          </w:tcPr>
          <w:p>
            <w:pPr>
              <w:ind w:left="140"/>
              <w:spacing w:after="0"/>
              <w:rPr>
                <w:sz w:val="20"/>
                <w:szCs w:val="20"/>
                <w:color w:val="auto"/>
              </w:rPr>
            </w:pPr>
            <w:r>
              <w:rPr>
                <w:rFonts w:ascii="Arial" w:cs="Arial" w:eastAsia="Arial" w:hAnsi="Arial"/>
                <w:sz w:val="18"/>
                <w:szCs w:val="18"/>
                <w:color w:val="auto"/>
                <w:w w:val="96"/>
              </w:rPr>
              <w:t>OUTPATIENT SURGICAL SPECIALTIES</w:t>
            </w:r>
          </w:p>
        </w:tc>
        <w:tc>
          <w:tcPr>
            <w:tcW w:w="3560" w:type="dxa"/>
            <w:vAlign w:val="bottom"/>
          </w:tcPr>
          <w:p>
            <w:pPr>
              <w:ind w:left="80"/>
              <w:spacing w:after="0"/>
              <w:rPr>
                <w:sz w:val="20"/>
                <w:szCs w:val="20"/>
                <w:color w:val="auto"/>
              </w:rPr>
            </w:pPr>
            <w:r>
              <w:rPr>
                <w:rFonts w:ascii="Arial" w:cs="Arial" w:eastAsia="Arial" w:hAnsi="Arial"/>
                <w:sz w:val="18"/>
                <w:szCs w:val="18"/>
                <w:color w:val="auto"/>
              </w:rPr>
              <w:t>11704 West Center Road, Suite</w:t>
            </w:r>
          </w:p>
        </w:tc>
        <w:tc>
          <w:tcPr>
            <w:tcW w:w="1820" w:type="dxa"/>
            <w:vAlign w:val="bottom"/>
          </w:tcPr>
          <w:p>
            <w:pPr>
              <w:ind w:left="1080"/>
              <w:spacing w:after="0"/>
              <w:rPr>
                <w:sz w:val="20"/>
                <w:szCs w:val="20"/>
                <w:color w:val="auto"/>
              </w:rPr>
            </w:pPr>
            <w:r>
              <w:rPr>
                <w:rFonts w:ascii="Arial" w:cs="Arial" w:eastAsia="Arial" w:hAnsi="Arial"/>
                <w:sz w:val="18"/>
                <w:szCs w:val="18"/>
                <w:color w:val="auto"/>
                <w:w w:val="83"/>
              </w:rPr>
              <w:t>Consignee</w:t>
            </w:r>
          </w:p>
        </w:tc>
      </w:tr>
      <w:tr>
        <w:trPr>
          <w:trHeight w:val="222"/>
        </w:trPr>
        <w:tc>
          <w:tcPr>
            <w:tcW w:w="25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3560" w:type="dxa"/>
            <w:vAlign w:val="bottom"/>
          </w:tcPr>
          <w:p>
            <w:pPr>
              <w:ind w:left="80"/>
              <w:spacing w:after="0"/>
              <w:rPr>
                <w:sz w:val="20"/>
                <w:szCs w:val="20"/>
                <w:color w:val="auto"/>
              </w:rPr>
            </w:pPr>
            <w:r>
              <w:rPr>
                <w:rFonts w:ascii="Arial" w:cs="Arial" w:eastAsia="Arial" w:hAnsi="Arial"/>
                <w:sz w:val="18"/>
                <w:szCs w:val="18"/>
                <w:color w:val="auto"/>
              </w:rPr>
              <w:t>110, Omaha, NE 68144</w:t>
            </w:r>
          </w:p>
        </w:tc>
        <w:tc>
          <w:tcPr>
            <w:tcW w:w="1820" w:type="dxa"/>
            <w:vAlign w:val="bottom"/>
          </w:tcPr>
          <w:p>
            <w:pPr>
              <w:spacing w:after="0"/>
              <w:rPr>
                <w:sz w:val="19"/>
                <w:szCs w:val="19"/>
                <w:color w:val="auto"/>
              </w:rPr>
            </w:pPr>
          </w:p>
        </w:tc>
      </w:tr>
      <w:tr>
        <w:trPr>
          <w:trHeight w:val="223"/>
        </w:trPr>
        <w:tc>
          <w:tcPr>
            <w:tcW w:w="2500" w:type="dxa"/>
            <w:vAlign w:val="bottom"/>
          </w:tcPr>
          <w:p>
            <w:pPr>
              <w:spacing w:after="0"/>
              <w:rPr>
                <w:sz w:val="20"/>
                <w:szCs w:val="20"/>
                <w:color w:val="auto"/>
              </w:rPr>
            </w:pPr>
            <w:r>
              <w:rPr>
                <w:rFonts w:ascii="Arial" w:cs="Arial" w:eastAsia="Arial" w:hAnsi="Arial"/>
                <w:sz w:val="18"/>
                <w:szCs w:val="18"/>
                <w:color w:val="auto"/>
                <w:w w:val="94"/>
              </w:rPr>
              <w:t>Integra LifeSciences Corporation</w:t>
            </w:r>
          </w:p>
        </w:tc>
        <w:tc>
          <w:tcPr>
            <w:tcW w:w="3380" w:type="dxa"/>
            <w:vAlign w:val="bottom"/>
          </w:tcPr>
          <w:p>
            <w:pPr>
              <w:ind w:left="140"/>
              <w:spacing w:after="0"/>
              <w:rPr>
                <w:sz w:val="20"/>
                <w:szCs w:val="20"/>
                <w:color w:val="auto"/>
              </w:rPr>
            </w:pPr>
            <w:r>
              <w:rPr>
                <w:rFonts w:ascii="Arial" w:cs="Arial" w:eastAsia="Arial" w:hAnsi="Arial"/>
                <w:sz w:val="18"/>
                <w:szCs w:val="18"/>
                <w:color w:val="auto"/>
              </w:rPr>
              <w:t>HACKENSACK</w:t>
            </w:r>
          </w:p>
        </w:tc>
        <w:tc>
          <w:tcPr>
            <w:tcW w:w="3560" w:type="dxa"/>
            <w:vAlign w:val="bottom"/>
          </w:tcPr>
          <w:p>
            <w:pPr>
              <w:ind w:left="80"/>
              <w:spacing w:after="0"/>
              <w:rPr>
                <w:sz w:val="20"/>
                <w:szCs w:val="20"/>
                <w:color w:val="auto"/>
              </w:rPr>
            </w:pPr>
            <w:r>
              <w:rPr>
                <w:rFonts w:ascii="Arial" w:cs="Arial" w:eastAsia="Arial" w:hAnsi="Arial"/>
                <w:sz w:val="18"/>
                <w:szCs w:val="18"/>
                <w:color w:val="auto"/>
              </w:rPr>
              <w:t>30 Prospect Avenue, Hackensack,</w:t>
            </w:r>
          </w:p>
        </w:tc>
        <w:tc>
          <w:tcPr>
            <w:tcW w:w="1820" w:type="dxa"/>
            <w:vAlign w:val="bottom"/>
          </w:tcPr>
          <w:p>
            <w:pPr>
              <w:ind w:left="1080"/>
              <w:spacing w:after="0"/>
              <w:rPr>
                <w:sz w:val="20"/>
                <w:szCs w:val="20"/>
                <w:color w:val="auto"/>
              </w:rPr>
            </w:pPr>
            <w:r>
              <w:rPr>
                <w:rFonts w:ascii="Arial" w:cs="Arial" w:eastAsia="Arial" w:hAnsi="Arial"/>
                <w:sz w:val="18"/>
                <w:szCs w:val="18"/>
                <w:color w:val="auto"/>
                <w:w w:val="83"/>
              </w:rPr>
              <w:t>Consignee</w:t>
            </w:r>
          </w:p>
        </w:tc>
      </w:tr>
      <w:tr>
        <w:trPr>
          <w:trHeight w:val="216"/>
        </w:trPr>
        <w:tc>
          <w:tcPr>
            <w:tcW w:w="2500" w:type="dxa"/>
            <w:vAlign w:val="bottom"/>
          </w:tcPr>
          <w:p>
            <w:pPr>
              <w:spacing w:after="0"/>
              <w:rPr>
                <w:sz w:val="18"/>
                <w:szCs w:val="18"/>
                <w:color w:val="auto"/>
              </w:rPr>
            </w:pPr>
          </w:p>
        </w:tc>
        <w:tc>
          <w:tcPr>
            <w:tcW w:w="3380" w:type="dxa"/>
            <w:vAlign w:val="bottom"/>
          </w:tcPr>
          <w:p>
            <w:pPr>
              <w:ind w:left="140"/>
              <w:spacing w:after="0"/>
              <w:rPr>
                <w:sz w:val="20"/>
                <w:szCs w:val="20"/>
                <w:color w:val="auto"/>
              </w:rPr>
            </w:pPr>
            <w:r>
              <w:rPr>
                <w:rFonts w:ascii="Arial" w:cs="Arial" w:eastAsia="Arial" w:hAnsi="Arial"/>
                <w:sz w:val="18"/>
                <w:szCs w:val="18"/>
                <w:color w:val="auto"/>
              </w:rPr>
              <w:t>UNIVERSITY</w:t>
            </w:r>
          </w:p>
        </w:tc>
        <w:tc>
          <w:tcPr>
            <w:tcW w:w="3560" w:type="dxa"/>
            <w:vAlign w:val="bottom"/>
          </w:tcPr>
          <w:p>
            <w:pPr>
              <w:ind w:left="80"/>
              <w:spacing w:after="0"/>
              <w:rPr>
                <w:sz w:val="20"/>
                <w:szCs w:val="20"/>
                <w:color w:val="auto"/>
              </w:rPr>
            </w:pPr>
            <w:r>
              <w:rPr>
                <w:rFonts w:ascii="Arial" w:cs="Arial" w:eastAsia="Arial" w:hAnsi="Arial"/>
                <w:sz w:val="18"/>
                <w:szCs w:val="18"/>
                <w:color w:val="auto"/>
              </w:rPr>
              <w:t>NJ 07601</w:t>
            </w:r>
          </w:p>
        </w:tc>
        <w:tc>
          <w:tcPr>
            <w:tcW w:w="1820" w:type="dxa"/>
            <w:vAlign w:val="bottom"/>
          </w:tcPr>
          <w:p>
            <w:pPr>
              <w:spacing w:after="0"/>
              <w:rPr>
                <w:sz w:val="18"/>
                <w:szCs w:val="18"/>
                <w:color w:val="auto"/>
              </w:rPr>
            </w:pPr>
          </w:p>
        </w:tc>
      </w:tr>
      <w:tr>
        <w:trPr>
          <w:trHeight w:val="222"/>
        </w:trPr>
        <w:tc>
          <w:tcPr>
            <w:tcW w:w="2500" w:type="dxa"/>
            <w:vAlign w:val="bottom"/>
          </w:tcPr>
          <w:p>
            <w:pPr>
              <w:spacing w:after="0"/>
              <w:rPr>
                <w:sz w:val="19"/>
                <w:szCs w:val="19"/>
                <w:color w:val="auto"/>
              </w:rPr>
            </w:pPr>
          </w:p>
        </w:tc>
        <w:tc>
          <w:tcPr>
            <w:tcW w:w="3380" w:type="dxa"/>
            <w:vAlign w:val="bottom"/>
          </w:tcPr>
          <w:p>
            <w:pPr>
              <w:ind w:left="140"/>
              <w:spacing w:after="0"/>
              <w:rPr>
                <w:sz w:val="20"/>
                <w:szCs w:val="20"/>
                <w:color w:val="auto"/>
              </w:rPr>
            </w:pPr>
            <w:r>
              <w:rPr>
                <w:rFonts w:ascii="Arial" w:cs="Arial" w:eastAsia="Arial" w:hAnsi="Arial"/>
                <w:sz w:val="18"/>
                <w:szCs w:val="18"/>
                <w:color w:val="auto"/>
              </w:rPr>
              <w:t>MEDICAL CENTER</w:t>
            </w:r>
          </w:p>
        </w:tc>
        <w:tc>
          <w:tcPr>
            <w:tcW w:w="35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23"/>
        </w:trPr>
        <w:tc>
          <w:tcPr>
            <w:tcW w:w="2500" w:type="dxa"/>
            <w:vAlign w:val="bottom"/>
          </w:tcPr>
          <w:p>
            <w:pPr>
              <w:spacing w:after="0"/>
              <w:rPr>
                <w:sz w:val="20"/>
                <w:szCs w:val="20"/>
                <w:color w:val="auto"/>
              </w:rPr>
            </w:pPr>
            <w:r>
              <w:rPr>
                <w:rFonts w:ascii="Arial" w:cs="Arial" w:eastAsia="Arial" w:hAnsi="Arial"/>
                <w:sz w:val="18"/>
                <w:szCs w:val="18"/>
                <w:color w:val="auto"/>
                <w:w w:val="94"/>
              </w:rPr>
              <w:t>Integra LifeSciences Corporation</w:t>
            </w:r>
          </w:p>
        </w:tc>
        <w:tc>
          <w:tcPr>
            <w:tcW w:w="3380" w:type="dxa"/>
            <w:vAlign w:val="bottom"/>
          </w:tcPr>
          <w:p>
            <w:pPr>
              <w:ind w:left="140"/>
              <w:spacing w:after="0"/>
              <w:rPr>
                <w:sz w:val="20"/>
                <w:szCs w:val="20"/>
                <w:color w:val="auto"/>
              </w:rPr>
            </w:pPr>
            <w:r>
              <w:rPr>
                <w:rFonts w:ascii="Arial" w:cs="Arial" w:eastAsia="Arial" w:hAnsi="Arial"/>
                <w:sz w:val="18"/>
                <w:szCs w:val="18"/>
                <w:color w:val="auto"/>
              </w:rPr>
              <w:t>CY FAIR SURGERY</w:t>
            </w:r>
          </w:p>
        </w:tc>
        <w:tc>
          <w:tcPr>
            <w:tcW w:w="3560" w:type="dxa"/>
            <w:vAlign w:val="bottom"/>
          </w:tcPr>
          <w:p>
            <w:pPr>
              <w:ind w:left="80"/>
              <w:spacing w:after="0"/>
              <w:rPr>
                <w:sz w:val="20"/>
                <w:szCs w:val="20"/>
                <w:color w:val="auto"/>
              </w:rPr>
            </w:pPr>
            <w:r>
              <w:rPr>
                <w:rFonts w:ascii="Arial" w:cs="Arial" w:eastAsia="Arial" w:hAnsi="Arial"/>
                <w:sz w:val="18"/>
                <w:szCs w:val="18"/>
                <w:color w:val="auto"/>
              </w:rPr>
              <w:t>11250 Fallbrook Drive, Houston,</w:t>
            </w:r>
          </w:p>
        </w:tc>
        <w:tc>
          <w:tcPr>
            <w:tcW w:w="1820" w:type="dxa"/>
            <w:vAlign w:val="bottom"/>
          </w:tcPr>
          <w:p>
            <w:pPr>
              <w:ind w:left="1080"/>
              <w:spacing w:after="0"/>
              <w:rPr>
                <w:sz w:val="20"/>
                <w:szCs w:val="20"/>
                <w:color w:val="auto"/>
              </w:rPr>
            </w:pPr>
            <w:r>
              <w:rPr>
                <w:rFonts w:ascii="Arial" w:cs="Arial" w:eastAsia="Arial" w:hAnsi="Arial"/>
                <w:sz w:val="18"/>
                <w:szCs w:val="18"/>
                <w:color w:val="auto"/>
                <w:w w:val="83"/>
              </w:rPr>
              <w:t>Consignee</w:t>
            </w:r>
          </w:p>
        </w:tc>
      </w:tr>
      <w:tr>
        <w:trPr>
          <w:trHeight w:val="222"/>
        </w:trPr>
        <w:tc>
          <w:tcPr>
            <w:tcW w:w="2500" w:type="dxa"/>
            <w:vAlign w:val="bottom"/>
          </w:tcPr>
          <w:p>
            <w:pPr>
              <w:spacing w:after="0"/>
              <w:rPr>
                <w:sz w:val="19"/>
                <w:szCs w:val="19"/>
                <w:color w:val="auto"/>
              </w:rPr>
            </w:pPr>
          </w:p>
        </w:tc>
        <w:tc>
          <w:tcPr>
            <w:tcW w:w="3380" w:type="dxa"/>
            <w:vAlign w:val="bottom"/>
          </w:tcPr>
          <w:p>
            <w:pPr>
              <w:ind w:left="140"/>
              <w:spacing w:after="0"/>
              <w:rPr>
                <w:sz w:val="20"/>
                <w:szCs w:val="20"/>
                <w:color w:val="auto"/>
              </w:rPr>
            </w:pPr>
            <w:r>
              <w:rPr>
                <w:rFonts w:ascii="Arial" w:cs="Arial" w:eastAsia="Arial" w:hAnsi="Arial"/>
                <w:sz w:val="18"/>
                <w:szCs w:val="18"/>
                <w:color w:val="auto"/>
              </w:rPr>
              <w:t>CENTER</w:t>
            </w:r>
          </w:p>
        </w:tc>
        <w:tc>
          <w:tcPr>
            <w:tcW w:w="3560" w:type="dxa"/>
            <w:vAlign w:val="bottom"/>
          </w:tcPr>
          <w:p>
            <w:pPr>
              <w:ind w:left="80"/>
              <w:spacing w:after="0"/>
              <w:rPr>
                <w:sz w:val="20"/>
                <w:szCs w:val="20"/>
                <w:color w:val="auto"/>
              </w:rPr>
            </w:pPr>
            <w:r>
              <w:rPr>
                <w:rFonts w:ascii="Arial" w:cs="Arial" w:eastAsia="Arial" w:hAnsi="Arial"/>
                <w:sz w:val="18"/>
                <w:szCs w:val="18"/>
                <w:color w:val="auto"/>
              </w:rPr>
              <w:t>TX 77065</w:t>
            </w:r>
          </w:p>
        </w:tc>
        <w:tc>
          <w:tcPr>
            <w:tcW w:w="1820" w:type="dxa"/>
            <w:vAlign w:val="bottom"/>
          </w:tcPr>
          <w:p>
            <w:pPr>
              <w:spacing w:after="0"/>
              <w:rPr>
                <w:sz w:val="19"/>
                <w:szCs w:val="19"/>
                <w:color w:val="auto"/>
              </w:rPr>
            </w:pPr>
          </w:p>
        </w:tc>
      </w:tr>
      <w:tr>
        <w:trPr>
          <w:trHeight w:val="223"/>
        </w:trPr>
        <w:tc>
          <w:tcPr>
            <w:tcW w:w="2500" w:type="dxa"/>
            <w:vAlign w:val="bottom"/>
          </w:tcPr>
          <w:p>
            <w:pPr>
              <w:spacing w:after="0"/>
              <w:rPr>
                <w:sz w:val="20"/>
                <w:szCs w:val="20"/>
                <w:color w:val="auto"/>
              </w:rPr>
            </w:pPr>
            <w:r>
              <w:rPr>
                <w:rFonts w:ascii="Arial" w:cs="Arial" w:eastAsia="Arial" w:hAnsi="Arial"/>
                <w:sz w:val="18"/>
                <w:szCs w:val="18"/>
                <w:color w:val="auto"/>
                <w:w w:val="94"/>
              </w:rPr>
              <w:t>Integra LifeSciences Corporation</w:t>
            </w:r>
          </w:p>
        </w:tc>
        <w:tc>
          <w:tcPr>
            <w:tcW w:w="3380" w:type="dxa"/>
            <w:vAlign w:val="bottom"/>
          </w:tcPr>
          <w:p>
            <w:pPr>
              <w:ind w:left="140"/>
              <w:spacing w:after="0"/>
              <w:rPr>
                <w:sz w:val="20"/>
                <w:szCs w:val="20"/>
                <w:color w:val="auto"/>
              </w:rPr>
            </w:pPr>
            <w:r>
              <w:rPr>
                <w:rFonts w:ascii="Arial" w:cs="Arial" w:eastAsia="Arial" w:hAnsi="Arial"/>
                <w:sz w:val="18"/>
                <w:szCs w:val="18"/>
                <w:color w:val="auto"/>
              </w:rPr>
              <w:t>PRINCE WILLIAM</w:t>
            </w:r>
          </w:p>
        </w:tc>
        <w:tc>
          <w:tcPr>
            <w:tcW w:w="3560" w:type="dxa"/>
            <w:vAlign w:val="bottom"/>
          </w:tcPr>
          <w:p>
            <w:pPr>
              <w:ind w:left="80"/>
              <w:spacing w:after="0"/>
              <w:rPr>
                <w:sz w:val="20"/>
                <w:szCs w:val="20"/>
                <w:color w:val="auto"/>
              </w:rPr>
            </w:pPr>
            <w:r>
              <w:rPr>
                <w:rFonts w:ascii="Arial" w:cs="Arial" w:eastAsia="Arial" w:hAnsi="Arial"/>
                <w:sz w:val="18"/>
                <w:szCs w:val="18"/>
                <w:color w:val="auto"/>
              </w:rPr>
              <w:t>8700 Sudley Road, Manassas, VA</w:t>
            </w:r>
          </w:p>
        </w:tc>
        <w:tc>
          <w:tcPr>
            <w:tcW w:w="1820" w:type="dxa"/>
            <w:vAlign w:val="bottom"/>
          </w:tcPr>
          <w:p>
            <w:pPr>
              <w:ind w:left="1080"/>
              <w:spacing w:after="0"/>
              <w:rPr>
                <w:sz w:val="20"/>
                <w:szCs w:val="20"/>
                <w:color w:val="auto"/>
              </w:rPr>
            </w:pPr>
            <w:r>
              <w:rPr>
                <w:rFonts w:ascii="Arial" w:cs="Arial" w:eastAsia="Arial" w:hAnsi="Arial"/>
                <w:sz w:val="18"/>
                <w:szCs w:val="18"/>
                <w:color w:val="auto"/>
                <w:w w:val="83"/>
              </w:rPr>
              <w:t>Consignee</w:t>
            </w:r>
          </w:p>
        </w:tc>
      </w:tr>
      <w:tr>
        <w:trPr>
          <w:trHeight w:val="222"/>
        </w:trPr>
        <w:tc>
          <w:tcPr>
            <w:tcW w:w="2500" w:type="dxa"/>
            <w:vAlign w:val="bottom"/>
          </w:tcPr>
          <w:p>
            <w:pPr>
              <w:spacing w:after="0"/>
              <w:rPr>
                <w:sz w:val="19"/>
                <w:szCs w:val="19"/>
                <w:color w:val="auto"/>
              </w:rPr>
            </w:pPr>
          </w:p>
        </w:tc>
        <w:tc>
          <w:tcPr>
            <w:tcW w:w="3380" w:type="dxa"/>
            <w:vAlign w:val="bottom"/>
          </w:tcPr>
          <w:p>
            <w:pPr>
              <w:ind w:left="140"/>
              <w:spacing w:after="0"/>
              <w:rPr>
                <w:sz w:val="20"/>
                <w:szCs w:val="20"/>
                <w:color w:val="auto"/>
              </w:rPr>
            </w:pPr>
            <w:r>
              <w:rPr>
                <w:rFonts w:ascii="Arial" w:cs="Arial" w:eastAsia="Arial" w:hAnsi="Arial"/>
                <w:sz w:val="18"/>
                <w:szCs w:val="18"/>
                <w:color w:val="auto"/>
              </w:rPr>
              <w:t>HOSPITAL</w:t>
            </w:r>
          </w:p>
        </w:tc>
        <w:tc>
          <w:tcPr>
            <w:tcW w:w="3560" w:type="dxa"/>
            <w:vAlign w:val="bottom"/>
          </w:tcPr>
          <w:p>
            <w:pPr>
              <w:ind w:left="80"/>
              <w:spacing w:after="0"/>
              <w:rPr>
                <w:sz w:val="20"/>
                <w:szCs w:val="20"/>
                <w:color w:val="auto"/>
              </w:rPr>
            </w:pPr>
            <w:r>
              <w:rPr>
                <w:rFonts w:ascii="Arial" w:cs="Arial" w:eastAsia="Arial" w:hAnsi="Arial"/>
                <w:sz w:val="18"/>
                <w:szCs w:val="18"/>
                <w:color w:val="auto"/>
              </w:rPr>
              <w:t>20110</w:t>
            </w:r>
          </w:p>
        </w:tc>
        <w:tc>
          <w:tcPr>
            <w:tcW w:w="1820" w:type="dxa"/>
            <w:vAlign w:val="bottom"/>
          </w:tcPr>
          <w:p>
            <w:pPr>
              <w:spacing w:after="0"/>
              <w:rPr>
                <w:sz w:val="19"/>
                <w:szCs w:val="19"/>
                <w:color w:val="auto"/>
              </w:rPr>
            </w:pPr>
          </w:p>
        </w:tc>
      </w:tr>
      <w:tr>
        <w:trPr>
          <w:trHeight w:val="223"/>
        </w:trPr>
        <w:tc>
          <w:tcPr>
            <w:tcW w:w="2500" w:type="dxa"/>
            <w:vAlign w:val="bottom"/>
          </w:tcPr>
          <w:p>
            <w:pPr>
              <w:spacing w:after="0"/>
              <w:rPr>
                <w:sz w:val="20"/>
                <w:szCs w:val="20"/>
                <w:color w:val="auto"/>
              </w:rPr>
            </w:pPr>
            <w:r>
              <w:rPr>
                <w:rFonts w:ascii="Arial" w:cs="Arial" w:eastAsia="Arial" w:hAnsi="Arial"/>
                <w:sz w:val="18"/>
                <w:szCs w:val="18"/>
                <w:color w:val="auto"/>
                <w:w w:val="94"/>
              </w:rPr>
              <w:t>Integra LifeSciences Corporation</w:t>
            </w:r>
          </w:p>
        </w:tc>
        <w:tc>
          <w:tcPr>
            <w:tcW w:w="3380" w:type="dxa"/>
            <w:vAlign w:val="bottom"/>
          </w:tcPr>
          <w:p>
            <w:pPr>
              <w:ind w:left="140"/>
              <w:spacing w:after="0"/>
              <w:rPr>
                <w:sz w:val="20"/>
                <w:szCs w:val="20"/>
                <w:color w:val="auto"/>
              </w:rPr>
            </w:pPr>
            <w:r>
              <w:rPr>
                <w:rFonts w:ascii="Arial" w:cs="Arial" w:eastAsia="Arial" w:hAnsi="Arial"/>
                <w:sz w:val="18"/>
                <w:szCs w:val="18"/>
                <w:color w:val="auto"/>
                <w:w w:val="95"/>
              </w:rPr>
              <w:t>SPECTRUM HEALTH – BUTTERWORTH</w:t>
            </w:r>
          </w:p>
        </w:tc>
        <w:tc>
          <w:tcPr>
            <w:tcW w:w="3560" w:type="dxa"/>
            <w:vAlign w:val="bottom"/>
          </w:tcPr>
          <w:p>
            <w:pPr>
              <w:ind w:left="80"/>
              <w:spacing w:after="0"/>
              <w:rPr>
                <w:sz w:val="20"/>
                <w:szCs w:val="20"/>
                <w:color w:val="auto"/>
              </w:rPr>
            </w:pPr>
            <w:r>
              <w:rPr>
                <w:rFonts w:ascii="Arial" w:cs="Arial" w:eastAsia="Arial" w:hAnsi="Arial"/>
                <w:sz w:val="18"/>
                <w:szCs w:val="18"/>
                <w:color w:val="auto"/>
              </w:rPr>
              <w:t>100 Michigan Street, Grand</w:t>
            </w:r>
          </w:p>
        </w:tc>
        <w:tc>
          <w:tcPr>
            <w:tcW w:w="1820" w:type="dxa"/>
            <w:vAlign w:val="bottom"/>
          </w:tcPr>
          <w:p>
            <w:pPr>
              <w:ind w:left="1080"/>
              <w:spacing w:after="0"/>
              <w:rPr>
                <w:sz w:val="20"/>
                <w:szCs w:val="20"/>
                <w:color w:val="auto"/>
              </w:rPr>
            </w:pPr>
            <w:r>
              <w:rPr>
                <w:rFonts w:ascii="Arial" w:cs="Arial" w:eastAsia="Arial" w:hAnsi="Arial"/>
                <w:sz w:val="18"/>
                <w:szCs w:val="18"/>
                <w:color w:val="auto"/>
                <w:w w:val="83"/>
              </w:rPr>
              <w:t>Consignee</w:t>
            </w:r>
          </w:p>
        </w:tc>
      </w:tr>
      <w:tr>
        <w:trPr>
          <w:trHeight w:val="222"/>
        </w:trPr>
        <w:tc>
          <w:tcPr>
            <w:tcW w:w="25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3560" w:type="dxa"/>
            <w:vAlign w:val="bottom"/>
          </w:tcPr>
          <w:p>
            <w:pPr>
              <w:ind w:left="80"/>
              <w:spacing w:after="0"/>
              <w:rPr>
                <w:sz w:val="20"/>
                <w:szCs w:val="20"/>
                <w:color w:val="auto"/>
              </w:rPr>
            </w:pPr>
            <w:r>
              <w:rPr>
                <w:rFonts w:ascii="Arial" w:cs="Arial" w:eastAsia="Arial" w:hAnsi="Arial"/>
                <w:sz w:val="18"/>
                <w:szCs w:val="18"/>
                <w:color w:val="auto"/>
              </w:rPr>
              <w:t>Rapids, MI 49503</w:t>
            </w:r>
          </w:p>
        </w:tc>
        <w:tc>
          <w:tcPr>
            <w:tcW w:w="1820" w:type="dxa"/>
            <w:vAlign w:val="bottom"/>
          </w:tcPr>
          <w:p>
            <w:pPr>
              <w:spacing w:after="0"/>
              <w:rPr>
                <w:sz w:val="19"/>
                <w:szCs w:val="19"/>
                <w:color w:val="auto"/>
              </w:rPr>
            </w:pPr>
          </w:p>
        </w:tc>
      </w:tr>
      <w:tr>
        <w:trPr>
          <w:trHeight w:val="223"/>
        </w:trPr>
        <w:tc>
          <w:tcPr>
            <w:tcW w:w="2500" w:type="dxa"/>
            <w:vAlign w:val="bottom"/>
          </w:tcPr>
          <w:p>
            <w:pPr>
              <w:spacing w:after="0"/>
              <w:rPr>
                <w:sz w:val="20"/>
                <w:szCs w:val="20"/>
                <w:color w:val="auto"/>
              </w:rPr>
            </w:pPr>
            <w:r>
              <w:rPr>
                <w:rFonts w:ascii="Arial" w:cs="Arial" w:eastAsia="Arial" w:hAnsi="Arial"/>
                <w:sz w:val="18"/>
                <w:szCs w:val="18"/>
                <w:color w:val="auto"/>
                <w:w w:val="94"/>
              </w:rPr>
              <w:t>Integra LifeSciences Corporation</w:t>
            </w:r>
          </w:p>
        </w:tc>
        <w:tc>
          <w:tcPr>
            <w:tcW w:w="3380" w:type="dxa"/>
            <w:vAlign w:val="bottom"/>
          </w:tcPr>
          <w:p>
            <w:pPr>
              <w:ind w:left="140"/>
              <w:spacing w:after="0"/>
              <w:rPr>
                <w:sz w:val="20"/>
                <w:szCs w:val="20"/>
                <w:color w:val="auto"/>
              </w:rPr>
            </w:pPr>
            <w:r>
              <w:rPr>
                <w:rFonts w:ascii="Arial" w:cs="Arial" w:eastAsia="Arial" w:hAnsi="Arial"/>
                <w:sz w:val="18"/>
                <w:szCs w:val="18"/>
                <w:color w:val="auto"/>
              </w:rPr>
              <w:t>SPECTRUM HEALTH –</w:t>
            </w:r>
          </w:p>
        </w:tc>
        <w:tc>
          <w:tcPr>
            <w:tcW w:w="3560" w:type="dxa"/>
            <w:vAlign w:val="bottom"/>
          </w:tcPr>
          <w:p>
            <w:pPr>
              <w:ind w:left="80"/>
              <w:spacing w:after="0"/>
              <w:rPr>
                <w:sz w:val="20"/>
                <w:szCs w:val="20"/>
                <w:color w:val="auto"/>
              </w:rPr>
            </w:pPr>
            <w:r>
              <w:rPr>
                <w:rFonts w:ascii="Arial" w:cs="Arial" w:eastAsia="Arial" w:hAnsi="Arial"/>
                <w:sz w:val="18"/>
                <w:szCs w:val="18"/>
                <w:color w:val="auto"/>
              </w:rPr>
              <w:t>80 68</w:t>
            </w:r>
            <w:r>
              <w:rPr>
                <w:rFonts w:ascii="Arial" w:cs="Arial" w:eastAsia="Arial" w:hAnsi="Arial"/>
                <w:sz w:val="11"/>
                <w:szCs w:val="11"/>
                <w:color w:val="auto"/>
              </w:rPr>
              <w:t>th</w:t>
            </w:r>
            <w:r>
              <w:rPr>
                <w:rFonts w:ascii="Arial" w:cs="Arial" w:eastAsia="Arial" w:hAnsi="Arial"/>
                <w:sz w:val="18"/>
                <w:szCs w:val="18"/>
                <w:color w:val="auto"/>
              </w:rPr>
              <w:t xml:space="preserve"> Street, Grand Rapids, MI</w:t>
            </w:r>
          </w:p>
        </w:tc>
        <w:tc>
          <w:tcPr>
            <w:tcW w:w="1820" w:type="dxa"/>
            <w:vAlign w:val="bottom"/>
          </w:tcPr>
          <w:p>
            <w:pPr>
              <w:ind w:left="1080"/>
              <w:spacing w:after="0"/>
              <w:rPr>
                <w:sz w:val="20"/>
                <w:szCs w:val="20"/>
                <w:color w:val="auto"/>
              </w:rPr>
            </w:pPr>
            <w:r>
              <w:rPr>
                <w:rFonts w:ascii="Arial" w:cs="Arial" w:eastAsia="Arial" w:hAnsi="Arial"/>
                <w:sz w:val="18"/>
                <w:szCs w:val="18"/>
                <w:color w:val="auto"/>
                <w:w w:val="83"/>
              </w:rPr>
              <w:t>Consignee</w:t>
            </w:r>
          </w:p>
        </w:tc>
      </w:tr>
      <w:tr>
        <w:trPr>
          <w:trHeight w:val="222"/>
        </w:trPr>
        <w:tc>
          <w:tcPr>
            <w:tcW w:w="2500" w:type="dxa"/>
            <w:vAlign w:val="bottom"/>
          </w:tcPr>
          <w:p>
            <w:pPr>
              <w:spacing w:after="0"/>
              <w:rPr>
                <w:sz w:val="19"/>
                <w:szCs w:val="19"/>
                <w:color w:val="auto"/>
              </w:rPr>
            </w:pPr>
          </w:p>
        </w:tc>
        <w:tc>
          <w:tcPr>
            <w:tcW w:w="3380" w:type="dxa"/>
            <w:vAlign w:val="bottom"/>
          </w:tcPr>
          <w:p>
            <w:pPr>
              <w:ind w:left="140"/>
              <w:spacing w:after="0"/>
              <w:rPr>
                <w:sz w:val="20"/>
                <w:szCs w:val="20"/>
                <w:color w:val="auto"/>
              </w:rPr>
            </w:pPr>
            <w:r>
              <w:rPr>
                <w:rFonts w:ascii="Arial" w:cs="Arial" w:eastAsia="Arial" w:hAnsi="Arial"/>
                <w:sz w:val="18"/>
                <w:szCs w:val="18"/>
                <w:color w:val="auto"/>
              </w:rPr>
              <w:t>SOUTH PAVILLION</w:t>
            </w:r>
          </w:p>
        </w:tc>
        <w:tc>
          <w:tcPr>
            <w:tcW w:w="3560" w:type="dxa"/>
            <w:vAlign w:val="bottom"/>
          </w:tcPr>
          <w:p>
            <w:pPr>
              <w:ind w:left="80"/>
              <w:spacing w:after="0"/>
              <w:rPr>
                <w:sz w:val="20"/>
                <w:szCs w:val="20"/>
                <w:color w:val="auto"/>
              </w:rPr>
            </w:pPr>
            <w:r>
              <w:rPr>
                <w:rFonts w:ascii="Arial" w:cs="Arial" w:eastAsia="Arial" w:hAnsi="Arial"/>
                <w:sz w:val="18"/>
                <w:szCs w:val="18"/>
                <w:color w:val="auto"/>
              </w:rPr>
              <w:t>49548</w:t>
            </w:r>
          </w:p>
        </w:tc>
        <w:tc>
          <w:tcPr>
            <w:tcW w:w="1820" w:type="dxa"/>
            <w:vAlign w:val="bottom"/>
          </w:tcPr>
          <w:p>
            <w:pPr>
              <w:spacing w:after="0"/>
              <w:rPr>
                <w:sz w:val="19"/>
                <w:szCs w:val="19"/>
                <w:color w:val="auto"/>
              </w:rPr>
            </w:pPr>
          </w:p>
        </w:tc>
      </w:tr>
      <w:tr>
        <w:trPr>
          <w:trHeight w:val="223"/>
        </w:trPr>
        <w:tc>
          <w:tcPr>
            <w:tcW w:w="2500" w:type="dxa"/>
            <w:vAlign w:val="bottom"/>
          </w:tcPr>
          <w:p>
            <w:pPr>
              <w:spacing w:after="0"/>
              <w:rPr>
                <w:sz w:val="20"/>
                <w:szCs w:val="20"/>
                <w:color w:val="auto"/>
              </w:rPr>
            </w:pPr>
            <w:r>
              <w:rPr>
                <w:rFonts w:ascii="Arial" w:cs="Arial" w:eastAsia="Arial" w:hAnsi="Arial"/>
                <w:sz w:val="18"/>
                <w:szCs w:val="18"/>
                <w:color w:val="auto"/>
                <w:w w:val="94"/>
              </w:rPr>
              <w:t>Integra LifeSciences Corporation</w:t>
            </w:r>
          </w:p>
        </w:tc>
        <w:tc>
          <w:tcPr>
            <w:tcW w:w="3380" w:type="dxa"/>
            <w:vAlign w:val="bottom"/>
          </w:tcPr>
          <w:p>
            <w:pPr>
              <w:ind w:left="140"/>
              <w:spacing w:after="0"/>
              <w:rPr>
                <w:sz w:val="20"/>
                <w:szCs w:val="20"/>
                <w:color w:val="auto"/>
              </w:rPr>
            </w:pPr>
            <w:r>
              <w:rPr>
                <w:rFonts w:ascii="Arial" w:cs="Arial" w:eastAsia="Arial" w:hAnsi="Arial"/>
                <w:sz w:val="18"/>
                <w:szCs w:val="18"/>
                <w:color w:val="auto"/>
              </w:rPr>
              <w:t>SPECTRUM HEALTH –</w:t>
            </w:r>
          </w:p>
        </w:tc>
        <w:tc>
          <w:tcPr>
            <w:tcW w:w="3560" w:type="dxa"/>
            <w:vAlign w:val="bottom"/>
          </w:tcPr>
          <w:p>
            <w:pPr>
              <w:ind w:left="80"/>
              <w:spacing w:after="0"/>
              <w:rPr>
                <w:sz w:val="20"/>
                <w:szCs w:val="20"/>
                <w:color w:val="auto"/>
              </w:rPr>
            </w:pPr>
            <w:r>
              <w:rPr>
                <w:rFonts w:ascii="Arial" w:cs="Arial" w:eastAsia="Arial" w:hAnsi="Arial"/>
                <w:sz w:val="18"/>
                <w:szCs w:val="18"/>
                <w:color w:val="auto"/>
              </w:rPr>
              <w:t>4069 Lake Drive, Grand Rapids,</w:t>
            </w:r>
          </w:p>
        </w:tc>
        <w:tc>
          <w:tcPr>
            <w:tcW w:w="1820" w:type="dxa"/>
            <w:vAlign w:val="bottom"/>
          </w:tcPr>
          <w:p>
            <w:pPr>
              <w:ind w:left="1080"/>
              <w:spacing w:after="0"/>
              <w:rPr>
                <w:sz w:val="20"/>
                <w:szCs w:val="20"/>
                <w:color w:val="auto"/>
              </w:rPr>
            </w:pPr>
            <w:r>
              <w:rPr>
                <w:rFonts w:ascii="Arial" w:cs="Arial" w:eastAsia="Arial" w:hAnsi="Arial"/>
                <w:sz w:val="18"/>
                <w:szCs w:val="18"/>
                <w:color w:val="auto"/>
                <w:w w:val="83"/>
              </w:rPr>
              <w:t>Consignee</w:t>
            </w:r>
          </w:p>
        </w:tc>
      </w:tr>
      <w:tr>
        <w:trPr>
          <w:trHeight w:val="216"/>
        </w:trPr>
        <w:tc>
          <w:tcPr>
            <w:tcW w:w="2500" w:type="dxa"/>
            <w:vAlign w:val="bottom"/>
          </w:tcPr>
          <w:p>
            <w:pPr>
              <w:spacing w:after="0"/>
              <w:rPr>
                <w:sz w:val="18"/>
                <w:szCs w:val="18"/>
                <w:color w:val="auto"/>
              </w:rPr>
            </w:pPr>
          </w:p>
        </w:tc>
        <w:tc>
          <w:tcPr>
            <w:tcW w:w="3380" w:type="dxa"/>
            <w:vAlign w:val="bottom"/>
          </w:tcPr>
          <w:p>
            <w:pPr>
              <w:ind w:left="140"/>
              <w:spacing w:after="0"/>
              <w:rPr>
                <w:sz w:val="20"/>
                <w:szCs w:val="20"/>
                <w:color w:val="auto"/>
              </w:rPr>
            </w:pPr>
            <w:r>
              <w:rPr>
                <w:rFonts w:ascii="Arial" w:cs="Arial" w:eastAsia="Arial" w:hAnsi="Arial"/>
                <w:sz w:val="18"/>
                <w:szCs w:val="18"/>
                <w:color w:val="auto"/>
              </w:rPr>
              <w:t>LAKE DRIVE SURG</w:t>
            </w:r>
          </w:p>
        </w:tc>
        <w:tc>
          <w:tcPr>
            <w:tcW w:w="3560" w:type="dxa"/>
            <w:vAlign w:val="bottom"/>
          </w:tcPr>
          <w:p>
            <w:pPr>
              <w:ind w:left="80"/>
              <w:spacing w:after="0"/>
              <w:rPr>
                <w:sz w:val="20"/>
                <w:szCs w:val="20"/>
                <w:color w:val="auto"/>
              </w:rPr>
            </w:pPr>
            <w:r>
              <w:rPr>
                <w:rFonts w:ascii="Arial" w:cs="Arial" w:eastAsia="Arial" w:hAnsi="Arial"/>
                <w:sz w:val="18"/>
                <w:szCs w:val="18"/>
                <w:color w:val="auto"/>
              </w:rPr>
              <w:t>MI 49546</w:t>
            </w:r>
          </w:p>
        </w:tc>
        <w:tc>
          <w:tcPr>
            <w:tcW w:w="1820" w:type="dxa"/>
            <w:vAlign w:val="bottom"/>
          </w:tcPr>
          <w:p>
            <w:pPr>
              <w:spacing w:after="0"/>
              <w:rPr>
                <w:sz w:val="18"/>
                <w:szCs w:val="18"/>
                <w:color w:val="auto"/>
              </w:rPr>
            </w:pPr>
          </w:p>
        </w:tc>
      </w:tr>
      <w:tr>
        <w:trPr>
          <w:trHeight w:val="222"/>
        </w:trPr>
        <w:tc>
          <w:tcPr>
            <w:tcW w:w="2500" w:type="dxa"/>
            <w:vAlign w:val="bottom"/>
          </w:tcPr>
          <w:p>
            <w:pPr>
              <w:spacing w:after="0"/>
              <w:rPr>
                <w:sz w:val="19"/>
                <w:szCs w:val="19"/>
                <w:color w:val="auto"/>
              </w:rPr>
            </w:pPr>
          </w:p>
        </w:tc>
        <w:tc>
          <w:tcPr>
            <w:tcW w:w="3380" w:type="dxa"/>
            <w:vAlign w:val="bottom"/>
          </w:tcPr>
          <w:p>
            <w:pPr>
              <w:ind w:left="140"/>
              <w:spacing w:after="0"/>
              <w:rPr>
                <w:sz w:val="20"/>
                <w:szCs w:val="20"/>
                <w:color w:val="auto"/>
              </w:rPr>
            </w:pPr>
            <w:r>
              <w:rPr>
                <w:rFonts w:ascii="Arial" w:cs="Arial" w:eastAsia="Arial" w:hAnsi="Arial"/>
                <w:sz w:val="18"/>
                <w:szCs w:val="18"/>
                <w:color w:val="auto"/>
              </w:rPr>
              <w:t>CTR</w:t>
            </w:r>
          </w:p>
        </w:tc>
        <w:tc>
          <w:tcPr>
            <w:tcW w:w="35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23"/>
        </w:trPr>
        <w:tc>
          <w:tcPr>
            <w:tcW w:w="2500" w:type="dxa"/>
            <w:vAlign w:val="bottom"/>
          </w:tcPr>
          <w:p>
            <w:pPr>
              <w:spacing w:after="0"/>
              <w:rPr>
                <w:sz w:val="20"/>
                <w:szCs w:val="20"/>
                <w:color w:val="auto"/>
              </w:rPr>
            </w:pPr>
            <w:r>
              <w:rPr>
                <w:rFonts w:ascii="Arial" w:cs="Arial" w:eastAsia="Arial" w:hAnsi="Arial"/>
                <w:sz w:val="18"/>
                <w:szCs w:val="18"/>
                <w:color w:val="auto"/>
                <w:w w:val="94"/>
              </w:rPr>
              <w:t>Integra LifeSciences Corporation</w:t>
            </w:r>
          </w:p>
        </w:tc>
        <w:tc>
          <w:tcPr>
            <w:tcW w:w="3380" w:type="dxa"/>
            <w:vAlign w:val="bottom"/>
          </w:tcPr>
          <w:p>
            <w:pPr>
              <w:ind w:left="140"/>
              <w:spacing w:after="0"/>
              <w:rPr>
                <w:sz w:val="20"/>
                <w:szCs w:val="20"/>
                <w:color w:val="auto"/>
              </w:rPr>
            </w:pPr>
            <w:r>
              <w:rPr>
                <w:rFonts w:ascii="Arial" w:cs="Arial" w:eastAsia="Arial" w:hAnsi="Arial"/>
                <w:sz w:val="18"/>
                <w:szCs w:val="18"/>
                <w:color w:val="auto"/>
              </w:rPr>
              <w:t>SPECTRUM HEALTH – BLODGETT</w:t>
            </w:r>
          </w:p>
        </w:tc>
        <w:tc>
          <w:tcPr>
            <w:tcW w:w="3560" w:type="dxa"/>
            <w:vAlign w:val="bottom"/>
          </w:tcPr>
          <w:p>
            <w:pPr>
              <w:ind w:left="80"/>
              <w:spacing w:after="0"/>
              <w:rPr>
                <w:sz w:val="20"/>
                <w:szCs w:val="20"/>
                <w:color w:val="auto"/>
              </w:rPr>
            </w:pPr>
            <w:r>
              <w:rPr>
                <w:rFonts w:ascii="Arial" w:cs="Arial" w:eastAsia="Arial" w:hAnsi="Arial"/>
                <w:sz w:val="18"/>
                <w:szCs w:val="18"/>
                <w:color w:val="auto"/>
              </w:rPr>
              <w:t>1840 Wealthy Street, Grand</w:t>
            </w:r>
          </w:p>
        </w:tc>
        <w:tc>
          <w:tcPr>
            <w:tcW w:w="1820" w:type="dxa"/>
            <w:vAlign w:val="bottom"/>
          </w:tcPr>
          <w:p>
            <w:pPr>
              <w:ind w:left="1080"/>
              <w:spacing w:after="0"/>
              <w:rPr>
                <w:sz w:val="20"/>
                <w:szCs w:val="20"/>
                <w:color w:val="auto"/>
              </w:rPr>
            </w:pPr>
            <w:r>
              <w:rPr>
                <w:rFonts w:ascii="Arial" w:cs="Arial" w:eastAsia="Arial" w:hAnsi="Arial"/>
                <w:sz w:val="18"/>
                <w:szCs w:val="18"/>
                <w:color w:val="auto"/>
                <w:w w:val="83"/>
              </w:rPr>
              <w:t>Consignee</w:t>
            </w:r>
          </w:p>
        </w:tc>
      </w:tr>
      <w:tr>
        <w:trPr>
          <w:trHeight w:val="222"/>
        </w:trPr>
        <w:tc>
          <w:tcPr>
            <w:tcW w:w="25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3560" w:type="dxa"/>
            <w:vAlign w:val="bottom"/>
          </w:tcPr>
          <w:p>
            <w:pPr>
              <w:ind w:left="80"/>
              <w:spacing w:after="0"/>
              <w:rPr>
                <w:sz w:val="20"/>
                <w:szCs w:val="20"/>
                <w:color w:val="auto"/>
              </w:rPr>
            </w:pPr>
            <w:r>
              <w:rPr>
                <w:rFonts w:ascii="Arial" w:cs="Arial" w:eastAsia="Arial" w:hAnsi="Arial"/>
                <w:sz w:val="18"/>
                <w:szCs w:val="18"/>
                <w:color w:val="auto"/>
              </w:rPr>
              <w:t>Rapids, MI 49506</w:t>
            </w:r>
          </w:p>
        </w:tc>
        <w:tc>
          <w:tcPr>
            <w:tcW w:w="1820" w:type="dxa"/>
            <w:vAlign w:val="bottom"/>
          </w:tcPr>
          <w:p>
            <w:pPr>
              <w:spacing w:after="0"/>
              <w:rPr>
                <w:sz w:val="19"/>
                <w:szCs w:val="19"/>
                <w:color w:val="auto"/>
              </w:rPr>
            </w:pPr>
          </w:p>
        </w:tc>
      </w:tr>
      <w:tr>
        <w:trPr>
          <w:trHeight w:val="223"/>
        </w:trPr>
        <w:tc>
          <w:tcPr>
            <w:tcW w:w="2500" w:type="dxa"/>
            <w:vAlign w:val="bottom"/>
          </w:tcPr>
          <w:p>
            <w:pPr>
              <w:spacing w:after="0"/>
              <w:rPr>
                <w:sz w:val="20"/>
                <w:szCs w:val="20"/>
                <w:color w:val="auto"/>
              </w:rPr>
            </w:pPr>
            <w:r>
              <w:rPr>
                <w:rFonts w:ascii="Arial" w:cs="Arial" w:eastAsia="Arial" w:hAnsi="Arial"/>
                <w:sz w:val="18"/>
                <w:szCs w:val="18"/>
                <w:color w:val="auto"/>
                <w:w w:val="94"/>
              </w:rPr>
              <w:t>Integra LifeSciences Corporation</w:t>
            </w:r>
          </w:p>
        </w:tc>
        <w:tc>
          <w:tcPr>
            <w:tcW w:w="3380" w:type="dxa"/>
            <w:vAlign w:val="bottom"/>
          </w:tcPr>
          <w:p>
            <w:pPr>
              <w:ind w:left="140"/>
              <w:spacing w:after="0"/>
              <w:rPr>
                <w:sz w:val="20"/>
                <w:szCs w:val="20"/>
                <w:color w:val="auto"/>
              </w:rPr>
            </w:pPr>
            <w:r>
              <w:rPr>
                <w:rFonts w:ascii="Arial" w:cs="Arial" w:eastAsia="Arial" w:hAnsi="Arial"/>
                <w:sz w:val="18"/>
                <w:szCs w:val="18"/>
                <w:color w:val="auto"/>
              </w:rPr>
              <w:t>SURGERY CENTER OF CINCINNATI</w:t>
            </w:r>
          </w:p>
        </w:tc>
        <w:tc>
          <w:tcPr>
            <w:tcW w:w="3560" w:type="dxa"/>
            <w:vAlign w:val="bottom"/>
          </w:tcPr>
          <w:p>
            <w:pPr>
              <w:ind w:left="80"/>
              <w:spacing w:after="0"/>
              <w:rPr>
                <w:sz w:val="20"/>
                <w:szCs w:val="20"/>
                <w:color w:val="auto"/>
              </w:rPr>
            </w:pPr>
            <w:r>
              <w:rPr>
                <w:rFonts w:ascii="Arial" w:cs="Arial" w:eastAsia="Arial" w:hAnsi="Arial"/>
                <w:sz w:val="18"/>
                <w:szCs w:val="18"/>
                <w:color w:val="auto"/>
              </w:rPr>
              <w:t>4415 Aicholte Road, Cincinnati,</w:t>
            </w:r>
          </w:p>
        </w:tc>
        <w:tc>
          <w:tcPr>
            <w:tcW w:w="1820" w:type="dxa"/>
            <w:vAlign w:val="bottom"/>
          </w:tcPr>
          <w:p>
            <w:pPr>
              <w:ind w:left="1080"/>
              <w:spacing w:after="0"/>
              <w:rPr>
                <w:sz w:val="20"/>
                <w:szCs w:val="20"/>
                <w:color w:val="auto"/>
              </w:rPr>
            </w:pPr>
            <w:r>
              <w:rPr>
                <w:rFonts w:ascii="Arial" w:cs="Arial" w:eastAsia="Arial" w:hAnsi="Arial"/>
                <w:sz w:val="18"/>
                <w:szCs w:val="18"/>
                <w:color w:val="auto"/>
                <w:w w:val="83"/>
              </w:rPr>
              <w:t>Consignee</w:t>
            </w:r>
          </w:p>
        </w:tc>
      </w:tr>
      <w:tr>
        <w:trPr>
          <w:trHeight w:val="222"/>
        </w:trPr>
        <w:tc>
          <w:tcPr>
            <w:tcW w:w="25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3560" w:type="dxa"/>
            <w:vAlign w:val="bottom"/>
          </w:tcPr>
          <w:p>
            <w:pPr>
              <w:ind w:left="80"/>
              <w:spacing w:after="0"/>
              <w:rPr>
                <w:sz w:val="20"/>
                <w:szCs w:val="20"/>
                <w:color w:val="auto"/>
              </w:rPr>
            </w:pPr>
            <w:r>
              <w:rPr>
                <w:rFonts w:ascii="Arial" w:cs="Arial" w:eastAsia="Arial" w:hAnsi="Arial"/>
                <w:sz w:val="18"/>
                <w:szCs w:val="18"/>
                <w:color w:val="auto"/>
              </w:rPr>
              <w:t>OH 45245</w:t>
            </w:r>
          </w:p>
        </w:tc>
        <w:tc>
          <w:tcPr>
            <w:tcW w:w="1820" w:type="dxa"/>
            <w:vAlign w:val="bottom"/>
          </w:tcPr>
          <w:p>
            <w:pPr>
              <w:spacing w:after="0"/>
              <w:rPr>
                <w:sz w:val="19"/>
                <w:szCs w:val="19"/>
                <w:color w:val="auto"/>
              </w:rPr>
            </w:pPr>
          </w:p>
        </w:tc>
      </w:tr>
      <w:tr>
        <w:trPr>
          <w:trHeight w:val="223"/>
        </w:trPr>
        <w:tc>
          <w:tcPr>
            <w:tcW w:w="2500" w:type="dxa"/>
            <w:vAlign w:val="bottom"/>
          </w:tcPr>
          <w:p>
            <w:pPr>
              <w:spacing w:after="0"/>
              <w:rPr>
                <w:sz w:val="20"/>
                <w:szCs w:val="20"/>
                <w:color w:val="auto"/>
              </w:rPr>
            </w:pPr>
            <w:r>
              <w:rPr>
                <w:rFonts w:ascii="Arial" w:cs="Arial" w:eastAsia="Arial" w:hAnsi="Arial"/>
                <w:sz w:val="18"/>
                <w:szCs w:val="18"/>
                <w:color w:val="auto"/>
                <w:w w:val="94"/>
              </w:rPr>
              <w:t>Integra LifeSciences Corporation</w:t>
            </w:r>
          </w:p>
        </w:tc>
        <w:tc>
          <w:tcPr>
            <w:tcW w:w="3380" w:type="dxa"/>
            <w:vAlign w:val="bottom"/>
          </w:tcPr>
          <w:p>
            <w:pPr>
              <w:ind w:left="140"/>
              <w:spacing w:after="0"/>
              <w:rPr>
                <w:sz w:val="20"/>
                <w:szCs w:val="20"/>
                <w:color w:val="auto"/>
              </w:rPr>
            </w:pPr>
            <w:r>
              <w:rPr>
                <w:rFonts w:ascii="Arial" w:cs="Arial" w:eastAsia="Arial" w:hAnsi="Arial"/>
                <w:sz w:val="18"/>
                <w:szCs w:val="18"/>
                <w:color w:val="auto"/>
              </w:rPr>
              <w:t>MIDTOWN SURGERY</w:t>
            </w:r>
          </w:p>
        </w:tc>
        <w:tc>
          <w:tcPr>
            <w:tcW w:w="3560" w:type="dxa"/>
            <w:vAlign w:val="bottom"/>
          </w:tcPr>
          <w:p>
            <w:pPr>
              <w:ind w:left="80"/>
              <w:spacing w:after="0"/>
              <w:rPr>
                <w:sz w:val="20"/>
                <w:szCs w:val="20"/>
                <w:color w:val="auto"/>
              </w:rPr>
            </w:pPr>
            <w:r>
              <w:rPr>
                <w:rFonts w:ascii="Arial" w:cs="Arial" w:eastAsia="Arial" w:hAnsi="Arial"/>
                <w:sz w:val="18"/>
                <w:szCs w:val="18"/>
                <w:color w:val="auto"/>
              </w:rPr>
              <w:t>255 South Pauline, Memphis, TN</w:t>
            </w:r>
          </w:p>
        </w:tc>
        <w:tc>
          <w:tcPr>
            <w:tcW w:w="1820" w:type="dxa"/>
            <w:vAlign w:val="bottom"/>
          </w:tcPr>
          <w:p>
            <w:pPr>
              <w:ind w:left="1080"/>
              <w:spacing w:after="0"/>
              <w:rPr>
                <w:sz w:val="20"/>
                <w:szCs w:val="20"/>
                <w:color w:val="auto"/>
              </w:rPr>
            </w:pPr>
            <w:r>
              <w:rPr>
                <w:rFonts w:ascii="Arial" w:cs="Arial" w:eastAsia="Arial" w:hAnsi="Arial"/>
                <w:sz w:val="18"/>
                <w:szCs w:val="18"/>
                <w:color w:val="auto"/>
                <w:w w:val="83"/>
              </w:rPr>
              <w:t>Consignee</w:t>
            </w:r>
          </w:p>
        </w:tc>
      </w:tr>
      <w:tr>
        <w:trPr>
          <w:trHeight w:val="222"/>
        </w:trPr>
        <w:tc>
          <w:tcPr>
            <w:tcW w:w="2500" w:type="dxa"/>
            <w:vAlign w:val="bottom"/>
          </w:tcPr>
          <w:p>
            <w:pPr>
              <w:spacing w:after="0"/>
              <w:rPr>
                <w:sz w:val="19"/>
                <w:szCs w:val="19"/>
                <w:color w:val="auto"/>
              </w:rPr>
            </w:pPr>
          </w:p>
        </w:tc>
        <w:tc>
          <w:tcPr>
            <w:tcW w:w="3380" w:type="dxa"/>
            <w:vAlign w:val="bottom"/>
          </w:tcPr>
          <w:p>
            <w:pPr>
              <w:ind w:left="140"/>
              <w:spacing w:after="0"/>
              <w:rPr>
                <w:sz w:val="20"/>
                <w:szCs w:val="20"/>
                <w:color w:val="auto"/>
              </w:rPr>
            </w:pPr>
            <w:r>
              <w:rPr>
                <w:rFonts w:ascii="Arial" w:cs="Arial" w:eastAsia="Arial" w:hAnsi="Arial"/>
                <w:sz w:val="18"/>
                <w:szCs w:val="18"/>
                <w:color w:val="auto"/>
              </w:rPr>
              <w:t>CENTER</w:t>
            </w:r>
          </w:p>
        </w:tc>
        <w:tc>
          <w:tcPr>
            <w:tcW w:w="3560" w:type="dxa"/>
            <w:vAlign w:val="bottom"/>
          </w:tcPr>
          <w:p>
            <w:pPr>
              <w:ind w:left="80"/>
              <w:spacing w:after="0"/>
              <w:rPr>
                <w:sz w:val="20"/>
                <w:szCs w:val="20"/>
                <w:color w:val="auto"/>
              </w:rPr>
            </w:pPr>
            <w:r>
              <w:rPr>
                <w:rFonts w:ascii="Arial" w:cs="Arial" w:eastAsia="Arial" w:hAnsi="Arial"/>
                <w:sz w:val="18"/>
                <w:szCs w:val="18"/>
                <w:color w:val="auto"/>
              </w:rPr>
              <w:t>38104</w:t>
            </w:r>
          </w:p>
        </w:tc>
        <w:tc>
          <w:tcPr>
            <w:tcW w:w="1820" w:type="dxa"/>
            <w:vAlign w:val="bottom"/>
          </w:tcPr>
          <w:p>
            <w:pPr>
              <w:spacing w:after="0"/>
              <w:rPr>
                <w:sz w:val="19"/>
                <w:szCs w:val="19"/>
                <w:color w:val="auto"/>
              </w:rPr>
            </w:pPr>
          </w:p>
        </w:tc>
      </w:tr>
      <w:tr>
        <w:trPr>
          <w:trHeight w:val="223"/>
        </w:trPr>
        <w:tc>
          <w:tcPr>
            <w:tcW w:w="2500" w:type="dxa"/>
            <w:vAlign w:val="bottom"/>
          </w:tcPr>
          <w:p>
            <w:pPr>
              <w:spacing w:after="0"/>
              <w:rPr>
                <w:sz w:val="20"/>
                <w:szCs w:val="20"/>
                <w:color w:val="auto"/>
              </w:rPr>
            </w:pPr>
            <w:r>
              <w:rPr>
                <w:rFonts w:ascii="Arial" w:cs="Arial" w:eastAsia="Arial" w:hAnsi="Arial"/>
                <w:sz w:val="18"/>
                <w:szCs w:val="18"/>
                <w:color w:val="auto"/>
                <w:w w:val="94"/>
              </w:rPr>
              <w:t>Integra LifeSciences Corporation</w:t>
            </w:r>
          </w:p>
        </w:tc>
        <w:tc>
          <w:tcPr>
            <w:tcW w:w="3380" w:type="dxa"/>
            <w:vAlign w:val="bottom"/>
          </w:tcPr>
          <w:p>
            <w:pPr>
              <w:ind w:left="140"/>
              <w:spacing w:after="0"/>
              <w:rPr>
                <w:sz w:val="20"/>
                <w:szCs w:val="20"/>
                <w:color w:val="auto"/>
              </w:rPr>
            </w:pPr>
            <w:r>
              <w:rPr>
                <w:rFonts w:ascii="Arial" w:cs="Arial" w:eastAsia="Arial" w:hAnsi="Arial"/>
                <w:sz w:val="18"/>
                <w:szCs w:val="18"/>
                <w:color w:val="auto"/>
              </w:rPr>
              <w:t>FRIST SURGICAL WOODLANDS</w:t>
            </w:r>
          </w:p>
        </w:tc>
        <w:tc>
          <w:tcPr>
            <w:tcW w:w="3560" w:type="dxa"/>
            <w:vAlign w:val="bottom"/>
          </w:tcPr>
          <w:p>
            <w:pPr>
              <w:ind w:left="80"/>
              <w:spacing w:after="0"/>
              <w:rPr>
                <w:sz w:val="20"/>
                <w:szCs w:val="20"/>
                <w:color w:val="auto"/>
              </w:rPr>
            </w:pPr>
            <w:r>
              <w:rPr>
                <w:rFonts w:ascii="Arial" w:cs="Arial" w:eastAsia="Arial" w:hAnsi="Arial"/>
                <w:sz w:val="18"/>
                <w:szCs w:val="18"/>
                <w:color w:val="auto"/>
              </w:rPr>
              <w:t>111 Vision Park Boulevard, Suite</w:t>
            </w:r>
          </w:p>
        </w:tc>
        <w:tc>
          <w:tcPr>
            <w:tcW w:w="1820" w:type="dxa"/>
            <w:vAlign w:val="bottom"/>
          </w:tcPr>
          <w:p>
            <w:pPr>
              <w:ind w:left="1080"/>
              <w:spacing w:after="0"/>
              <w:rPr>
                <w:sz w:val="20"/>
                <w:szCs w:val="20"/>
                <w:color w:val="auto"/>
              </w:rPr>
            </w:pPr>
            <w:r>
              <w:rPr>
                <w:rFonts w:ascii="Arial" w:cs="Arial" w:eastAsia="Arial" w:hAnsi="Arial"/>
                <w:sz w:val="18"/>
                <w:szCs w:val="18"/>
                <w:color w:val="auto"/>
                <w:w w:val="83"/>
              </w:rPr>
              <w:t>Consignee</w:t>
            </w:r>
          </w:p>
        </w:tc>
      </w:tr>
      <w:tr>
        <w:trPr>
          <w:trHeight w:val="222"/>
        </w:trPr>
        <w:tc>
          <w:tcPr>
            <w:tcW w:w="25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3560" w:type="dxa"/>
            <w:vAlign w:val="bottom"/>
          </w:tcPr>
          <w:p>
            <w:pPr>
              <w:ind w:left="80"/>
              <w:spacing w:after="0"/>
              <w:rPr>
                <w:sz w:val="20"/>
                <w:szCs w:val="20"/>
                <w:color w:val="auto"/>
              </w:rPr>
            </w:pPr>
            <w:r>
              <w:rPr>
                <w:rFonts w:ascii="Arial" w:cs="Arial" w:eastAsia="Arial" w:hAnsi="Arial"/>
                <w:sz w:val="18"/>
                <w:szCs w:val="18"/>
                <w:color w:val="auto"/>
              </w:rPr>
              <w:t>200 Shenandoah, TX 77384-3006</w:t>
            </w:r>
          </w:p>
        </w:tc>
        <w:tc>
          <w:tcPr>
            <w:tcW w:w="1820" w:type="dxa"/>
            <w:vAlign w:val="bottom"/>
          </w:tcPr>
          <w:p>
            <w:pPr>
              <w:spacing w:after="0"/>
              <w:rPr>
                <w:sz w:val="19"/>
                <w:szCs w:val="19"/>
                <w:color w:val="auto"/>
              </w:rPr>
            </w:pPr>
          </w:p>
        </w:tc>
      </w:tr>
    </w:tbl>
    <w:p>
      <w:pPr>
        <w:sectPr>
          <w:pgSz w:w="11900" w:h="16838" w:orient="portrait"/>
          <w:cols w:equalWidth="0" w:num="1">
            <w:col w:w="11260"/>
          </w:cols>
          <w:pgMar w:left="240" w:top="280" w:right="399" w:bottom="1440" w:gutter="0" w:footer="0" w:header="0"/>
        </w:sectPr>
      </w:pPr>
    </w:p>
    <w:bookmarkStart w:id="335" w:name="page336"/>
    <w:bookmarkEnd w:id="33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20"/>
                <w:szCs w:val="20"/>
                <w:color w:val="auto"/>
              </w:rPr>
            </w:pPr>
            <w:r>
              <w:rPr>
                <w:rFonts w:ascii="Arial" w:cs="Arial" w:eastAsia="Arial" w:hAnsi="Arial"/>
                <w:sz w:val="18"/>
                <w:szCs w:val="18"/>
                <w:color w:val="auto"/>
                <w:w w:val="94"/>
              </w:rPr>
              <w:t>Integra LifeSciences Corporation</w:t>
            </w:r>
          </w:p>
        </w:tc>
        <w:tc>
          <w:tcPr>
            <w:tcW w:w="3060" w:type="dxa"/>
            <w:vAlign w:val="bottom"/>
          </w:tcPr>
          <w:p>
            <w:pPr>
              <w:ind w:left="140"/>
              <w:spacing w:after="0"/>
              <w:rPr>
                <w:sz w:val="20"/>
                <w:szCs w:val="20"/>
                <w:color w:val="auto"/>
              </w:rPr>
            </w:pPr>
            <w:r>
              <w:rPr>
                <w:rFonts w:ascii="Arial" w:cs="Arial" w:eastAsia="Arial" w:hAnsi="Arial"/>
                <w:sz w:val="18"/>
                <w:szCs w:val="18"/>
                <w:color w:val="auto"/>
              </w:rPr>
              <w:t>BENEFIS HEALTH</w:t>
            </w:r>
          </w:p>
        </w:tc>
        <w:tc>
          <w:tcPr>
            <w:tcW w:w="3860" w:type="dxa"/>
            <w:vAlign w:val="bottom"/>
          </w:tcPr>
          <w:p>
            <w:pPr>
              <w:ind w:left="400"/>
              <w:spacing w:after="0"/>
              <w:rPr>
                <w:sz w:val="20"/>
                <w:szCs w:val="20"/>
                <w:color w:val="auto"/>
              </w:rPr>
            </w:pPr>
            <w:r>
              <w:rPr>
                <w:rFonts w:ascii="Arial" w:cs="Arial" w:eastAsia="Arial" w:hAnsi="Arial"/>
                <w:sz w:val="18"/>
                <w:szCs w:val="18"/>
                <w:color w:val="auto"/>
              </w:rPr>
              <w:t>1101 26</w:t>
            </w:r>
            <w:r>
              <w:rPr>
                <w:rFonts w:ascii="Arial" w:cs="Arial" w:eastAsia="Arial" w:hAnsi="Arial"/>
                <w:sz w:val="11"/>
                <w:szCs w:val="11"/>
                <w:color w:val="auto"/>
              </w:rPr>
              <w:t>th</w:t>
            </w:r>
            <w:r>
              <w:rPr>
                <w:rFonts w:ascii="Arial" w:cs="Arial" w:eastAsia="Arial" w:hAnsi="Arial"/>
                <w:sz w:val="18"/>
                <w:szCs w:val="18"/>
                <w:color w:val="auto"/>
              </w:rPr>
              <w:t xml:space="preserve"> Street South, Great</w:t>
            </w:r>
          </w:p>
        </w:tc>
        <w:tc>
          <w:tcPr>
            <w:tcW w:w="1840" w:type="dxa"/>
            <w:vAlign w:val="bottom"/>
          </w:tcPr>
          <w:p>
            <w:pPr>
              <w:ind w:left="1100"/>
              <w:spacing w:after="0"/>
              <w:rPr>
                <w:sz w:val="20"/>
                <w:szCs w:val="20"/>
                <w:color w:val="auto"/>
              </w:rPr>
            </w:pPr>
            <w:r>
              <w:rPr>
                <w:rFonts w:ascii="Arial" w:cs="Arial" w:eastAsia="Arial" w:hAnsi="Arial"/>
                <w:sz w:val="18"/>
                <w:szCs w:val="18"/>
                <w:color w:val="auto"/>
                <w:w w:val="83"/>
              </w:rPr>
              <w:t>Consignee</w:t>
            </w:r>
          </w:p>
        </w:tc>
      </w:tr>
      <w:tr>
        <w:trPr>
          <w:trHeight w:val="222"/>
        </w:trPr>
        <w:tc>
          <w:tcPr>
            <w:tcW w:w="2500" w:type="dxa"/>
            <w:vAlign w:val="bottom"/>
          </w:tcPr>
          <w:p>
            <w:pPr>
              <w:spacing w:after="0"/>
              <w:rPr>
                <w:sz w:val="19"/>
                <w:szCs w:val="19"/>
                <w:color w:val="auto"/>
              </w:rPr>
            </w:pPr>
          </w:p>
        </w:tc>
        <w:tc>
          <w:tcPr>
            <w:tcW w:w="3060" w:type="dxa"/>
            <w:vAlign w:val="bottom"/>
          </w:tcPr>
          <w:p>
            <w:pPr>
              <w:ind w:left="140"/>
              <w:spacing w:after="0"/>
              <w:rPr>
                <w:sz w:val="20"/>
                <w:szCs w:val="20"/>
                <w:color w:val="auto"/>
              </w:rPr>
            </w:pPr>
            <w:r>
              <w:rPr>
                <w:rFonts w:ascii="Arial" w:cs="Arial" w:eastAsia="Arial" w:hAnsi="Arial"/>
                <w:sz w:val="18"/>
                <w:szCs w:val="18"/>
                <w:color w:val="auto"/>
              </w:rPr>
              <w:t>SYSTEMS</w:t>
            </w:r>
          </w:p>
        </w:tc>
        <w:tc>
          <w:tcPr>
            <w:tcW w:w="3860" w:type="dxa"/>
            <w:vAlign w:val="bottom"/>
          </w:tcPr>
          <w:p>
            <w:pPr>
              <w:ind w:left="400"/>
              <w:spacing w:after="0"/>
              <w:rPr>
                <w:sz w:val="20"/>
                <w:szCs w:val="20"/>
                <w:color w:val="auto"/>
              </w:rPr>
            </w:pPr>
            <w:r>
              <w:rPr>
                <w:rFonts w:ascii="Arial" w:cs="Arial" w:eastAsia="Arial" w:hAnsi="Arial"/>
                <w:sz w:val="18"/>
                <w:szCs w:val="18"/>
                <w:color w:val="auto"/>
              </w:rPr>
              <w:t>Falls, MT 59405</w:t>
            </w:r>
          </w:p>
        </w:tc>
        <w:tc>
          <w:tcPr>
            <w:tcW w:w="1840" w:type="dxa"/>
            <w:vAlign w:val="bottom"/>
          </w:tcPr>
          <w:p>
            <w:pPr>
              <w:spacing w:after="0"/>
              <w:rPr>
                <w:sz w:val="19"/>
                <w:szCs w:val="19"/>
                <w:color w:val="auto"/>
              </w:rPr>
            </w:pPr>
          </w:p>
        </w:tc>
      </w:tr>
      <w:tr>
        <w:trPr>
          <w:trHeight w:val="223"/>
        </w:trPr>
        <w:tc>
          <w:tcPr>
            <w:tcW w:w="2500" w:type="dxa"/>
            <w:vAlign w:val="bottom"/>
          </w:tcPr>
          <w:p>
            <w:pPr>
              <w:spacing w:after="0"/>
              <w:rPr>
                <w:sz w:val="20"/>
                <w:szCs w:val="20"/>
                <w:color w:val="auto"/>
              </w:rPr>
            </w:pPr>
            <w:r>
              <w:rPr>
                <w:rFonts w:ascii="Arial" w:cs="Arial" w:eastAsia="Arial" w:hAnsi="Arial"/>
                <w:sz w:val="18"/>
                <w:szCs w:val="18"/>
                <w:color w:val="auto"/>
                <w:w w:val="94"/>
              </w:rPr>
              <w:t>Integra LifeSciences Corporation</w:t>
            </w:r>
          </w:p>
        </w:tc>
        <w:tc>
          <w:tcPr>
            <w:tcW w:w="3060" w:type="dxa"/>
            <w:vAlign w:val="bottom"/>
          </w:tcPr>
          <w:p>
            <w:pPr>
              <w:ind w:left="140"/>
              <w:spacing w:after="0"/>
              <w:rPr>
                <w:sz w:val="20"/>
                <w:szCs w:val="20"/>
                <w:color w:val="auto"/>
              </w:rPr>
            </w:pPr>
            <w:r>
              <w:rPr>
                <w:rFonts w:ascii="Arial" w:cs="Arial" w:eastAsia="Arial" w:hAnsi="Arial"/>
                <w:sz w:val="18"/>
                <w:szCs w:val="18"/>
                <w:color w:val="auto"/>
              </w:rPr>
              <w:t>METROPOLITAN</w:t>
            </w:r>
          </w:p>
        </w:tc>
        <w:tc>
          <w:tcPr>
            <w:tcW w:w="3860" w:type="dxa"/>
            <w:vAlign w:val="bottom"/>
          </w:tcPr>
          <w:p>
            <w:pPr>
              <w:ind w:left="400"/>
              <w:spacing w:after="0"/>
              <w:rPr>
                <w:sz w:val="20"/>
                <w:szCs w:val="20"/>
                <w:color w:val="auto"/>
              </w:rPr>
            </w:pPr>
            <w:r>
              <w:rPr>
                <w:rFonts w:ascii="Arial" w:cs="Arial" w:eastAsia="Arial" w:hAnsi="Arial"/>
                <w:sz w:val="18"/>
                <w:szCs w:val="18"/>
                <w:color w:val="auto"/>
              </w:rPr>
              <w:t>540 Bordentown Avenue, Box</w:t>
            </w:r>
          </w:p>
        </w:tc>
        <w:tc>
          <w:tcPr>
            <w:tcW w:w="1840" w:type="dxa"/>
            <w:vAlign w:val="bottom"/>
          </w:tcPr>
          <w:p>
            <w:pPr>
              <w:ind w:left="1100"/>
              <w:spacing w:after="0"/>
              <w:rPr>
                <w:sz w:val="20"/>
                <w:szCs w:val="20"/>
                <w:color w:val="auto"/>
              </w:rPr>
            </w:pPr>
            <w:r>
              <w:rPr>
                <w:rFonts w:ascii="Arial" w:cs="Arial" w:eastAsia="Arial" w:hAnsi="Arial"/>
                <w:sz w:val="18"/>
                <w:szCs w:val="18"/>
                <w:color w:val="auto"/>
                <w:w w:val="83"/>
              </w:rPr>
              <w:t>Consignee</w:t>
            </w:r>
          </w:p>
        </w:tc>
      </w:tr>
      <w:tr>
        <w:trPr>
          <w:trHeight w:val="222"/>
        </w:trPr>
        <w:tc>
          <w:tcPr>
            <w:tcW w:w="2500" w:type="dxa"/>
            <w:vAlign w:val="bottom"/>
          </w:tcPr>
          <w:p>
            <w:pPr>
              <w:spacing w:after="0"/>
              <w:rPr>
                <w:sz w:val="19"/>
                <w:szCs w:val="19"/>
                <w:color w:val="auto"/>
              </w:rPr>
            </w:pPr>
          </w:p>
        </w:tc>
        <w:tc>
          <w:tcPr>
            <w:tcW w:w="3060" w:type="dxa"/>
            <w:vAlign w:val="bottom"/>
          </w:tcPr>
          <w:p>
            <w:pPr>
              <w:ind w:left="140"/>
              <w:spacing w:after="0"/>
              <w:rPr>
                <w:sz w:val="20"/>
                <w:szCs w:val="20"/>
                <w:color w:val="auto"/>
              </w:rPr>
            </w:pPr>
            <w:r>
              <w:rPr>
                <w:rFonts w:ascii="Arial" w:cs="Arial" w:eastAsia="Arial" w:hAnsi="Arial"/>
                <w:sz w:val="18"/>
                <w:szCs w:val="18"/>
                <w:color w:val="auto"/>
              </w:rPr>
              <w:t>SURGICAL INSTITUTE</w:t>
            </w:r>
          </w:p>
        </w:tc>
        <w:tc>
          <w:tcPr>
            <w:tcW w:w="3860" w:type="dxa"/>
            <w:vAlign w:val="bottom"/>
          </w:tcPr>
          <w:p>
            <w:pPr>
              <w:ind w:left="400"/>
              <w:spacing w:after="0"/>
              <w:rPr>
                <w:sz w:val="20"/>
                <w:szCs w:val="20"/>
                <w:color w:val="auto"/>
              </w:rPr>
            </w:pPr>
            <w:r>
              <w:rPr>
                <w:rFonts w:ascii="Arial" w:cs="Arial" w:eastAsia="Arial" w:hAnsi="Arial"/>
                <w:sz w:val="18"/>
                <w:szCs w:val="18"/>
                <w:color w:val="auto"/>
              </w:rPr>
              <w:t>B5, South Amboy, NJ 08879</w:t>
            </w:r>
          </w:p>
        </w:tc>
        <w:tc>
          <w:tcPr>
            <w:tcW w:w="1840" w:type="dxa"/>
            <w:vAlign w:val="bottom"/>
          </w:tcPr>
          <w:p>
            <w:pPr>
              <w:spacing w:after="0"/>
              <w:rPr>
                <w:sz w:val="19"/>
                <w:szCs w:val="19"/>
                <w:color w:val="auto"/>
              </w:rPr>
            </w:pPr>
          </w:p>
        </w:tc>
      </w:tr>
      <w:tr>
        <w:trPr>
          <w:trHeight w:val="223"/>
        </w:trPr>
        <w:tc>
          <w:tcPr>
            <w:tcW w:w="2500" w:type="dxa"/>
            <w:vAlign w:val="bottom"/>
          </w:tcPr>
          <w:p>
            <w:pPr>
              <w:spacing w:after="0"/>
              <w:rPr>
                <w:sz w:val="20"/>
                <w:szCs w:val="20"/>
                <w:color w:val="auto"/>
              </w:rPr>
            </w:pPr>
            <w:r>
              <w:rPr>
                <w:rFonts w:ascii="Arial" w:cs="Arial" w:eastAsia="Arial" w:hAnsi="Arial"/>
                <w:sz w:val="18"/>
                <w:szCs w:val="18"/>
                <w:color w:val="auto"/>
                <w:w w:val="94"/>
              </w:rPr>
              <w:t>Integra LifeSciences Corporation</w:t>
            </w:r>
          </w:p>
        </w:tc>
        <w:tc>
          <w:tcPr>
            <w:tcW w:w="3060" w:type="dxa"/>
            <w:vAlign w:val="bottom"/>
          </w:tcPr>
          <w:p>
            <w:pPr>
              <w:ind w:left="140"/>
              <w:spacing w:after="0"/>
              <w:rPr>
                <w:sz w:val="20"/>
                <w:szCs w:val="20"/>
                <w:color w:val="auto"/>
              </w:rPr>
            </w:pPr>
            <w:r>
              <w:rPr>
                <w:rFonts w:ascii="Arial" w:cs="Arial" w:eastAsia="Arial" w:hAnsi="Arial"/>
                <w:sz w:val="18"/>
                <w:szCs w:val="18"/>
                <w:color w:val="auto"/>
              </w:rPr>
              <w:t>ST. MICHAEL’S</w:t>
            </w:r>
          </w:p>
        </w:tc>
        <w:tc>
          <w:tcPr>
            <w:tcW w:w="3860" w:type="dxa"/>
            <w:vAlign w:val="bottom"/>
          </w:tcPr>
          <w:p>
            <w:pPr>
              <w:ind w:left="400"/>
              <w:spacing w:after="0"/>
              <w:rPr>
                <w:sz w:val="20"/>
                <w:szCs w:val="20"/>
                <w:color w:val="auto"/>
              </w:rPr>
            </w:pPr>
            <w:r>
              <w:rPr>
                <w:rFonts w:ascii="Arial" w:cs="Arial" w:eastAsia="Arial" w:hAnsi="Arial"/>
                <w:sz w:val="18"/>
                <w:szCs w:val="18"/>
                <w:color w:val="auto"/>
              </w:rPr>
              <w:t>3107 Oak Creek Drive, Austin,</w:t>
            </w:r>
          </w:p>
        </w:tc>
        <w:tc>
          <w:tcPr>
            <w:tcW w:w="1840" w:type="dxa"/>
            <w:vAlign w:val="bottom"/>
          </w:tcPr>
          <w:p>
            <w:pPr>
              <w:ind w:left="1100"/>
              <w:spacing w:after="0"/>
              <w:rPr>
                <w:sz w:val="20"/>
                <w:szCs w:val="20"/>
                <w:color w:val="auto"/>
              </w:rPr>
            </w:pPr>
            <w:r>
              <w:rPr>
                <w:rFonts w:ascii="Arial" w:cs="Arial" w:eastAsia="Arial" w:hAnsi="Arial"/>
                <w:sz w:val="18"/>
                <w:szCs w:val="18"/>
                <w:color w:val="auto"/>
                <w:w w:val="83"/>
              </w:rPr>
              <w:t>Consignee</w:t>
            </w:r>
          </w:p>
        </w:tc>
      </w:tr>
      <w:tr>
        <w:trPr>
          <w:trHeight w:val="216"/>
        </w:trPr>
        <w:tc>
          <w:tcPr>
            <w:tcW w:w="2500" w:type="dxa"/>
            <w:vAlign w:val="bottom"/>
          </w:tcPr>
          <w:p>
            <w:pPr>
              <w:spacing w:after="0"/>
              <w:rPr>
                <w:sz w:val="18"/>
                <w:szCs w:val="18"/>
                <w:color w:val="auto"/>
              </w:rPr>
            </w:pPr>
          </w:p>
        </w:tc>
        <w:tc>
          <w:tcPr>
            <w:tcW w:w="3060" w:type="dxa"/>
            <w:vAlign w:val="bottom"/>
          </w:tcPr>
          <w:p>
            <w:pPr>
              <w:ind w:left="140"/>
              <w:spacing w:after="0"/>
              <w:rPr>
                <w:sz w:val="20"/>
                <w:szCs w:val="20"/>
                <w:color w:val="auto"/>
              </w:rPr>
            </w:pPr>
            <w:r>
              <w:rPr>
                <w:rFonts w:ascii="Arial" w:cs="Arial" w:eastAsia="Arial" w:hAnsi="Arial"/>
                <w:sz w:val="18"/>
                <w:szCs w:val="18"/>
                <w:color w:val="auto"/>
              </w:rPr>
              <w:t>CENTER FOR SPECIAL</w:t>
            </w:r>
          </w:p>
        </w:tc>
        <w:tc>
          <w:tcPr>
            <w:tcW w:w="3860" w:type="dxa"/>
            <w:vAlign w:val="bottom"/>
          </w:tcPr>
          <w:p>
            <w:pPr>
              <w:ind w:left="400"/>
              <w:spacing w:after="0"/>
              <w:rPr>
                <w:sz w:val="20"/>
                <w:szCs w:val="20"/>
                <w:color w:val="auto"/>
              </w:rPr>
            </w:pPr>
            <w:r>
              <w:rPr>
                <w:rFonts w:ascii="Arial" w:cs="Arial" w:eastAsia="Arial" w:hAnsi="Arial"/>
                <w:sz w:val="18"/>
                <w:szCs w:val="18"/>
                <w:color w:val="auto"/>
              </w:rPr>
              <w:t>TX 78727</w:t>
            </w:r>
          </w:p>
        </w:tc>
        <w:tc>
          <w:tcPr>
            <w:tcW w:w="1840" w:type="dxa"/>
            <w:vAlign w:val="bottom"/>
          </w:tcPr>
          <w:p>
            <w:pPr>
              <w:spacing w:after="0"/>
              <w:rPr>
                <w:sz w:val="18"/>
                <w:szCs w:val="18"/>
                <w:color w:val="auto"/>
              </w:rPr>
            </w:pPr>
          </w:p>
        </w:tc>
      </w:tr>
      <w:tr>
        <w:trPr>
          <w:trHeight w:val="222"/>
        </w:trPr>
        <w:tc>
          <w:tcPr>
            <w:tcW w:w="2500" w:type="dxa"/>
            <w:vAlign w:val="bottom"/>
          </w:tcPr>
          <w:p>
            <w:pPr>
              <w:spacing w:after="0"/>
              <w:rPr>
                <w:sz w:val="19"/>
                <w:szCs w:val="19"/>
                <w:color w:val="auto"/>
              </w:rPr>
            </w:pPr>
          </w:p>
        </w:tc>
        <w:tc>
          <w:tcPr>
            <w:tcW w:w="3060" w:type="dxa"/>
            <w:vAlign w:val="bottom"/>
          </w:tcPr>
          <w:p>
            <w:pPr>
              <w:ind w:left="140"/>
              <w:spacing w:after="0"/>
              <w:rPr>
                <w:sz w:val="20"/>
                <w:szCs w:val="20"/>
                <w:color w:val="auto"/>
              </w:rPr>
            </w:pPr>
            <w:r>
              <w:rPr>
                <w:rFonts w:ascii="Arial" w:cs="Arial" w:eastAsia="Arial" w:hAnsi="Arial"/>
                <w:sz w:val="18"/>
                <w:szCs w:val="18"/>
                <w:color w:val="auto"/>
              </w:rPr>
              <w:t>SURGERY</w:t>
            </w:r>
          </w:p>
        </w:tc>
        <w:tc>
          <w:tcPr>
            <w:tcW w:w="386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23"/>
        </w:trPr>
        <w:tc>
          <w:tcPr>
            <w:tcW w:w="2500" w:type="dxa"/>
            <w:vAlign w:val="bottom"/>
          </w:tcPr>
          <w:p>
            <w:pPr>
              <w:spacing w:after="0"/>
              <w:rPr>
                <w:sz w:val="20"/>
                <w:szCs w:val="20"/>
                <w:color w:val="auto"/>
              </w:rPr>
            </w:pPr>
            <w:r>
              <w:rPr>
                <w:rFonts w:ascii="Arial" w:cs="Arial" w:eastAsia="Arial" w:hAnsi="Arial"/>
                <w:sz w:val="18"/>
                <w:szCs w:val="18"/>
                <w:color w:val="auto"/>
                <w:w w:val="94"/>
              </w:rPr>
              <w:t>Integra LifeSciences Corporation</w:t>
            </w:r>
          </w:p>
        </w:tc>
        <w:tc>
          <w:tcPr>
            <w:tcW w:w="3060" w:type="dxa"/>
            <w:vAlign w:val="bottom"/>
          </w:tcPr>
          <w:p>
            <w:pPr>
              <w:ind w:left="140"/>
              <w:spacing w:after="0"/>
              <w:rPr>
                <w:sz w:val="20"/>
                <w:szCs w:val="20"/>
                <w:color w:val="auto"/>
              </w:rPr>
            </w:pPr>
            <w:r>
              <w:rPr>
                <w:rFonts w:ascii="Arial" w:cs="Arial" w:eastAsia="Arial" w:hAnsi="Arial"/>
                <w:sz w:val="18"/>
                <w:szCs w:val="18"/>
                <w:color w:val="auto"/>
              </w:rPr>
              <w:t>CHARLESTON AREA</w:t>
            </w:r>
          </w:p>
        </w:tc>
        <w:tc>
          <w:tcPr>
            <w:tcW w:w="3860" w:type="dxa"/>
            <w:vAlign w:val="bottom"/>
          </w:tcPr>
          <w:p>
            <w:pPr>
              <w:ind w:left="400"/>
              <w:spacing w:after="0"/>
              <w:rPr>
                <w:sz w:val="20"/>
                <w:szCs w:val="20"/>
                <w:color w:val="auto"/>
              </w:rPr>
            </w:pPr>
            <w:r>
              <w:rPr>
                <w:rFonts w:ascii="Arial" w:cs="Arial" w:eastAsia="Arial" w:hAnsi="Arial"/>
                <w:sz w:val="18"/>
                <w:szCs w:val="18"/>
                <w:color w:val="auto"/>
              </w:rPr>
              <w:t>501 Morris Street, Charleston,</w:t>
            </w:r>
          </w:p>
        </w:tc>
        <w:tc>
          <w:tcPr>
            <w:tcW w:w="1840" w:type="dxa"/>
            <w:vAlign w:val="bottom"/>
          </w:tcPr>
          <w:p>
            <w:pPr>
              <w:ind w:left="1100"/>
              <w:spacing w:after="0"/>
              <w:rPr>
                <w:sz w:val="20"/>
                <w:szCs w:val="20"/>
                <w:color w:val="auto"/>
              </w:rPr>
            </w:pPr>
            <w:r>
              <w:rPr>
                <w:rFonts w:ascii="Arial" w:cs="Arial" w:eastAsia="Arial" w:hAnsi="Arial"/>
                <w:sz w:val="18"/>
                <w:szCs w:val="18"/>
                <w:color w:val="auto"/>
                <w:w w:val="83"/>
              </w:rPr>
              <w:t>Consignee</w:t>
            </w:r>
          </w:p>
        </w:tc>
      </w:tr>
      <w:tr>
        <w:trPr>
          <w:trHeight w:val="222"/>
        </w:trPr>
        <w:tc>
          <w:tcPr>
            <w:tcW w:w="2500" w:type="dxa"/>
            <w:vAlign w:val="bottom"/>
          </w:tcPr>
          <w:p>
            <w:pPr>
              <w:spacing w:after="0"/>
              <w:rPr>
                <w:sz w:val="19"/>
                <w:szCs w:val="19"/>
                <w:color w:val="auto"/>
              </w:rPr>
            </w:pPr>
          </w:p>
        </w:tc>
        <w:tc>
          <w:tcPr>
            <w:tcW w:w="3060" w:type="dxa"/>
            <w:vAlign w:val="bottom"/>
          </w:tcPr>
          <w:p>
            <w:pPr>
              <w:ind w:left="140"/>
              <w:spacing w:after="0"/>
              <w:rPr>
                <w:sz w:val="20"/>
                <w:szCs w:val="20"/>
                <w:color w:val="auto"/>
              </w:rPr>
            </w:pPr>
            <w:r>
              <w:rPr>
                <w:rFonts w:ascii="Arial" w:cs="Arial" w:eastAsia="Arial" w:hAnsi="Arial"/>
                <w:sz w:val="18"/>
                <w:szCs w:val="18"/>
                <w:color w:val="auto"/>
              </w:rPr>
              <w:t>MEDICAL CENTER</w:t>
            </w:r>
          </w:p>
        </w:tc>
        <w:tc>
          <w:tcPr>
            <w:tcW w:w="3860" w:type="dxa"/>
            <w:vAlign w:val="bottom"/>
          </w:tcPr>
          <w:p>
            <w:pPr>
              <w:ind w:left="400"/>
              <w:spacing w:after="0"/>
              <w:rPr>
                <w:sz w:val="20"/>
                <w:szCs w:val="20"/>
                <w:color w:val="auto"/>
              </w:rPr>
            </w:pPr>
            <w:r>
              <w:rPr>
                <w:rFonts w:ascii="Arial" w:cs="Arial" w:eastAsia="Arial" w:hAnsi="Arial"/>
                <w:sz w:val="18"/>
                <w:szCs w:val="18"/>
                <w:color w:val="auto"/>
              </w:rPr>
              <w:t>WV 25301</w:t>
            </w:r>
          </w:p>
        </w:tc>
        <w:tc>
          <w:tcPr>
            <w:tcW w:w="1840" w:type="dxa"/>
            <w:vAlign w:val="bottom"/>
          </w:tcPr>
          <w:p>
            <w:pPr>
              <w:spacing w:after="0"/>
              <w:rPr>
                <w:sz w:val="19"/>
                <w:szCs w:val="19"/>
                <w:color w:val="auto"/>
              </w:rPr>
            </w:pPr>
          </w:p>
        </w:tc>
      </w:tr>
      <w:tr>
        <w:trPr>
          <w:trHeight w:val="223"/>
        </w:trPr>
        <w:tc>
          <w:tcPr>
            <w:tcW w:w="2500" w:type="dxa"/>
            <w:vAlign w:val="bottom"/>
          </w:tcPr>
          <w:p>
            <w:pPr>
              <w:spacing w:after="0"/>
              <w:rPr>
                <w:sz w:val="20"/>
                <w:szCs w:val="20"/>
                <w:color w:val="auto"/>
              </w:rPr>
            </w:pPr>
            <w:r>
              <w:rPr>
                <w:rFonts w:ascii="Arial" w:cs="Arial" w:eastAsia="Arial" w:hAnsi="Arial"/>
                <w:sz w:val="18"/>
                <w:szCs w:val="18"/>
                <w:color w:val="auto"/>
                <w:w w:val="94"/>
              </w:rPr>
              <w:t>Integra LifeSciences Corporation</w:t>
            </w:r>
          </w:p>
        </w:tc>
        <w:tc>
          <w:tcPr>
            <w:tcW w:w="3060" w:type="dxa"/>
            <w:vAlign w:val="bottom"/>
          </w:tcPr>
          <w:p>
            <w:pPr>
              <w:ind w:left="140"/>
              <w:spacing w:after="0"/>
              <w:rPr>
                <w:sz w:val="20"/>
                <w:szCs w:val="20"/>
                <w:color w:val="auto"/>
              </w:rPr>
            </w:pPr>
            <w:r>
              <w:rPr>
                <w:rFonts w:ascii="Arial" w:cs="Arial" w:eastAsia="Arial" w:hAnsi="Arial"/>
                <w:sz w:val="18"/>
                <w:szCs w:val="18"/>
                <w:color w:val="auto"/>
              </w:rPr>
              <w:t>BUTLER MEMORIAL</w:t>
            </w:r>
          </w:p>
        </w:tc>
        <w:tc>
          <w:tcPr>
            <w:tcW w:w="3860" w:type="dxa"/>
            <w:vAlign w:val="bottom"/>
          </w:tcPr>
          <w:p>
            <w:pPr>
              <w:ind w:left="400"/>
              <w:spacing w:after="0"/>
              <w:rPr>
                <w:sz w:val="20"/>
                <w:szCs w:val="20"/>
                <w:color w:val="auto"/>
              </w:rPr>
            </w:pPr>
            <w:r>
              <w:rPr>
                <w:rFonts w:ascii="Arial" w:cs="Arial" w:eastAsia="Arial" w:hAnsi="Arial"/>
                <w:sz w:val="18"/>
                <w:szCs w:val="18"/>
                <w:color w:val="auto"/>
              </w:rPr>
              <w:t>911 East Brady Street, Butler, PA</w:t>
            </w:r>
          </w:p>
        </w:tc>
        <w:tc>
          <w:tcPr>
            <w:tcW w:w="1840" w:type="dxa"/>
            <w:vAlign w:val="bottom"/>
          </w:tcPr>
          <w:p>
            <w:pPr>
              <w:ind w:left="1100"/>
              <w:spacing w:after="0"/>
              <w:rPr>
                <w:sz w:val="20"/>
                <w:szCs w:val="20"/>
                <w:color w:val="auto"/>
              </w:rPr>
            </w:pPr>
            <w:r>
              <w:rPr>
                <w:rFonts w:ascii="Arial" w:cs="Arial" w:eastAsia="Arial" w:hAnsi="Arial"/>
                <w:sz w:val="18"/>
                <w:szCs w:val="18"/>
                <w:color w:val="auto"/>
                <w:w w:val="83"/>
              </w:rPr>
              <w:t>Consignee</w:t>
            </w:r>
          </w:p>
        </w:tc>
      </w:tr>
      <w:tr>
        <w:trPr>
          <w:trHeight w:val="222"/>
        </w:trPr>
        <w:tc>
          <w:tcPr>
            <w:tcW w:w="25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3860" w:type="dxa"/>
            <w:vAlign w:val="bottom"/>
          </w:tcPr>
          <w:p>
            <w:pPr>
              <w:ind w:left="400"/>
              <w:spacing w:after="0"/>
              <w:rPr>
                <w:sz w:val="20"/>
                <w:szCs w:val="20"/>
                <w:color w:val="auto"/>
              </w:rPr>
            </w:pPr>
            <w:r>
              <w:rPr>
                <w:rFonts w:ascii="Arial" w:cs="Arial" w:eastAsia="Arial" w:hAnsi="Arial"/>
                <w:sz w:val="18"/>
                <w:szCs w:val="18"/>
                <w:color w:val="auto"/>
              </w:rPr>
              <w:t>16001</w:t>
            </w:r>
          </w:p>
        </w:tc>
        <w:tc>
          <w:tcPr>
            <w:tcW w:w="1840" w:type="dxa"/>
            <w:vAlign w:val="bottom"/>
          </w:tcPr>
          <w:p>
            <w:pPr>
              <w:spacing w:after="0"/>
              <w:rPr>
                <w:sz w:val="19"/>
                <w:szCs w:val="19"/>
                <w:color w:val="auto"/>
              </w:rPr>
            </w:pPr>
          </w:p>
        </w:tc>
      </w:tr>
      <w:tr>
        <w:trPr>
          <w:trHeight w:val="223"/>
        </w:trPr>
        <w:tc>
          <w:tcPr>
            <w:tcW w:w="2500" w:type="dxa"/>
            <w:vAlign w:val="bottom"/>
          </w:tcPr>
          <w:p>
            <w:pPr>
              <w:spacing w:after="0"/>
              <w:rPr>
                <w:sz w:val="20"/>
                <w:szCs w:val="20"/>
                <w:color w:val="auto"/>
              </w:rPr>
            </w:pPr>
            <w:r>
              <w:rPr>
                <w:rFonts w:ascii="Arial" w:cs="Arial" w:eastAsia="Arial" w:hAnsi="Arial"/>
                <w:sz w:val="18"/>
                <w:szCs w:val="18"/>
                <w:color w:val="auto"/>
                <w:w w:val="94"/>
              </w:rPr>
              <w:t>Integra LifeSciences Corporation</w:t>
            </w:r>
          </w:p>
        </w:tc>
        <w:tc>
          <w:tcPr>
            <w:tcW w:w="3060" w:type="dxa"/>
            <w:vAlign w:val="bottom"/>
          </w:tcPr>
          <w:p>
            <w:pPr>
              <w:ind w:left="140"/>
              <w:spacing w:after="0"/>
              <w:rPr>
                <w:sz w:val="20"/>
                <w:szCs w:val="20"/>
                <w:color w:val="auto"/>
              </w:rPr>
            </w:pPr>
            <w:r>
              <w:rPr>
                <w:rFonts w:ascii="Arial" w:cs="Arial" w:eastAsia="Arial" w:hAnsi="Arial"/>
                <w:sz w:val="18"/>
                <w:szCs w:val="18"/>
                <w:color w:val="auto"/>
              </w:rPr>
              <w:t>ORTHOPEDIC</w:t>
            </w:r>
          </w:p>
        </w:tc>
        <w:tc>
          <w:tcPr>
            <w:tcW w:w="3860" w:type="dxa"/>
            <w:vAlign w:val="bottom"/>
          </w:tcPr>
          <w:p>
            <w:pPr>
              <w:ind w:left="400"/>
              <w:spacing w:after="0"/>
              <w:rPr>
                <w:sz w:val="20"/>
                <w:szCs w:val="20"/>
                <w:color w:val="auto"/>
              </w:rPr>
            </w:pPr>
            <w:r>
              <w:rPr>
                <w:rFonts w:ascii="Arial" w:cs="Arial" w:eastAsia="Arial" w:hAnsi="Arial"/>
                <w:sz w:val="18"/>
                <w:szCs w:val="18"/>
                <w:color w:val="auto"/>
              </w:rPr>
              <w:t>33 Sewall Street, Portland, ME</w:t>
            </w:r>
          </w:p>
        </w:tc>
        <w:tc>
          <w:tcPr>
            <w:tcW w:w="1840" w:type="dxa"/>
            <w:vAlign w:val="bottom"/>
          </w:tcPr>
          <w:p>
            <w:pPr>
              <w:ind w:left="1100"/>
              <w:spacing w:after="0"/>
              <w:rPr>
                <w:sz w:val="20"/>
                <w:szCs w:val="20"/>
                <w:color w:val="auto"/>
              </w:rPr>
            </w:pPr>
            <w:r>
              <w:rPr>
                <w:rFonts w:ascii="Arial" w:cs="Arial" w:eastAsia="Arial" w:hAnsi="Arial"/>
                <w:sz w:val="18"/>
                <w:szCs w:val="18"/>
                <w:color w:val="auto"/>
                <w:w w:val="83"/>
              </w:rPr>
              <w:t>Consignee</w:t>
            </w:r>
          </w:p>
        </w:tc>
      </w:tr>
      <w:tr>
        <w:trPr>
          <w:trHeight w:val="222"/>
        </w:trPr>
        <w:tc>
          <w:tcPr>
            <w:tcW w:w="2500" w:type="dxa"/>
            <w:vAlign w:val="bottom"/>
          </w:tcPr>
          <w:p>
            <w:pPr>
              <w:spacing w:after="0"/>
              <w:rPr>
                <w:sz w:val="19"/>
                <w:szCs w:val="19"/>
                <w:color w:val="auto"/>
              </w:rPr>
            </w:pPr>
          </w:p>
        </w:tc>
        <w:tc>
          <w:tcPr>
            <w:tcW w:w="3060" w:type="dxa"/>
            <w:vAlign w:val="bottom"/>
          </w:tcPr>
          <w:p>
            <w:pPr>
              <w:ind w:left="140"/>
              <w:spacing w:after="0"/>
              <w:rPr>
                <w:sz w:val="20"/>
                <w:szCs w:val="20"/>
                <w:color w:val="auto"/>
              </w:rPr>
            </w:pPr>
            <w:r>
              <w:rPr>
                <w:rFonts w:ascii="Arial" w:cs="Arial" w:eastAsia="Arial" w:hAnsi="Arial"/>
                <w:sz w:val="18"/>
                <w:szCs w:val="18"/>
                <w:color w:val="auto"/>
              </w:rPr>
              <w:t>SURGERY CENTER</w:t>
            </w:r>
          </w:p>
        </w:tc>
        <w:tc>
          <w:tcPr>
            <w:tcW w:w="3860" w:type="dxa"/>
            <w:vAlign w:val="bottom"/>
          </w:tcPr>
          <w:p>
            <w:pPr>
              <w:ind w:left="400"/>
              <w:spacing w:after="0"/>
              <w:rPr>
                <w:sz w:val="20"/>
                <w:szCs w:val="20"/>
                <w:color w:val="auto"/>
              </w:rPr>
            </w:pPr>
            <w:r>
              <w:rPr>
                <w:rFonts w:ascii="Arial" w:cs="Arial" w:eastAsia="Arial" w:hAnsi="Arial"/>
                <w:sz w:val="18"/>
                <w:szCs w:val="18"/>
                <w:color w:val="auto"/>
              </w:rPr>
              <w:t>04102</w:t>
            </w:r>
          </w:p>
        </w:tc>
        <w:tc>
          <w:tcPr>
            <w:tcW w:w="1840" w:type="dxa"/>
            <w:vAlign w:val="bottom"/>
          </w:tcPr>
          <w:p>
            <w:pPr>
              <w:spacing w:after="0"/>
              <w:rPr>
                <w:sz w:val="19"/>
                <w:szCs w:val="19"/>
                <w:color w:val="auto"/>
              </w:rPr>
            </w:pPr>
          </w:p>
        </w:tc>
      </w:tr>
      <w:tr>
        <w:trPr>
          <w:trHeight w:val="223"/>
        </w:trPr>
        <w:tc>
          <w:tcPr>
            <w:tcW w:w="2500" w:type="dxa"/>
            <w:vAlign w:val="bottom"/>
          </w:tcPr>
          <w:p>
            <w:pPr>
              <w:spacing w:after="0"/>
              <w:rPr>
                <w:sz w:val="20"/>
                <w:szCs w:val="20"/>
                <w:color w:val="auto"/>
              </w:rPr>
            </w:pPr>
            <w:r>
              <w:rPr>
                <w:rFonts w:ascii="Arial" w:cs="Arial" w:eastAsia="Arial" w:hAnsi="Arial"/>
                <w:sz w:val="18"/>
                <w:szCs w:val="18"/>
                <w:color w:val="auto"/>
                <w:w w:val="94"/>
              </w:rPr>
              <w:t>Integra LifeSciences Corporation</w:t>
            </w:r>
          </w:p>
        </w:tc>
        <w:tc>
          <w:tcPr>
            <w:tcW w:w="3060" w:type="dxa"/>
            <w:vAlign w:val="bottom"/>
          </w:tcPr>
          <w:p>
            <w:pPr>
              <w:ind w:left="140"/>
              <w:spacing w:after="0"/>
              <w:rPr>
                <w:sz w:val="20"/>
                <w:szCs w:val="20"/>
                <w:color w:val="auto"/>
              </w:rPr>
            </w:pPr>
            <w:r>
              <w:rPr>
                <w:rFonts w:ascii="Arial" w:cs="Arial" w:eastAsia="Arial" w:hAnsi="Arial"/>
                <w:sz w:val="18"/>
                <w:szCs w:val="18"/>
                <w:color w:val="auto"/>
              </w:rPr>
              <w:t>OCHSNER HOSPITAL</w:t>
            </w:r>
          </w:p>
        </w:tc>
        <w:tc>
          <w:tcPr>
            <w:tcW w:w="3860" w:type="dxa"/>
            <w:vAlign w:val="bottom"/>
          </w:tcPr>
          <w:p>
            <w:pPr>
              <w:ind w:left="400"/>
              <w:spacing w:after="0"/>
              <w:rPr>
                <w:sz w:val="20"/>
                <w:szCs w:val="20"/>
                <w:color w:val="auto"/>
              </w:rPr>
            </w:pPr>
            <w:r>
              <w:rPr>
                <w:rFonts w:ascii="Arial" w:cs="Arial" w:eastAsia="Arial" w:hAnsi="Arial"/>
                <w:sz w:val="18"/>
                <w:szCs w:val="18"/>
                <w:color w:val="auto"/>
              </w:rPr>
              <w:t>1514 Jefferson Highway, New</w:t>
            </w:r>
          </w:p>
        </w:tc>
        <w:tc>
          <w:tcPr>
            <w:tcW w:w="1840" w:type="dxa"/>
            <w:vAlign w:val="bottom"/>
          </w:tcPr>
          <w:p>
            <w:pPr>
              <w:ind w:left="1100"/>
              <w:spacing w:after="0"/>
              <w:rPr>
                <w:sz w:val="20"/>
                <w:szCs w:val="20"/>
                <w:color w:val="auto"/>
              </w:rPr>
            </w:pPr>
            <w:r>
              <w:rPr>
                <w:rFonts w:ascii="Arial" w:cs="Arial" w:eastAsia="Arial" w:hAnsi="Arial"/>
                <w:sz w:val="18"/>
                <w:szCs w:val="18"/>
                <w:color w:val="auto"/>
                <w:w w:val="83"/>
              </w:rPr>
              <w:t>Consignee</w:t>
            </w:r>
          </w:p>
        </w:tc>
      </w:tr>
      <w:tr>
        <w:trPr>
          <w:trHeight w:val="222"/>
        </w:trPr>
        <w:tc>
          <w:tcPr>
            <w:tcW w:w="25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3860" w:type="dxa"/>
            <w:vAlign w:val="bottom"/>
          </w:tcPr>
          <w:p>
            <w:pPr>
              <w:ind w:left="400"/>
              <w:spacing w:after="0"/>
              <w:rPr>
                <w:sz w:val="20"/>
                <w:szCs w:val="20"/>
                <w:color w:val="auto"/>
              </w:rPr>
            </w:pPr>
            <w:r>
              <w:rPr>
                <w:rFonts w:ascii="Arial" w:cs="Arial" w:eastAsia="Arial" w:hAnsi="Arial"/>
                <w:sz w:val="18"/>
                <w:szCs w:val="18"/>
                <w:color w:val="auto"/>
              </w:rPr>
              <w:t>Orleans, LA 70121</w:t>
            </w:r>
          </w:p>
        </w:tc>
        <w:tc>
          <w:tcPr>
            <w:tcW w:w="1840" w:type="dxa"/>
            <w:vAlign w:val="bottom"/>
          </w:tcPr>
          <w:p>
            <w:pPr>
              <w:spacing w:after="0"/>
              <w:rPr>
                <w:sz w:val="19"/>
                <w:szCs w:val="19"/>
                <w:color w:val="auto"/>
              </w:rPr>
            </w:pPr>
          </w:p>
        </w:tc>
      </w:tr>
      <w:tr>
        <w:trPr>
          <w:trHeight w:val="223"/>
        </w:trPr>
        <w:tc>
          <w:tcPr>
            <w:tcW w:w="2500" w:type="dxa"/>
            <w:vAlign w:val="bottom"/>
          </w:tcPr>
          <w:p>
            <w:pPr>
              <w:spacing w:after="0"/>
              <w:rPr>
                <w:sz w:val="20"/>
                <w:szCs w:val="20"/>
                <w:color w:val="auto"/>
              </w:rPr>
            </w:pPr>
            <w:r>
              <w:rPr>
                <w:rFonts w:ascii="Arial" w:cs="Arial" w:eastAsia="Arial" w:hAnsi="Arial"/>
                <w:sz w:val="18"/>
                <w:szCs w:val="18"/>
                <w:color w:val="auto"/>
                <w:w w:val="94"/>
              </w:rPr>
              <w:t>Integra LifeSciences Corporation</w:t>
            </w:r>
          </w:p>
        </w:tc>
        <w:tc>
          <w:tcPr>
            <w:tcW w:w="3060" w:type="dxa"/>
            <w:vAlign w:val="bottom"/>
          </w:tcPr>
          <w:p>
            <w:pPr>
              <w:ind w:left="140"/>
              <w:spacing w:after="0"/>
              <w:rPr>
                <w:sz w:val="20"/>
                <w:szCs w:val="20"/>
                <w:color w:val="auto"/>
              </w:rPr>
            </w:pPr>
            <w:r>
              <w:rPr>
                <w:rFonts w:ascii="Arial" w:cs="Arial" w:eastAsia="Arial" w:hAnsi="Arial"/>
                <w:sz w:val="18"/>
                <w:szCs w:val="18"/>
                <w:color w:val="auto"/>
              </w:rPr>
              <w:t>DOCTOR’S HOSPITAL</w:t>
            </w:r>
          </w:p>
        </w:tc>
        <w:tc>
          <w:tcPr>
            <w:tcW w:w="3860" w:type="dxa"/>
            <w:vAlign w:val="bottom"/>
          </w:tcPr>
          <w:p>
            <w:pPr>
              <w:ind w:left="400"/>
              <w:spacing w:after="0"/>
              <w:rPr>
                <w:sz w:val="20"/>
                <w:szCs w:val="20"/>
                <w:color w:val="auto"/>
              </w:rPr>
            </w:pPr>
            <w:r>
              <w:rPr>
                <w:rFonts w:ascii="Arial" w:cs="Arial" w:eastAsia="Arial" w:hAnsi="Arial"/>
                <w:sz w:val="18"/>
                <w:szCs w:val="18"/>
                <w:color w:val="auto"/>
              </w:rPr>
              <w:t>5100 West Broad Street,</w:t>
            </w:r>
          </w:p>
        </w:tc>
        <w:tc>
          <w:tcPr>
            <w:tcW w:w="1840" w:type="dxa"/>
            <w:vAlign w:val="bottom"/>
          </w:tcPr>
          <w:p>
            <w:pPr>
              <w:ind w:left="1100"/>
              <w:spacing w:after="0"/>
              <w:rPr>
                <w:sz w:val="20"/>
                <w:szCs w:val="20"/>
                <w:color w:val="auto"/>
              </w:rPr>
            </w:pPr>
            <w:r>
              <w:rPr>
                <w:rFonts w:ascii="Arial" w:cs="Arial" w:eastAsia="Arial" w:hAnsi="Arial"/>
                <w:sz w:val="18"/>
                <w:szCs w:val="18"/>
                <w:color w:val="auto"/>
                <w:w w:val="83"/>
              </w:rPr>
              <w:t>Consignee</w:t>
            </w:r>
          </w:p>
        </w:tc>
      </w:tr>
      <w:tr>
        <w:trPr>
          <w:trHeight w:val="222"/>
        </w:trPr>
        <w:tc>
          <w:tcPr>
            <w:tcW w:w="25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3860" w:type="dxa"/>
            <w:vAlign w:val="bottom"/>
          </w:tcPr>
          <w:p>
            <w:pPr>
              <w:ind w:left="400"/>
              <w:spacing w:after="0"/>
              <w:rPr>
                <w:sz w:val="20"/>
                <w:szCs w:val="20"/>
                <w:color w:val="auto"/>
              </w:rPr>
            </w:pPr>
            <w:r>
              <w:rPr>
                <w:rFonts w:ascii="Arial" w:cs="Arial" w:eastAsia="Arial" w:hAnsi="Arial"/>
                <w:sz w:val="18"/>
                <w:szCs w:val="18"/>
                <w:color w:val="auto"/>
              </w:rPr>
              <w:t>Columbus, OH 43228</w:t>
            </w:r>
          </w:p>
        </w:tc>
        <w:tc>
          <w:tcPr>
            <w:tcW w:w="1840" w:type="dxa"/>
            <w:vAlign w:val="bottom"/>
          </w:tcPr>
          <w:p>
            <w:pPr>
              <w:spacing w:after="0"/>
              <w:rPr>
                <w:sz w:val="19"/>
                <w:szCs w:val="19"/>
                <w:color w:val="auto"/>
              </w:rPr>
            </w:pPr>
          </w:p>
        </w:tc>
      </w:tr>
      <w:tr>
        <w:trPr>
          <w:trHeight w:val="223"/>
        </w:trPr>
        <w:tc>
          <w:tcPr>
            <w:tcW w:w="2500" w:type="dxa"/>
            <w:vAlign w:val="bottom"/>
          </w:tcPr>
          <w:p>
            <w:pPr>
              <w:spacing w:after="0"/>
              <w:rPr>
                <w:sz w:val="20"/>
                <w:szCs w:val="20"/>
                <w:color w:val="auto"/>
              </w:rPr>
            </w:pPr>
            <w:r>
              <w:rPr>
                <w:rFonts w:ascii="Arial" w:cs="Arial" w:eastAsia="Arial" w:hAnsi="Arial"/>
                <w:sz w:val="18"/>
                <w:szCs w:val="18"/>
                <w:color w:val="auto"/>
                <w:w w:val="94"/>
              </w:rPr>
              <w:t>Integra LifeSciences Corporation</w:t>
            </w:r>
          </w:p>
        </w:tc>
        <w:tc>
          <w:tcPr>
            <w:tcW w:w="3060" w:type="dxa"/>
            <w:vAlign w:val="bottom"/>
          </w:tcPr>
          <w:p>
            <w:pPr>
              <w:ind w:left="140"/>
              <w:spacing w:after="0"/>
              <w:rPr>
                <w:sz w:val="20"/>
                <w:szCs w:val="20"/>
                <w:color w:val="auto"/>
              </w:rPr>
            </w:pPr>
            <w:r>
              <w:rPr>
                <w:rFonts w:ascii="Arial" w:cs="Arial" w:eastAsia="Arial" w:hAnsi="Arial"/>
                <w:sz w:val="18"/>
                <w:szCs w:val="18"/>
                <w:color w:val="auto"/>
              </w:rPr>
              <w:t>RHODE ISLAND</w:t>
            </w:r>
          </w:p>
        </w:tc>
        <w:tc>
          <w:tcPr>
            <w:tcW w:w="3860" w:type="dxa"/>
            <w:vAlign w:val="bottom"/>
          </w:tcPr>
          <w:p>
            <w:pPr>
              <w:ind w:left="400"/>
              <w:spacing w:after="0"/>
              <w:rPr>
                <w:sz w:val="20"/>
                <w:szCs w:val="20"/>
                <w:color w:val="auto"/>
              </w:rPr>
            </w:pPr>
            <w:r>
              <w:rPr>
                <w:rFonts w:ascii="Arial" w:cs="Arial" w:eastAsia="Arial" w:hAnsi="Arial"/>
                <w:sz w:val="18"/>
                <w:szCs w:val="18"/>
                <w:color w:val="auto"/>
              </w:rPr>
              <w:t>593 Eddy Street/2 Dudley Street,</w:t>
            </w:r>
          </w:p>
        </w:tc>
        <w:tc>
          <w:tcPr>
            <w:tcW w:w="1840" w:type="dxa"/>
            <w:vAlign w:val="bottom"/>
          </w:tcPr>
          <w:p>
            <w:pPr>
              <w:ind w:left="1100"/>
              <w:spacing w:after="0"/>
              <w:rPr>
                <w:sz w:val="20"/>
                <w:szCs w:val="20"/>
                <w:color w:val="auto"/>
              </w:rPr>
            </w:pPr>
            <w:r>
              <w:rPr>
                <w:rFonts w:ascii="Arial" w:cs="Arial" w:eastAsia="Arial" w:hAnsi="Arial"/>
                <w:sz w:val="18"/>
                <w:szCs w:val="18"/>
                <w:color w:val="auto"/>
                <w:w w:val="83"/>
              </w:rPr>
              <w:t>Consignee</w:t>
            </w:r>
          </w:p>
        </w:tc>
      </w:tr>
      <w:tr>
        <w:trPr>
          <w:trHeight w:val="222"/>
        </w:trPr>
        <w:tc>
          <w:tcPr>
            <w:tcW w:w="2500" w:type="dxa"/>
            <w:vAlign w:val="bottom"/>
          </w:tcPr>
          <w:p>
            <w:pPr>
              <w:spacing w:after="0"/>
              <w:rPr>
                <w:sz w:val="19"/>
                <w:szCs w:val="19"/>
                <w:color w:val="auto"/>
              </w:rPr>
            </w:pPr>
          </w:p>
        </w:tc>
        <w:tc>
          <w:tcPr>
            <w:tcW w:w="3060" w:type="dxa"/>
            <w:vAlign w:val="bottom"/>
          </w:tcPr>
          <w:p>
            <w:pPr>
              <w:ind w:left="140"/>
              <w:spacing w:after="0"/>
              <w:rPr>
                <w:sz w:val="20"/>
                <w:szCs w:val="20"/>
                <w:color w:val="auto"/>
              </w:rPr>
            </w:pPr>
            <w:r>
              <w:rPr>
                <w:rFonts w:ascii="Arial" w:cs="Arial" w:eastAsia="Arial" w:hAnsi="Arial"/>
                <w:sz w:val="18"/>
                <w:szCs w:val="18"/>
                <w:color w:val="auto"/>
              </w:rPr>
              <w:t>HOSPITAL</w:t>
            </w:r>
          </w:p>
        </w:tc>
        <w:tc>
          <w:tcPr>
            <w:tcW w:w="3860" w:type="dxa"/>
            <w:vAlign w:val="bottom"/>
          </w:tcPr>
          <w:p>
            <w:pPr>
              <w:ind w:left="400"/>
              <w:spacing w:after="0"/>
              <w:rPr>
                <w:sz w:val="20"/>
                <w:szCs w:val="20"/>
                <w:color w:val="auto"/>
              </w:rPr>
            </w:pPr>
            <w:r>
              <w:rPr>
                <w:rFonts w:ascii="Arial" w:cs="Arial" w:eastAsia="Arial" w:hAnsi="Arial"/>
                <w:sz w:val="18"/>
                <w:szCs w:val="18"/>
                <w:color w:val="auto"/>
              </w:rPr>
              <w:t>Providence, RI 02903</w:t>
            </w:r>
          </w:p>
        </w:tc>
        <w:tc>
          <w:tcPr>
            <w:tcW w:w="1840" w:type="dxa"/>
            <w:vAlign w:val="bottom"/>
          </w:tcPr>
          <w:p>
            <w:pPr>
              <w:spacing w:after="0"/>
              <w:rPr>
                <w:sz w:val="19"/>
                <w:szCs w:val="19"/>
                <w:color w:val="auto"/>
              </w:rPr>
            </w:pPr>
          </w:p>
        </w:tc>
      </w:tr>
      <w:tr>
        <w:trPr>
          <w:trHeight w:val="223"/>
        </w:trPr>
        <w:tc>
          <w:tcPr>
            <w:tcW w:w="2500" w:type="dxa"/>
            <w:vAlign w:val="bottom"/>
          </w:tcPr>
          <w:p>
            <w:pPr>
              <w:spacing w:after="0"/>
              <w:rPr>
                <w:sz w:val="20"/>
                <w:szCs w:val="20"/>
                <w:color w:val="auto"/>
              </w:rPr>
            </w:pPr>
            <w:r>
              <w:rPr>
                <w:rFonts w:ascii="Arial" w:cs="Arial" w:eastAsia="Arial" w:hAnsi="Arial"/>
                <w:sz w:val="18"/>
                <w:szCs w:val="18"/>
                <w:color w:val="auto"/>
                <w:w w:val="94"/>
              </w:rPr>
              <w:t>Integra LifeSciences Corporation</w:t>
            </w:r>
          </w:p>
        </w:tc>
        <w:tc>
          <w:tcPr>
            <w:tcW w:w="3060" w:type="dxa"/>
            <w:vAlign w:val="bottom"/>
          </w:tcPr>
          <w:p>
            <w:pPr>
              <w:ind w:left="140"/>
              <w:spacing w:after="0"/>
              <w:rPr>
                <w:sz w:val="20"/>
                <w:szCs w:val="20"/>
                <w:color w:val="auto"/>
              </w:rPr>
            </w:pPr>
            <w:r>
              <w:rPr>
                <w:rFonts w:ascii="Arial" w:cs="Arial" w:eastAsia="Arial" w:hAnsi="Arial"/>
                <w:sz w:val="18"/>
                <w:szCs w:val="18"/>
                <w:color w:val="auto"/>
              </w:rPr>
              <w:t>ORLANDO CENTER</w:t>
            </w:r>
          </w:p>
        </w:tc>
        <w:tc>
          <w:tcPr>
            <w:tcW w:w="3860" w:type="dxa"/>
            <w:vAlign w:val="bottom"/>
          </w:tcPr>
          <w:p>
            <w:pPr>
              <w:ind w:left="400"/>
              <w:spacing w:after="0"/>
              <w:rPr>
                <w:sz w:val="20"/>
                <w:szCs w:val="20"/>
                <w:color w:val="auto"/>
              </w:rPr>
            </w:pPr>
            <w:r>
              <w:rPr>
                <w:rFonts w:ascii="Arial" w:cs="Arial" w:eastAsia="Arial" w:hAnsi="Arial"/>
                <w:sz w:val="18"/>
                <w:szCs w:val="18"/>
                <w:color w:val="auto"/>
              </w:rPr>
              <w:t>1405 South Orange Avenue,</w:t>
            </w:r>
          </w:p>
        </w:tc>
        <w:tc>
          <w:tcPr>
            <w:tcW w:w="1840" w:type="dxa"/>
            <w:vAlign w:val="bottom"/>
          </w:tcPr>
          <w:p>
            <w:pPr>
              <w:ind w:left="1100"/>
              <w:spacing w:after="0"/>
              <w:rPr>
                <w:sz w:val="20"/>
                <w:szCs w:val="20"/>
                <w:color w:val="auto"/>
              </w:rPr>
            </w:pPr>
            <w:r>
              <w:rPr>
                <w:rFonts w:ascii="Arial" w:cs="Arial" w:eastAsia="Arial" w:hAnsi="Arial"/>
                <w:sz w:val="18"/>
                <w:szCs w:val="18"/>
                <w:color w:val="auto"/>
                <w:w w:val="83"/>
              </w:rPr>
              <w:t>Consignee</w:t>
            </w:r>
          </w:p>
        </w:tc>
      </w:tr>
      <w:tr>
        <w:trPr>
          <w:trHeight w:val="216"/>
        </w:trPr>
        <w:tc>
          <w:tcPr>
            <w:tcW w:w="2500" w:type="dxa"/>
            <w:vAlign w:val="bottom"/>
          </w:tcPr>
          <w:p>
            <w:pPr>
              <w:spacing w:after="0"/>
              <w:rPr>
                <w:sz w:val="18"/>
                <w:szCs w:val="18"/>
                <w:color w:val="auto"/>
              </w:rPr>
            </w:pPr>
          </w:p>
        </w:tc>
        <w:tc>
          <w:tcPr>
            <w:tcW w:w="3060" w:type="dxa"/>
            <w:vAlign w:val="bottom"/>
          </w:tcPr>
          <w:p>
            <w:pPr>
              <w:ind w:left="140"/>
              <w:spacing w:after="0"/>
              <w:rPr>
                <w:sz w:val="20"/>
                <w:szCs w:val="20"/>
                <w:color w:val="auto"/>
              </w:rPr>
            </w:pPr>
            <w:r>
              <w:rPr>
                <w:rFonts w:ascii="Arial" w:cs="Arial" w:eastAsia="Arial" w:hAnsi="Arial"/>
                <w:sz w:val="18"/>
                <w:szCs w:val="18"/>
                <w:color w:val="auto"/>
              </w:rPr>
              <w:t>FOR OUTPATIENT</w:t>
            </w:r>
          </w:p>
        </w:tc>
        <w:tc>
          <w:tcPr>
            <w:tcW w:w="3860" w:type="dxa"/>
            <w:vAlign w:val="bottom"/>
          </w:tcPr>
          <w:p>
            <w:pPr>
              <w:ind w:left="400"/>
              <w:spacing w:after="0"/>
              <w:rPr>
                <w:sz w:val="20"/>
                <w:szCs w:val="20"/>
                <w:color w:val="auto"/>
              </w:rPr>
            </w:pPr>
            <w:r>
              <w:rPr>
                <w:rFonts w:ascii="Arial" w:cs="Arial" w:eastAsia="Arial" w:hAnsi="Arial"/>
                <w:sz w:val="18"/>
                <w:szCs w:val="18"/>
                <w:color w:val="auto"/>
              </w:rPr>
              <w:t>Orlando, FL 32806</w:t>
            </w:r>
          </w:p>
        </w:tc>
        <w:tc>
          <w:tcPr>
            <w:tcW w:w="1840" w:type="dxa"/>
            <w:vAlign w:val="bottom"/>
          </w:tcPr>
          <w:p>
            <w:pPr>
              <w:spacing w:after="0"/>
              <w:rPr>
                <w:sz w:val="18"/>
                <w:szCs w:val="18"/>
                <w:color w:val="auto"/>
              </w:rPr>
            </w:pPr>
          </w:p>
        </w:tc>
      </w:tr>
      <w:tr>
        <w:trPr>
          <w:trHeight w:val="222"/>
        </w:trPr>
        <w:tc>
          <w:tcPr>
            <w:tcW w:w="2500" w:type="dxa"/>
            <w:vAlign w:val="bottom"/>
          </w:tcPr>
          <w:p>
            <w:pPr>
              <w:spacing w:after="0"/>
              <w:rPr>
                <w:sz w:val="19"/>
                <w:szCs w:val="19"/>
                <w:color w:val="auto"/>
              </w:rPr>
            </w:pPr>
          </w:p>
        </w:tc>
        <w:tc>
          <w:tcPr>
            <w:tcW w:w="3060" w:type="dxa"/>
            <w:vAlign w:val="bottom"/>
          </w:tcPr>
          <w:p>
            <w:pPr>
              <w:ind w:left="140"/>
              <w:spacing w:after="0"/>
              <w:rPr>
                <w:sz w:val="20"/>
                <w:szCs w:val="20"/>
                <w:color w:val="auto"/>
              </w:rPr>
            </w:pPr>
            <w:r>
              <w:rPr>
                <w:rFonts w:ascii="Arial" w:cs="Arial" w:eastAsia="Arial" w:hAnsi="Arial"/>
                <w:sz w:val="18"/>
                <w:szCs w:val="18"/>
                <w:color w:val="auto"/>
              </w:rPr>
              <w:t>SURGERY</w:t>
            </w:r>
          </w:p>
        </w:tc>
        <w:tc>
          <w:tcPr>
            <w:tcW w:w="386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23"/>
        </w:trPr>
        <w:tc>
          <w:tcPr>
            <w:tcW w:w="2500" w:type="dxa"/>
            <w:vAlign w:val="bottom"/>
          </w:tcPr>
          <w:p>
            <w:pPr>
              <w:spacing w:after="0"/>
              <w:rPr>
                <w:sz w:val="20"/>
                <w:szCs w:val="20"/>
                <w:color w:val="auto"/>
              </w:rPr>
            </w:pPr>
            <w:r>
              <w:rPr>
                <w:rFonts w:ascii="Arial" w:cs="Arial" w:eastAsia="Arial" w:hAnsi="Arial"/>
                <w:sz w:val="18"/>
                <w:szCs w:val="18"/>
                <w:color w:val="auto"/>
                <w:w w:val="94"/>
              </w:rPr>
              <w:t>Integra LifeSciences Corporation</w:t>
            </w:r>
          </w:p>
        </w:tc>
        <w:tc>
          <w:tcPr>
            <w:tcW w:w="3060" w:type="dxa"/>
            <w:vAlign w:val="bottom"/>
          </w:tcPr>
          <w:p>
            <w:pPr>
              <w:ind w:left="140"/>
              <w:spacing w:after="0"/>
              <w:rPr>
                <w:sz w:val="20"/>
                <w:szCs w:val="20"/>
                <w:color w:val="auto"/>
              </w:rPr>
            </w:pPr>
            <w:r>
              <w:rPr>
                <w:rFonts w:ascii="Arial" w:cs="Arial" w:eastAsia="Arial" w:hAnsi="Arial"/>
                <w:sz w:val="18"/>
                <w:szCs w:val="18"/>
                <w:color w:val="auto"/>
              </w:rPr>
              <w:t>NW ORTHOPEDIC</w:t>
            </w:r>
          </w:p>
        </w:tc>
        <w:tc>
          <w:tcPr>
            <w:tcW w:w="3860" w:type="dxa"/>
            <w:vAlign w:val="bottom"/>
          </w:tcPr>
          <w:p>
            <w:pPr>
              <w:ind w:left="400"/>
              <w:spacing w:after="0"/>
              <w:rPr>
                <w:sz w:val="20"/>
                <w:szCs w:val="20"/>
                <w:color w:val="auto"/>
              </w:rPr>
            </w:pPr>
            <w:r>
              <w:rPr>
                <w:rFonts w:ascii="Arial" w:cs="Arial" w:eastAsia="Arial" w:hAnsi="Arial"/>
                <w:sz w:val="18"/>
                <w:szCs w:val="18"/>
                <w:color w:val="auto"/>
              </w:rPr>
              <w:t>601 West 5</w:t>
            </w:r>
            <w:r>
              <w:rPr>
                <w:rFonts w:ascii="Arial" w:cs="Arial" w:eastAsia="Arial" w:hAnsi="Arial"/>
                <w:sz w:val="11"/>
                <w:szCs w:val="11"/>
                <w:color w:val="auto"/>
              </w:rPr>
              <w:t>th</w:t>
            </w:r>
            <w:r>
              <w:rPr>
                <w:rFonts w:ascii="Arial" w:cs="Arial" w:eastAsia="Arial" w:hAnsi="Arial"/>
                <w:sz w:val="18"/>
                <w:szCs w:val="18"/>
                <w:color w:val="auto"/>
              </w:rPr>
              <w:t xml:space="preserve"> Avenue, Ste. 500,</w:t>
            </w:r>
          </w:p>
        </w:tc>
        <w:tc>
          <w:tcPr>
            <w:tcW w:w="1840" w:type="dxa"/>
            <w:vAlign w:val="bottom"/>
          </w:tcPr>
          <w:p>
            <w:pPr>
              <w:ind w:left="1100"/>
              <w:spacing w:after="0"/>
              <w:rPr>
                <w:sz w:val="20"/>
                <w:szCs w:val="20"/>
                <w:color w:val="auto"/>
              </w:rPr>
            </w:pPr>
            <w:r>
              <w:rPr>
                <w:rFonts w:ascii="Arial" w:cs="Arial" w:eastAsia="Arial" w:hAnsi="Arial"/>
                <w:sz w:val="18"/>
                <w:szCs w:val="18"/>
                <w:color w:val="auto"/>
                <w:w w:val="83"/>
              </w:rPr>
              <w:t>Consignee</w:t>
            </w:r>
          </w:p>
        </w:tc>
      </w:tr>
      <w:tr>
        <w:trPr>
          <w:trHeight w:val="222"/>
        </w:trPr>
        <w:tc>
          <w:tcPr>
            <w:tcW w:w="2500" w:type="dxa"/>
            <w:vAlign w:val="bottom"/>
          </w:tcPr>
          <w:p>
            <w:pPr>
              <w:spacing w:after="0"/>
              <w:rPr>
                <w:sz w:val="19"/>
                <w:szCs w:val="19"/>
                <w:color w:val="auto"/>
              </w:rPr>
            </w:pPr>
          </w:p>
        </w:tc>
        <w:tc>
          <w:tcPr>
            <w:tcW w:w="3060" w:type="dxa"/>
            <w:vAlign w:val="bottom"/>
          </w:tcPr>
          <w:p>
            <w:pPr>
              <w:ind w:left="140"/>
              <w:spacing w:after="0"/>
              <w:rPr>
                <w:sz w:val="20"/>
                <w:szCs w:val="20"/>
                <w:color w:val="auto"/>
              </w:rPr>
            </w:pPr>
            <w:r>
              <w:rPr>
                <w:rFonts w:ascii="Arial" w:cs="Arial" w:eastAsia="Arial" w:hAnsi="Arial"/>
                <w:sz w:val="18"/>
                <w:szCs w:val="18"/>
                <w:color w:val="auto"/>
              </w:rPr>
              <w:t>SPECIALTIES</w:t>
            </w:r>
          </w:p>
        </w:tc>
        <w:tc>
          <w:tcPr>
            <w:tcW w:w="3860" w:type="dxa"/>
            <w:vAlign w:val="bottom"/>
          </w:tcPr>
          <w:p>
            <w:pPr>
              <w:ind w:left="400"/>
              <w:spacing w:after="0"/>
              <w:rPr>
                <w:sz w:val="20"/>
                <w:szCs w:val="20"/>
                <w:color w:val="auto"/>
              </w:rPr>
            </w:pPr>
            <w:r>
              <w:rPr>
                <w:rFonts w:ascii="Arial" w:cs="Arial" w:eastAsia="Arial" w:hAnsi="Arial"/>
                <w:sz w:val="18"/>
                <w:szCs w:val="18"/>
                <w:color w:val="auto"/>
              </w:rPr>
              <w:t>Spokane, WA 99204</w:t>
            </w:r>
          </w:p>
        </w:tc>
        <w:tc>
          <w:tcPr>
            <w:tcW w:w="1840" w:type="dxa"/>
            <w:vAlign w:val="bottom"/>
          </w:tcPr>
          <w:p>
            <w:pPr>
              <w:spacing w:after="0"/>
              <w:rPr>
                <w:sz w:val="19"/>
                <w:szCs w:val="19"/>
                <w:color w:val="auto"/>
              </w:rPr>
            </w:pPr>
          </w:p>
        </w:tc>
      </w:tr>
      <w:tr>
        <w:trPr>
          <w:trHeight w:val="223"/>
        </w:trPr>
        <w:tc>
          <w:tcPr>
            <w:tcW w:w="2500" w:type="dxa"/>
            <w:vAlign w:val="bottom"/>
          </w:tcPr>
          <w:p>
            <w:pPr>
              <w:spacing w:after="0"/>
              <w:rPr>
                <w:sz w:val="20"/>
                <w:szCs w:val="20"/>
                <w:color w:val="auto"/>
              </w:rPr>
            </w:pPr>
            <w:r>
              <w:rPr>
                <w:rFonts w:ascii="Arial" w:cs="Arial" w:eastAsia="Arial" w:hAnsi="Arial"/>
                <w:sz w:val="18"/>
                <w:szCs w:val="18"/>
                <w:color w:val="auto"/>
                <w:w w:val="94"/>
              </w:rPr>
              <w:t>Integra LifeSciences Corporation</w:t>
            </w:r>
          </w:p>
        </w:tc>
        <w:tc>
          <w:tcPr>
            <w:tcW w:w="3060" w:type="dxa"/>
            <w:vAlign w:val="bottom"/>
          </w:tcPr>
          <w:p>
            <w:pPr>
              <w:ind w:left="140"/>
              <w:spacing w:after="0"/>
              <w:rPr>
                <w:sz w:val="20"/>
                <w:szCs w:val="20"/>
                <w:color w:val="auto"/>
              </w:rPr>
            </w:pPr>
            <w:r>
              <w:rPr>
                <w:rFonts w:ascii="Arial" w:cs="Arial" w:eastAsia="Arial" w:hAnsi="Arial"/>
                <w:sz w:val="18"/>
                <w:szCs w:val="18"/>
                <w:color w:val="auto"/>
              </w:rPr>
              <w:t>WELLSTAR HEALTH</w:t>
            </w:r>
          </w:p>
        </w:tc>
        <w:tc>
          <w:tcPr>
            <w:tcW w:w="3860" w:type="dxa"/>
            <w:vAlign w:val="bottom"/>
          </w:tcPr>
          <w:p>
            <w:pPr>
              <w:ind w:left="400"/>
              <w:spacing w:after="0"/>
              <w:rPr>
                <w:sz w:val="20"/>
                <w:szCs w:val="20"/>
                <w:color w:val="auto"/>
              </w:rPr>
            </w:pPr>
            <w:r>
              <w:rPr>
                <w:rFonts w:ascii="Arial" w:cs="Arial" w:eastAsia="Arial" w:hAnsi="Arial"/>
                <w:sz w:val="18"/>
                <w:szCs w:val="18"/>
                <w:color w:val="auto"/>
              </w:rPr>
              <w:t>805 Sandy Plains Road, Marietta,</w:t>
            </w:r>
          </w:p>
        </w:tc>
        <w:tc>
          <w:tcPr>
            <w:tcW w:w="1840" w:type="dxa"/>
            <w:vAlign w:val="bottom"/>
          </w:tcPr>
          <w:p>
            <w:pPr>
              <w:ind w:left="1100"/>
              <w:spacing w:after="0"/>
              <w:rPr>
                <w:sz w:val="20"/>
                <w:szCs w:val="20"/>
                <w:color w:val="auto"/>
              </w:rPr>
            </w:pPr>
            <w:r>
              <w:rPr>
                <w:rFonts w:ascii="Arial" w:cs="Arial" w:eastAsia="Arial" w:hAnsi="Arial"/>
                <w:sz w:val="18"/>
                <w:szCs w:val="18"/>
                <w:color w:val="auto"/>
                <w:w w:val="83"/>
              </w:rPr>
              <w:t>Consignee</w:t>
            </w:r>
          </w:p>
        </w:tc>
      </w:tr>
      <w:tr>
        <w:trPr>
          <w:trHeight w:val="222"/>
        </w:trPr>
        <w:tc>
          <w:tcPr>
            <w:tcW w:w="2500" w:type="dxa"/>
            <w:vAlign w:val="bottom"/>
          </w:tcPr>
          <w:p>
            <w:pPr>
              <w:spacing w:after="0"/>
              <w:rPr>
                <w:sz w:val="19"/>
                <w:szCs w:val="19"/>
                <w:color w:val="auto"/>
              </w:rPr>
            </w:pPr>
          </w:p>
        </w:tc>
        <w:tc>
          <w:tcPr>
            <w:tcW w:w="3060" w:type="dxa"/>
            <w:vAlign w:val="bottom"/>
          </w:tcPr>
          <w:p>
            <w:pPr>
              <w:ind w:left="140"/>
              <w:spacing w:after="0"/>
              <w:rPr>
                <w:sz w:val="20"/>
                <w:szCs w:val="20"/>
                <w:color w:val="auto"/>
              </w:rPr>
            </w:pPr>
            <w:r>
              <w:rPr>
                <w:rFonts w:ascii="Arial" w:cs="Arial" w:eastAsia="Arial" w:hAnsi="Arial"/>
                <w:sz w:val="18"/>
                <w:szCs w:val="18"/>
                <w:color w:val="auto"/>
              </w:rPr>
              <w:t>SYSTEM</w:t>
            </w:r>
          </w:p>
        </w:tc>
        <w:tc>
          <w:tcPr>
            <w:tcW w:w="3860" w:type="dxa"/>
            <w:vAlign w:val="bottom"/>
          </w:tcPr>
          <w:p>
            <w:pPr>
              <w:ind w:left="400"/>
              <w:spacing w:after="0"/>
              <w:rPr>
                <w:sz w:val="20"/>
                <w:szCs w:val="20"/>
                <w:color w:val="auto"/>
              </w:rPr>
            </w:pPr>
            <w:r>
              <w:rPr>
                <w:rFonts w:ascii="Arial" w:cs="Arial" w:eastAsia="Arial" w:hAnsi="Arial"/>
                <w:sz w:val="18"/>
                <w:szCs w:val="18"/>
                <w:color w:val="auto"/>
              </w:rPr>
              <w:t>Georgia 30066</w:t>
            </w:r>
          </w:p>
        </w:tc>
        <w:tc>
          <w:tcPr>
            <w:tcW w:w="1840" w:type="dxa"/>
            <w:vAlign w:val="bottom"/>
          </w:tcPr>
          <w:p>
            <w:pPr>
              <w:spacing w:after="0"/>
              <w:rPr>
                <w:sz w:val="19"/>
                <w:szCs w:val="19"/>
                <w:color w:val="auto"/>
              </w:rPr>
            </w:pPr>
          </w:p>
        </w:tc>
      </w:tr>
      <w:tr>
        <w:trPr>
          <w:trHeight w:val="223"/>
        </w:trPr>
        <w:tc>
          <w:tcPr>
            <w:tcW w:w="2500" w:type="dxa"/>
            <w:vAlign w:val="bottom"/>
          </w:tcPr>
          <w:p>
            <w:pPr>
              <w:spacing w:after="0"/>
              <w:rPr>
                <w:sz w:val="20"/>
                <w:szCs w:val="20"/>
                <w:color w:val="auto"/>
              </w:rPr>
            </w:pPr>
            <w:r>
              <w:rPr>
                <w:rFonts w:ascii="Arial" w:cs="Arial" w:eastAsia="Arial" w:hAnsi="Arial"/>
                <w:sz w:val="18"/>
                <w:szCs w:val="18"/>
                <w:color w:val="auto"/>
                <w:w w:val="94"/>
              </w:rPr>
              <w:t>Integra LifeSciences Corporation</w:t>
            </w:r>
          </w:p>
        </w:tc>
        <w:tc>
          <w:tcPr>
            <w:tcW w:w="3060" w:type="dxa"/>
            <w:vAlign w:val="bottom"/>
          </w:tcPr>
          <w:p>
            <w:pPr>
              <w:ind w:left="140"/>
              <w:spacing w:after="0"/>
              <w:rPr>
                <w:sz w:val="20"/>
                <w:szCs w:val="20"/>
                <w:color w:val="auto"/>
              </w:rPr>
            </w:pPr>
            <w:r>
              <w:rPr>
                <w:rFonts w:ascii="Arial" w:cs="Arial" w:eastAsia="Arial" w:hAnsi="Arial"/>
                <w:sz w:val="18"/>
                <w:szCs w:val="18"/>
                <w:color w:val="auto"/>
              </w:rPr>
              <w:t>GLASTONBURY</w:t>
            </w:r>
          </w:p>
        </w:tc>
        <w:tc>
          <w:tcPr>
            <w:tcW w:w="3860" w:type="dxa"/>
            <w:vAlign w:val="bottom"/>
          </w:tcPr>
          <w:p>
            <w:pPr>
              <w:ind w:left="400"/>
              <w:spacing w:after="0"/>
              <w:rPr>
                <w:sz w:val="20"/>
                <w:szCs w:val="20"/>
                <w:color w:val="auto"/>
              </w:rPr>
            </w:pPr>
            <w:r>
              <w:rPr>
                <w:rFonts w:ascii="Arial" w:cs="Arial" w:eastAsia="Arial" w:hAnsi="Arial"/>
                <w:sz w:val="18"/>
                <w:szCs w:val="18"/>
                <w:color w:val="auto"/>
              </w:rPr>
              <w:t>195 Eastern Boulevard,</w:t>
            </w:r>
          </w:p>
        </w:tc>
        <w:tc>
          <w:tcPr>
            <w:tcW w:w="1840" w:type="dxa"/>
            <w:vAlign w:val="bottom"/>
          </w:tcPr>
          <w:p>
            <w:pPr>
              <w:ind w:left="1100"/>
              <w:spacing w:after="0"/>
              <w:rPr>
                <w:sz w:val="20"/>
                <w:szCs w:val="20"/>
                <w:color w:val="auto"/>
              </w:rPr>
            </w:pPr>
            <w:r>
              <w:rPr>
                <w:rFonts w:ascii="Arial" w:cs="Arial" w:eastAsia="Arial" w:hAnsi="Arial"/>
                <w:sz w:val="18"/>
                <w:szCs w:val="18"/>
                <w:color w:val="auto"/>
                <w:w w:val="83"/>
              </w:rPr>
              <w:t>Consignee</w:t>
            </w:r>
          </w:p>
        </w:tc>
      </w:tr>
      <w:tr>
        <w:trPr>
          <w:trHeight w:val="222"/>
        </w:trPr>
        <w:tc>
          <w:tcPr>
            <w:tcW w:w="2500" w:type="dxa"/>
            <w:vAlign w:val="bottom"/>
          </w:tcPr>
          <w:p>
            <w:pPr>
              <w:spacing w:after="0"/>
              <w:rPr>
                <w:sz w:val="19"/>
                <w:szCs w:val="19"/>
                <w:color w:val="auto"/>
              </w:rPr>
            </w:pPr>
          </w:p>
        </w:tc>
        <w:tc>
          <w:tcPr>
            <w:tcW w:w="3060" w:type="dxa"/>
            <w:vAlign w:val="bottom"/>
          </w:tcPr>
          <w:p>
            <w:pPr>
              <w:ind w:left="140"/>
              <w:spacing w:after="0"/>
              <w:rPr>
                <w:sz w:val="20"/>
                <w:szCs w:val="20"/>
                <w:color w:val="auto"/>
              </w:rPr>
            </w:pPr>
            <w:r>
              <w:rPr>
                <w:rFonts w:ascii="Arial" w:cs="Arial" w:eastAsia="Arial" w:hAnsi="Arial"/>
                <w:sz w:val="18"/>
                <w:szCs w:val="18"/>
                <w:color w:val="auto"/>
              </w:rPr>
              <w:t>SURGERY CENTER</w:t>
            </w:r>
          </w:p>
        </w:tc>
        <w:tc>
          <w:tcPr>
            <w:tcW w:w="3860" w:type="dxa"/>
            <w:vAlign w:val="bottom"/>
          </w:tcPr>
          <w:p>
            <w:pPr>
              <w:ind w:left="400"/>
              <w:spacing w:after="0"/>
              <w:rPr>
                <w:sz w:val="20"/>
                <w:szCs w:val="20"/>
                <w:color w:val="auto"/>
              </w:rPr>
            </w:pPr>
            <w:r>
              <w:rPr>
                <w:rFonts w:ascii="Arial" w:cs="Arial" w:eastAsia="Arial" w:hAnsi="Arial"/>
                <w:sz w:val="18"/>
                <w:szCs w:val="18"/>
                <w:color w:val="auto"/>
              </w:rPr>
              <w:t>Glastonbury, CT 06033</w:t>
            </w:r>
          </w:p>
        </w:tc>
        <w:tc>
          <w:tcPr>
            <w:tcW w:w="1840" w:type="dxa"/>
            <w:vAlign w:val="bottom"/>
          </w:tcPr>
          <w:p>
            <w:pPr>
              <w:spacing w:after="0"/>
              <w:rPr>
                <w:sz w:val="19"/>
                <w:szCs w:val="19"/>
                <w:color w:val="auto"/>
              </w:rPr>
            </w:pPr>
          </w:p>
        </w:tc>
      </w:tr>
      <w:tr>
        <w:trPr>
          <w:trHeight w:val="223"/>
        </w:trPr>
        <w:tc>
          <w:tcPr>
            <w:tcW w:w="2500" w:type="dxa"/>
            <w:vAlign w:val="bottom"/>
          </w:tcPr>
          <w:p>
            <w:pPr>
              <w:spacing w:after="0"/>
              <w:rPr>
                <w:sz w:val="20"/>
                <w:szCs w:val="20"/>
                <w:color w:val="auto"/>
              </w:rPr>
            </w:pPr>
            <w:r>
              <w:rPr>
                <w:rFonts w:ascii="Arial" w:cs="Arial" w:eastAsia="Arial" w:hAnsi="Arial"/>
                <w:sz w:val="18"/>
                <w:szCs w:val="18"/>
                <w:color w:val="auto"/>
                <w:w w:val="94"/>
              </w:rPr>
              <w:t>Integra LifeSciences Corporation</w:t>
            </w:r>
          </w:p>
        </w:tc>
        <w:tc>
          <w:tcPr>
            <w:tcW w:w="3060" w:type="dxa"/>
            <w:vAlign w:val="bottom"/>
          </w:tcPr>
          <w:p>
            <w:pPr>
              <w:ind w:left="140"/>
              <w:spacing w:after="0"/>
              <w:rPr>
                <w:sz w:val="20"/>
                <w:szCs w:val="20"/>
                <w:color w:val="auto"/>
              </w:rPr>
            </w:pPr>
            <w:r>
              <w:rPr>
                <w:rFonts w:ascii="Arial" w:cs="Arial" w:eastAsia="Arial" w:hAnsi="Arial"/>
                <w:sz w:val="18"/>
                <w:szCs w:val="18"/>
                <w:color w:val="auto"/>
              </w:rPr>
              <w:t>ROCKY MOUNTAIN</w:t>
            </w:r>
          </w:p>
        </w:tc>
        <w:tc>
          <w:tcPr>
            <w:tcW w:w="3860" w:type="dxa"/>
            <w:vAlign w:val="bottom"/>
          </w:tcPr>
          <w:p>
            <w:pPr>
              <w:ind w:left="400"/>
              <w:spacing w:after="0"/>
              <w:rPr>
                <w:sz w:val="20"/>
                <w:szCs w:val="20"/>
                <w:color w:val="auto"/>
              </w:rPr>
            </w:pPr>
            <w:r>
              <w:rPr>
                <w:rFonts w:ascii="Arial" w:cs="Arial" w:eastAsia="Arial" w:hAnsi="Arial"/>
                <w:sz w:val="18"/>
                <w:szCs w:val="18"/>
                <w:color w:val="auto"/>
              </w:rPr>
              <w:t>1450 Ellis Street, Bozeman, MT</w:t>
            </w:r>
          </w:p>
        </w:tc>
        <w:tc>
          <w:tcPr>
            <w:tcW w:w="1840" w:type="dxa"/>
            <w:vAlign w:val="bottom"/>
          </w:tcPr>
          <w:p>
            <w:pPr>
              <w:ind w:left="1100"/>
              <w:spacing w:after="0"/>
              <w:rPr>
                <w:sz w:val="20"/>
                <w:szCs w:val="20"/>
                <w:color w:val="auto"/>
              </w:rPr>
            </w:pPr>
            <w:r>
              <w:rPr>
                <w:rFonts w:ascii="Arial" w:cs="Arial" w:eastAsia="Arial" w:hAnsi="Arial"/>
                <w:sz w:val="18"/>
                <w:szCs w:val="18"/>
                <w:color w:val="auto"/>
                <w:w w:val="83"/>
              </w:rPr>
              <w:t>Consignee</w:t>
            </w:r>
          </w:p>
        </w:tc>
      </w:tr>
      <w:tr>
        <w:trPr>
          <w:trHeight w:val="222"/>
        </w:trPr>
        <w:tc>
          <w:tcPr>
            <w:tcW w:w="2500" w:type="dxa"/>
            <w:vAlign w:val="bottom"/>
          </w:tcPr>
          <w:p>
            <w:pPr>
              <w:spacing w:after="0"/>
              <w:rPr>
                <w:sz w:val="19"/>
                <w:szCs w:val="19"/>
                <w:color w:val="auto"/>
              </w:rPr>
            </w:pPr>
          </w:p>
        </w:tc>
        <w:tc>
          <w:tcPr>
            <w:tcW w:w="3060" w:type="dxa"/>
            <w:vAlign w:val="bottom"/>
          </w:tcPr>
          <w:p>
            <w:pPr>
              <w:ind w:left="140"/>
              <w:spacing w:after="0"/>
              <w:rPr>
                <w:sz w:val="20"/>
                <w:szCs w:val="20"/>
                <w:color w:val="auto"/>
              </w:rPr>
            </w:pPr>
            <w:r>
              <w:rPr>
                <w:rFonts w:ascii="Arial" w:cs="Arial" w:eastAsia="Arial" w:hAnsi="Arial"/>
                <w:sz w:val="18"/>
                <w:szCs w:val="18"/>
                <w:color w:val="auto"/>
              </w:rPr>
              <w:t>SURGERY CENTER</w:t>
            </w:r>
          </w:p>
        </w:tc>
        <w:tc>
          <w:tcPr>
            <w:tcW w:w="3860" w:type="dxa"/>
            <w:vAlign w:val="bottom"/>
          </w:tcPr>
          <w:p>
            <w:pPr>
              <w:ind w:left="400"/>
              <w:spacing w:after="0"/>
              <w:rPr>
                <w:sz w:val="20"/>
                <w:szCs w:val="20"/>
                <w:color w:val="auto"/>
              </w:rPr>
            </w:pPr>
            <w:r>
              <w:rPr>
                <w:rFonts w:ascii="Arial" w:cs="Arial" w:eastAsia="Arial" w:hAnsi="Arial"/>
                <w:sz w:val="18"/>
                <w:szCs w:val="18"/>
                <w:color w:val="auto"/>
              </w:rPr>
              <w:t>59715</w:t>
            </w:r>
          </w:p>
        </w:tc>
        <w:tc>
          <w:tcPr>
            <w:tcW w:w="1840" w:type="dxa"/>
            <w:vAlign w:val="bottom"/>
          </w:tcPr>
          <w:p>
            <w:pPr>
              <w:spacing w:after="0"/>
              <w:rPr>
                <w:sz w:val="19"/>
                <w:szCs w:val="19"/>
                <w:color w:val="auto"/>
              </w:rPr>
            </w:pPr>
          </w:p>
        </w:tc>
      </w:tr>
      <w:tr>
        <w:trPr>
          <w:trHeight w:val="223"/>
        </w:trPr>
        <w:tc>
          <w:tcPr>
            <w:tcW w:w="2500" w:type="dxa"/>
            <w:vAlign w:val="bottom"/>
          </w:tcPr>
          <w:p>
            <w:pPr>
              <w:spacing w:after="0"/>
              <w:rPr>
                <w:sz w:val="20"/>
                <w:szCs w:val="20"/>
                <w:color w:val="auto"/>
              </w:rPr>
            </w:pPr>
            <w:r>
              <w:rPr>
                <w:rFonts w:ascii="Arial" w:cs="Arial" w:eastAsia="Arial" w:hAnsi="Arial"/>
                <w:sz w:val="18"/>
                <w:szCs w:val="18"/>
                <w:color w:val="auto"/>
                <w:w w:val="94"/>
              </w:rPr>
              <w:t>Integra LifeSciences Corporation</w:t>
            </w:r>
          </w:p>
        </w:tc>
        <w:tc>
          <w:tcPr>
            <w:tcW w:w="3060" w:type="dxa"/>
            <w:vAlign w:val="bottom"/>
          </w:tcPr>
          <w:p>
            <w:pPr>
              <w:ind w:left="140"/>
              <w:spacing w:after="0"/>
              <w:rPr>
                <w:sz w:val="20"/>
                <w:szCs w:val="20"/>
                <w:color w:val="auto"/>
              </w:rPr>
            </w:pPr>
            <w:r>
              <w:rPr>
                <w:rFonts w:ascii="Arial" w:cs="Arial" w:eastAsia="Arial" w:hAnsi="Arial"/>
                <w:sz w:val="18"/>
                <w:szCs w:val="18"/>
                <w:color w:val="auto"/>
              </w:rPr>
              <w:t>TUOMEY</w:t>
            </w:r>
          </w:p>
        </w:tc>
        <w:tc>
          <w:tcPr>
            <w:tcW w:w="3860" w:type="dxa"/>
            <w:vAlign w:val="bottom"/>
          </w:tcPr>
          <w:p>
            <w:pPr>
              <w:ind w:left="400"/>
              <w:spacing w:after="0"/>
              <w:rPr>
                <w:sz w:val="20"/>
                <w:szCs w:val="20"/>
                <w:color w:val="auto"/>
              </w:rPr>
            </w:pPr>
            <w:r>
              <w:rPr>
                <w:rFonts w:ascii="Arial" w:cs="Arial" w:eastAsia="Arial" w:hAnsi="Arial"/>
                <w:sz w:val="18"/>
                <w:szCs w:val="18"/>
                <w:color w:val="auto"/>
              </w:rPr>
              <w:t>129 North Washington Street,</w:t>
            </w:r>
          </w:p>
        </w:tc>
        <w:tc>
          <w:tcPr>
            <w:tcW w:w="1840" w:type="dxa"/>
            <w:vAlign w:val="bottom"/>
          </w:tcPr>
          <w:p>
            <w:pPr>
              <w:ind w:left="1100"/>
              <w:spacing w:after="0"/>
              <w:rPr>
                <w:sz w:val="20"/>
                <w:szCs w:val="20"/>
                <w:color w:val="auto"/>
              </w:rPr>
            </w:pPr>
            <w:r>
              <w:rPr>
                <w:rFonts w:ascii="Arial" w:cs="Arial" w:eastAsia="Arial" w:hAnsi="Arial"/>
                <w:sz w:val="18"/>
                <w:szCs w:val="18"/>
                <w:color w:val="auto"/>
                <w:w w:val="83"/>
              </w:rPr>
              <w:t>Consignee</w:t>
            </w:r>
          </w:p>
        </w:tc>
      </w:tr>
      <w:tr>
        <w:trPr>
          <w:trHeight w:val="222"/>
        </w:trPr>
        <w:tc>
          <w:tcPr>
            <w:tcW w:w="2500" w:type="dxa"/>
            <w:vAlign w:val="bottom"/>
          </w:tcPr>
          <w:p>
            <w:pPr>
              <w:spacing w:after="0"/>
              <w:rPr>
                <w:sz w:val="19"/>
                <w:szCs w:val="19"/>
                <w:color w:val="auto"/>
              </w:rPr>
            </w:pPr>
          </w:p>
        </w:tc>
        <w:tc>
          <w:tcPr>
            <w:tcW w:w="3060" w:type="dxa"/>
            <w:vAlign w:val="bottom"/>
          </w:tcPr>
          <w:p>
            <w:pPr>
              <w:ind w:left="140"/>
              <w:spacing w:after="0"/>
              <w:rPr>
                <w:sz w:val="20"/>
                <w:szCs w:val="20"/>
                <w:color w:val="auto"/>
              </w:rPr>
            </w:pPr>
            <w:r>
              <w:rPr>
                <w:rFonts w:ascii="Arial" w:cs="Arial" w:eastAsia="Arial" w:hAnsi="Arial"/>
                <w:sz w:val="18"/>
                <w:szCs w:val="18"/>
                <w:color w:val="auto"/>
              </w:rPr>
              <w:t>HEALTHCARE</w:t>
            </w:r>
          </w:p>
        </w:tc>
        <w:tc>
          <w:tcPr>
            <w:tcW w:w="3860" w:type="dxa"/>
            <w:vAlign w:val="bottom"/>
          </w:tcPr>
          <w:p>
            <w:pPr>
              <w:ind w:left="400"/>
              <w:spacing w:after="0"/>
              <w:rPr>
                <w:sz w:val="20"/>
                <w:szCs w:val="20"/>
                <w:color w:val="auto"/>
              </w:rPr>
            </w:pPr>
            <w:r>
              <w:rPr>
                <w:rFonts w:ascii="Arial" w:cs="Arial" w:eastAsia="Arial" w:hAnsi="Arial"/>
                <w:sz w:val="18"/>
                <w:szCs w:val="18"/>
                <w:color w:val="auto"/>
              </w:rPr>
              <w:t>Sumter, SC 29150</w:t>
            </w:r>
          </w:p>
        </w:tc>
        <w:tc>
          <w:tcPr>
            <w:tcW w:w="1840" w:type="dxa"/>
            <w:vAlign w:val="bottom"/>
          </w:tcPr>
          <w:p>
            <w:pPr>
              <w:spacing w:after="0"/>
              <w:rPr>
                <w:sz w:val="19"/>
                <w:szCs w:val="19"/>
                <w:color w:val="auto"/>
              </w:rPr>
            </w:pPr>
          </w:p>
        </w:tc>
      </w:tr>
      <w:tr>
        <w:trPr>
          <w:trHeight w:val="223"/>
        </w:trPr>
        <w:tc>
          <w:tcPr>
            <w:tcW w:w="2500" w:type="dxa"/>
            <w:vAlign w:val="bottom"/>
          </w:tcPr>
          <w:p>
            <w:pPr>
              <w:spacing w:after="0"/>
              <w:rPr>
                <w:sz w:val="20"/>
                <w:szCs w:val="20"/>
                <w:color w:val="auto"/>
              </w:rPr>
            </w:pPr>
            <w:r>
              <w:rPr>
                <w:rFonts w:ascii="Arial" w:cs="Arial" w:eastAsia="Arial" w:hAnsi="Arial"/>
                <w:sz w:val="18"/>
                <w:szCs w:val="18"/>
                <w:color w:val="auto"/>
                <w:w w:val="94"/>
              </w:rPr>
              <w:t>Integra LifeSciences Corporation</w:t>
            </w:r>
          </w:p>
        </w:tc>
        <w:tc>
          <w:tcPr>
            <w:tcW w:w="3060" w:type="dxa"/>
            <w:vAlign w:val="bottom"/>
          </w:tcPr>
          <w:p>
            <w:pPr>
              <w:ind w:left="140"/>
              <w:spacing w:after="0"/>
              <w:rPr>
                <w:sz w:val="20"/>
                <w:szCs w:val="20"/>
                <w:color w:val="auto"/>
              </w:rPr>
            </w:pPr>
            <w:r>
              <w:rPr>
                <w:rFonts w:ascii="Arial" w:cs="Arial" w:eastAsia="Arial" w:hAnsi="Arial"/>
                <w:sz w:val="18"/>
                <w:szCs w:val="18"/>
                <w:color w:val="auto"/>
              </w:rPr>
              <w:t>WAUWATOSA</w:t>
            </w:r>
          </w:p>
        </w:tc>
        <w:tc>
          <w:tcPr>
            <w:tcW w:w="3860" w:type="dxa"/>
            <w:vAlign w:val="bottom"/>
          </w:tcPr>
          <w:p>
            <w:pPr>
              <w:ind w:left="400"/>
              <w:spacing w:after="0"/>
              <w:rPr>
                <w:sz w:val="20"/>
                <w:szCs w:val="20"/>
                <w:color w:val="auto"/>
              </w:rPr>
            </w:pPr>
            <w:r>
              <w:rPr>
                <w:rFonts w:ascii="Arial" w:cs="Arial" w:eastAsia="Arial" w:hAnsi="Arial"/>
                <w:sz w:val="18"/>
                <w:szCs w:val="18"/>
                <w:color w:val="auto"/>
              </w:rPr>
              <w:t>10900 West Potter Road,</w:t>
            </w:r>
          </w:p>
        </w:tc>
        <w:tc>
          <w:tcPr>
            <w:tcW w:w="1840" w:type="dxa"/>
            <w:vAlign w:val="bottom"/>
          </w:tcPr>
          <w:p>
            <w:pPr>
              <w:ind w:left="1100"/>
              <w:spacing w:after="0"/>
              <w:rPr>
                <w:sz w:val="20"/>
                <w:szCs w:val="20"/>
                <w:color w:val="auto"/>
              </w:rPr>
            </w:pPr>
            <w:r>
              <w:rPr>
                <w:rFonts w:ascii="Arial" w:cs="Arial" w:eastAsia="Arial" w:hAnsi="Arial"/>
                <w:sz w:val="18"/>
                <w:szCs w:val="18"/>
                <w:color w:val="auto"/>
                <w:w w:val="83"/>
              </w:rPr>
              <w:t>Consignee</w:t>
            </w:r>
          </w:p>
        </w:tc>
      </w:tr>
      <w:tr>
        <w:trPr>
          <w:trHeight w:val="222"/>
        </w:trPr>
        <w:tc>
          <w:tcPr>
            <w:tcW w:w="2500" w:type="dxa"/>
            <w:vAlign w:val="bottom"/>
          </w:tcPr>
          <w:p>
            <w:pPr>
              <w:spacing w:after="0"/>
              <w:rPr>
                <w:sz w:val="19"/>
                <w:szCs w:val="19"/>
                <w:color w:val="auto"/>
              </w:rPr>
            </w:pPr>
          </w:p>
        </w:tc>
        <w:tc>
          <w:tcPr>
            <w:tcW w:w="3060" w:type="dxa"/>
            <w:vAlign w:val="bottom"/>
          </w:tcPr>
          <w:p>
            <w:pPr>
              <w:ind w:left="140"/>
              <w:spacing w:after="0"/>
              <w:rPr>
                <w:sz w:val="20"/>
                <w:szCs w:val="20"/>
                <w:color w:val="auto"/>
              </w:rPr>
            </w:pPr>
            <w:r>
              <w:rPr>
                <w:rFonts w:ascii="Arial" w:cs="Arial" w:eastAsia="Arial" w:hAnsi="Arial"/>
                <w:sz w:val="18"/>
                <w:szCs w:val="18"/>
                <w:color w:val="auto"/>
              </w:rPr>
              <w:t>SURGERY CENTER</w:t>
            </w:r>
          </w:p>
        </w:tc>
        <w:tc>
          <w:tcPr>
            <w:tcW w:w="3860" w:type="dxa"/>
            <w:vAlign w:val="bottom"/>
          </w:tcPr>
          <w:p>
            <w:pPr>
              <w:ind w:left="400"/>
              <w:spacing w:after="0"/>
              <w:rPr>
                <w:sz w:val="20"/>
                <w:szCs w:val="20"/>
                <w:color w:val="auto"/>
              </w:rPr>
            </w:pPr>
            <w:r>
              <w:rPr>
                <w:rFonts w:ascii="Arial" w:cs="Arial" w:eastAsia="Arial" w:hAnsi="Arial"/>
                <w:sz w:val="18"/>
                <w:szCs w:val="18"/>
                <w:color w:val="auto"/>
              </w:rPr>
              <w:t>Wauwatosa, WI 53226</w:t>
            </w:r>
          </w:p>
        </w:tc>
        <w:tc>
          <w:tcPr>
            <w:tcW w:w="1840" w:type="dxa"/>
            <w:vAlign w:val="bottom"/>
          </w:tcPr>
          <w:p>
            <w:pPr>
              <w:spacing w:after="0"/>
              <w:rPr>
                <w:sz w:val="19"/>
                <w:szCs w:val="19"/>
                <w:color w:val="auto"/>
              </w:rPr>
            </w:pPr>
          </w:p>
        </w:tc>
      </w:tr>
      <w:tr>
        <w:trPr>
          <w:trHeight w:val="223"/>
        </w:trPr>
        <w:tc>
          <w:tcPr>
            <w:tcW w:w="2500" w:type="dxa"/>
            <w:vAlign w:val="bottom"/>
          </w:tcPr>
          <w:p>
            <w:pPr>
              <w:spacing w:after="0"/>
              <w:rPr>
                <w:sz w:val="20"/>
                <w:szCs w:val="20"/>
                <w:color w:val="auto"/>
              </w:rPr>
            </w:pPr>
            <w:r>
              <w:rPr>
                <w:rFonts w:ascii="Arial" w:cs="Arial" w:eastAsia="Arial" w:hAnsi="Arial"/>
                <w:sz w:val="18"/>
                <w:szCs w:val="18"/>
                <w:color w:val="auto"/>
                <w:w w:val="94"/>
              </w:rPr>
              <w:t>Integra LifeSciences Corporation</w:t>
            </w:r>
          </w:p>
        </w:tc>
        <w:tc>
          <w:tcPr>
            <w:tcW w:w="3060" w:type="dxa"/>
            <w:vAlign w:val="bottom"/>
          </w:tcPr>
          <w:p>
            <w:pPr>
              <w:ind w:left="140"/>
              <w:spacing w:after="0"/>
              <w:rPr>
                <w:sz w:val="20"/>
                <w:szCs w:val="20"/>
                <w:color w:val="auto"/>
              </w:rPr>
            </w:pPr>
            <w:r>
              <w:rPr>
                <w:rFonts w:ascii="Arial" w:cs="Arial" w:eastAsia="Arial" w:hAnsi="Arial"/>
                <w:sz w:val="18"/>
                <w:szCs w:val="18"/>
                <w:color w:val="auto"/>
              </w:rPr>
              <w:t>ORTHOPEDIC</w:t>
            </w:r>
          </w:p>
        </w:tc>
        <w:tc>
          <w:tcPr>
            <w:tcW w:w="3860" w:type="dxa"/>
            <w:vAlign w:val="bottom"/>
          </w:tcPr>
          <w:p>
            <w:pPr>
              <w:ind w:left="400"/>
              <w:spacing w:after="0"/>
              <w:rPr>
                <w:sz w:val="20"/>
                <w:szCs w:val="20"/>
                <w:color w:val="auto"/>
              </w:rPr>
            </w:pPr>
            <w:r>
              <w:rPr>
                <w:rFonts w:ascii="Arial" w:cs="Arial" w:eastAsia="Arial" w:hAnsi="Arial"/>
                <w:sz w:val="18"/>
                <w:szCs w:val="18"/>
                <w:color w:val="auto"/>
              </w:rPr>
              <w:t>111 Sunnyview Lane, Kalispell,</w:t>
            </w:r>
          </w:p>
        </w:tc>
        <w:tc>
          <w:tcPr>
            <w:tcW w:w="1840" w:type="dxa"/>
            <w:vAlign w:val="bottom"/>
          </w:tcPr>
          <w:p>
            <w:pPr>
              <w:ind w:left="1100"/>
              <w:spacing w:after="0"/>
              <w:rPr>
                <w:sz w:val="20"/>
                <w:szCs w:val="20"/>
                <w:color w:val="auto"/>
              </w:rPr>
            </w:pPr>
            <w:r>
              <w:rPr>
                <w:rFonts w:ascii="Arial" w:cs="Arial" w:eastAsia="Arial" w:hAnsi="Arial"/>
                <w:sz w:val="18"/>
                <w:szCs w:val="18"/>
                <w:color w:val="auto"/>
                <w:w w:val="83"/>
              </w:rPr>
              <w:t>Consignee</w:t>
            </w:r>
          </w:p>
        </w:tc>
      </w:tr>
      <w:tr>
        <w:trPr>
          <w:trHeight w:val="222"/>
        </w:trPr>
        <w:tc>
          <w:tcPr>
            <w:tcW w:w="2500" w:type="dxa"/>
            <w:vAlign w:val="bottom"/>
          </w:tcPr>
          <w:p>
            <w:pPr>
              <w:spacing w:after="0"/>
              <w:rPr>
                <w:sz w:val="19"/>
                <w:szCs w:val="19"/>
                <w:color w:val="auto"/>
              </w:rPr>
            </w:pPr>
          </w:p>
        </w:tc>
        <w:tc>
          <w:tcPr>
            <w:tcW w:w="3060" w:type="dxa"/>
            <w:vAlign w:val="bottom"/>
          </w:tcPr>
          <w:p>
            <w:pPr>
              <w:ind w:left="140"/>
              <w:spacing w:after="0"/>
              <w:rPr>
                <w:sz w:val="20"/>
                <w:szCs w:val="20"/>
                <w:color w:val="auto"/>
              </w:rPr>
            </w:pPr>
            <w:r>
              <w:rPr>
                <w:rFonts w:ascii="Arial" w:cs="Arial" w:eastAsia="Arial" w:hAnsi="Arial"/>
                <w:sz w:val="18"/>
                <w:szCs w:val="18"/>
                <w:color w:val="auto"/>
              </w:rPr>
              <w:t>SURGER CENTER</w:t>
            </w:r>
          </w:p>
        </w:tc>
        <w:tc>
          <w:tcPr>
            <w:tcW w:w="3860" w:type="dxa"/>
            <w:vAlign w:val="bottom"/>
          </w:tcPr>
          <w:p>
            <w:pPr>
              <w:ind w:left="400"/>
              <w:spacing w:after="0"/>
              <w:rPr>
                <w:sz w:val="20"/>
                <w:szCs w:val="20"/>
                <w:color w:val="auto"/>
              </w:rPr>
            </w:pPr>
            <w:r>
              <w:rPr>
                <w:rFonts w:ascii="Arial" w:cs="Arial" w:eastAsia="Arial" w:hAnsi="Arial"/>
                <w:sz w:val="18"/>
                <w:szCs w:val="18"/>
                <w:color w:val="auto"/>
              </w:rPr>
              <w:t>MT 59901</w:t>
            </w:r>
          </w:p>
        </w:tc>
        <w:tc>
          <w:tcPr>
            <w:tcW w:w="1840" w:type="dxa"/>
            <w:vAlign w:val="bottom"/>
          </w:tcPr>
          <w:p>
            <w:pPr>
              <w:spacing w:after="0"/>
              <w:rPr>
                <w:sz w:val="19"/>
                <w:szCs w:val="19"/>
                <w:color w:val="auto"/>
              </w:rPr>
            </w:pPr>
          </w:p>
        </w:tc>
      </w:tr>
      <w:tr>
        <w:trPr>
          <w:trHeight w:val="223"/>
        </w:trPr>
        <w:tc>
          <w:tcPr>
            <w:tcW w:w="2500" w:type="dxa"/>
            <w:vAlign w:val="bottom"/>
          </w:tcPr>
          <w:p>
            <w:pPr>
              <w:spacing w:after="0"/>
              <w:rPr>
                <w:sz w:val="20"/>
                <w:szCs w:val="20"/>
                <w:color w:val="auto"/>
              </w:rPr>
            </w:pPr>
            <w:r>
              <w:rPr>
                <w:rFonts w:ascii="Arial" w:cs="Arial" w:eastAsia="Arial" w:hAnsi="Arial"/>
                <w:sz w:val="18"/>
                <w:szCs w:val="18"/>
                <w:color w:val="auto"/>
                <w:w w:val="94"/>
              </w:rPr>
              <w:t>Integra LifeSciences Corporation</w:t>
            </w:r>
          </w:p>
        </w:tc>
        <w:tc>
          <w:tcPr>
            <w:tcW w:w="3060" w:type="dxa"/>
            <w:vAlign w:val="bottom"/>
          </w:tcPr>
          <w:p>
            <w:pPr>
              <w:ind w:left="140"/>
              <w:spacing w:after="0"/>
              <w:rPr>
                <w:sz w:val="20"/>
                <w:szCs w:val="20"/>
                <w:color w:val="auto"/>
              </w:rPr>
            </w:pPr>
            <w:r>
              <w:rPr>
                <w:rFonts w:ascii="Arial" w:cs="Arial" w:eastAsia="Arial" w:hAnsi="Arial"/>
                <w:sz w:val="18"/>
                <w:szCs w:val="18"/>
                <w:color w:val="auto"/>
              </w:rPr>
              <w:t>UNIVERSITY OF</w:t>
            </w:r>
          </w:p>
        </w:tc>
        <w:tc>
          <w:tcPr>
            <w:tcW w:w="3860" w:type="dxa"/>
            <w:vAlign w:val="bottom"/>
          </w:tcPr>
          <w:p>
            <w:pPr>
              <w:ind w:left="400"/>
              <w:spacing w:after="0"/>
              <w:rPr>
                <w:sz w:val="20"/>
                <w:szCs w:val="20"/>
                <w:color w:val="auto"/>
              </w:rPr>
            </w:pPr>
            <w:r>
              <w:rPr>
                <w:rFonts w:ascii="Arial" w:cs="Arial" w:eastAsia="Arial" w:hAnsi="Arial"/>
                <w:sz w:val="18"/>
                <w:szCs w:val="18"/>
                <w:color w:val="auto"/>
              </w:rPr>
              <w:t>3000 Arlington Avenue, Toledo,</w:t>
            </w:r>
          </w:p>
        </w:tc>
        <w:tc>
          <w:tcPr>
            <w:tcW w:w="1840" w:type="dxa"/>
            <w:vAlign w:val="bottom"/>
          </w:tcPr>
          <w:p>
            <w:pPr>
              <w:ind w:left="1100"/>
              <w:spacing w:after="0"/>
              <w:rPr>
                <w:sz w:val="20"/>
                <w:szCs w:val="20"/>
                <w:color w:val="auto"/>
              </w:rPr>
            </w:pPr>
            <w:r>
              <w:rPr>
                <w:rFonts w:ascii="Arial" w:cs="Arial" w:eastAsia="Arial" w:hAnsi="Arial"/>
                <w:sz w:val="18"/>
                <w:szCs w:val="18"/>
                <w:color w:val="auto"/>
                <w:w w:val="83"/>
              </w:rPr>
              <w:t>Consignee</w:t>
            </w:r>
          </w:p>
        </w:tc>
      </w:tr>
      <w:tr>
        <w:trPr>
          <w:trHeight w:val="216"/>
        </w:trPr>
        <w:tc>
          <w:tcPr>
            <w:tcW w:w="2500" w:type="dxa"/>
            <w:vAlign w:val="bottom"/>
          </w:tcPr>
          <w:p>
            <w:pPr>
              <w:spacing w:after="0"/>
              <w:rPr>
                <w:sz w:val="18"/>
                <w:szCs w:val="18"/>
                <w:color w:val="auto"/>
              </w:rPr>
            </w:pPr>
          </w:p>
        </w:tc>
        <w:tc>
          <w:tcPr>
            <w:tcW w:w="3060" w:type="dxa"/>
            <w:vAlign w:val="bottom"/>
          </w:tcPr>
          <w:p>
            <w:pPr>
              <w:ind w:left="140"/>
              <w:spacing w:after="0"/>
              <w:rPr>
                <w:sz w:val="20"/>
                <w:szCs w:val="20"/>
                <w:color w:val="auto"/>
              </w:rPr>
            </w:pPr>
            <w:r>
              <w:rPr>
                <w:rFonts w:ascii="Arial" w:cs="Arial" w:eastAsia="Arial" w:hAnsi="Arial"/>
                <w:sz w:val="18"/>
                <w:szCs w:val="18"/>
                <w:color w:val="auto"/>
              </w:rPr>
              <w:t>TOLEDO MEDICAL</w:t>
            </w:r>
          </w:p>
        </w:tc>
        <w:tc>
          <w:tcPr>
            <w:tcW w:w="3860" w:type="dxa"/>
            <w:vAlign w:val="bottom"/>
          </w:tcPr>
          <w:p>
            <w:pPr>
              <w:ind w:left="400"/>
              <w:spacing w:after="0"/>
              <w:rPr>
                <w:sz w:val="20"/>
                <w:szCs w:val="20"/>
                <w:color w:val="auto"/>
              </w:rPr>
            </w:pPr>
            <w:r>
              <w:rPr>
                <w:rFonts w:ascii="Arial" w:cs="Arial" w:eastAsia="Arial" w:hAnsi="Arial"/>
                <w:sz w:val="18"/>
                <w:szCs w:val="18"/>
                <w:color w:val="auto"/>
              </w:rPr>
              <w:t>OH 43614</w:t>
            </w:r>
          </w:p>
        </w:tc>
        <w:tc>
          <w:tcPr>
            <w:tcW w:w="1840" w:type="dxa"/>
            <w:vAlign w:val="bottom"/>
          </w:tcPr>
          <w:p>
            <w:pPr>
              <w:spacing w:after="0"/>
              <w:rPr>
                <w:sz w:val="18"/>
                <w:szCs w:val="18"/>
                <w:color w:val="auto"/>
              </w:rPr>
            </w:pPr>
          </w:p>
        </w:tc>
      </w:tr>
      <w:tr>
        <w:trPr>
          <w:trHeight w:val="222"/>
        </w:trPr>
        <w:tc>
          <w:tcPr>
            <w:tcW w:w="2500" w:type="dxa"/>
            <w:vAlign w:val="bottom"/>
          </w:tcPr>
          <w:p>
            <w:pPr>
              <w:spacing w:after="0"/>
              <w:rPr>
                <w:sz w:val="19"/>
                <w:szCs w:val="19"/>
                <w:color w:val="auto"/>
              </w:rPr>
            </w:pPr>
          </w:p>
        </w:tc>
        <w:tc>
          <w:tcPr>
            <w:tcW w:w="3060" w:type="dxa"/>
            <w:vAlign w:val="bottom"/>
          </w:tcPr>
          <w:p>
            <w:pPr>
              <w:ind w:left="140"/>
              <w:spacing w:after="0"/>
              <w:rPr>
                <w:sz w:val="20"/>
                <w:szCs w:val="20"/>
                <w:color w:val="auto"/>
              </w:rPr>
            </w:pPr>
            <w:r>
              <w:rPr>
                <w:rFonts w:ascii="Arial" w:cs="Arial" w:eastAsia="Arial" w:hAnsi="Arial"/>
                <w:sz w:val="18"/>
                <w:szCs w:val="18"/>
                <w:color w:val="auto"/>
              </w:rPr>
              <w:t>CENTER</w:t>
            </w:r>
          </w:p>
        </w:tc>
        <w:tc>
          <w:tcPr>
            <w:tcW w:w="386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23"/>
        </w:trPr>
        <w:tc>
          <w:tcPr>
            <w:tcW w:w="2500" w:type="dxa"/>
            <w:vAlign w:val="bottom"/>
          </w:tcPr>
          <w:p>
            <w:pPr>
              <w:spacing w:after="0"/>
              <w:rPr>
                <w:sz w:val="20"/>
                <w:szCs w:val="20"/>
                <w:color w:val="auto"/>
              </w:rPr>
            </w:pPr>
            <w:r>
              <w:rPr>
                <w:rFonts w:ascii="Arial" w:cs="Arial" w:eastAsia="Arial" w:hAnsi="Arial"/>
                <w:sz w:val="18"/>
                <w:szCs w:val="18"/>
                <w:color w:val="auto"/>
                <w:w w:val="94"/>
              </w:rPr>
              <w:t>Integra LifeSciences Corporation</w:t>
            </w:r>
          </w:p>
        </w:tc>
        <w:tc>
          <w:tcPr>
            <w:tcW w:w="3060" w:type="dxa"/>
            <w:vAlign w:val="bottom"/>
          </w:tcPr>
          <w:p>
            <w:pPr>
              <w:ind w:left="140"/>
              <w:spacing w:after="0"/>
              <w:rPr>
                <w:sz w:val="20"/>
                <w:szCs w:val="20"/>
                <w:color w:val="auto"/>
              </w:rPr>
            </w:pPr>
            <w:r>
              <w:rPr>
                <w:rFonts w:ascii="Arial" w:cs="Arial" w:eastAsia="Arial" w:hAnsi="Arial"/>
                <w:sz w:val="18"/>
                <w:szCs w:val="18"/>
                <w:color w:val="auto"/>
              </w:rPr>
              <w:t>SURGICAL AND</w:t>
            </w:r>
          </w:p>
        </w:tc>
        <w:tc>
          <w:tcPr>
            <w:tcW w:w="3860" w:type="dxa"/>
            <w:vAlign w:val="bottom"/>
          </w:tcPr>
          <w:p>
            <w:pPr>
              <w:ind w:left="400"/>
              <w:spacing w:after="0"/>
              <w:rPr>
                <w:sz w:val="20"/>
                <w:szCs w:val="20"/>
                <w:color w:val="auto"/>
              </w:rPr>
            </w:pPr>
            <w:r>
              <w:rPr>
                <w:rFonts w:ascii="Arial" w:cs="Arial" w:eastAsia="Arial" w:hAnsi="Arial"/>
                <w:sz w:val="18"/>
                <w:szCs w:val="18"/>
                <w:color w:val="auto"/>
              </w:rPr>
              <w:t>729 Bedford Euless Road, Hurst,</w:t>
            </w:r>
          </w:p>
        </w:tc>
        <w:tc>
          <w:tcPr>
            <w:tcW w:w="1840" w:type="dxa"/>
            <w:vAlign w:val="bottom"/>
          </w:tcPr>
          <w:p>
            <w:pPr>
              <w:ind w:left="1100"/>
              <w:spacing w:after="0"/>
              <w:rPr>
                <w:sz w:val="20"/>
                <w:szCs w:val="20"/>
                <w:color w:val="auto"/>
              </w:rPr>
            </w:pPr>
            <w:r>
              <w:rPr>
                <w:rFonts w:ascii="Arial" w:cs="Arial" w:eastAsia="Arial" w:hAnsi="Arial"/>
                <w:sz w:val="18"/>
                <w:szCs w:val="18"/>
                <w:color w:val="auto"/>
                <w:w w:val="83"/>
              </w:rPr>
              <w:t>Consignee</w:t>
            </w:r>
          </w:p>
        </w:tc>
      </w:tr>
      <w:tr>
        <w:trPr>
          <w:trHeight w:val="216"/>
        </w:trPr>
        <w:tc>
          <w:tcPr>
            <w:tcW w:w="2500" w:type="dxa"/>
            <w:vAlign w:val="bottom"/>
          </w:tcPr>
          <w:p>
            <w:pPr>
              <w:spacing w:after="0"/>
              <w:rPr>
                <w:sz w:val="18"/>
                <w:szCs w:val="18"/>
                <w:color w:val="auto"/>
              </w:rPr>
            </w:pPr>
          </w:p>
        </w:tc>
        <w:tc>
          <w:tcPr>
            <w:tcW w:w="3060" w:type="dxa"/>
            <w:vAlign w:val="bottom"/>
          </w:tcPr>
          <w:p>
            <w:pPr>
              <w:ind w:left="140"/>
              <w:spacing w:after="0"/>
              <w:rPr>
                <w:sz w:val="20"/>
                <w:szCs w:val="20"/>
                <w:color w:val="auto"/>
              </w:rPr>
            </w:pPr>
            <w:r>
              <w:rPr>
                <w:rFonts w:ascii="Arial" w:cs="Arial" w:eastAsia="Arial" w:hAnsi="Arial"/>
                <w:sz w:val="18"/>
                <w:szCs w:val="18"/>
                <w:color w:val="auto"/>
              </w:rPr>
              <w:t>DIAGNOSTICS</w:t>
            </w:r>
          </w:p>
        </w:tc>
        <w:tc>
          <w:tcPr>
            <w:tcW w:w="3860" w:type="dxa"/>
            <w:vAlign w:val="bottom"/>
          </w:tcPr>
          <w:p>
            <w:pPr>
              <w:ind w:left="400"/>
              <w:spacing w:after="0"/>
              <w:rPr>
                <w:sz w:val="20"/>
                <w:szCs w:val="20"/>
                <w:color w:val="auto"/>
              </w:rPr>
            </w:pPr>
            <w:r>
              <w:rPr>
                <w:rFonts w:ascii="Arial" w:cs="Arial" w:eastAsia="Arial" w:hAnsi="Arial"/>
                <w:sz w:val="18"/>
                <w:szCs w:val="18"/>
                <w:color w:val="auto"/>
              </w:rPr>
              <w:t>TX 76053</w:t>
            </w:r>
          </w:p>
        </w:tc>
        <w:tc>
          <w:tcPr>
            <w:tcW w:w="1840" w:type="dxa"/>
            <w:vAlign w:val="bottom"/>
          </w:tcPr>
          <w:p>
            <w:pPr>
              <w:spacing w:after="0"/>
              <w:rPr>
                <w:sz w:val="18"/>
                <w:szCs w:val="18"/>
                <w:color w:val="auto"/>
              </w:rPr>
            </w:pPr>
          </w:p>
        </w:tc>
      </w:tr>
      <w:tr>
        <w:trPr>
          <w:trHeight w:val="222"/>
        </w:trPr>
        <w:tc>
          <w:tcPr>
            <w:tcW w:w="2500" w:type="dxa"/>
            <w:vAlign w:val="bottom"/>
          </w:tcPr>
          <w:p>
            <w:pPr>
              <w:spacing w:after="0"/>
              <w:rPr>
                <w:sz w:val="19"/>
                <w:szCs w:val="19"/>
                <w:color w:val="auto"/>
              </w:rPr>
            </w:pPr>
          </w:p>
        </w:tc>
        <w:tc>
          <w:tcPr>
            <w:tcW w:w="3060" w:type="dxa"/>
            <w:vAlign w:val="bottom"/>
          </w:tcPr>
          <w:p>
            <w:pPr>
              <w:ind w:left="140"/>
              <w:spacing w:after="0"/>
              <w:rPr>
                <w:sz w:val="20"/>
                <w:szCs w:val="20"/>
                <w:color w:val="auto"/>
              </w:rPr>
            </w:pPr>
            <w:r>
              <w:rPr>
                <w:rFonts w:ascii="Arial" w:cs="Arial" w:eastAsia="Arial" w:hAnsi="Arial"/>
                <w:sz w:val="18"/>
                <w:szCs w:val="18"/>
                <w:color w:val="auto"/>
              </w:rPr>
              <w:t>CENTER</w:t>
            </w:r>
          </w:p>
        </w:tc>
        <w:tc>
          <w:tcPr>
            <w:tcW w:w="386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23"/>
        </w:trPr>
        <w:tc>
          <w:tcPr>
            <w:tcW w:w="2500" w:type="dxa"/>
            <w:vAlign w:val="bottom"/>
          </w:tcPr>
          <w:p>
            <w:pPr>
              <w:spacing w:after="0"/>
              <w:rPr>
                <w:sz w:val="20"/>
                <w:szCs w:val="20"/>
                <w:color w:val="auto"/>
              </w:rPr>
            </w:pPr>
            <w:r>
              <w:rPr>
                <w:rFonts w:ascii="Arial" w:cs="Arial" w:eastAsia="Arial" w:hAnsi="Arial"/>
                <w:sz w:val="18"/>
                <w:szCs w:val="18"/>
                <w:color w:val="auto"/>
                <w:w w:val="94"/>
              </w:rPr>
              <w:t>Integra LifeSciences Corporation</w:t>
            </w:r>
          </w:p>
        </w:tc>
        <w:tc>
          <w:tcPr>
            <w:tcW w:w="3060" w:type="dxa"/>
            <w:vAlign w:val="bottom"/>
          </w:tcPr>
          <w:p>
            <w:pPr>
              <w:ind w:left="140"/>
              <w:spacing w:after="0"/>
              <w:rPr>
                <w:sz w:val="20"/>
                <w:szCs w:val="20"/>
                <w:color w:val="auto"/>
              </w:rPr>
            </w:pPr>
            <w:r>
              <w:rPr>
                <w:rFonts w:ascii="Arial" w:cs="Arial" w:eastAsia="Arial" w:hAnsi="Arial"/>
                <w:sz w:val="18"/>
                <w:szCs w:val="18"/>
                <w:color w:val="auto"/>
              </w:rPr>
              <w:t>LAKEVIEW SURGERY CENTER</w:t>
            </w:r>
          </w:p>
        </w:tc>
        <w:tc>
          <w:tcPr>
            <w:tcW w:w="3860" w:type="dxa"/>
            <w:vAlign w:val="bottom"/>
          </w:tcPr>
          <w:p>
            <w:pPr>
              <w:ind w:left="400"/>
              <w:spacing w:after="0"/>
              <w:rPr>
                <w:sz w:val="20"/>
                <w:szCs w:val="20"/>
                <w:color w:val="auto"/>
              </w:rPr>
            </w:pPr>
            <w:r>
              <w:rPr>
                <w:rFonts w:ascii="Arial" w:cs="Arial" w:eastAsia="Arial" w:hAnsi="Arial"/>
                <w:sz w:val="18"/>
                <w:szCs w:val="18"/>
                <w:color w:val="auto"/>
              </w:rPr>
              <w:t>1750 60</w:t>
            </w:r>
            <w:r>
              <w:rPr>
                <w:rFonts w:ascii="Arial" w:cs="Arial" w:eastAsia="Arial" w:hAnsi="Arial"/>
                <w:sz w:val="11"/>
                <w:szCs w:val="11"/>
                <w:color w:val="auto"/>
              </w:rPr>
              <w:t>th</w:t>
            </w:r>
            <w:r>
              <w:rPr>
                <w:rFonts w:ascii="Arial" w:cs="Arial" w:eastAsia="Arial" w:hAnsi="Arial"/>
                <w:sz w:val="18"/>
                <w:szCs w:val="18"/>
                <w:color w:val="auto"/>
              </w:rPr>
              <w:t xml:space="preserve"> Street, West</w:t>
            </w:r>
          </w:p>
        </w:tc>
        <w:tc>
          <w:tcPr>
            <w:tcW w:w="1840" w:type="dxa"/>
            <w:vAlign w:val="bottom"/>
          </w:tcPr>
          <w:p>
            <w:pPr>
              <w:ind w:left="1100"/>
              <w:spacing w:after="0"/>
              <w:rPr>
                <w:sz w:val="20"/>
                <w:szCs w:val="20"/>
                <w:color w:val="auto"/>
              </w:rPr>
            </w:pPr>
            <w:r>
              <w:rPr>
                <w:rFonts w:ascii="Arial" w:cs="Arial" w:eastAsia="Arial" w:hAnsi="Arial"/>
                <w:sz w:val="18"/>
                <w:szCs w:val="18"/>
                <w:color w:val="auto"/>
                <w:w w:val="83"/>
              </w:rPr>
              <w:t>Consignee</w:t>
            </w:r>
          </w:p>
        </w:tc>
      </w:tr>
      <w:tr>
        <w:trPr>
          <w:trHeight w:val="222"/>
        </w:trPr>
        <w:tc>
          <w:tcPr>
            <w:tcW w:w="25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3860" w:type="dxa"/>
            <w:vAlign w:val="bottom"/>
          </w:tcPr>
          <w:p>
            <w:pPr>
              <w:ind w:left="400"/>
              <w:spacing w:after="0"/>
              <w:rPr>
                <w:sz w:val="20"/>
                <w:szCs w:val="20"/>
                <w:color w:val="auto"/>
              </w:rPr>
            </w:pPr>
            <w:r>
              <w:rPr>
                <w:rFonts w:ascii="Arial" w:cs="Arial" w:eastAsia="Arial" w:hAnsi="Arial"/>
                <w:sz w:val="18"/>
                <w:szCs w:val="18"/>
                <w:color w:val="auto"/>
              </w:rPr>
              <w:t>Desmoines, IA 50266</w:t>
            </w:r>
          </w:p>
        </w:tc>
        <w:tc>
          <w:tcPr>
            <w:tcW w:w="1840" w:type="dxa"/>
            <w:vAlign w:val="bottom"/>
          </w:tcPr>
          <w:p>
            <w:pPr>
              <w:spacing w:after="0"/>
              <w:rPr>
                <w:sz w:val="19"/>
                <w:szCs w:val="19"/>
                <w:color w:val="auto"/>
              </w:rPr>
            </w:pPr>
          </w:p>
        </w:tc>
      </w:tr>
    </w:tbl>
    <w:p>
      <w:pPr>
        <w:sectPr>
          <w:pgSz w:w="11900" w:h="16838" w:orient="portrait"/>
          <w:cols w:equalWidth="0" w:num="1">
            <w:col w:w="11260"/>
          </w:cols>
          <w:pgMar w:left="240" w:top="280" w:right="399" w:bottom="1440" w:gutter="0" w:footer="0" w:header="0"/>
        </w:sectPr>
      </w:pPr>
    </w:p>
    <w:bookmarkStart w:id="336" w:name="page337"/>
    <w:bookmarkEnd w:id="33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2700" w:type="dxa"/>
            <w:vAlign w:val="bottom"/>
          </w:tcPr>
          <w:p>
            <w:pPr>
              <w:ind w:left="380"/>
              <w:spacing w:after="0"/>
              <w:rPr>
                <w:sz w:val="20"/>
                <w:szCs w:val="20"/>
                <w:color w:val="auto"/>
              </w:rPr>
            </w:pPr>
            <w:r>
              <w:rPr>
                <w:rFonts w:ascii="Arial" w:cs="Arial" w:eastAsia="Arial" w:hAnsi="Arial"/>
                <w:sz w:val="18"/>
                <w:szCs w:val="18"/>
                <w:color w:val="auto"/>
              </w:rPr>
              <w:t>WAYNE MEMORIAL</w:t>
            </w:r>
          </w:p>
        </w:tc>
        <w:tc>
          <w:tcPr>
            <w:tcW w:w="920" w:type="dxa"/>
            <w:vAlign w:val="bottom"/>
          </w:tcPr>
          <w:p>
            <w:pPr>
              <w:ind w:left="540"/>
              <w:spacing w:after="0"/>
              <w:rPr>
                <w:sz w:val="20"/>
                <w:szCs w:val="20"/>
                <w:color w:val="auto"/>
              </w:rPr>
            </w:pPr>
            <w:r>
              <w:rPr>
                <w:rFonts w:ascii="Arial" w:cs="Arial" w:eastAsia="Arial" w:hAnsi="Arial"/>
                <w:sz w:val="18"/>
                <w:szCs w:val="18"/>
                <w:color w:val="auto"/>
                <w:w w:val="89"/>
              </w:rPr>
              <w:t>2700</w:t>
            </w:r>
          </w:p>
        </w:tc>
        <w:tc>
          <w:tcPr>
            <w:tcW w:w="2180" w:type="dxa"/>
            <w:vAlign w:val="bottom"/>
          </w:tcPr>
          <w:p>
            <w:pPr>
              <w:ind w:left="20"/>
              <w:spacing w:after="0"/>
              <w:rPr>
                <w:sz w:val="20"/>
                <w:szCs w:val="20"/>
                <w:color w:val="auto"/>
              </w:rPr>
            </w:pPr>
            <w:r>
              <w:rPr>
                <w:rFonts w:ascii="Arial" w:cs="Arial" w:eastAsia="Arial" w:hAnsi="Arial"/>
                <w:sz w:val="18"/>
                <w:szCs w:val="18"/>
                <w:color w:val="auto"/>
              </w:rPr>
              <w:t>Wayne Memorial Drive,</w:t>
            </w:r>
          </w:p>
        </w:tc>
        <w:tc>
          <w:tcPr>
            <w:tcW w:w="1020" w:type="dxa"/>
            <w:vAlign w:val="bottom"/>
          </w:tcPr>
          <w:p>
            <w:pPr>
              <w:ind w:left="28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3100" w:type="dxa"/>
            <w:vAlign w:val="bottom"/>
            <w:gridSpan w:val="2"/>
          </w:tcPr>
          <w:p>
            <w:pPr>
              <w:ind w:left="540"/>
              <w:spacing w:after="0"/>
              <w:rPr>
                <w:sz w:val="20"/>
                <w:szCs w:val="20"/>
                <w:color w:val="auto"/>
              </w:rPr>
            </w:pPr>
            <w:r>
              <w:rPr>
                <w:rFonts w:ascii="Arial" w:cs="Arial" w:eastAsia="Arial" w:hAnsi="Arial"/>
                <w:sz w:val="18"/>
                <w:szCs w:val="18"/>
                <w:color w:val="auto"/>
              </w:rPr>
              <w:t>Goldsboro, NC 27534</w:t>
            </w:r>
          </w:p>
        </w:tc>
        <w:tc>
          <w:tcPr>
            <w:tcW w:w="102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2700" w:type="dxa"/>
            <w:vAlign w:val="bottom"/>
          </w:tcPr>
          <w:p>
            <w:pPr>
              <w:ind w:left="380"/>
              <w:spacing w:after="0"/>
              <w:rPr>
                <w:sz w:val="20"/>
                <w:szCs w:val="20"/>
                <w:color w:val="auto"/>
              </w:rPr>
            </w:pPr>
            <w:r>
              <w:rPr>
                <w:rFonts w:ascii="Arial" w:cs="Arial" w:eastAsia="Arial" w:hAnsi="Arial"/>
                <w:sz w:val="18"/>
                <w:szCs w:val="18"/>
                <w:color w:val="auto"/>
              </w:rPr>
              <w:t>ST VINCENT</w:t>
            </w:r>
          </w:p>
        </w:tc>
        <w:tc>
          <w:tcPr>
            <w:tcW w:w="920" w:type="dxa"/>
            <w:vAlign w:val="bottom"/>
          </w:tcPr>
          <w:p>
            <w:pPr>
              <w:ind w:left="540"/>
              <w:spacing w:after="0"/>
              <w:rPr>
                <w:sz w:val="20"/>
                <w:szCs w:val="20"/>
                <w:color w:val="auto"/>
              </w:rPr>
            </w:pPr>
            <w:r>
              <w:rPr>
                <w:rFonts w:ascii="Arial" w:cs="Arial" w:eastAsia="Arial" w:hAnsi="Arial"/>
                <w:sz w:val="18"/>
                <w:szCs w:val="18"/>
                <w:color w:val="auto"/>
                <w:w w:val="89"/>
              </w:rPr>
              <w:t>1233</w:t>
            </w:r>
          </w:p>
        </w:tc>
        <w:tc>
          <w:tcPr>
            <w:tcW w:w="2180" w:type="dxa"/>
            <w:vAlign w:val="bottom"/>
          </w:tcPr>
          <w:p>
            <w:pPr>
              <w:ind w:left="20"/>
              <w:spacing w:after="0"/>
              <w:rPr>
                <w:sz w:val="20"/>
                <w:szCs w:val="20"/>
                <w:color w:val="auto"/>
              </w:rPr>
            </w:pPr>
            <w:r>
              <w:rPr>
                <w:rFonts w:ascii="Arial" w:cs="Arial" w:eastAsia="Arial" w:hAnsi="Arial"/>
                <w:sz w:val="18"/>
                <w:szCs w:val="18"/>
                <w:color w:val="auto"/>
              </w:rPr>
              <w:t>N 30</w:t>
            </w:r>
            <w:r>
              <w:rPr>
                <w:rFonts w:ascii="Arial" w:cs="Arial" w:eastAsia="Arial" w:hAnsi="Arial"/>
                <w:sz w:val="11"/>
                <w:szCs w:val="11"/>
                <w:color w:val="auto"/>
              </w:rPr>
              <w:t>th</w:t>
            </w:r>
            <w:r>
              <w:rPr>
                <w:rFonts w:ascii="Arial" w:cs="Arial" w:eastAsia="Arial" w:hAnsi="Arial"/>
                <w:sz w:val="18"/>
                <w:szCs w:val="18"/>
                <w:color w:val="auto"/>
              </w:rPr>
              <w:t xml:space="preserve"> Street, Billings, MT</w:t>
            </w:r>
          </w:p>
        </w:tc>
        <w:tc>
          <w:tcPr>
            <w:tcW w:w="1020" w:type="dxa"/>
            <w:vAlign w:val="bottom"/>
          </w:tcPr>
          <w:p>
            <w:pPr>
              <w:ind w:left="28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2700" w:type="dxa"/>
            <w:vAlign w:val="bottom"/>
          </w:tcPr>
          <w:p>
            <w:pPr>
              <w:ind w:left="380"/>
              <w:spacing w:after="0"/>
              <w:rPr>
                <w:sz w:val="20"/>
                <w:szCs w:val="20"/>
                <w:color w:val="auto"/>
              </w:rPr>
            </w:pPr>
            <w:r>
              <w:rPr>
                <w:rFonts w:ascii="Arial" w:cs="Arial" w:eastAsia="Arial" w:hAnsi="Arial"/>
                <w:sz w:val="18"/>
                <w:szCs w:val="18"/>
                <w:color w:val="auto"/>
              </w:rPr>
              <w:t>HEALTHCARE</w:t>
            </w:r>
          </w:p>
        </w:tc>
        <w:tc>
          <w:tcPr>
            <w:tcW w:w="3100" w:type="dxa"/>
            <w:vAlign w:val="bottom"/>
            <w:gridSpan w:val="2"/>
          </w:tcPr>
          <w:p>
            <w:pPr>
              <w:ind w:left="540"/>
              <w:spacing w:after="0"/>
              <w:rPr>
                <w:sz w:val="20"/>
                <w:szCs w:val="20"/>
                <w:color w:val="auto"/>
              </w:rPr>
            </w:pPr>
            <w:r>
              <w:rPr>
                <w:rFonts w:ascii="Arial" w:cs="Arial" w:eastAsia="Arial" w:hAnsi="Arial"/>
                <w:sz w:val="18"/>
                <w:szCs w:val="18"/>
                <w:color w:val="auto"/>
              </w:rPr>
              <w:t>59101</w:t>
            </w:r>
          </w:p>
        </w:tc>
        <w:tc>
          <w:tcPr>
            <w:tcW w:w="1020" w:type="dxa"/>
            <w:vAlign w:val="bottom"/>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2700" w:type="dxa"/>
            <w:vAlign w:val="bottom"/>
          </w:tcPr>
          <w:p>
            <w:pPr>
              <w:ind w:left="380"/>
              <w:spacing w:after="0"/>
              <w:rPr>
                <w:sz w:val="20"/>
                <w:szCs w:val="20"/>
                <w:color w:val="auto"/>
              </w:rPr>
            </w:pPr>
            <w:r>
              <w:rPr>
                <w:rFonts w:ascii="Arial" w:cs="Arial" w:eastAsia="Arial" w:hAnsi="Arial"/>
                <w:sz w:val="18"/>
                <w:szCs w:val="18"/>
                <w:color w:val="auto"/>
              </w:rPr>
              <w:t>CAMPBELL SURGERY</w:t>
            </w:r>
          </w:p>
        </w:tc>
        <w:tc>
          <w:tcPr>
            <w:tcW w:w="920" w:type="dxa"/>
            <w:vAlign w:val="bottom"/>
          </w:tcPr>
          <w:p>
            <w:pPr>
              <w:ind w:left="540"/>
              <w:spacing w:after="0"/>
              <w:rPr>
                <w:sz w:val="20"/>
                <w:szCs w:val="20"/>
                <w:color w:val="auto"/>
              </w:rPr>
            </w:pPr>
            <w:r>
              <w:rPr>
                <w:rFonts w:ascii="Arial" w:cs="Arial" w:eastAsia="Arial" w:hAnsi="Arial"/>
                <w:sz w:val="18"/>
                <w:szCs w:val="18"/>
                <w:color w:val="auto"/>
                <w:w w:val="89"/>
              </w:rPr>
              <w:t>1410</w:t>
            </w:r>
          </w:p>
        </w:tc>
        <w:tc>
          <w:tcPr>
            <w:tcW w:w="2180" w:type="dxa"/>
            <w:vAlign w:val="bottom"/>
          </w:tcPr>
          <w:p>
            <w:pPr>
              <w:ind w:left="20"/>
              <w:spacing w:after="0"/>
              <w:rPr>
                <w:sz w:val="20"/>
                <w:szCs w:val="20"/>
                <w:color w:val="auto"/>
              </w:rPr>
            </w:pPr>
            <w:r>
              <w:rPr>
                <w:rFonts w:ascii="Arial" w:cs="Arial" w:eastAsia="Arial" w:hAnsi="Arial"/>
                <w:sz w:val="18"/>
                <w:szCs w:val="18"/>
                <w:color w:val="auto"/>
              </w:rPr>
              <w:t>Brierbrook Road,</w:t>
            </w:r>
          </w:p>
        </w:tc>
        <w:tc>
          <w:tcPr>
            <w:tcW w:w="1020" w:type="dxa"/>
            <w:vAlign w:val="bottom"/>
          </w:tcPr>
          <w:p>
            <w:pPr>
              <w:ind w:left="280"/>
              <w:spacing w:after="0"/>
              <w:rPr>
                <w:sz w:val="20"/>
                <w:szCs w:val="20"/>
                <w:color w:val="auto"/>
              </w:rPr>
            </w:pPr>
            <w:r>
              <w:rPr>
                <w:rFonts w:ascii="Arial" w:cs="Arial" w:eastAsia="Arial" w:hAnsi="Arial"/>
                <w:sz w:val="18"/>
                <w:szCs w:val="18"/>
                <w:color w:val="auto"/>
                <w:w w:val="83"/>
              </w:rPr>
              <w:t>Consignee</w:t>
            </w:r>
          </w:p>
        </w:tc>
      </w:tr>
      <w:tr>
        <w:trPr>
          <w:trHeight w:val="222"/>
        </w:trPr>
        <w:tc>
          <w:tcPr>
            <w:tcW w:w="2720" w:type="dxa"/>
            <w:vAlign w:val="bottom"/>
          </w:tcPr>
          <w:p>
            <w:pPr>
              <w:spacing w:after="0"/>
              <w:rPr>
                <w:sz w:val="19"/>
                <w:szCs w:val="19"/>
                <w:color w:val="auto"/>
              </w:rPr>
            </w:pPr>
          </w:p>
        </w:tc>
        <w:tc>
          <w:tcPr>
            <w:tcW w:w="2700" w:type="dxa"/>
            <w:vAlign w:val="bottom"/>
          </w:tcPr>
          <w:p>
            <w:pPr>
              <w:ind w:left="380"/>
              <w:spacing w:after="0"/>
              <w:rPr>
                <w:sz w:val="20"/>
                <w:szCs w:val="20"/>
                <w:color w:val="auto"/>
              </w:rPr>
            </w:pPr>
            <w:r>
              <w:rPr>
                <w:rFonts w:ascii="Arial" w:cs="Arial" w:eastAsia="Arial" w:hAnsi="Arial"/>
                <w:sz w:val="18"/>
                <w:szCs w:val="18"/>
                <w:color w:val="auto"/>
              </w:rPr>
              <w:t>CENTER</w:t>
            </w:r>
          </w:p>
        </w:tc>
        <w:tc>
          <w:tcPr>
            <w:tcW w:w="3100" w:type="dxa"/>
            <w:vAlign w:val="bottom"/>
            <w:gridSpan w:val="2"/>
          </w:tcPr>
          <w:p>
            <w:pPr>
              <w:ind w:left="540"/>
              <w:spacing w:after="0"/>
              <w:rPr>
                <w:sz w:val="20"/>
                <w:szCs w:val="20"/>
                <w:color w:val="auto"/>
              </w:rPr>
            </w:pPr>
            <w:r>
              <w:rPr>
                <w:rFonts w:ascii="Arial" w:cs="Arial" w:eastAsia="Arial" w:hAnsi="Arial"/>
                <w:sz w:val="18"/>
                <w:szCs w:val="18"/>
                <w:color w:val="auto"/>
              </w:rPr>
              <w:t>Germantown, TN 38138</w:t>
            </w:r>
          </w:p>
        </w:tc>
        <w:tc>
          <w:tcPr>
            <w:tcW w:w="1020" w:type="dxa"/>
            <w:vAlign w:val="bottom"/>
          </w:tcPr>
          <w:p>
            <w:pPr>
              <w:spacing w:after="0"/>
              <w:rPr>
                <w:sz w:val="19"/>
                <w:szCs w:val="19"/>
                <w:color w:val="auto"/>
              </w:rPr>
            </w:pPr>
          </w:p>
        </w:tc>
      </w:tr>
    </w:tbl>
    <w:p>
      <w:pPr>
        <w:sectPr>
          <w:pgSz w:w="11900" w:h="16838" w:orient="portrait"/>
          <w:cols w:equalWidth="0" w:num="1">
            <w:col w:w="10219"/>
          </w:cols>
          <w:pgMar w:left="240" w:top="280" w:right="1440" w:bottom="1440" w:gutter="0" w:footer="0" w:header="0"/>
        </w:sectPr>
      </w:pPr>
    </w:p>
    <w:bookmarkStart w:id="337" w:name="page338"/>
    <w:bookmarkEnd w:id="3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Item C. </w:t>
      </w:r>
      <w:r>
        <w:rPr>
          <w:rFonts w:ascii="Arial" w:cs="Arial" w:eastAsia="Arial" w:hAnsi="Arial"/>
          <w:sz w:val="18"/>
          <w:szCs w:val="18"/>
          <w:b w:val="1"/>
          <w:bCs w:val="1"/>
          <w:color w:val="auto"/>
        </w:rPr>
        <w:t>Leased Property; Bailees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 List of consignments for OrthoBiologics hospital accounts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Consignee</w:t>
            </w:r>
          </w:p>
        </w:tc>
        <w:tc>
          <w:tcPr>
            <w:tcW w:w="240" w:type="dxa"/>
            <w:vAlign w:val="bottom"/>
          </w:tcPr>
          <w:p>
            <w:pPr>
              <w:spacing w:after="0"/>
              <w:rPr>
                <w:sz w:val="15"/>
                <w:szCs w:val="15"/>
                <w:color w:val="auto"/>
              </w:rPr>
            </w:pPr>
          </w:p>
        </w:tc>
        <w:tc>
          <w:tcPr>
            <w:tcW w:w="5720" w:type="dxa"/>
            <w:vAlign w:val="bottom"/>
          </w:tcPr>
          <w:p>
            <w:pPr>
              <w:ind w:left="2620"/>
              <w:spacing w:after="0"/>
              <w:rPr>
                <w:sz w:val="20"/>
                <w:szCs w:val="20"/>
                <w:color w:val="auto"/>
              </w:rPr>
            </w:pPr>
            <w:r>
              <w:rPr>
                <w:rFonts w:ascii="Arial" w:cs="Arial" w:eastAsia="Arial" w:hAnsi="Arial"/>
                <w:sz w:val="14"/>
                <w:szCs w:val="14"/>
                <w:b w:val="1"/>
                <w:bCs w:val="1"/>
                <w:color w:val="auto"/>
              </w:rPr>
              <w:t>Hospital</w:t>
            </w:r>
          </w:p>
        </w:tc>
        <w:tc>
          <w:tcPr>
            <w:tcW w:w="120" w:type="dxa"/>
            <w:vAlign w:val="bottom"/>
          </w:tcPr>
          <w:p>
            <w:pPr>
              <w:spacing w:after="0"/>
              <w:rPr>
                <w:sz w:val="15"/>
                <w:szCs w:val="15"/>
                <w:color w:val="auto"/>
              </w:rPr>
            </w:pPr>
          </w:p>
        </w:tc>
        <w:tc>
          <w:tcPr>
            <w:tcW w:w="1700" w:type="dxa"/>
            <w:vAlign w:val="bottom"/>
            <w:gridSpan w:val="2"/>
          </w:tcPr>
          <w:p>
            <w:pPr>
              <w:ind w:left="380"/>
              <w:spacing w:after="0"/>
              <w:rPr>
                <w:sz w:val="20"/>
                <w:szCs w:val="20"/>
                <w:color w:val="auto"/>
              </w:rPr>
            </w:pPr>
            <w:r>
              <w:rPr>
                <w:rFonts w:ascii="Arial" w:cs="Arial" w:eastAsia="Arial" w:hAnsi="Arial"/>
                <w:sz w:val="14"/>
                <w:szCs w:val="14"/>
                <w:b w:val="1"/>
                <w:bCs w:val="1"/>
                <w:color w:val="auto"/>
              </w:rPr>
              <w:t>Contact Name</w:t>
            </w:r>
          </w:p>
        </w:tc>
        <w:tc>
          <w:tcPr>
            <w:tcW w:w="2160" w:type="dxa"/>
            <w:vAlign w:val="bottom"/>
            <w:gridSpan w:val="2"/>
          </w:tcPr>
          <w:p>
            <w:pPr>
              <w:ind w:left="900"/>
              <w:spacing w:after="0"/>
              <w:rPr>
                <w:sz w:val="20"/>
                <w:szCs w:val="20"/>
                <w:color w:val="auto"/>
              </w:rPr>
            </w:pPr>
            <w:r>
              <w:rPr>
                <w:rFonts w:ascii="Arial" w:cs="Arial" w:eastAsia="Arial" w:hAnsi="Arial"/>
                <w:sz w:val="14"/>
                <w:szCs w:val="14"/>
                <w:b w:val="1"/>
                <w:bCs w:val="1"/>
                <w:color w:val="auto"/>
              </w:rPr>
              <w:t>City</w:t>
            </w:r>
          </w:p>
        </w:tc>
        <w:tc>
          <w:tcPr>
            <w:tcW w:w="560" w:type="dxa"/>
            <w:vAlign w:val="bottom"/>
          </w:tcPr>
          <w:p>
            <w:pPr>
              <w:ind w:left="140"/>
              <w:spacing w:after="0"/>
              <w:rPr>
                <w:sz w:val="20"/>
                <w:szCs w:val="20"/>
                <w:color w:val="auto"/>
              </w:rPr>
            </w:pPr>
            <w:r>
              <w:rPr>
                <w:rFonts w:ascii="Arial" w:cs="Arial" w:eastAsia="Arial" w:hAnsi="Arial"/>
                <w:sz w:val="14"/>
                <w:szCs w:val="14"/>
                <w:b w:val="1"/>
                <w:bCs w:val="1"/>
                <w:color w:val="auto"/>
              </w:rPr>
              <w:t>State</w:t>
            </w:r>
          </w:p>
        </w:tc>
      </w:tr>
      <w:tr>
        <w:trPr>
          <w:trHeight w:val="195"/>
        </w:trPr>
        <w:tc>
          <w:tcPr>
            <w:tcW w:w="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7"/>
              </w:rPr>
              <w:t>ILS Corp</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Abington Memorial Hospital</w:t>
            </w:r>
          </w:p>
        </w:tc>
        <w:tc>
          <w:tcPr>
            <w:tcW w:w="120" w:type="dxa"/>
            <w:vAlign w:val="bottom"/>
          </w:tcPr>
          <w:p>
            <w:pPr>
              <w:spacing w:after="0"/>
              <w:rPr>
                <w:sz w:val="16"/>
                <w:szCs w:val="16"/>
                <w:color w:val="auto"/>
              </w:rPr>
            </w:pPr>
          </w:p>
        </w:tc>
        <w:tc>
          <w:tcPr>
            <w:tcW w:w="1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Karen Homer</w:t>
            </w:r>
          </w:p>
        </w:tc>
        <w:tc>
          <w:tcPr>
            <w:tcW w:w="120" w:type="dxa"/>
            <w:vAlign w:val="bottom"/>
          </w:tcPr>
          <w:p>
            <w:pPr>
              <w:spacing w:after="0"/>
              <w:rPr>
                <w:sz w:val="16"/>
                <w:szCs w:val="16"/>
                <w:color w:val="auto"/>
              </w:rPr>
            </w:pPr>
          </w:p>
        </w:tc>
        <w:tc>
          <w:tcPr>
            <w:tcW w:w="2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Abington</w:t>
            </w:r>
          </w:p>
        </w:tc>
        <w:tc>
          <w:tcPr>
            <w:tcW w:w="120" w:type="dxa"/>
            <w:vAlign w:val="bottom"/>
          </w:tcPr>
          <w:p>
            <w:pPr>
              <w:spacing w:after="0"/>
              <w:rPr>
                <w:sz w:val="16"/>
                <w:szCs w:val="16"/>
                <w:color w:val="auto"/>
              </w:rPr>
            </w:pPr>
          </w:p>
        </w:tc>
        <w:tc>
          <w:tcPr>
            <w:tcW w:w="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PA</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ILS Corp</w:t>
            </w:r>
          </w:p>
        </w:tc>
        <w:tc>
          <w:tcPr>
            <w:tcW w:w="5960" w:type="dxa"/>
            <w:vAlign w:val="bottom"/>
            <w:gridSpan w:val="2"/>
          </w:tcPr>
          <w:p>
            <w:pPr>
              <w:ind w:left="240"/>
              <w:spacing w:after="0"/>
              <w:rPr>
                <w:sz w:val="20"/>
                <w:szCs w:val="20"/>
                <w:color w:val="auto"/>
              </w:rPr>
            </w:pPr>
            <w:r>
              <w:rPr>
                <w:rFonts w:ascii="Arial" w:cs="Arial" w:eastAsia="Arial" w:hAnsi="Arial"/>
                <w:sz w:val="18"/>
                <w:szCs w:val="18"/>
                <w:color w:val="auto"/>
              </w:rPr>
              <w:t>Advanced Surgery Care</w:t>
            </w:r>
          </w:p>
        </w:tc>
        <w:tc>
          <w:tcPr>
            <w:tcW w:w="1820" w:type="dxa"/>
            <w:vAlign w:val="bottom"/>
            <w:gridSpan w:val="3"/>
          </w:tcPr>
          <w:p>
            <w:pPr>
              <w:ind w:left="120"/>
              <w:spacing w:after="0"/>
              <w:rPr>
                <w:sz w:val="20"/>
                <w:szCs w:val="20"/>
                <w:color w:val="auto"/>
              </w:rPr>
            </w:pPr>
            <w:r>
              <w:rPr>
                <w:rFonts w:ascii="Arial" w:cs="Arial" w:eastAsia="Arial" w:hAnsi="Arial"/>
                <w:sz w:val="18"/>
                <w:szCs w:val="18"/>
                <w:color w:val="auto"/>
              </w:rPr>
              <w:t>Laurie Nichols</w:t>
            </w:r>
          </w:p>
        </w:tc>
        <w:tc>
          <w:tcPr>
            <w:tcW w:w="2160" w:type="dxa"/>
            <w:vAlign w:val="bottom"/>
            <w:gridSpan w:val="2"/>
          </w:tcPr>
          <w:p>
            <w:pPr>
              <w:spacing w:after="0"/>
              <w:rPr>
                <w:sz w:val="20"/>
                <w:szCs w:val="20"/>
                <w:color w:val="auto"/>
              </w:rPr>
            </w:pPr>
            <w:r>
              <w:rPr>
                <w:rFonts w:ascii="Arial" w:cs="Arial" w:eastAsia="Arial" w:hAnsi="Arial"/>
                <w:sz w:val="18"/>
                <w:szCs w:val="18"/>
                <w:color w:val="auto"/>
              </w:rPr>
              <w:t>St. Louis</w:t>
            </w:r>
          </w:p>
        </w:tc>
        <w:tc>
          <w:tcPr>
            <w:tcW w:w="560" w:type="dxa"/>
            <w:vAlign w:val="bottom"/>
          </w:tcPr>
          <w:p>
            <w:pPr>
              <w:spacing w:after="0"/>
              <w:rPr>
                <w:sz w:val="20"/>
                <w:szCs w:val="20"/>
                <w:color w:val="auto"/>
              </w:rPr>
            </w:pPr>
            <w:r>
              <w:rPr>
                <w:rFonts w:ascii="Arial" w:cs="Arial" w:eastAsia="Arial" w:hAnsi="Arial"/>
                <w:sz w:val="18"/>
                <w:szCs w:val="18"/>
                <w:color w:val="auto"/>
              </w:rPr>
              <w:t>MO</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ILS Corp</w:t>
            </w:r>
          </w:p>
        </w:tc>
        <w:tc>
          <w:tcPr>
            <w:tcW w:w="5960" w:type="dxa"/>
            <w:vAlign w:val="bottom"/>
            <w:gridSpan w:val="2"/>
          </w:tcPr>
          <w:p>
            <w:pPr>
              <w:ind w:left="240"/>
              <w:spacing w:after="0"/>
              <w:rPr>
                <w:sz w:val="20"/>
                <w:szCs w:val="20"/>
                <w:color w:val="auto"/>
              </w:rPr>
            </w:pPr>
            <w:r>
              <w:rPr>
                <w:rFonts w:ascii="Arial" w:cs="Arial" w:eastAsia="Arial" w:hAnsi="Arial"/>
                <w:sz w:val="18"/>
                <w:szCs w:val="18"/>
                <w:color w:val="auto"/>
              </w:rPr>
              <w:t>Affinity Medical Center</w:t>
            </w:r>
          </w:p>
        </w:tc>
        <w:tc>
          <w:tcPr>
            <w:tcW w:w="1820" w:type="dxa"/>
            <w:vAlign w:val="bottom"/>
            <w:gridSpan w:val="3"/>
          </w:tcPr>
          <w:p>
            <w:pPr>
              <w:ind w:left="120"/>
              <w:spacing w:after="0"/>
              <w:rPr>
                <w:sz w:val="20"/>
                <w:szCs w:val="20"/>
                <w:color w:val="auto"/>
              </w:rPr>
            </w:pPr>
            <w:r>
              <w:rPr>
                <w:rFonts w:ascii="Arial" w:cs="Arial" w:eastAsia="Arial" w:hAnsi="Arial"/>
                <w:sz w:val="18"/>
                <w:szCs w:val="18"/>
                <w:color w:val="auto"/>
              </w:rPr>
              <w:t>M. Meredith</w:t>
            </w:r>
          </w:p>
        </w:tc>
        <w:tc>
          <w:tcPr>
            <w:tcW w:w="2160" w:type="dxa"/>
            <w:vAlign w:val="bottom"/>
            <w:gridSpan w:val="2"/>
          </w:tcPr>
          <w:p>
            <w:pPr>
              <w:spacing w:after="0"/>
              <w:rPr>
                <w:sz w:val="20"/>
                <w:szCs w:val="20"/>
                <w:color w:val="auto"/>
              </w:rPr>
            </w:pPr>
            <w:r>
              <w:rPr>
                <w:rFonts w:ascii="Arial" w:cs="Arial" w:eastAsia="Arial" w:hAnsi="Arial"/>
                <w:sz w:val="18"/>
                <w:szCs w:val="18"/>
                <w:color w:val="auto"/>
              </w:rPr>
              <w:t>Massillon</w:t>
            </w:r>
          </w:p>
        </w:tc>
        <w:tc>
          <w:tcPr>
            <w:tcW w:w="560" w:type="dxa"/>
            <w:vAlign w:val="bottom"/>
          </w:tcPr>
          <w:p>
            <w:pPr>
              <w:spacing w:after="0"/>
              <w:rPr>
                <w:sz w:val="20"/>
                <w:szCs w:val="20"/>
                <w:color w:val="auto"/>
              </w:rPr>
            </w:pPr>
            <w:r>
              <w:rPr>
                <w:rFonts w:ascii="Arial" w:cs="Arial" w:eastAsia="Arial" w:hAnsi="Arial"/>
                <w:sz w:val="18"/>
                <w:szCs w:val="18"/>
                <w:color w:val="auto"/>
              </w:rPr>
              <w:t>OH</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ILS Corp</w:t>
            </w:r>
          </w:p>
        </w:tc>
        <w:tc>
          <w:tcPr>
            <w:tcW w:w="5960" w:type="dxa"/>
            <w:vAlign w:val="bottom"/>
            <w:gridSpan w:val="2"/>
          </w:tcPr>
          <w:p>
            <w:pPr>
              <w:ind w:left="240"/>
              <w:spacing w:after="0"/>
              <w:rPr>
                <w:sz w:val="20"/>
                <w:szCs w:val="20"/>
                <w:color w:val="auto"/>
              </w:rPr>
            </w:pPr>
            <w:r>
              <w:rPr>
                <w:rFonts w:ascii="Arial" w:cs="Arial" w:eastAsia="Arial" w:hAnsi="Arial"/>
                <w:sz w:val="18"/>
                <w:szCs w:val="18"/>
                <w:color w:val="auto"/>
              </w:rPr>
              <w:t>Altoona Regional Health System</w:t>
            </w:r>
          </w:p>
        </w:tc>
        <w:tc>
          <w:tcPr>
            <w:tcW w:w="1820" w:type="dxa"/>
            <w:vAlign w:val="bottom"/>
            <w:gridSpan w:val="3"/>
          </w:tcPr>
          <w:p>
            <w:pPr>
              <w:ind w:left="120"/>
              <w:spacing w:after="0"/>
              <w:rPr>
                <w:sz w:val="20"/>
                <w:szCs w:val="20"/>
                <w:color w:val="auto"/>
              </w:rPr>
            </w:pPr>
            <w:r>
              <w:rPr>
                <w:rFonts w:ascii="Arial" w:cs="Arial" w:eastAsia="Arial" w:hAnsi="Arial"/>
                <w:sz w:val="18"/>
                <w:szCs w:val="18"/>
                <w:color w:val="auto"/>
              </w:rPr>
              <w:t>Justin Kobuck</w:t>
            </w:r>
          </w:p>
        </w:tc>
        <w:tc>
          <w:tcPr>
            <w:tcW w:w="2160" w:type="dxa"/>
            <w:vAlign w:val="bottom"/>
            <w:gridSpan w:val="2"/>
          </w:tcPr>
          <w:p>
            <w:pPr>
              <w:spacing w:after="0"/>
              <w:rPr>
                <w:sz w:val="20"/>
                <w:szCs w:val="20"/>
                <w:color w:val="auto"/>
              </w:rPr>
            </w:pPr>
            <w:r>
              <w:rPr>
                <w:rFonts w:ascii="Arial" w:cs="Arial" w:eastAsia="Arial" w:hAnsi="Arial"/>
                <w:sz w:val="18"/>
                <w:szCs w:val="18"/>
                <w:color w:val="auto"/>
              </w:rPr>
              <w:t>Altoona</w:t>
            </w:r>
          </w:p>
        </w:tc>
        <w:tc>
          <w:tcPr>
            <w:tcW w:w="560" w:type="dxa"/>
            <w:vAlign w:val="bottom"/>
          </w:tcPr>
          <w:p>
            <w:pPr>
              <w:spacing w:after="0"/>
              <w:rPr>
                <w:sz w:val="20"/>
                <w:szCs w:val="20"/>
                <w:color w:val="auto"/>
              </w:rPr>
            </w:pPr>
            <w:r>
              <w:rPr>
                <w:rFonts w:ascii="Arial" w:cs="Arial" w:eastAsia="Arial" w:hAnsi="Arial"/>
                <w:sz w:val="18"/>
                <w:szCs w:val="18"/>
                <w:color w:val="auto"/>
              </w:rPr>
              <w:t>PA</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ILS Corp</w:t>
            </w:r>
          </w:p>
        </w:tc>
        <w:tc>
          <w:tcPr>
            <w:tcW w:w="5960" w:type="dxa"/>
            <w:vAlign w:val="bottom"/>
            <w:gridSpan w:val="2"/>
          </w:tcPr>
          <w:p>
            <w:pPr>
              <w:ind w:left="240"/>
              <w:spacing w:after="0"/>
              <w:rPr>
                <w:sz w:val="20"/>
                <w:szCs w:val="20"/>
                <w:color w:val="auto"/>
              </w:rPr>
            </w:pPr>
            <w:r>
              <w:rPr>
                <w:rFonts w:ascii="Arial" w:cs="Arial" w:eastAsia="Arial" w:hAnsi="Arial"/>
                <w:sz w:val="18"/>
                <w:szCs w:val="18"/>
                <w:color w:val="auto"/>
              </w:rPr>
              <w:t>Ambulatory Surgery Center of Spartanburg</w:t>
            </w:r>
          </w:p>
        </w:tc>
        <w:tc>
          <w:tcPr>
            <w:tcW w:w="1820" w:type="dxa"/>
            <w:vAlign w:val="bottom"/>
            <w:gridSpan w:val="3"/>
          </w:tcPr>
          <w:p>
            <w:pPr>
              <w:ind w:left="120"/>
              <w:spacing w:after="0"/>
              <w:rPr>
                <w:sz w:val="20"/>
                <w:szCs w:val="20"/>
                <w:color w:val="auto"/>
              </w:rPr>
            </w:pPr>
            <w:r>
              <w:rPr>
                <w:rFonts w:ascii="Arial" w:cs="Arial" w:eastAsia="Arial" w:hAnsi="Arial"/>
                <w:sz w:val="18"/>
                <w:szCs w:val="18"/>
                <w:color w:val="auto"/>
              </w:rPr>
              <w:t>Mike Pankey</w:t>
            </w:r>
          </w:p>
        </w:tc>
        <w:tc>
          <w:tcPr>
            <w:tcW w:w="2160" w:type="dxa"/>
            <w:vAlign w:val="bottom"/>
            <w:gridSpan w:val="2"/>
          </w:tcPr>
          <w:p>
            <w:pPr>
              <w:spacing w:after="0"/>
              <w:rPr>
                <w:sz w:val="20"/>
                <w:szCs w:val="20"/>
                <w:color w:val="auto"/>
              </w:rPr>
            </w:pPr>
            <w:r>
              <w:rPr>
                <w:rFonts w:ascii="Arial" w:cs="Arial" w:eastAsia="Arial" w:hAnsi="Arial"/>
                <w:sz w:val="18"/>
                <w:szCs w:val="18"/>
                <w:color w:val="auto"/>
              </w:rPr>
              <w:t>Spartanburg</w:t>
            </w:r>
          </w:p>
        </w:tc>
        <w:tc>
          <w:tcPr>
            <w:tcW w:w="560" w:type="dxa"/>
            <w:vAlign w:val="bottom"/>
          </w:tcPr>
          <w:p>
            <w:pPr>
              <w:spacing w:after="0"/>
              <w:rPr>
                <w:sz w:val="20"/>
                <w:szCs w:val="20"/>
                <w:color w:val="auto"/>
              </w:rPr>
            </w:pPr>
            <w:r>
              <w:rPr>
                <w:rFonts w:ascii="Arial" w:cs="Arial" w:eastAsia="Arial" w:hAnsi="Arial"/>
                <w:sz w:val="18"/>
                <w:szCs w:val="18"/>
                <w:color w:val="auto"/>
              </w:rPr>
              <w:t>SC</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ILS Corp</w:t>
            </w:r>
          </w:p>
        </w:tc>
        <w:tc>
          <w:tcPr>
            <w:tcW w:w="5960" w:type="dxa"/>
            <w:vAlign w:val="bottom"/>
            <w:gridSpan w:val="2"/>
          </w:tcPr>
          <w:p>
            <w:pPr>
              <w:ind w:left="240"/>
              <w:spacing w:after="0"/>
              <w:rPr>
                <w:sz w:val="20"/>
                <w:szCs w:val="20"/>
                <w:color w:val="auto"/>
              </w:rPr>
            </w:pPr>
            <w:r>
              <w:rPr>
                <w:rFonts w:ascii="Arial" w:cs="Arial" w:eastAsia="Arial" w:hAnsi="Arial"/>
                <w:sz w:val="18"/>
                <w:szCs w:val="18"/>
                <w:color w:val="auto"/>
              </w:rPr>
              <w:t>Aultman Hospital</w:t>
            </w:r>
          </w:p>
        </w:tc>
        <w:tc>
          <w:tcPr>
            <w:tcW w:w="1820" w:type="dxa"/>
            <w:vAlign w:val="bottom"/>
            <w:gridSpan w:val="3"/>
          </w:tcPr>
          <w:p>
            <w:pPr>
              <w:ind w:left="120"/>
              <w:spacing w:after="0"/>
              <w:rPr>
                <w:sz w:val="20"/>
                <w:szCs w:val="20"/>
                <w:color w:val="auto"/>
              </w:rPr>
            </w:pPr>
            <w:r>
              <w:rPr>
                <w:rFonts w:ascii="Arial" w:cs="Arial" w:eastAsia="Arial" w:hAnsi="Arial"/>
                <w:sz w:val="18"/>
                <w:szCs w:val="18"/>
                <w:color w:val="auto"/>
              </w:rPr>
              <w:t>Chris Moore</w:t>
            </w:r>
          </w:p>
        </w:tc>
        <w:tc>
          <w:tcPr>
            <w:tcW w:w="2160" w:type="dxa"/>
            <w:vAlign w:val="bottom"/>
            <w:gridSpan w:val="2"/>
          </w:tcPr>
          <w:p>
            <w:pPr>
              <w:spacing w:after="0"/>
              <w:rPr>
                <w:sz w:val="20"/>
                <w:szCs w:val="20"/>
                <w:color w:val="auto"/>
              </w:rPr>
            </w:pPr>
            <w:r>
              <w:rPr>
                <w:rFonts w:ascii="Arial" w:cs="Arial" w:eastAsia="Arial" w:hAnsi="Arial"/>
                <w:sz w:val="18"/>
                <w:szCs w:val="18"/>
                <w:color w:val="auto"/>
              </w:rPr>
              <w:t>Canton</w:t>
            </w:r>
          </w:p>
        </w:tc>
        <w:tc>
          <w:tcPr>
            <w:tcW w:w="560" w:type="dxa"/>
            <w:vAlign w:val="bottom"/>
          </w:tcPr>
          <w:p>
            <w:pPr>
              <w:spacing w:after="0"/>
              <w:rPr>
                <w:sz w:val="20"/>
                <w:szCs w:val="20"/>
                <w:color w:val="auto"/>
              </w:rPr>
            </w:pPr>
            <w:r>
              <w:rPr>
                <w:rFonts w:ascii="Arial" w:cs="Arial" w:eastAsia="Arial" w:hAnsi="Arial"/>
                <w:sz w:val="18"/>
                <w:szCs w:val="18"/>
                <w:color w:val="auto"/>
              </w:rPr>
              <w:t>OH</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ILS Corp</w:t>
            </w:r>
          </w:p>
        </w:tc>
        <w:tc>
          <w:tcPr>
            <w:tcW w:w="5960" w:type="dxa"/>
            <w:vAlign w:val="bottom"/>
            <w:gridSpan w:val="2"/>
          </w:tcPr>
          <w:p>
            <w:pPr>
              <w:ind w:left="240"/>
              <w:spacing w:after="0"/>
              <w:rPr>
                <w:sz w:val="20"/>
                <w:szCs w:val="20"/>
                <w:color w:val="auto"/>
              </w:rPr>
            </w:pPr>
            <w:r>
              <w:rPr>
                <w:rFonts w:ascii="Arial" w:cs="Arial" w:eastAsia="Arial" w:hAnsi="Arial"/>
                <w:sz w:val="18"/>
                <w:szCs w:val="18"/>
                <w:color w:val="auto"/>
              </w:rPr>
              <w:t>Aurora Surgery Center</w:t>
            </w:r>
          </w:p>
        </w:tc>
        <w:tc>
          <w:tcPr>
            <w:tcW w:w="1820" w:type="dxa"/>
            <w:vAlign w:val="bottom"/>
            <w:gridSpan w:val="3"/>
          </w:tcPr>
          <w:p>
            <w:pPr>
              <w:ind w:left="120"/>
              <w:spacing w:after="0"/>
              <w:rPr>
                <w:sz w:val="20"/>
                <w:szCs w:val="20"/>
                <w:color w:val="auto"/>
              </w:rPr>
            </w:pPr>
            <w:r>
              <w:rPr>
                <w:rFonts w:ascii="Arial" w:cs="Arial" w:eastAsia="Arial" w:hAnsi="Arial"/>
                <w:sz w:val="18"/>
                <w:szCs w:val="18"/>
                <w:color w:val="auto"/>
              </w:rPr>
              <w:t>Dan Ortega</w:t>
            </w:r>
          </w:p>
        </w:tc>
        <w:tc>
          <w:tcPr>
            <w:tcW w:w="2160" w:type="dxa"/>
            <w:vAlign w:val="bottom"/>
            <w:gridSpan w:val="2"/>
          </w:tcPr>
          <w:p>
            <w:pPr>
              <w:spacing w:after="0"/>
              <w:rPr>
                <w:sz w:val="20"/>
                <w:szCs w:val="20"/>
                <w:color w:val="auto"/>
              </w:rPr>
            </w:pPr>
            <w:r>
              <w:rPr>
                <w:rFonts w:ascii="Arial" w:cs="Arial" w:eastAsia="Arial" w:hAnsi="Arial"/>
                <w:sz w:val="18"/>
                <w:szCs w:val="18"/>
                <w:color w:val="auto"/>
              </w:rPr>
              <w:t>Aurora</w:t>
            </w:r>
          </w:p>
        </w:tc>
        <w:tc>
          <w:tcPr>
            <w:tcW w:w="560" w:type="dxa"/>
            <w:vAlign w:val="bottom"/>
          </w:tcPr>
          <w:p>
            <w:pPr>
              <w:spacing w:after="0"/>
              <w:rPr>
                <w:sz w:val="20"/>
                <w:szCs w:val="20"/>
                <w:color w:val="auto"/>
              </w:rPr>
            </w:pPr>
            <w:r>
              <w:rPr>
                <w:rFonts w:ascii="Arial" w:cs="Arial" w:eastAsia="Arial" w:hAnsi="Arial"/>
                <w:sz w:val="18"/>
                <w:szCs w:val="18"/>
                <w:color w:val="auto"/>
              </w:rPr>
              <w:t>CO</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ILS Corp</w:t>
            </w:r>
          </w:p>
        </w:tc>
        <w:tc>
          <w:tcPr>
            <w:tcW w:w="5960" w:type="dxa"/>
            <w:vAlign w:val="bottom"/>
            <w:gridSpan w:val="2"/>
          </w:tcPr>
          <w:p>
            <w:pPr>
              <w:ind w:left="240"/>
              <w:spacing w:after="0"/>
              <w:rPr>
                <w:sz w:val="20"/>
                <w:szCs w:val="20"/>
                <w:color w:val="auto"/>
              </w:rPr>
            </w:pPr>
            <w:r>
              <w:rPr>
                <w:rFonts w:ascii="Arial" w:cs="Arial" w:eastAsia="Arial" w:hAnsi="Arial"/>
                <w:sz w:val="18"/>
                <w:szCs w:val="18"/>
                <w:color w:val="auto"/>
              </w:rPr>
              <w:t>Banner Boswell</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Sun City</w:t>
            </w:r>
          </w:p>
        </w:tc>
        <w:tc>
          <w:tcPr>
            <w:tcW w:w="560" w:type="dxa"/>
            <w:vAlign w:val="bottom"/>
          </w:tcPr>
          <w:p>
            <w:pPr>
              <w:spacing w:after="0"/>
              <w:rPr>
                <w:sz w:val="20"/>
                <w:szCs w:val="20"/>
                <w:color w:val="auto"/>
              </w:rPr>
            </w:pPr>
            <w:r>
              <w:rPr>
                <w:rFonts w:ascii="Arial" w:cs="Arial" w:eastAsia="Arial" w:hAnsi="Arial"/>
                <w:sz w:val="18"/>
                <w:szCs w:val="18"/>
                <w:color w:val="auto"/>
              </w:rPr>
              <w:t>AZ</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ILS Corp</w:t>
            </w:r>
          </w:p>
        </w:tc>
        <w:tc>
          <w:tcPr>
            <w:tcW w:w="5960" w:type="dxa"/>
            <w:vAlign w:val="bottom"/>
            <w:gridSpan w:val="2"/>
          </w:tcPr>
          <w:p>
            <w:pPr>
              <w:ind w:left="240"/>
              <w:spacing w:after="0"/>
              <w:rPr>
                <w:sz w:val="20"/>
                <w:szCs w:val="20"/>
                <w:color w:val="auto"/>
              </w:rPr>
            </w:pPr>
            <w:r>
              <w:rPr>
                <w:rFonts w:ascii="Arial" w:cs="Arial" w:eastAsia="Arial" w:hAnsi="Arial"/>
                <w:sz w:val="18"/>
                <w:szCs w:val="18"/>
                <w:color w:val="auto"/>
              </w:rPr>
              <w:t>Baptist Medical Center</w:t>
            </w:r>
          </w:p>
        </w:tc>
        <w:tc>
          <w:tcPr>
            <w:tcW w:w="1820" w:type="dxa"/>
            <w:vAlign w:val="bottom"/>
            <w:gridSpan w:val="3"/>
          </w:tcPr>
          <w:p>
            <w:pPr>
              <w:ind w:left="120"/>
              <w:spacing w:after="0"/>
              <w:rPr>
                <w:sz w:val="20"/>
                <w:szCs w:val="20"/>
                <w:color w:val="auto"/>
              </w:rPr>
            </w:pPr>
            <w:r>
              <w:rPr>
                <w:rFonts w:ascii="Arial" w:cs="Arial" w:eastAsia="Arial" w:hAnsi="Arial"/>
                <w:sz w:val="18"/>
                <w:szCs w:val="18"/>
                <w:color w:val="auto"/>
              </w:rPr>
              <w:t>William Cline</w:t>
            </w:r>
          </w:p>
        </w:tc>
        <w:tc>
          <w:tcPr>
            <w:tcW w:w="2160" w:type="dxa"/>
            <w:vAlign w:val="bottom"/>
            <w:gridSpan w:val="2"/>
          </w:tcPr>
          <w:p>
            <w:pPr>
              <w:spacing w:after="0"/>
              <w:rPr>
                <w:sz w:val="20"/>
                <w:szCs w:val="20"/>
                <w:color w:val="auto"/>
              </w:rPr>
            </w:pPr>
            <w:r>
              <w:rPr>
                <w:rFonts w:ascii="Arial" w:cs="Arial" w:eastAsia="Arial" w:hAnsi="Arial"/>
                <w:sz w:val="18"/>
                <w:szCs w:val="18"/>
                <w:color w:val="auto"/>
              </w:rPr>
              <w:t>Nashville</w:t>
            </w:r>
          </w:p>
        </w:tc>
        <w:tc>
          <w:tcPr>
            <w:tcW w:w="560" w:type="dxa"/>
            <w:vAlign w:val="bottom"/>
          </w:tcPr>
          <w:p>
            <w:pPr>
              <w:spacing w:after="0"/>
              <w:rPr>
                <w:sz w:val="20"/>
                <w:szCs w:val="20"/>
                <w:color w:val="auto"/>
              </w:rPr>
            </w:pPr>
            <w:r>
              <w:rPr>
                <w:rFonts w:ascii="Arial" w:cs="Arial" w:eastAsia="Arial" w:hAnsi="Arial"/>
                <w:sz w:val="18"/>
                <w:szCs w:val="18"/>
                <w:color w:val="auto"/>
              </w:rPr>
              <w:t>TN</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ILS Corp</w:t>
            </w:r>
          </w:p>
        </w:tc>
        <w:tc>
          <w:tcPr>
            <w:tcW w:w="5960" w:type="dxa"/>
            <w:vAlign w:val="bottom"/>
            <w:gridSpan w:val="2"/>
          </w:tcPr>
          <w:p>
            <w:pPr>
              <w:ind w:left="240"/>
              <w:spacing w:after="0"/>
              <w:rPr>
                <w:sz w:val="20"/>
                <w:szCs w:val="20"/>
                <w:color w:val="auto"/>
              </w:rPr>
            </w:pPr>
            <w:r>
              <w:rPr>
                <w:rFonts w:ascii="Arial" w:cs="Arial" w:eastAsia="Arial" w:hAnsi="Arial"/>
                <w:sz w:val="18"/>
                <w:szCs w:val="18"/>
                <w:color w:val="auto"/>
              </w:rPr>
              <w:t>Bayfront Hospital</w:t>
            </w:r>
          </w:p>
        </w:tc>
        <w:tc>
          <w:tcPr>
            <w:tcW w:w="1820" w:type="dxa"/>
            <w:vAlign w:val="bottom"/>
            <w:gridSpan w:val="3"/>
          </w:tcPr>
          <w:p>
            <w:pPr>
              <w:ind w:left="120"/>
              <w:spacing w:after="0"/>
              <w:rPr>
                <w:sz w:val="20"/>
                <w:szCs w:val="20"/>
                <w:color w:val="auto"/>
              </w:rPr>
            </w:pPr>
            <w:r>
              <w:rPr>
                <w:rFonts w:ascii="Arial" w:cs="Arial" w:eastAsia="Arial" w:hAnsi="Arial"/>
                <w:sz w:val="18"/>
                <w:szCs w:val="18"/>
                <w:color w:val="auto"/>
              </w:rPr>
              <w:t>Rene Dittmer</w:t>
            </w:r>
          </w:p>
        </w:tc>
        <w:tc>
          <w:tcPr>
            <w:tcW w:w="2160" w:type="dxa"/>
            <w:vAlign w:val="bottom"/>
            <w:gridSpan w:val="2"/>
          </w:tcPr>
          <w:p>
            <w:pPr>
              <w:spacing w:after="0"/>
              <w:rPr>
                <w:sz w:val="20"/>
                <w:szCs w:val="20"/>
                <w:color w:val="auto"/>
              </w:rPr>
            </w:pPr>
            <w:r>
              <w:rPr>
                <w:rFonts w:ascii="Arial" w:cs="Arial" w:eastAsia="Arial" w:hAnsi="Arial"/>
                <w:sz w:val="18"/>
                <w:szCs w:val="18"/>
                <w:color w:val="auto"/>
              </w:rPr>
              <w:t>St.Petersburg</w:t>
            </w:r>
          </w:p>
        </w:tc>
        <w:tc>
          <w:tcPr>
            <w:tcW w:w="560" w:type="dxa"/>
            <w:vAlign w:val="bottom"/>
          </w:tcPr>
          <w:p>
            <w:pPr>
              <w:spacing w:after="0"/>
              <w:rPr>
                <w:sz w:val="20"/>
                <w:szCs w:val="20"/>
                <w:color w:val="auto"/>
              </w:rPr>
            </w:pPr>
            <w:r>
              <w:rPr>
                <w:rFonts w:ascii="Arial" w:cs="Arial" w:eastAsia="Arial" w:hAnsi="Arial"/>
                <w:sz w:val="18"/>
                <w:szCs w:val="18"/>
                <w:color w:val="auto"/>
              </w:rPr>
              <w:t>FL</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ILS Corp</w:t>
            </w:r>
          </w:p>
        </w:tc>
        <w:tc>
          <w:tcPr>
            <w:tcW w:w="5960" w:type="dxa"/>
            <w:vAlign w:val="bottom"/>
            <w:gridSpan w:val="2"/>
          </w:tcPr>
          <w:p>
            <w:pPr>
              <w:ind w:left="240"/>
              <w:spacing w:after="0"/>
              <w:rPr>
                <w:sz w:val="20"/>
                <w:szCs w:val="20"/>
                <w:color w:val="auto"/>
              </w:rPr>
            </w:pPr>
            <w:r>
              <w:rPr>
                <w:rFonts w:ascii="Arial" w:cs="Arial" w:eastAsia="Arial" w:hAnsi="Arial"/>
                <w:sz w:val="18"/>
                <w:szCs w:val="18"/>
                <w:color w:val="auto"/>
              </w:rPr>
              <w:t>Baylor University</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Dallas</w:t>
            </w:r>
          </w:p>
        </w:tc>
        <w:tc>
          <w:tcPr>
            <w:tcW w:w="560" w:type="dxa"/>
            <w:vAlign w:val="bottom"/>
          </w:tcPr>
          <w:p>
            <w:pPr>
              <w:spacing w:after="0"/>
              <w:rPr>
                <w:sz w:val="20"/>
                <w:szCs w:val="20"/>
                <w:color w:val="auto"/>
              </w:rPr>
            </w:pPr>
            <w:r>
              <w:rPr>
                <w:rFonts w:ascii="Arial" w:cs="Arial" w:eastAsia="Arial" w:hAnsi="Arial"/>
                <w:sz w:val="18"/>
                <w:szCs w:val="18"/>
                <w:color w:val="auto"/>
              </w:rPr>
              <w:t>TX</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ILS Corp</w:t>
            </w:r>
          </w:p>
        </w:tc>
        <w:tc>
          <w:tcPr>
            <w:tcW w:w="5960" w:type="dxa"/>
            <w:vAlign w:val="bottom"/>
            <w:gridSpan w:val="2"/>
          </w:tcPr>
          <w:p>
            <w:pPr>
              <w:ind w:left="240"/>
              <w:spacing w:after="0"/>
              <w:rPr>
                <w:sz w:val="20"/>
                <w:szCs w:val="20"/>
                <w:color w:val="auto"/>
              </w:rPr>
            </w:pPr>
            <w:r>
              <w:rPr>
                <w:rFonts w:ascii="Arial" w:cs="Arial" w:eastAsia="Arial" w:hAnsi="Arial"/>
                <w:sz w:val="18"/>
                <w:szCs w:val="18"/>
                <w:color w:val="auto"/>
              </w:rPr>
              <w:t>Bay Regional</w:t>
            </w:r>
          </w:p>
        </w:tc>
        <w:tc>
          <w:tcPr>
            <w:tcW w:w="1820" w:type="dxa"/>
            <w:vAlign w:val="bottom"/>
            <w:gridSpan w:val="3"/>
          </w:tcPr>
          <w:p>
            <w:pPr>
              <w:ind w:left="120"/>
              <w:spacing w:after="0"/>
              <w:rPr>
                <w:sz w:val="20"/>
                <w:szCs w:val="20"/>
                <w:color w:val="auto"/>
              </w:rPr>
            </w:pPr>
            <w:r>
              <w:rPr>
                <w:rFonts w:ascii="Arial" w:cs="Arial" w:eastAsia="Arial" w:hAnsi="Arial"/>
                <w:sz w:val="18"/>
                <w:szCs w:val="18"/>
                <w:color w:val="auto"/>
              </w:rPr>
              <w:t>James Bourden</w:t>
            </w:r>
          </w:p>
        </w:tc>
        <w:tc>
          <w:tcPr>
            <w:tcW w:w="2160" w:type="dxa"/>
            <w:vAlign w:val="bottom"/>
            <w:gridSpan w:val="2"/>
          </w:tcPr>
          <w:p>
            <w:pPr>
              <w:spacing w:after="0"/>
              <w:rPr>
                <w:sz w:val="20"/>
                <w:szCs w:val="20"/>
                <w:color w:val="auto"/>
              </w:rPr>
            </w:pPr>
            <w:r>
              <w:rPr>
                <w:rFonts w:ascii="Arial" w:cs="Arial" w:eastAsia="Arial" w:hAnsi="Arial"/>
                <w:sz w:val="18"/>
                <w:szCs w:val="18"/>
                <w:color w:val="auto"/>
              </w:rPr>
              <w:t>Bay City</w:t>
            </w:r>
          </w:p>
        </w:tc>
        <w:tc>
          <w:tcPr>
            <w:tcW w:w="560" w:type="dxa"/>
            <w:vAlign w:val="bottom"/>
          </w:tcPr>
          <w:p>
            <w:pPr>
              <w:spacing w:after="0"/>
              <w:rPr>
                <w:sz w:val="20"/>
                <w:szCs w:val="20"/>
                <w:color w:val="auto"/>
              </w:rPr>
            </w:pPr>
            <w:r>
              <w:rPr>
                <w:rFonts w:ascii="Arial" w:cs="Arial" w:eastAsia="Arial" w:hAnsi="Arial"/>
                <w:sz w:val="18"/>
                <w:szCs w:val="18"/>
                <w:color w:val="auto"/>
              </w:rPr>
              <w:t>MI</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ILS Corp</w:t>
            </w:r>
          </w:p>
        </w:tc>
        <w:tc>
          <w:tcPr>
            <w:tcW w:w="5960" w:type="dxa"/>
            <w:vAlign w:val="bottom"/>
            <w:gridSpan w:val="2"/>
          </w:tcPr>
          <w:p>
            <w:pPr>
              <w:ind w:left="240"/>
              <w:spacing w:after="0"/>
              <w:rPr>
                <w:sz w:val="20"/>
                <w:szCs w:val="20"/>
                <w:color w:val="auto"/>
              </w:rPr>
            </w:pPr>
            <w:r>
              <w:rPr>
                <w:rFonts w:ascii="Arial" w:cs="Arial" w:eastAsia="Arial" w:hAnsi="Arial"/>
                <w:sz w:val="18"/>
                <w:szCs w:val="18"/>
                <w:color w:val="auto"/>
              </w:rPr>
              <w:t>Bayonet Point</w:t>
            </w:r>
          </w:p>
        </w:tc>
        <w:tc>
          <w:tcPr>
            <w:tcW w:w="1820" w:type="dxa"/>
            <w:vAlign w:val="bottom"/>
            <w:gridSpan w:val="3"/>
          </w:tcPr>
          <w:p>
            <w:pPr>
              <w:ind w:left="120"/>
              <w:spacing w:after="0"/>
              <w:rPr>
                <w:sz w:val="20"/>
                <w:szCs w:val="20"/>
                <w:color w:val="auto"/>
              </w:rPr>
            </w:pPr>
            <w:r>
              <w:rPr>
                <w:rFonts w:ascii="Arial" w:cs="Arial" w:eastAsia="Arial" w:hAnsi="Arial"/>
                <w:sz w:val="18"/>
                <w:szCs w:val="18"/>
                <w:color w:val="auto"/>
              </w:rPr>
              <w:t>Christy Falke</w:t>
            </w:r>
          </w:p>
        </w:tc>
        <w:tc>
          <w:tcPr>
            <w:tcW w:w="2160" w:type="dxa"/>
            <w:vAlign w:val="bottom"/>
            <w:gridSpan w:val="2"/>
          </w:tcPr>
          <w:p>
            <w:pPr>
              <w:spacing w:after="0"/>
              <w:rPr>
                <w:sz w:val="20"/>
                <w:szCs w:val="20"/>
                <w:color w:val="auto"/>
              </w:rPr>
            </w:pPr>
            <w:r>
              <w:rPr>
                <w:rFonts w:ascii="Arial" w:cs="Arial" w:eastAsia="Arial" w:hAnsi="Arial"/>
                <w:sz w:val="18"/>
                <w:szCs w:val="18"/>
                <w:color w:val="auto"/>
              </w:rPr>
              <w:t>Hudson</w:t>
            </w:r>
          </w:p>
        </w:tc>
        <w:tc>
          <w:tcPr>
            <w:tcW w:w="560" w:type="dxa"/>
            <w:vAlign w:val="bottom"/>
          </w:tcPr>
          <w:p>
            <w:pPr>
              <w:spacing w:after="0"/>
              <w:rPr>
                <w:sz w:val="20"/>
                <w:szCs w:val="20"/>
                <w:color w:val="auto"/>
              </w:rPr>
            </w:pPr>
            <w:r>
              <w:rPr>
                <w:rFonts w:ascii="Arial" w:cs="Arial" w:eastAsia="Arial" w:hAnsi="Arial"/>
                <w:sz w:val="18"/>
                <w:szCs w:val="18"/>
                <w:color w:val="auto"/>
              </w:rPr>
              <w:t>FL</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ILS Corp</w:t>
            </w:r>
          </w:p>
        </w:tc>
        <w:tc>
          <w:tcPr>
            <w:tcW w:w="5960" w:type="dxa"/>
            <w:vAlign w:val="bottom"/>
            <w:gridSpan w:val="2"/>
          </w:tcPr>
          <w:p>
            <w:pPr>
              <w:ind w:left="240"/>
              <w:spacing w:after="0"/>
              <w:rPr>
                <w:sz w:val="20"/>
                <w:szCs w:val="20"/>
                <w:color w:val="auto"/>
              </w:rPr>
            </w:pPr>
            <w:r>
              <w:rPr>
                <w:rFonts w:ascii="Arial" w:cs="Arial" w:eastAsia="Arial" w:hAnsi="Arial"/>
                <w:sz w:val="18"/>
                <w:szCs w:val="18"/>
                <w:color w:val="auto"/>
              </w:rPr>
              <w:t>Big Creek Surgery Center</w:t>
            </w:r>
          </w:p>
        </w:tc>
        <w:tc>
          <w:tcPr>
            <w:tcW w:w="1820" w:type="dxa"/>
            <w:vAlign w:val="bottom"/>
            <w:gridSpan w:val="3"/>
          </w:tcPr>
          <w:p>
            <w:pPr>
              <w:ind w:left="120"/>
              <w:spacing w:after="0"/>
              <w:rPr>
                <w:sz w:val="20"/>
                <w:szCs w:val="20"/>
                <w:color w:val="auto"/>
              </w:rPr>
            </w:pPr>
            <w:r>
              <w:rPr>
                <w:rFonts w:ascii="Arial" w:cs="Arial" w:eastAsia="Arial" w:hAnsi="Arial"/>
                <w:sz w:val="18"/>
                <w:szCs w:val="18"/>
                <w:color w:val="auto"/>
              </w:rPr>
              <w:t>Cindy Ross</w:t>
            </w:r>
          </w:p>
        </w:tc>
        <w:tc>
          <w:tcPr>
            <w:tcW w:w="2160" w:type="dxa"/>
            <w:vAlign w:val="bottom"/>
            <w:gridSpan w:val="2"/>
          </w:tcPr>
          <w:p>
            <w:pPr>
              <w:spacing w:after="0"/>
              <w:rPr>
                <w:sz w:val="20"/>
                <w:szCs w:val="20"/>
                <w:color w:val="auto"/>
              </w:rPr>
            </w:pPr>
            <w:r>
              <w:rPr>
                <w:rFonts w:ascii="Arial" w:cs="Arial" w:eastAsia="Arial" w:hAnsi="Arial"/>
                <w:sz w:val="18"/>
                <w:szCs w:val="18"/>
                <w:color w:val="auto"/>
              </w:rPr>
              <w:t>Middleburg Heights</w:t>
            </w:r>
          </w:p>
        </w:tc>
        <w:tc>
          <w:tcPr>
            <w:tcW w:w="560" w:type="dxa"/>
            <w:vAlign w:val="bottom"/>
          </w:tcPr>
          <w:p>
            <w:pPr>
              <w:spacing w:after="0"/>
              <w:rPr>
                <w:sz w:val="20"/>
                <w:szCs w:val="20"/>
                <w:color w:val="auto"/>
              </w:rPr>
            </w:pPr>
            <w:r>
              <w:rPr>
                <w:rFonts w:ascii="Arial" w:cs="Arial" w:eastAsia="Arial" w:hAnsi="Arial"/>
                <w:sz w:val="18"/>
                <w:szCs w:val="18"/>
                <w:color w:val="auto"/>
              </w:rPr>
              <w:t>OH</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ILS Corp</w:t>
            </w:r>
          </w:p>
        </w:tc>
        <w:tc>
          <w:tcPr>
            <w:tcW w:w="5960" w:type="dxa"/>
            <w:vAlign w:val="bottom"/>
            <w:gridSpan w:val="2"/>
          </w:tcPr>
          <w:p>
            <w:pPr>
              <w:ind w:left="240"/>
              <w:spacing w:after="0"/>
              <w:rPr>
                <w:sz w:val="20"/>
                <w:szCs w:val="20"/>
                <w:color w:val="auto"/>
              </w:rPr>
            </w:pPr>
            <w:r>
              <w:rPr>
                <w:rFonts w:ascii="Arial" w:cs="Arial" w:eastAsia="Arial" w:hAnsi="Arial"/>
                <w:sz w:val="18"/>
                <w:szCs w:val="18"/>
                <w:color w:val="auto"/>
              </w:rPr>
              <w:t>Biloxi Reg Medical Center</w:t>
            </w:r>
          </w:p>
        </w:tc>
        <w:tc>
          <w:tcPr>
            <w:tcW w:w="1820" w:type="dxa"/>
            <w:vAlign w:val="bottom"/>
            <w:gridSpan w:val="3"/>
          </w:tcPr>
          <w:p>
            <w:pPr>
              <w:ind w:left="120"/>
              <w:spacing w:after="0"/>
              <w:rPr>
                <w:sz w:val="20"/>
                <w:szCs w:val="20"/>
                <w:color w:val="auto"/>
              </w:rPr>
            </w:pPr>
            <w:r>
              <w:rPr>
                <w:rFonts w:ascii="Arial" w:cs="Arial" w:eastAsia="Arial" w:hAnsi="Arial"/>
                <w:sz w:val="18"/>
                <w:szCs w:val="18"/>
                <w:color w:val="auto"/>
              </w:rPr>
              <w:t>Rick Suiter</w:t>
            </w:r>
          </w:p>
        </w:tc>
        <w:tc>
          <w:tcPr>
            <w:tcW w:w="2160" w:type="dxa"/>
            <w:vAlign w:val="bottom"/>
            <w:gridSpan w:val="2"/>
          </w:tcPr>
          <w:p>
            <w:pPr>
              <w:spacing w:after="0"/>
              <w:rPr>
                <w:sz w:val="20"/>
                <w:szCs w:val="20"/>
                <w:color w:val="auto"/>
              </w:rPr>
            </w:pPr>
            <w:r>
              <w:rPr>
                <w:rFonts w:ascii="Arial" w:cs="Arial" w:eastAsia="Arial" w:hAnsi="Arial"/>
                <w:sz w:val="18"/>
                <w:szCs w:val="18"/>
                <w:color w:val="auto"/>
              </w:rPr>
              <w:t>Biloxi</w:t>
            </w:r>
          </w:p>
        </w:tc>
        <w:tc>
          <w:tcPr>
            <w:tcW w:w="560" w:type="dxa"/>
            <w:vAlign w:val="bottom"/>
          </w:tcPr>
          <w:p>
            <w:pPr>
              <w:spacing w:after="0"/>
              <w:rPr>
                <w:sz w:val="20"/>
                <w:szCs w:val="20"/>
                <w:color w:val="auto"/>
              </w:rPr>
            </w:pPr>
            <w:r>
              <w:rPr>
                <w:rFonts w:ascii="Arial" w:cs="Arial" w:eastAsia="Arial" w:hAnsi="Arial"/>
                <w:sz w:val="18"/>
                <w:szCs w:val="18"/>
                <w:color w:val="auto"/>
              </w:rPr>
              <w:t>MS</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ILS Corp</w:t>
            </w:r>
          </w:p>
        </w:tc>
        <w:tc>
          <w:tcPr>
            <w:tcW w:w="5960" w:type="dxa"/>
            <w:vAlign w:val="bottom"/>
            <w:gridSpan w:val="2"/>
          </w:tcPr>
          <w:p>
            <w:pPr>
              <w:ind w:left="240"/>
              <w:spacing w:after="0"/>
              <w:rPr>
                <w:sz w:val="20"/>
                <w:szCs w:val="20"/>
                <w:color w:val="auto"/>
              </w:rPr>
            </w:pPr>
            <w:r>
              <w:rPr>
                <w:rFonts w:ascii="Arial" w:cs="Arial" w:eastAsia="Arial" w:hAnsi="Arial"/>
                <w:sz w:val="18"/>
                <w:szCs w:val="18"/>
                <w:color w:val="auto"/>
              </w:rPr>
              <w:t>Bon Secours Venice Hospital</w:t>
            </w:r>
          </w:p>
        </w:tc>
        <w:tc>
          <w:tcPr>
            <w:tcW w:w="1820" w:type="dxa"/>
            <w:vAlign w:val="bottom"/>
            <w:gridSpan w:val="3"/>
          </w:tcPr>
          <w:p>
            <w:pPr>
              <w:ind w:left="120"/>
              <w:spacing w:after="0"/>
              <w:rPr>
                <w:sz w:val="20"/>
                <w:szCs w:val="20"/>
                <w:color w:val="auto"/>
              </w:rPr>
            </w:pPr>
            <w:r>
              <w:rPr>
                <w:rFonts w:ascii="Arial" w:cs="Arial" w:eastAsia="Arial" w:hAnsi="Arial"/>
                <w:sz w:val="18"/>
                <w:szCs w:val="18"/>
                <w:color w:val="auto"/>
              </w:rPr>
              <w:t>Suzanne Roads</w:t>
            </w:r>
          </w:p>
        </w:tc>
        <w:tc>
          <w:tcPr>
            <w:tcW w:w="2160" w:type="dxa"/>
            <w:vAlign w:val="bottom"/>
            <w:gridSpan w:val="2"/>
          </w:tcPr>
          <w:p>
            <w:pPr>
              <w:spacing w:after="0"/>
              <w:rPr>
                <w:sz w:val="20"/>
                <w:szCs w:val="20"/>
                <w:color w:val="auto"/>
              </w:rPr>
            </w:pPr>
            <w:r>
              <w:rPr>
                <w:rFonts w:ascii="Arial" w:cs="Arial" w:eastAsia="Arial" w:hAnsi="Arial"/>
                <w:sz w:val="18"/>
                <w:szCs w:val="18"/>
                <w:color w:val="auto"/>
              </w:rPr>
              <w:t>Venice</w:t>
            </w:r>
          </w:p>
        </w:tc>
        <w:tc>
          <w:tcPr>
            <w:tcW w:w="560" w:type="dxa"/>
            <w:vAlign w:val="bottom"/>
          </w:tcPr>
          <w:p>
            <w:pPr>
              <w:spacing w:after="0"/>
              <w:rPr>
                <w:sz w:val="20"/>
                <w:szCs w:val="20"/>
                <w:color w:val="auto"/>
              </w:rPr>
            </w:pPr>
            <w:r>
              <w:rPr>
                <w:rFonts w:ascii="Arial" w:cs="Arial" w:eastAsia="Arial" w:hAnsi="Arial"/>
                <w:sz w:val="18"/>
                <w:szCs w:val="18"/>
                <w:color w:val="auto"/>
              </w:rPr>
              <w:t>FL</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ILS Corp</w:t>
            </w:r>
          </w:p>
        </w:tc>
        <w:tc>
          <w:tcPr>
            <w:tcW w:w="5960" w:type="dxa"/>
            <w:vAlign w:val="bottom"/>
            <w:gridSpan w:val="2"/>
          </w:tcPr>
          <w:p>
            <w:pPr>
              <w:ind w:left="240"/>
              <w:spacing w:after="0"/>
              <w:rPr>
                <w:sz w:val="20"/>
                <w:szCs w:val="20"/>
                <w:color w:val="auto"/>
              </w:rPr>
            </w:pPr>
            <w:r>
              <w:rPr>
                <w:rFonts w:ascii="Arial" w:cs="Arial" w:eastAsia="Arial" w:hAnsi="Arial"/>
                <w:sz w:val="18"/>
                <w:szCs w:val="18"/>
                <w:color w:val="auto"/>
              </w:rPr>
              <w:t>Boulder Community Hospital</w:t>
            </w:r>
          </w:p>
        </w:tc>
        <w:tc>
          <w:tcPr>
            <w:tcW w:w="1820" w:type="dxa"/>
            <w:vAlign w:val="bottom"/>
            <w:gridSpan w:val="3"/>
          </w:tcPr>
          <w:p>
            <w:pPr>
              <w:ind w:left="120"/>
              <w:spacing w:after="0"/>
              <w:rPr>
                <w:sz w:val="20"/>
                <w:szCs w:val="20"/>
                <w:color w:val="auto"/>
              </w:rPr>
            </w:pPr>
            <w:r>
              <w:rPr>
                <w:rFonts w:ascii="Arial" w:cs="Arial" w:eastAsia="Arial" w:hAnsi="Arial"/>
                <w:sz w:val="18"/>
                <w:szCs w:val="18"/>
                <w:color w:val="auto"/>
              </w:rPr>
              <w:t>Mary Gardner</w:t>
            </w:r>
          </w:p>
        </w:tc>
        <w:tc>
          <w:tcPr>
            <w:tcW w:w="2160" w:type="dxa"/>
            <w:vAlign w:val="bottom"/>
            <w:gridSpan w:val="2"/>
          </w:tcPr>
          <w:p>
            <w:pPr>
              <w:spacing w:after="0"/>
              <w:rPr>
                <w:sz w:val="20"/>
                <w:szCs w:val="20"/>
                <w:color w:val="auto"/>
              </w:rPr>
            </w:pPr>
            <w:r>
              <w:rPr>
                <w:rFonts w:ascii="Arial" w:cs="Arial" w:eastAsia="Arial" w:hAnsi="Arial"/>
                <w:sz w:val="18"/>
                <w:szCs w:val="18"/>
                <w:color w:val="auto"/>
              </w:rPr>
              <w:t>Boulder</w:t>
            </w:r>
          </w:p>
        </w:tc>
        <w:tc>
          <w:tcPr>
            <w:tcW w:w="560" w:type="dxa"/>
            <w:vAlign w:val="bottom"/>
          </w:tcPr>
          <w:p>
            <w:pPr>
              <w:spacing w:after="0"/>
              <w:rPr>
                <w:sz w:val="20"/>
                <w:szCs w:val="20"/>
                <w:color w:val="auto"/>
              </w:rPr>
            </w:pPr>
            <w:r>
              <w:rPr>
                <w:rFonts w:ascii="Arial" w:cs="Arial" w:eastAsia="Arial" w:hAnsi="Arial"/>
                <w:sz w:val="18"/>
                <w:szCs w:val="18"/>
                <w:color w:val="auto"/>
              </w:rPr>
              <w:t>CO</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ILS Corp</w:t>
            </w:r>
          </w:p>
        </w:tc>
        <w:tc>
          <w:tcPr>
            <w:tcW w:w="5960" w:type="dxa"/>
            <w:vAlign w:val="bottom"/>
            <w:gridSpan w:val="2"/>
          </w:tcPr>
          <w:p>
            <w:pPr>
              <w:ind w:left="240"/>
              <w:spacing w:after="0"/>
              <w:rPr>
                <w:sz w:val="20"/>
                <w:szCs w:val="20"/>
                <w:color w:val="auto"/>
              </w:rPr>
            </w:pPr>
            <w:r>
              <w:rPr>
                <w:rFonts w:ascii="Arial" w:cs="Arial" w:eastAsia="Arial" w:hAnsi="Arial"/>
                <w:sz w:val="18"/>
                <w:szCs w:val="18"/>
                <w:color w:val="auto"/>
              </w:rPr>
              <w:t>Brandon Hospital</w:t>
            </w:r>
          </w:p>
        </w:tc>
        <w:tc>
          <w:tcPr>
            <w:tcW w:w="1820" w:type="dxa"/>
            <w:vAlign w:val="bottom"/>
            <w:gridSpan w:val="3"/>
          </w:tcPr>
          <w:p>
            <w:pPr>
              <w:ind w:left="120"/>
              <w:spacing w:after="0"/>
              <w:rPr>
                <w:sz w:val="20"/>
                <w:szCs w:val="20"/>
                <w:color w:val="auto"/>
              </w:rPr>
            </w:pPr>
            <w:r>
              <w:rPr>
                <w:rFonts w:ascii="Arial" w:cs="Arial" w:eastAsia="Arial" w:hAnsi="Arial"/>
                <w:sz w:val="18"/>
                <w:szCs w:val="18"/>
                <w:color w:val="auto"/>
              </w:rPr>
              <w:t>Michelle Clark</w:t>
            </w:r>
          </w:p>
        </w:tc>
        <w:tc>
          <w:tcPr>
            <w:tcW w:w="2160" w:type="dxa"/>
            <w:vAlign w:val="bottom"/>
            <w:gridSpan w:val="2"/>
          </w:tcPr>
          <w:p>
            <w:pPr>
              <w:spacing w:after="0"/>
              <w:rPr>
                <w:sz w:val="20"/>
                <w:szCs w:val="20"/>
                <w:color w:val="auto"/>
              </w:rPr>
            </w:pPr>
            <w:r>
              <w:rPr>
                <w:rFonts w:ascii="Arial" w:cs="Arial" w:eastAsia="Arial" w:hAnsi="Arial"/>
                <w:sz w:val="18"/>
                <w:szCs w:val="18"/>
                <w:color w:val="auto"/>
              </w:rPr>
              <w:t>Brandon</w:t>
            </w:r>
          </w:p>
        </w:tc>
        <w:tc>
          <w:tcPr>
            <w:tcW w:w="560" w:type="dxa"/>
            <w:vAlign w:val="bottom"/>
          </w:tcPr>
          <w:p>
            <w:pPr>
              <w:spacing w:after="0"/>
              <w:rPr>
                <w:sz w:val="20"/>
                <w:szCs w:val="20"/>
                <w:color w:val="auto"/>
              </w:rPr>
            </w:pPr>
            <w:r>
              <w:rPr>
                <w:rFonts w:ascii="Arial" w:cs="Arial" w:eastAsia="Arial" w:hAnsi="Arial"/>
                <w:sz w:val="18"/>
                <w:szCs w:val="18"/>
                <w:color w:val="auto"/>
              </w:rPr>
              <w:t>FL</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ILS Corp</w:t>
            </w:r>
          </w:p>
        </w:tc>
        <w:tc>
          <w:tcPr>
            <w:tcW w:w="5960" w:type="dxa"/>
            <w:vAlign w:val="bottom"/>
            <w:gridSpan w:val="2"/>
          </w:tcPr>
          <w:p>
            <w:pPr>
              <w:ind w:left="240"/>
              <w:spacing w:after="0"/>
              <w:rPr>
                <w:sz w:val="20"/>
                <w:szCs w:val="20"/>
                <w:color w:val="auto"/>
              </w:rPr>
            </w:pPr>
            <w:r>
              <w:rPr>
                <w:rFonts w:ascii="Arial" w:cs="Arial" w:eastAsia="Arial" w:hAnsi="Arial"/>
                <w:sz w:val="18"/>
                <w:szCs w:val="18"/>
                <w:color w:val="auto"/>
              </w:rPr>
              <w:t>Buckhead AGBulatory Surg Ctr</w:t>
            </w:r>
          </w:p>
        </w:tc>
        <w:tc>
          <w:tcPr>
            <w:tcW w:w="1820" w:type="dxa"/>
            <w:vAlign w:val="bottom"/>
            <w:gridSpan w:val="3"/>
          </w:tcPr>
          <w:p>
            <w:pPr>
              <w:ind w:left="120"/>
              <w:spacing w:after="0"/>
              <w:rPr>
                <w:sz w:val="20"/>
                <w:szCs w:val="20"/>
                <w:color w:val="auto"/>
              </w:rPr>
            </w:pPr>
            <w:r>
              <w:rPr>
                <w:rFonts w:ascii="Arial" w:cs="Arial" w:eastAsia="Arial" w:hAnsi="Arial"/>
                <w:sz w:val="18"/>
                <w:szCs w:val="18"/>
                <w:color w:val="auto"/>
              </w:rPr>
              <w:t>Lil Ghrist</w:t>
            </w:r>
          </w:p>
        </w:tc>
        <w:tc>
          <w:tcPr>
            <w:tcW w:w="2160" w:type="dxa"/>
            <w:vAlign w:val="bottom"/>
            <w:gridSpan w:val="2"/>
          </w:tcPr>
          <w:p>
            <w:pPr>
              <w:spacing w:after="0"/>
              <w:rPr>
                <w:sz w:val="20"/>
                <w:szCs w:val="20"/>
                <w:color w:val="auto"/>
              </w:rPr>
            </w:pPr>
            <w:r>
              <w:rPr>
                <w:rFonts w:ascii="Arial" w:cs="Arial" w:eastAsia="Arial" w:hAnsi="Arial"/>
                <w:sz w:val="18"/>
                <w:szCs w:val="18"/>
                <w:color w:val="auto"/>
              </w:rPr>
              <w:t>Atlanta</w:t>
            </w:r>
          </w:p>
        </w:tc>
        <w:tc>
          <w:tcPr>
            <w:tcW w:w="560" w:type="dxa"/>
            <w:vAlign w:val="bottom"/>
          </w:tcPr>
          <w:p>
            <w:pPr>
              <w:spacing w:after="0"/>
              <w:rPr>
                <w:sz w:val="20"/>
                <w:szCs w:val="20"/>
                <w:color w:val="auto"/>
              </w:rPr>
            </w:pPr>
            <w:r>
              <w:rPr>
                <w:rFonts w:ascii="Arial" w:cs="Arial" w:eastAsia="Arial" w:hAnsi="Arial"/>
                <w:sz w:val="18"/>
                <w:szCs w:val="18"/>
                <w:color w:val="auto"/>
              </w:rPr>
              <w:t>GA</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ILS Corp</w:t>
            </w:r>
          </w:p>
        </w:tc>
        <w:tc>
          <w:tcPr>
            <w:tcW w:w="5960" w:type="dxa"/>
            <w:vAlign w:val="bottom"/>
            <w:gridSpan w:val="2"/>
          </w:tcPr>
          <w:p>
            <w:pPr>
              <w:ind w:left="240"/>
              <w:spacing w:after="0"/>
              <w:rPr>
                <w:sz w:val="20"/>
                <w:szCs w:val="20"/>
                <w:color w:val="auto"/>
              </w:rPr>
            </w:pPr>
            <w:r>
              <w:rPr>
                <w:rFonts w:ascii="Arial" w:cs="Arial" w:eastAsia="Arial" w:hAnsi="Arial"/>
                <w:sz w:val="18"/>
                <w:szCs w:val="18"/>
                <w:color w:val="auto"/>
              </w:rPr>
              <w:t>California Medical Center</w:t>
            </w:r>
          </w:p>
        </w:tc>
        <w:tc>
          <w:tcPr>
            <w:tcW w:w="1820" w:type="dxa"/>
            <w:vAlign w:val="bottom"/>
            <w:gridSpan w:val="3"/>
          </w:tcPr>
          <w:p>
            <w:pPr>
              <w:ind w:left="120"/>
              <w:spacing w:after="0"/>
              <w:rPr>
                <w:sz w:val="20"/>
                <w:szCs w:val="20"/>
                <w:color w:val="auto"/>
              </w:rPr>
            </w:pPr>
            <w:r>
              <w:rPr>
                <w:rFonts w:ascii="Arial" w:cs="Arial" w:eastAsia="Arial" w:hAnsi="Arial"/>
                <w:sz w:val="18"/>
                <w:szCs w:val="18"/>
                <w:color w:val="auto"/>
              </w:rPr>
              <w:t>Brian Taylor</w:t>
            </w:r>
          </w:p>
        </w:tc>
        <w:tc>
          <w:tcPr>
            <w:tcW w:w="2160" w:type="dxa"/>
            <w:vAlign w:val="bottom"/>
            <w:gridSpan w:val="2"/>
          </w:tcPr>
          <w:p>
            <w:pPr>
              <w:spacing w:after="0"/>
              <w:rPr>
                <w:sz w:val="20"/>
                <w:szCs w:val="20"/>
                <w:color w:val="auto"/>
              </w:rPr>
            </w:pPr>
            <w:r>
              <w:rPr>
                <w:rFonts w:ascii="Arial" w:cs="Arial" w:eastAsia="Arial" w:hAnsi="Arial"/>
                <w:sz w:val="18"/>
                <w:szCs w:val="18"/>
                <w:color w:val="auto"/>
              </w:rPr>
              <w:t>Los Angeles</w:t>
            </w:r>
          </w:p>
        </w:tc>
        <w:tc>
          <w:tcPr>
            <w:tcW w:w="56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ILS Corp</w:t>
            </w:r>
          </w:p>
        </w:tc>
        <w:tc>
          <w:tcPr>
            <w:tcW w:w="5960" w:type="dxa"/>
            <w:vAlign w:val="bottom"/>
            <w:gridSpan w:val="2"/>
          </w:tcPr>
          <w:p>
            <w:pPr>
              <w:ind w:left="240"/>
              <w:spacing w:after="0"/>
              <w:rPr>
                <w:sz w:val="20"/>
                <w:szCs w:val="20"/>
                <w:color w:val="auto"/>
              </w:rPr>
            </w:pPr>
            <w:r>
              <w:rPr>
                <w:rFonts w:ascii="Arial" w:cs="Arial" w:eastAsia="Arial" w:hAnsi="Arial"/>
                <w:sz w:val="18"/>
                <w:szCs w:val="18"/>
                <w:color w:val="auto"/>
              </w:rPr>
              <w:t>Carson Tahoe Reg Med Ctr</w:t>
            </w:r>
          </w:p>
        </w:tc>
        <w:tc>
          <w:tcPr>
            <w:tcW w:w="1820" w:type="dxa"/>
            <w:vAlign w:val="bottom"/>
            <w:gridSpan w:val="3"/>
          </w:tcPr>
          <w:p>
            <w:pPr>
              <w:ind w:left="120"/>
              <w:spacing w:after="0"/>
              <w:rPr>
                <w:sz w:val="20"/>
                <w:szCs w:val="20"/>
                <w:color w:val="auto"/>
              </w:rPr>
            </w:pPr>
            <w:r>
              <w:rPr>
                <w:rFonts w:ascii="Arial" w:cs="Arial" w:eastAsia="Arial" w:hAnsi="Arial"/>
                <w:sz w:val="18"/>
                <w:szCs w:val="18"/>
                <w:color w:val="auto"/>
              </w:rPr>
              <w:t>Margo Lowe</w:t>
            </w:r>
          </w:p>
        </w:tc>
        <w:tc>
          <w:tcPr>
            <w:tcW w:w="2160" w:type="dxa"/>
            <w:vAlign w:val="bottom"/>
            <w:gridSpan w:val="2"/>
          </w:tcPr>
          <w:p>
            <w:pPr>
              <w:spacing w:after="0"/>
              <w:rPr>
                <w:sz w:val="20"/>
                <w:szCs w:val="20"/>
                <w:color w:val="auto"/>
              </w:rPr>
            </w:pPr>
            <w:r>
              <w:rPr>
                <w:rFonts w:ascii="Arial" w:cs="Arial" w:eastAsia="Arial" w:hAnsi="Arial"/>
                <w:sz w:val="18"/>
                <w:szCs w:val="18"/>
                <w:color w:val="auto"/>
              </w:rPr>
              <w:t>Carson</w:t>
            </w:r>
          </w:p>
        </w:tc>
        <w:tc>
          <w:tcPr>
            <w:tcW w:w="560" w:type="dxa"/>
            <w:vAlign w:val="bottom"/>
          </w:tcPr>
          <w:p>
            <w:pPr>
              <w:spacing w:after="0"/>
              <w:rPr>
                <w:sz w:val="20"/>
                <w:szCs w:val="20"/>
                <w:color w:val="auto"/>
              </w:rPr>
            </w:pPr>
            <w:r>
              <w:rPr>
                <w:rFonts w:ascii="Arial" w:cs="Arial" w:eastAsia="Arial" w:hAnsi="Arial"/>
                <w:sz w:val="18"/>
                <w:szCs w:val="18"/>
                <w:color w:val="auto"/>
              </w:rPr>
              <w:t>NV</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ILS Corp</w:t>
            </w:r>
          </w:p>
        </w:tc>
        <w:tc>
          <w:tcPr>
            <w:tcW w:w="5960" w:type="dxa"/>
            <w:vAlign w:val="bottom"/>
            <w:gridSpan w:val="2"/>
          </w:tcPr>
          <w:p>
            <w:pPr>
              <w:ind w:left="240"/>
              <w:spacing w:after="0"/>
              <w:rPr>
                <w:sz w:val="20"/>
                <w:szCs w:val="20"/>
                <w:color w:val="auto"/>
              </w:rPr>
            </w:pPr>
            <w:r>
              <w:rPr>
                <w:rFonts w:ascii="Arial" w:cs="Arial" w:eastAsia="Arial" w:hAnsi="Arial"/>
                <w:sz w:val="18"/>
                <w:szCs w:val="18"/>
                <w:color w:val="auto"/>
              </w:rPr>
              <w:t>Casa Colina</w:t>
            </w:r>
          </w:p>
        </w:tc>
        <w:tc>
          <w:tcPr>
            <w:tcW w:w="1820" w:type="dxa"/>
            <w:vAlign w:val="bottom"/>
            <w:gridSpan w:val="3"/>
          </w:tcPr>
          <w:p>
            <w:pPr>
              <w:ind w:left="120"/>
              <w:spacing w:after="0"/>
              <w:rPr>
                <w:sz w:val="20"/>
                <w:szCs w:val="20"/>
                <w:color w:val="auto"/>
              </w:rPr>
            </w:pPr>
            <w:r>
              <w:rPr>
                <w:rFonts w:ascii="Arial" w:cs="Arial" w:eastAsia="Arial" w:hAnsi="Arial"/>
                <w:sz w:val="18"/>
                <w:szCs w:val="18"/>
                <w:color w:val="auto"/>
              </w:rPr>
              <w:t>James S</w:t>
            </w:r>
          </w:p>
        </w:tc>
        <w:tc>
          <w:tcPr>
            <w:tcW w:w="2160" w:type="dxa"/>
            <w:vAlign w:val="bottom"/>
            <w:gridSpan w:val="2"/>
          </w:tcPr>
          <w:p>
            <w:pPr>
              <w:spacing w:after="0"/>
              <w:rPr>
                <w:sz w:val="20"/>
                <w:szCs w:val="20"/>
                <w:color w:val="auto"/>
              </w:rPr>
            </w:pPr>
            <w:r>
              <w:rPr>
                <w:rFonts w:ascii="Arial" w:cs="Arial" w:eastAsia="Arial" w:hAnsi="Arial"/>
                <w:sz w:val="18"/>
                <w:szCs w:val="18"/>
                <w:color w:val="auto"/>
              </w:rPr>
              <w:t>Pomona</w:t>
            </w:r>
          </w:p>
        </w:tc>
        <w:tc>
          <w:tcPr>
            <w:tcW w:w="56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ILS Corp</w:t>
            </w:r>
          </w:p>
        </w:tc>
        <w:tc>
          <w:tcPr>
            <w:tcW w:w="5960" w:type="dxa"/>
            <w:vAlign w:val="bottom"/>
            <w:gridSpan w:val="2"/>
          </w:tcPr>
          <w:p>
            <w:pPr>
              <w:ind w:left="240"/>
              <w:spacing w:after="0"/>
              <w:rPr>
                <w:sz w:val="20"/>
                <w:szCs w:val="20"/>
                <w:color w:val="auto"/>
              </w:rPr>
            </w:pPr>
            <w:r>
              <w:rPr>
                <w:rFonts w:ascii="Arial" w:cs="Arial" w:eastAsia="Arial" w:hAnsi="Arial"/>
                <w:sz w:val="18"/>
                <w:szCs w:val="18"/>
                <w:color w:val="auto"/>
              </w:rPr>
              <w:t>Centennial Medical Center</w:t>
            </w:r>
          </w:p>
        </w:tc>
        <w:tc>
          <w:tcPr>
            <w:tcW w:w="1820" w:type="dxa"/>
            <w:vAlign w:val="bottom"/>
            <w:gridSpan w:val="3"/>
          </w:tcPr>
          <w:p>
            <w:pPr>
              <w:ind w:left="120"/>
              <w:spacing w:after="0"/>
              <w:rPr>
                <w:sz w:val="20"/>
                <w:szCs w:val="20"/>
                <w:color w:val="auto"/>
              </w:rPr>
            </w:pPr>
            <w:r>
              <w:rPr>
                <w:rFonts w:ascii="Arial" w:cs="Arial" w:eastAsia="Arial" w:hAnsi="Arial"/>
                <w:sz w:val="18"/>
                <w:szCs w:val="18"/>
                <w:color w:val="auto"/>
              </w:rPr>
              <w:t>Vivian Conner</w:t>
            </w:r>
          </w:p>
        </w:tc>
        <w:tc>
          <w:tcPr>
            <w:tcW w:w="2160" w:type="dxa"/>
            <w:vAlign w:val="bottom"/>
            <w:gridSpan w:val="2"/>
          </w:tcPr>
          <w:p>
            <w:pPr>
              <w:spacing w:after="0"/>
              <w:rPr>
                <w:sz w:val="20"/>
                <w:szCs w:val="20"/>
                <w:color w:val="auto"/>
              </w:rPr>
            </w:pPr>
            <w:r>
              <w:rPr>
                <w:rFonts w:ascii="Arial" w:cs="Arial" w:eastAsia="Arial" w:hAnsi="Arial"/>
                <w:sz w:val="18"/>
                <w:szCs w:val="18"/>
                <w:color w:val="auto"/>
              </w:rPr>
              <w:t>Nashville</w:t>
            </w:r>
          </w:p>
        </w:tc>
        <w:tc>
          <w:tcPr>
            <w:tcW w:w="560" w:type="dxa"/>
            <w:vAlign w:val="bottom"/>
          </w:tcPr>
          <w:p>
            <w:pPr>
              <w:spacing w:after="0"/>
              <w:rPr>
                <w:sz w:val="20"/>
                <w:szCs w:val="20"/>
                <w:color w:val="auto"/>
              </w:rPr>
            </w:pPr>
            <w:r>
              <w:rPr>
                <w:rFonts w:ascii="Arial" w:cs="Arial" w:eastAsia="Arial" w:hAnsi="Arial"/>
                <w:sz w:val="18"/>
                <w:szCs w:val="18"/>
                <w:color w:val="auto"/>
              </w:rPr>
              <w:t>TN</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ILS Corp</w:t>
            </w:r>
          </w:p>
        </w:tc>
        <w:tc>
          <w:tcPr>
            <w:tcW w:w="5960" w:type="dxa"/>
            <w:vAlign w:val="bottom"/>
            <w:gridSpan w:val="2"/>
          </w:tcPr>
          <w:p>
            <w:pPr>
              <w:ind w:left="240"/>
              <w:spacing w:after="0"/>
              <w:rPr>
                <w:sz w:val="20"/>
                <w:szCs w:val="20"/>
                <w:color w:val="auto"/>
              </w:rPr>
            </w:pPr>
            <w:r>
              <w:rPr>
                <w:rFonts w:ascii="Arial" w:cs="Arial" w:eastAsia="Arial" w:hAnsi="Arial"/>
                <w:sz w:val="18"/>
                <w:szCs w:val="18"/>
                <w:color w:val="auto"/>
              </w:rPr>
              <w:t>Center for Spinal Surg (AKA Baptist North Towers</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Nashville</w:t>
            </w:r>
          </w:p>
        </w:tc>
        <w:tc>
          <w:tcPr>
            <w:tcW w:w="560" w:type="dxa"/>
            <w:vAlign w:val="bottom"/>
          </w:tcPr>
          <w:p>
            <w:pPr>
              <w:spacing w:after="0"/>
              <w:rPr>
                <w:sz w:val="20"/>
                <w:szCs w:val="20"/>
                <w:color w:val="auto"/>
              </w:rPr>
            </w:pPr>
            <w:r>
              <w:rPr>
                <w:rFonts w:ascii="Arial" w:cs="Arial" w:eastAsia="Arial" w:hAnsi="Arial"/>
                <w:sz w:val="18"/>
                <w:szCs w:val="18"/>
                <w:color w:val="auto"/>
              </w:rPr>
              <w:t>TN</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ILS Corp</w:t>
            </w:r>
          </w:p>
        </w:tc>
        <w:tc>
          <w:tcPr>
            <w:tcW w:w="5960" w:type="dxa"/>
            <w:vAlign w:val="bottom"/>
            <w:gridSpan w:val="2"/>
          </w:tcPr>
          <w:p>
            <w:pPr>
              <w:ind w:left="240"/>
              <w:spacing w:after="0"/>
              <w:rPr>
                <w:sz w:val="20"/>
                <w:szCs w:val="20"/>
                <w:color w:val="auto"/>
              </w:rPr>
            </w:pPr>
            <w:r>
              <w:rPr>
                <w:rFonts w:ascii="Arial" w:cs="Arial" w:eastAsia="Arial" w:hAnsi="Arial"/>
                <w:sz w:val="18"/>
                <w:szCs w:val="18"/>
                <w:color w:val="auto"/>
              </w:rPr>
              <w:t>Central Utah Surgical Center</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ILS Corp</w:t>
            </w:r>
          </w:p>
        </w:tc>
        <w:tc>
          <w:tcPr>
            <w:tcW w:w="5960" w:type="dxa"/>
            <w:vAlign w:val="bottom"/>
            <w:gridSpan w:val="2"/>
          </w:tcPr>
          <w:p>
            <w:pPr>
              <w:ind w:left="240"/>
              <w:spacing w:after="0"/>
              <w:rPr>
                <w:sz w:val="20"/>
                <w:szCs w:val="20"/>
                <w:color w:val="auto"/>
              </w:rPr>
            </w:pPr>
            <w:r>
              <w:rPr>
                <w:rFonts w:ascii="Arial" w:cs="Arial" w:eastAsia="Arial" w:hAnsi="Arial"/>
                <w:sz w:val="18"/>
                <w:szCs w:val="18"/>
                <w:color w:val="auto"/>
              </w:rPr>
              <w:t>Centrum Surgery Center</w:t>
            </w:r>
          </w:p>
        </w:tc>
        <w:tc>
          <w:tcPr>
            <w:tcW w:w="1820" w:type="dxa"/>
            <w:vAlign w:val="bottom"/>
            <w:gridSpan w:val="3"/>
          </w:tcPr>
          <w:p>
            <w:pPr>
              <w:ind w:left="120"/>
              <w:spacing w:after="0"/>
              <w:rPr>
                <w:sz w:val="20"/>
                <w:szCs w:val="20"/>
                <w:color w:val="auto"/>
              </w:rPr>
            </w:pPr>
            <w:r>
              <w:rPr>
                <w:rFonts w:ascii="Arial" w:cs="Arial" w:eastAsia="Arial" w:hAnsi="Arial"/>
                <w:sz w:val="18"/>
                <w:szCs w:val="18"/>
                <w:color w:val="auto"/>
              </w:rPr>
              <w:t>Linda TGBlegel</w:t>
            </w:r>
          </w:p>
        </w:tc>
        <w:tc>
          <w:tcPr>
            <w:tcW w:w="2160" w:type="dxa"/>
            <w:vAlign w:val="bottom"/>
            <w:gridSpan w:val="2"/>
          </w:tcPr>
          <w:p>
            <w:pPr>
              <w:spacing w:after="0"/>
              <w:rPr>
                <w:sz w:val="20"/>
                <w:szCs w:val="20"/>
                <w:color w:val="auto"/>
              </w:rPr>
            </w:pPr>
            <w:r>
              <w:rPr>
                <w:rFonts w:ascii="Arial" w:cs="Arial" w:eastAsia="Arial" w:hAnsi="Arial"/>
                <w:sz w:val="18"/>
                <w:szCs w:val="18"/>
                <w:color w:val="auto"/>
              </w:rPr>
              <w:t>Greenwood Vllg.</w:t>
            </w:r>
          </w:p>
        </w:tc>
        <w:tc>
          <w:tcPr>
            <w:tcW w:w="560" w:type="dxa"/>
            <w:vAlign w:val="bottom"/>
          </w:tcPr>
          <w:p>
            <w:pPr>
              <w:spacing w:after="0"/>
              <w:rPr>
                <w:sz w:val="20"/>
                <w:szCs w:val="20"/>
                <w:color w:val="auto"/>
              </w:rPr>
            </w:pPr>
            <w:r>
              <w:rPr>
                <w:rFonts w:ascii="Arial" w:cs="Arial" w:eastAsia="Arial" w:hAnsi="Arial"/>
                <w:sz w:val="18"/>
                <w:szCs w:val="18"/>
                <w:color w:val="auto"/>
              </w:rPr>
              <w:t>CO</w:t>
            </w:r>
          </w:p>
        </w:tc>
      </w:tr>
      <w:tr>
        <w:trPr>
          <w:trHeight w:val="222"/>
        </w:trPr>
        <w:tc>
          <w:tcPr>
            <w:tcW w:w="920" w:type="dxa"/>
            <w:vAlign w:val="bottom"/>
            <w:gridSpan w:val="2"/>
          </w:tcPr>
          <w:p>
            <w:pPr>
              <w:spacing w:after="0"/>
              <w:rPr>
                <w:sz w:val="20"/>
                <w:szCs w:val="20"/>
                <w:color w:val="auto"/>
              </w:rPr>
            </w:pPr>
            <w:r>
              <w:rPr>
                <w:rFonts w:ascii="Arial" w:cs="Arial" w:eastAsia="Arial" w:hAnsi="Arial"/>
                <w:sz w:val="18"/>
                <w:szCs w:val="18"/>
                <w:color w:val="auto"/>
              </w:rPr>
              <w:t>ILS Corp</w:t>
            </w:r>
          </w:p>
        </w:tc>
        <w:tc>
          <w:tcPr>
            <w:tcW w:w="5960" w:type="dxa"/>
            <w:vAlign w:val="bottom"/>
            <w:gridSpan w:val="2"/>
          </w:tcPr>
          <w:p>
            <w:pPr>
              <w:ind w:left="240"/>
              <w:spacing w:after="0"/>
              <w:rPr>
                <w:sz w:val="20"/>
                <w:szCs w:val="20"/>
                <w:color w:val="auto"/>
              </w:rPr>
            </w:pPr>
            <w:r>
              <w:rPr>
                <w:rFonts w:ascii="Arial" w:cs="Arial" w:eastAsia="Arial" w:hAnsi="Arial"/>
                <w:sz w:val="18"/>
                <w:szCs w:val="18"/>
                <w:color w:val="auto"/>
              </w:rPr>
              <w:t>Chapman Medical Center</w:t>
            </w:r>
          </w:p>
        </w:tc>
        <w:tc>
          <w:tcPr>
            <w:tcW w:w="1820" w:type="dxa"/>
            <w:vAlign w:val="bottom"/>
            <w:gridSpan w:val="3"/>
          </w:tcPr>
          <w:p>
            <w:pPr>
              <w:ind w:left="120"/>
              <w:spacing w:after="0"/>
              <w:rPr>
                <w:sz w:val="20"/>
                <w:szCs w:val="20"/>
                <w:color w:val="auto"/>
              </w:rPr>
            </w:pPr>
            <w:r>
              <w:rPr>
                <w:rFonts w:ascii="Arial" w:cs="Arial" w:eastAsia="Arial" w:hAnsi="Arial"/>
                <w:sz w:val="18"/>
                <w:szCs w:val="18"/>
                <w:color w:val="auto"/>
              </w:rPr>
              <w:t>Guy Young</w:t>
            </w:r>
          </w:p>
        </w:tc>
        <w:tc>
          <w:tcPr>
            <w:tcW w:w="2160" w:type="dxa"/>
            <w:vAlign w:val="bottom"/>
            <w:gridSpan w:val="2"/>
          </w:tcPr>
          <w:p>
            <w:pPr>
              <w:spacing w:after="0"/>
              <w:rPr>
                <w:sz w:val="20"/>
                <w:szCs w:val="20"/>
                <w:color w:val="auto"/>
              </w:rPr>
            </w:pPr>
            <w:r>
              <w:rPr>
                <w:rFonts w:ascii="Arial" w:cs="Arial" w:eastAsia="Arial" w:hAnsi="Arial"/>
                <w:sz w:val="18"/>
                <w:szCs w:val="18"/>
                <w:color w:val="auto"/>
              </w:rPr>
              <w:t>Orange</w:t>
            </w:r>
          </w:p>
        </w:tc>
        <w:tc>
          <w:tcPr>
            <w:tcW w:w="560" w:type="dxa"/>
            <w:vAlign w:val="bottom"/>
          </w:tcPr>
          <w:p>
            <w:pPr>
              <w:spacing w:after="0"/>
              <w:rPr>
                <w:sz w:val="20"/>
                <w:szCs w:val="20"/>
                <w:color w:val="auto"/>
              </w:rPr>
            </w:pPr>
            <w:r>
              <w:rPr>
                <w:rFonts w:ascii="Arial" w:cs="Arial" w:eastAsia="Arial" w:hAnsi="Arial"/>
                <w:sz w:val="18"/>
                <w:szCs w:val="18"/>
                <w:color w:val="auto"/>
              </w:rPr>
              <w:t>CA</w:t>
            </w:r>
          </w:p>
        </w:tc>
      </w:tr>
    </w:tbl>
    <w:p>
      <w:pPr>
        <w:sectPr>
          <w:pgSz w:w="11900" w:h="16838" w:orient="portrait"/>
          <w:cols w:equalWidth="0" w:num="1">
            <w:col w:w="11420"/>
          </w:cols>
          <w:pgMar w:left="240" w:top="273" w:right="239" w:bottom="1440" w:gutter="0" w:footer="0" w:header="0"/>
        </w:sectPr>
      </w:pPr>
    </w:p>
    <w:bookmarkStart w:id="338" w:name="page339"/>
    <w:bookmarkEnd w:id="33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400" w:type="dxa"/>
            <w:vAlign w:val="bottom"/>
          </w:tcPr>
          <w:p>
            <w:pPr>
              <w:ind w:left="240"/>
              <w:spacing w:after="0"/>
              <w:rPr>
                <w:sz w:val="20"/>
                <w:szCs w:val="20"/>
                <w:color w:val="auto"/>
              </w:rPr>
            </w:pPr>
            <w:r>
              <w:rPr>
                <w:rFonts w:ascii="Arial" w:cs="Arial" w:eastAsia="Arial" w:hAnsi="Arial"/>
                <w:sz w:val="18"/>
                <w:szCs w:val="18"/>
                <w:color w:val="auto"/>
              </w:rPr>
              <w:t>ChaRLotte Regional Med Ctr</w:t>
            </w:r>
          </w:p>
        </w:tc>
        <w:tc>
          <w:tcPr>
            <w:tcW w:w="3160" w:type="dxa"/>
            <w:vAlign w:val="bottom"/>
          </w:tcPr>
          <w:p>
            <w:pPr>
              <w:ind w:left="1680"/>
              <w:spacing w:after="0"/>
              <w:rPr>
                <w:sz w:val="20"/>
                <w:szCs w:val="20"/>
                <w:color w:val="auto"/>
              </w:rPr>
            </w:pPr>
            <w:r>
              <w:rPr>
                <w:rFonts w:ascii="Arial" w:cs="Arial" w:eastAsia="Arial" w:hAnsi="Arial"/>
                <w:sz w:val="18"/>
                <w:szCs w:val="18"/>
                <w:color w:val="auto"/>
              </w:rPr>
              <w:t>Ruth Brenner</w:t>
            </w:r>
          </w:p>
        </w:tc>
        <w:tc>
          <w:tcPr>
            <w:tcW w:w="1840" w:type="dxa"/>
            <w:vAlign w:val="bottom"/>
          </w:tcPr>
          <w:p>
            <w:pPr>
              <w:ind w:left="220"/>
              <w:spacing w:after="0"/>
              <w:rPr>
                <w:sz w:val="20"/>
                <w:szCs w:val="20"/>
                <w:color w:val="auto"/>
              </w:rPr>
            </w:pPr>
            <w:r>
              <w:rPr>
                <w:rFonts w:ascii="Arial" w:cs="Arial" w:eastAsia="Arial" w:hAnsi="Arial"/>
                <w:sz w:val="18"/>
                <w:szCs w:val="18"/>
                <w:color w:val="auto"/>
              </w:rPr>
              <w:t>Punta Gorda</w:t>
            </w:r>
          </w:p>
        </w:tc>
        <w:tc>
          <w:tcPr>
            <w:tcW w:w="820" w:type="dxa"/>
            <w:vAlign w:val="bottom"/>
          </w:tcPr>
          <w:p>
            <w:pPr>
              <w:ind w:left="540"/>
              <w:spacing w:after="0"/>
              <w:rPr>
                <w:sz w:val="20"/>
                <w:szCs w:val="20"/>
                <w:color w:val="auto"/>
              </w:rPr>
            </w:pPr>
            <w:r>
              <w:rPr>
                <w:rFonts w:ascii="Arial" w:cs="Arial" w:eastAsia="Arial" w:hAnsi="Arial"/>
                <w:sz w:val="18"/>
                <w:szCs w:val="18"/>
                <w:color w:val="auto"/>
              </w:rPr>
              <w:t>FL</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400" w:type="dxa"/>
            <w:vAlign w:val="bottom"/>
          </w:tcPr>
          <w:p>
            <w:pPr>
              <w:ind w:left="240"/>
              <w:spacing w:after="0"/>
              <w:rPr>
                <w:sz w:val="20"/>
                <w:szCs w:val="20"/>
                <w:color w:val="auto"/>
              </w:rPr>
            </w:pPr>
            <w:r>
              <w:rPr>
                <w:rFonts w:ascii="Arial" w:cs="Arial" w:eastAsia="Arial" w:hAnsi="Arial"/>
                <w:sz w:val="18"/>
                <w:szCs w:val="18"/>
                <w:color w:val="auto"/>
              </w:rPr>
              <w:t>Chelsea Community Hosp</w:t>
            </w:r>
          </w:p>
        </w:tc>
        <w:tc>
          <w:tcPr>
            <w:tcW w:w="3160" w:type="dxa"/>
            <w:vAlign w:val="bottom"/>
          </w:tcPr>
          <w:p>
            <w:pPr>
              <w:ind w:left="1680"/>
              <w:spacing w:after="0"/>
              <w:rPr>
                <w:sz w:val="20"/>
                <w:szCs w:val="20"/>
                <w:color w:val="auto"/>
              </w:rPr>
            </w:pPr>
            <w:r>
              <w:rPr>
                <w:rFonts w:ascii="Arial" w:cs="Arial" w:eastAsia="Arial" w:hAnsi="Arial"/>
                <w:sz w:val="18"/>
                <w:szCs w:val="18"/>
                <w:color w:val="auto"/>
              </w:rPr>
              <w:t>Heidi Klinski</w:t>
            </w:r>
          </w:p>
        </w:tc>
        <w:tc>
          <w:tcPr>
            <w:tcW w:w="1840" w:type="dxa"/>
            <w:vAlign w:val="bottom"/>
          </w:tcPr>
          <w:p>
            <w:pPr>
              <w:ind w:left="220"/>
              <w:spacing w:after="0"/>
              <w:rPr>
                <w:sz w:val="20"/>
                <w:szCs w:val="20"/>
                <w:color w:val="auto"/>
              </w:rPr>
            </w:pPr>
            <w:r>
              <w:rPr>
                <w:rFonts w:ascii="Arial" w:cs="Arial" w:eastAsia="Arial" w:hAnsi="Arial"/>
                <w:sz w:val="18"/>
                <w:szCs w:val="18"/>
                <w:color w:val="auto"/>
              </w:rPr>
              <w:t>Chelsea</w:t>
            </w:r>
          </w:p>
        </w:tc>
        <w:tc>
          <w:tcPr>
            <w:tcW w:w="820" w:type="dxa"/>
            <w:vAlign w:val="bottom"/>
          </w:tcPr>
          <w:p>
            <w:pPr>
              <w:ind w:left="540"/>
              <w:spacing w:after="0"/>
              <w:rPr>
                <w:sz w:val="20"/>
                <w:szCs w:val="20"/>
                <w:color w:val="auto"/>
              </w:rPr>
            </w:pPr>
            <w:r>
              <w:rPr>
                <w:rFonts w:ascii="Arial" w:cs="Arial" w:eastAsia="Arial" w:hAnsi="Arial"/>
                <w:sz w:val="18"/>
                <w:szCs w:val="18"/>
                <w:color w:val="auto"/>
              </w:rPr>
              <w:t>FL</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400" w:type="dxa"/>
            <w:vAlign w:val="bottom"/>
          </w:tcPr>
          <w:p>
            <w:pPr>
              <w:ind w:left="240"/>
              <w:spacing w:after="0"/>
              <w:rPr>
                <w:sz w:val="20"/>
                <w:szCs w:val="20"/>
                <w:color w:val="auto"/>
              </w:rPr>
            </w:pPr>
            <w:r>
              <w:rPr>
                <w:rFonts w:ascii="Arial" w:cs="Arial" w:eastAsia="Arial" w:hAnsi="Arial"/>
                <w:sz w:val="18"/>
                <w:szCs w:val="18"/>
                <w:color w:val="auto"/>
              </w:rPr>
              <w:t>Childrens Hospital Boston</w:t>
            </w:r>
          </w:p>
        </w:tc>
        <w:tc>
          <w:tcPr>
            <w:tcW w:w="3160" w:type="dxa"/>
            <w:vAlign w:val="bottom"/>
          </w:tcPr>
          <w:p>
            <w:pPr>
              <w:ind w:left="1680"/>
              <w:spacing w:after="0"/>
              <w:rPr>
                <w:sz w:val="20"/>
                <w:szCs w:val="20"/>
                <w:color w:val="auto"/>
              </w:rPr>
            </w:pPr>
            <w:r>
              <w:rPr>
                <w:rFonts w:ascii="Arial" w:cs="Arial" w:eastAsia="Arial" w:hAnsi="Arial"/>
                <w:sz w:val="18"/>
                <w:szCs w:val="18"/>
                <w:color w:val="auto"/>
              </w:rPr>
              <w:t>Romina Almario</w:t>
            </w:r>
          </w:p>
        </w:tc>
        <w:tc>
          <w:tcPr>
            <w:tcW w:w="1840" w:type="dxa"/>
            <w:vAlign w:val="bottom"/>
          </w:tcPr>
          <w:p>
            <w:pPr>
              <w:ind w:left="220"/>
              <w:spacing w:after="0"/>
              <w:rPr>
                <w:sz w:val="20"/>
                <w:szCs w:val="20"/>
                <w:color w:val="auto"/>
              </w:rPr>
            </w:pPr>
            <w:r>
              <w:rPr>
                <w:rFonts w:ascii="Arial" w:cs="Arial" w:eastAsia="Arial" w:hAnsi="Arial"/>
                <w:sz w:val="18"/>
                <w:szCs w:val="18"/>
                <w:color w:val="auto"/>
              </w:rPr>
              <w:t>Boston</w:t>
            </w:r>
          </w:p>
        </w:tc>
        <w:tc>
          <w:tcPr>
            <w:tcW w:w="820" w:type="dxa"/>
            <w:vAlign w:val="bottom"/>
          </w:tcPr>
          <w:p>
            <w:pPr>
              <w:ind w:left="540"/>
              <w:spacing w:after="0"/>
              <w:rPr>
                <w:sz w:val="20"/>
                <w:szCs w:val="20"/>
                <w:color w:val="auto"/>
              </w:rPr>
            </w:pPr>
            <w:r>
              <w:rPr>
                <w:rFonts w:ascii="Arial" w:cs="Arial" w:eastAsia="Arial" w:hAnsi="Arial"/>
                <w:sz w:val="18"/>
                <w:szCs w:val="18"/>
                <w:color w:val="auto"/>
                <w:w w:val="96"/>
              </w:rPr>
              <w:t>MA</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400" w:type="dxa"/>
            <w:vAlign w:val="bottom"/>
          </w:tcPr>
          <w:p>
            <w:pPr>
              <w:ind w:left="240"/>
              <w:spacing w:after="0"/>
              <w:rPr>
                <w:sz w:val="20"/>
                <w:szCs w:val="20"/>
                <w:color w:val="auto"/>
              </w:rPr>
            </w:pPr>
            <w:r>
              <w:rPr>
                <w:rFonts w:ascii="Arial" w:cs="Arial" w:eastAsia="Arial" w:hAnsi="Arial"/>
                <w:sz w:val="18"/>
                <w:szCs w:val="18"/>
                <w:color w:val="auto"/>
              </w:rPr>
              <w:t>Childrens Hospital Waltham</w:t>
            </w:r>
          </w:p>
        </w:tc>
        <w:tc>
          <w:tcPr>
            <w:tcW w:w="3160" w:type="dxa"/>
            <w:vAlign w:val="bottom"/>
          </w:tcPr>
          <w:p>
            <w:pPr>
              <w:ind w:left="1680"/>
              <w:spacing w:after="0"/>
              <w:rPr>
                <w:sz w:val="20"/>
                <w:szCs w:val="20"/>
                <w:color w:val="auto"/>
              </w:rPr>
            </w:pPr>
            <w:r>
              <w:rPr>
                <w:rFonts w:ascii="Arial" w:cs="Arial" w:eastAsia="Arial" w:hAnsi="Arial"/>
                <w:sz w:val="18"/>
                <w:szCs w:val="18"/>
                <w:color w:val="auto"/>
              </w:rPr>
              <w:t>Herman Edey</w:t>
            </w:r>
          </w:p>
        </w:tc>
        <w:tc>
          <w:tcPr>
            <w:tcW w:w="1840" w:type="dxa"/>
            <w:vAlign w:val="bottom"/>
          </w:tcPr>
          <w:p>
            <w:pPr>
              <w:ind w:left="220"/>
              <w:spacing w:after="0"/>
              <w:rPr>
                <w:sz w:val="20"/>
                <w:szCs w:val="20"/>
                <w:color w:val="auto"/>
              </w:rPr>
            </w:pPr>
            <w:r>
              <w:rPr>
                <w:rFonts w:ascii="Arial" w:cs="Arial" w:eastAsia="Arial" w:hAnsi="Arial"/>
                <w:sz w:val="18"/>
                <w:szCs w:val="18"/>
                <w:color w:val="auto"/>
              </w:rPr>
              <w:t>Waltham</w:t>
            </w:r>
          </w:p>
        </w:tc>
        <w:tc>
          <w:tcPr>
            <w:tcW w:w="820" w:type="dxa"/>
            <w:vAlign w:val="bottom"/>
          </w:tcPr>
          <w:p>
            <w:pPr>
              <w:ind w:left="540"/>
              <w:spacing w:after="0"/>
              <w:rPr>
                <w:sz w:val="20"/>
                <w:szCs w:val="20"/>
                <w:color w:val="auto"/>
              </w:rPr>
            </w:pPr>
            <w:r>
              <w:rPr>
                <w:rFonts w:ascii="Arial" w:cs="Arial" w:eastAsia="Arial" w:hAnsi="Arial"/>
                <w:sz w:val="18"/>
                <w:szCs w:val="18"/>
                <w:color w:val="auto"/>
                <w:w w:val="96"/>
              </w:rPr>
              <w:t>MA</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400" w:type="dxa"/>
            <w:vAlign w:val="bottom"/>
          </w:tcPr>
          <w:p>
            <w:pPr>
              <w:ind w:left="240"/>
              <w:spacing w:after="0"/>
              <w:rPr>
                <w:sz w:val="20"/>
                <w:szCs w:val="20"/>
                <w:color w:val="auto"/>
              </w:rPr>
            </w:pPr>
            <w:r>
              <w:rPr>
                <w:rFonts w:ascii="Arial" w:cs="Arial" w:eastAsia="Arial" w:hAnsi="Arial"/>
                <w:sz w:val="18"/>
                <w:szCs w:val="18"/>
                <w:color w:val="auto"/>
              </w:rPr>
              <w:t>Christiana Hospital</w:t>
            </w:r>
          </w:p>
        </w:tc>
        <w:tc>
          <w:tcPr>
            <w:tcW w:w="3160" w:type="dxa"/>
            <w:vAlign w:val="bottom"/>
          </w:tcPr>
          <w:p>
            <w:pPr>
              <w:ind w:left="1680"/>
              <w:spacing w:after="0"/>
              <w:rPr>
                <w:sz w:val="20"/>
                <w:szCs w:val="20"/>
                <w:color w:val="auto"/>
              </w:rPr>
            </w:pPr>
            <w:r>
              <w:rPr>
                <w:rFonts w:ascii="Arial" w:cs="Arial" w:eastAsia="Arial" w:hAnsi="Arial"/>
                <w:sz w:val="18"/>
                <w:szCs w:val="18"/>
                <w:color w:val="auto"/>
              </w:rPr>
              <w:t>Tanya Bourne</w:t>
            </w:r>
          </w:p>
        </w:tc>
        <w:tc>
          <w:tcPr>
            <w:tcW w:w="1840" w:type="dxa"/>
            <w:vAlign w:val="bottom"/>
          </w:tcPr>
          <w:p>
            <w:pPr>
              <w:ind w:left="220"/>
              <w:spacing w:after="0"/>
              <w:rPr>
                <w:sz w:val="20"/>
                <w:szCs w:val="20"/>
                <w:color w:val="auto"/>
              </w:rPr>
            </w:pPr>
            <w:r>
              <w:rPr>
                <w:rFonts w:ascii="Arial" w:cs="Arial" w:eastAsia="Arial" w:hAnsi="Arial"/>
                <w:sz w:val="18"/>
                <w:szCs w:val="18"/>
                <w:color w:val="auto"/>
              </w:rPr>
              <w:t>Newark</w:t>
            </w:r>
          </w:p>
        </w:tc>
        <w:tc>
          <w:tcPr>
            <w:tcW w:w="820" w:type="dxa"/>
            <w:vAlign w:val="bottom"/>
          </w:tcPr>
          <w:p>
            <w:pPr>
              <w:ind w:left="540"/>
              <w:spacing w:after="0"/>
              <w:rPr>
                <w:sz w:val="20"/>
                <w:szCs w:val="20"/>
                <w:color w:val="auto"/>
              </w:rPr>
            </w:pPr>
            <w:r>
              <w:rPr>
                <w:rFonts w:ascii="Arial" w:cs="Arial" w:eastAsia="Arial" w:hAnsi="Arial"/>
                <w:sz w:val="18"/>
                <w:szCs w:val="18"/>
                <w:color w:val="auto"/>
              </w:rPr>
              <w:t>DE</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400" w:type="dxa"/>
            <w:vAlign w:val="bottom"/>
          </w:tcPr>
          <w:p>
            <w:pPr>
              <w:ind w:left="240"/>
              <w:spacing w:after="0"/>
              <w:rPr>
                <w:sz w:val="20"/>
                <w:szCs w:val="20"/>
                <w:color w:val="auto"/>
              </w:rPr>
            </w:pPr>
            <w:r>
              <w:rPr>
                <w:rFonts w:ascii="Arial" w:cs="Arial" w:eastAsia="Arial" w:hAnsi="Arial"/>
                <w:sz w:val="18"/>
                <w:szCs w:val="18"/>
                <w:color w:val="auto"/>
              </w:rPr>
              <w:t>Citrus Memorial Hospital</w:t>
            </w:r>
          </w:p>
        </w:tc>
        <w:tc>
          <w:tcPr>
            <w:tcW w:w="3160" w:type="dxa"/>
            <w:vAlign w:val="bottom"/>
          </w:tcPr>
          <w:p>
            <w:pPr>
              <w:ind w:left="1680"/>
              <w:spacing w:after="0"/>
              <w:rPr>
                <w:sz w:val="20"/>
                <w:szCs w:val="20"/>
                <w:color w:val="auto"/>
              </w:rPr>
            </w:pPr>
            <w:r>
              <w:rPr>
                <w:rFonts w:ascii="Arial" w:cs="Arial" w:eastAsia="Arial" w:hAnsi="Arial"/>
                <w:sz w:val="18"/>
                <w:szCs w:val="18"/>
                <w:color w:val="auto"/>
              </w:rPr>
              <w:t>Trip Mundy</w:t>
            </w:r>
          </w:p>
        </w:tc>
        <w:tc>
          <w:tcPr>
            <w:tcW w:w="1840" w:type="dxa"/>
            <w:vAlign w:val="bottom"/>
          </w:tcPr>
          <w:p>
            <w:pPr>
              <w:ind w:left="220"/>
              <w:spacing w:after="0"/>
              <w:rPr>
                <w:sz w:val="20"/>
                <w:szCs w:val="20"/>
                <w:color w:val="auto"/>
              </w:rPr>
            </w:pPr>
            <w:r>
              <w:rPr>
                <w:rFonts w:ascii="Arial" w:cs="Arial" w:eastAsia="Arial" w:hAnsi="Arial"/>
                <w:sz w:val="18"/>
                <w:szCs w:val="18"/>
                <w:color w:val="auto"/>
              </w:rPr>
              <w:t>Inverness</w:t>
            </w:r>
          </w:p>
        </w:tc>
        <w:tc>
          <w:tcPr>
            <w:tcW w:w="820" w:type="dxa"/>
            <w:vAlign w:val="bottom"/>
          </w:tcPr>
          <w:p>
            <w:pPr>
              <w:ind w:left="540"/>
              <w:spacing w:after="0"/>
              <w:rPr>
                <w:sz w:val="20"/>
                <w:szCs w:val="20"/>
                <w:color w:val="auto"/>
              </w:rPr>
            </w:pPr>
            <w:r>
              <w:rPr>
                <w:rFonts w:ascii="Arial" w:cs="Arial" w:eastAsia="Arial" w:hAnsi="Arial"/>
                <w:sz w:val="18"/>
                <w:szCs w:val="18"/>
                <w:color w:val="auto"/>
              </w:rPr>
              <w:t>FL</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400" w:type="dxa"/>
            <w:vAlign w:val="bottom"/>
          </w:tcPr>
          <w:p>
            <w:pPr>
              <w:ind w:left="240"/>
              <w:spacing w:after="0"/>
              <w:rPr>
                <w:sz w:val="20"/>
                <w:szCs w:val="20"/>
                <w:color w:val="auto"/>
              </w:rPr>
            </w:pPr>
            <w:r>
              <w:rPr>
                <w:rFonts w:ascii="Arial" w:cs="Arial" w:eastAsia="Arial" w:hAnsi="Arial"/>
                <w:sz w:val="18"/>
                <w:szCs w:val="18"/>
                <w:color w:val="auto"/>
              </w:rPr>
              <w:t>Clara Maass Medical Center</w:t>
            </w:r>
          </w:p>
        </w:tc>
        <w:tc>
          <w:tcPr>
            <w:tcW w:w="3160" w:type="dxa"/>
            <w:vAlign w:val="bottom"/>
          </w:tcPr>
          <w:p>
            <w:pPr>
              <w:ind w:left="1680"/>
              <w:spacing w:after="0"/>
              <w:rPr>
                <w:sz w:val="20"/>
                <w:szCs w:val="20"/>
                <w:color w:val="auto"/>
              </w:rPr>
            </w:pPr>
            <w:r>
              <w:rPr>
                <w:rFonts w:ascii="Arial" w:cs="Arial" w:eastAsia="Arial" w:hAnsi="Arial"/>
                <w:sz w:val="18"/>
                <w:szCs w:val="18"/>
                <w:color w:val="auto"/>
              </w:rPr>
              <w:t>Maulin Patel</w:t>
            </w:r>
          </w:p>
        </w:tc>
        <w:tc>
          <w:tcPr>
            <w:tcW w:w="1840" w:type="dxa"/>
            <w:vAlign w:val="bottom"/>
          </w:tcPr>
          <w:p>
            <w:pPr>
              <w:ind w:left="220"/>
              <w:spacing w:after="0"/>
              <w:rPr>
                <w:sz w:val="20"/>
                <w:szCs w:val="20"/>
                <w:color w:val="auto"/>
              </w:rPr>
            </w:pPr>
            <w:r>
              <w:rPr>
                <w:rFonts w:ascii="Arial" w:cs="Arial" w:eastAsia="Arial" w:hAnsi="Arial"/>
                <w:sz w:val="18"/>
                <w:szCs w:val="18"/>
                <w:color w:val="auto"/>
              </w:rPr>
              <w:t>Belleville</w:t>
            </w:r>
          </w:p>
        </w:tc>
        <w:tc>
          <w:tcPr>
            <w:tcW w:w="820" w:type="dxa"/>
            <w:vAlign w:val="bottom"/>
          </w:tcPr>
          <w:p>
            <w:pPr>
              <w:ind w:left="540"/>
              <w:spacing w:after="0"/>
              <w:rPr>
                <w:sz w:val="20"/>
                <w:szCs w:val="20"/>
                <w:color w:val="auto"/>
              </w:rPr>
            </w:pPr>
            <w:r>
              <w:rPr>
                <w:rFonts w:ascii="Arial" w:cs="Arial" w:eastAsia="Arial" w:hAnsi="Arial"/>
                <w:sz w:val="18"/>
                <w:szCs w:val="18"/>
                <w:color w:val="auto"/>
              </w:rPr>
              <w:t>NJ</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400" w:type="dxa"/>
            <w:vAlign w:val="bottom"/>
          </w:tcPr>
          <w:p>
            <w:pPr>
              <w:ind w:left="240"/>
              <w:spacing w:after="0"/>
              <w:rPr>
                <w:sz w:val="20"/>
                <w:szCs w:val="20"/>
                <w:color w:val="auto"/>
              </w:rPr>
            </w:pPr>
            <w:r>
              <w:rPr>
                <w:rFonts w:ascii="Arial" w:cs="Arial" w:eastAsia="Arial" w:hAnsi="Arial"/>
                <w:sz w:val="18"/>
                <w:szCs w:val="18"/>
                <w:color w:val="auto"/>
              </w:rPr>
              <w:t>Clark Memorial Hospital</w:t>
            </w:r>
          </w:p>
        </w:tc>
        <w:tc>
          <w:tcPr>
            <w:tcW w:w="3160" w:type="dxa"/>
            <w:vAlign w:val="bottom"/>
          </w:tcPr>
          <w:p>
            <w:pPr>
              <w:ind w:left="1680"/>
              <w:spacing w:after="0"/>
              <w:rPr>
                <w:sz w:val="20"/>
                <w:szCs w:val="20"/>
                <w:color w:val="auto"/>
              </w:rPr>
            </w:pPr>
            <w:r>
              <w:rPr>
                <w:rFonts w:ascii="Arial" w:cs="Arial" w:eastAsia="Arial" w:hAnsi="Arial"/>
                <w:sz w:val="18"/>
                <w:szCs w:val="18"/>
                <w:color w:val="auto"/>
              </w:rPr>
              <w:t>Linda Caldwell</w:t>
            </w:r>
          </w:p>
        </w:tc>
        <w:tc>
          <w:tcPr>
            <w:tcW w:w="1840" w:type="dxa"/>
            <w:vAlign w:val="bottom"/>
          </w:tcPr>
          <w:p>
            <w:pPr>
              <w:ind w:left="220"/>
              <w:spacing w:after="0"/>
              <w:rPr>
                <w:sz w:val="20"/>
                <w:szCs w:val="20"/>
                <w:color w:val="auto"/>
              </w:rPr>
            </w:pPr>
            <w:r>
              <w:rPr>
                <w:rFonts w:ascii="Arial" w:cs="Arial" w:eastAsia="Arial" w:hAnsi="Arial"/>
                <w:sz w:val="18"/>
                <w:szCs w:val="18"/>
                <w:color w:val="auto"/>
              </w:rPr>
              <w:t>Jeffersonville</w:t>
            </w:r>
          </w:p>
        </w:tc>
        <w:tc>
          <w:tcPr>
            <w:tcW w:w="820" w:type="dxa"/>
            <w:vAlign w:val="bottom"/>
          </w:tcPr>
          <w:p>
            <w:pPr>
              <w:ind w:left="540"/>
              <w:spacing w:after="0"/>
              <w:rPr>
                <w:sz w:val="20"/>
                <w:szCs w:val="20"/>
                <w:color w:val="auto"/>
              </w:rPr>
            </w:pPr>
            <w:r>
              <w:rPr>
                <w:rFonts w:ascii="Arial" w:cs="Arial" w:eastAsia="Arial" w:hAnsi="Arial"/>
                <w:sz w:val="18"/>
                <w:szCs w:val="18"/>
                <w:color w:val="auto"/>
              </w:rPr>
              <w:t>IN</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400" w:type="dxa"/>
            <w:vAlign w:val="bottom"/>
          </w:tcPr>
          <w:p>
            <w:pPr>
              <w:ind w:left="240"/>
              <w:spacing w:after="0"/>
              <w:rPr>
                <w:sz w:val="20"/>
                <w:szCs w:val="20"/>
                <w:color w:val="auto"/>
              </w:rPr>
            </w:pPr>
            <w:r>
              <w:rPr>
                <w:rFonts w:ascii="Arial" w:cs="Arial" w:eastAsia="Arial" w:hAnsi="Arial"/>
                <w:sz w:val="18"/>
                <w:szCs w:val="18"/>
                <w:color w:val="auto"/>
              </w:rPr>
              <w:t>Cleveland Clinic / Beachwood</w:t>
            </w:r>
          </w:p>
        </w:tc>
        <w:tc>
          <w:tcPr>
            <w:tcW w:w="3160" w:type="dxa"/>
            <w:vAlign w:val="bottom"/>
          </w:tcPr>
          <w:p>
            <w:pPr>
              <w:ind w:left="1680"/>
              <w:spacing w:after="0"/>
              <w:rPr>
                <w:sz w:val="20"/>
                <w:szCs w:val="20"/>
                <w:color w:val="auto"/>
              </w:rPr>
            </w:pPr>
            <w:r>
              <w:rPr>
                <w:rFonts w:ascii="Arial" w:cs="Arial" w:eastAsia="Arial" w:hAnsi="Arial"/>
                <w:sz w:val="18"/>
                <w:szCs w:val="18"/>
                <w:color w:val="auto"/>
              </w:rPr>
              <w:t>Cheryl Smith</w:t>
            </w:r>
          </w:p>
        </w:tc>
        <w:tc>
          <w:tcPr>
            <w:tcW w:w="1840" w:type="dxa"/>
            <w:vAlign w:val="bottom"/>
          </w:tcPr>
          <w:p>
            <w:pPr>
              <w:ind w:left="220"/>
              <w:spacing w:after="0"/>
              <w:rPr>
                <w:sz w:val="20"/>
                <w:szCs w:val="20"/>
                <w:color w:val="auto"/>
              </w:rPr>
            </w:pPr>
            <w:r>
              <w:rPr>
                <w:rFonts w:ascii="Arial" w:cs="Arial" w:eastAsia="Arial" w:hAnsi="Arial"/>
                <w:sz w:val="18"/>
                <w:szCs w:val="18"/>
                <w:color w:val="auto"/>
              </w:rPr>
              <w:t>Beachwood</w:t>
            </w:r>
          </w:p>
        </w:tc>
        <w:tc>
          <w:tcPr>
            <w:tcW w:w="820" w:type="dxa"/>
            <w:vAlign w:val="bottom"/>
          </w:tcPr>
          <w:p>
            <w:pPr>
              <w:ind w:left="540"/>
              <w:spacing w:after="0"/>
              <w:rPr>
                <w:sz w:val="20"/>
                <w:szCs w:val="20"/>
                <w:color w:val="auto"/>
              </w:rPr>
            </w:pPr>
            <w:r>
              <w:rPr>
                <w:rFonts w:ascii="Arial" w:cs="Arial" w:eastAsia="Arial" w:hAnsi="Arial"/>
                <w:sz w:val="18"/>
                <w:szCs w:val="18"/>
                <w:color w:val="auto"/>
                <w:w w:val="96"/>
              </w:rPr>
              <w:t>OH</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400" w:type="dxa"/>
            <w:vAlign w:val="bottom"/>
          </w:tcPr>
          <w:p>
            <w:pPr>
              <w:ind w:left="240"/>
              <w:spacing w:after="0"/>
              <w:rPr>
                <w:sz w:val="20"/>
                <w:szCs w:val="20"/>
                <w:color w:val="auto"/>
              </w:rPr>
            </w:pPr>
            <w:r>
              <w:rPr>
                <w:rFonts w:ascii="Arial" w:cs="Arial" w:eastAsia="Arial" w:hAnsi="Arial"/>
                <w:sz w:val="18"/>
                <w:szCs w:val="18"/>
                <w:color w:val="auto"/>
              </w:rPr>
              <w:t>Cleveland Clinic Lorain Amb</w:t>
            </w:r>
          </w:p>
        </w:tc>
        <w:tc>
          <w:tcPr>
            <w:tcW w:w="3160" w:type="dxa"/>
            <w:vAlign w:val="bottom"/>
          </w:tcPr>
          <w:p>
            <w:pPr>
              <w:ind w:left="1680"/>
              <w:spacing w:after="0"/>
              <w:rPr>
                <w:sz w:val="20"/>
                <w:szCs w:val="20"/>
                <w:color w:val="auto"/>
              </w:rPr>
            </w:pPr>
            <w:r>
              <w:rPr>
                <w:rFonts w:ascii="Arial" w:cs="Arial" w:eastAsia="Arial" w:hAnsi="Arial"/>
                <w:sz w:val="18"/>
                <w:szCs w:val="18"/>
                <w:color w:val="auto"/>
              </w:rPr>
              <w:t>Rita Bilancini</w:t>
            </w:r>
          </w:p>
        </w:tc>
        <w:tc>
          <w:tcPr>
            <w:tcW w:w="1840" w:type="dxa"/>
            <w:vAlign w:val="bottom"/>
          </w:tcPr>
          <w:p>
            <w:pPr>
              <w:ind w:left="220"/>
              <w:spacing w:after="0"/>
              <w:rPr>
                <w:sz w:val="20"/>
                <w:szCs w:val="20"/>
                <w:color w:val="auto"/>
              </w:rPr>
            </w:pPr>
            <w:r>
              <w:rPr>
                <w:rFonts w:ascii="Arial" w:cs="Arial" w:eastAsia="Arial" w:hAnsi="Arial"/>
                <w:sz w:val="18"/>
                <w:szCs w:val="18"/>
                <w:color w:val="auto"/>
              </w:rPr>
              <w:t>Independence</w:t>
            </w:r>
          </w:p>
        </w:tc>
        <w:tc>
          <w:tcPr>
            <w:tcW w:w="820" w:type="dxa"/>
            <w:vAlign w:val="bottom"/>
          </w:tcPr>
          <w:p>
            <w:pPr>
              <w:ind w:left="540"/>
              <w:spacing w:after="0"/>
              <w:rPr>
                <w:sz w:val="20"/>
                <w:szCs w:val="20"/>
                <w:color w:val="auto"/>
              </w:rPr>
            </w:pPr>
            <w:r>
              <w:rPr>
                <w:rFonts w:ascii="Arial" w:cs="Arial" w:eastAsia="Arial" w:hAnsi="Arial"/>
                <w:sz w:val="18"/>
                <w:szCs w:val="18"/>
                <w:color w:val="auto"/>
                <w:w w:val="96"/>
              </w:rPr>
              <w:t>OH</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400" w:type="dxa"/>
            <w:vAlign w:val="bottom"/>
          </w:tcPr>
          <w:p>
            <w:pPr>
              <w:ind w:left="240"/>
              <w:spacing w:after="0"/>
              <w:rPr>
                <w:sz w:val="20"/>
                <w:szCs w:val="20"/>
                <w:color w:val="auto"/>
              </w:rPr>
            </w:pPr>
            <w:r>
              <w:rPr>
                <w:rFonts w:ascii="Arial" w:cs="Arial" w:eastAsia="Arial" w:hAnsi="Arial"/>
                <w:sz w:val="18"/>
                <w:szCs w:val="18"/>
                <w:color w:val="auto"/>
              </w:rPr>
              <w:t>Coast Surgery Center</w:t>
            </w:r>
          </w:p>
        </w:tc>
        <w:tc>
          <w:tcPr>
            <w:tcW w:w="3160" w:type="dxa"/>
            <w:vAlign w:val="bottom"/>
          </w:tcPr>
          <w:p>
            <w:pPr>
              <w:ind w:left="1680"/>
              <w:spacing w:after="0"/>
              <w:rPr>
                <w:sz w:val="20"/>
                <w:szCs w:val="20"/>
                <w:color w:val="auto"/>
              </w:rPr>
            </w:pPr>
            <w:r>
              <w:rPr>
                <w:rFonts w:ascii="Arial" w:cs="Arial" w:eastAsia="Arial" w:hAnsi="Arial"/>
                <w:sz w:val="18"/>
                <w:szCs w:val="18"/>
                <w:color w:val="auto"/>
              </w:rPr>
              <w:t>Dickson Lopez</w:t>
            </w:r>
          </w:p>
        </w:tc>
        <w:tc>
          <w:tcPr>
            <w:tcW w:w="1840" w:type="dxa"/>
            <w:vAlign w:val="bottom"/>
          </w:tcPr>
          <w:p>
            <w:pPr>
              <w:ind w:left="220"/>
              <w:spacing w:after="0"/>
              <w:rPr>
                <w:sz w:val="20"/>
                <w:szCs w:val="20"/>
                <w:color w:val="auto"/>
              </w:rPr>
            </w:pPr>
            <w:r>
              <w:rPr>
                <w:rFonts w:ascii="Arial" w:cs="Arial" w:eastAsia="Arial" w:hAnsi="Arial"/>
                <w:sz w:val="18"/>
                <w:szCs w:val="18"/>
                <w:color w:val="auto"/>
              </w:rPr>
              <w:t>San Diego</w:t>
            </w:r>
          </w:p>
        </w:tc>
        <w:tc>
          <w:tcPr>
            <w:tcW w:w="820" w:type="dxa"/>
            <w:vAlign w:val="bottom"/>
          </w:tcPr>
          <w:p>
            <w:pPr>
              <w:ind w:left="540"/>
              <w:spacing w:after="0"/>
              <w:rPr>
                <w:sz w:val="20"/>
                <w:szCs w:val="20"/>
                <w:color w:val="auto"/>
              </w:rPr>
            </w:pPr>
            <w:r>
              <w:rPr>
                <w:rFonts w:ascii="Arial" w:cs="Arial" w:eastAsia="Arial" w:hAnsi="Arial"/>
                <w:sz w:val="18"/>
                <w:szCs w:val="18"/>
                <w:color w:val="auto"/>
              </w:rPr>
              <w:t>CA</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400" w:type="dxa"/>
            <w:vAlign w:val="bottom"/>
          </w:tcPr>
          <w:p>
            <w:pPr>
              <w:ind w:left="240"/>
              <w:spacing w:after="0"/>
              <w:rPr>
                <w:sz w:val="20"/>
                <w:szCs w:val="20"/>
                <w:color w:val="auto"/>
              </w:rPr>
            </w:pPr>
            <w:r>
              <w:rPr>
                <w:rFonts w:ascii="Arial" w:cs="Arial" w:eastAsia="Arial" w:hAnsi="Arial"/>
                <w:sz w:val="18"/>
                <w:szCs w:val="18"/>
                <w:color w:val="auto"/>
              </w:rPr>
              <w:t>Community Gen Hosp (Pinnacle)</w:t>
            </w:r>
          </w:p>
        </w:tc>
        <w:tc>
          <w:tcPr>
            <w:tcW w:w="3160" w:type="dxa"/>
            <w:vAlign w:val="bottom"/>
          </w:tcPr>
          <w:p>
            <w:pPr>
              <w:ind w:left="1680"/>
              <w:spacing w:after="0"/>
              <w:rPr>
                <w:sz w:val="20"/>
                <w:szCs w:val="20"/>
                <w:color w:val="auto"/>
              </w:rPr>
            </w:pPr>
            <w:r>
              <w:rPr>
                <w:rFonts w:ascii="Arial" w:cs="Arial" w:eastAsia="Arial" w:hAnsi="Arial"/>
                <w:sz w:val="18"/>
                <w:szCs w:val="18"/>
                <w:color w:val="auto"/>
              </w:rPr>
              <w:t>Otar Sarishvilli</w:t>
            </w:r>
          </w:p>
        </w:tc>
        <w:tc>
          <w:tcPr>
            <w:tcW w:w="1840" w:type="dxa"/>
            <w:vAlign w:val="bottom"/>
          </w:tcPr>
          <w:p>
            <w:pPr>
              <w:ind w:left="220"/>
              <w:spacing w:after="0"/>
              <w:rPr>
                <w:sz w:val="20"/>
                <w:szCs w:val="20"/>
                <w:color w:val="auto"/>
              </w:rPr>
            </w:pPr>
            <w:r>
              <w:rPr>
                <w:rFonts w:ascii="Arial" w:cs="Arial" w:eastAsia="Arial" w:hAnsi="Arial"/>
                <w:sz w:val="18"/>
                <w:szCs w:val="18"/>
                <w:color w:val="auto"/>
              </w:rPr>
              <w:t>Harrisburg</w:t>
            </w:r>
          </w:p>
        </w:tc>
        <w:tc>
          <w:tcPr>
            <w:tcW w:w="820" w:type="dxa"/>
            <w:vAlign w:val="bottom"/>
          </w:tcPr>
          <w:p>
            <w:pPr>
              <w:ind w:left="540"/>
              <w:spacing w:after="0"/>
              <w:rPr>
                <w:sz w:val="20"/>
                <w:szCs w:val="20"/>
                <w:color w:val="auto"/>
              </w:rPr>
            </w:pPr>
            <w:r>
              <w:rPr>
                <w:rFonts w:ascii="Arial" w:cs="Arial" w:eastAsia="Arial" w:hAnsi="Arial"/>
                <w:sz w:val="18"/>
                <w:szCs w:val="18"/>
                <w:color w:val="auto"/>
              </w:rPr>
              <w:t>PA</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400" w:type="dxa"/>
            <w:vAlign w:val="bottom"/>
          </w:tcPr>
          <w:p>
            <w:pPr>
              <w:ind w:left="240"/>
              <w:spacing w:after="0"/>
              <w:rPr>
                <w:sz w:val="20"/>
                <w:szCs w:val="20"/>
                <w:color w:val="auto"/>
              </w:rPr>
            </w:pPr>
            <w:r>
              <w:rPr>
                <w:rFonts w:ascii="Arial" w:cs="Arial" w:eastAsia="Arial" w:hAnsi="Arial"/>
                <w:sz w:val="18"/>
                <w:szCs w:val="18"/>
                <w:color w:val="auto"/>
              </w:rPr>
              <w:t>Community Health Partners (CHP)</w:t>
            </w:r>
          </w:p>
        </w:tc>
        <w:tc>
          <w:tcPr>
            <w:tcW w:w="3160" w:type="dxa"/>
            <w:vAlign w:val="bottom"/>
          </w:tcPr>
          <w:p>
            <w:pPr>
              <w:ind w:left="1680"/>
              <w:spacing w:after="0"/>
              <w:rPr>
                <w:sz w:val="20"/>
                <w:szCs w:val="20"/>
                <w:color w:val="auto"/>
              </w:rPr>
            </w:pPr>
            <w:r>
              <w:rPr>
                <w:rFonts w:ascii="Arial" w:cs="Arial" w:eastAsia="Arial" w:hAnsi="Arial"/>
                <w:sz w:val="18"/>
                <w:szCs w:val="18"/>
                <w:color w:val="auto"/>
              </w:rPr>
              <w:t>Cathy Verbier</w:t>
            </w:r>
          </w:p>
        </w:tc>
        <w:tc>
          <w:tcPr>
            <w:tcW w:w="1840" w:type="dxa"/>
            <w:vAlign w:val="bottom"/>
          </w:tcPr>
          <w:p>
            <w:pPr>
              <w:ind w:left="220"/>
              <w:spacing w:after="0"/>
              <w:rPr>
                <w:sz w:val="20"/>
                <w:szCs w:val="20"/>
                <w:color w:val="auto"/>
              </w:rPr>
            </w:pPr>
            <w:r>
              <w:rPr>
                <w:rFonts w:ascii="Arial" w:cs="Arial" w:eastAsia="Arial" w:hAnsi="Arial"/>
                <w:sz w:val="18"/>
                <w:szCs w:val="18"/>
                <w:color w:val="auto"/>
              </w:rPr>
              <w:t>Lorain</w:t>
            </w:r>
          </w:p>
        </w:tc>
        <w:tc>
          <w:tcPr>
            <w:tcW w:w="820" w:type="dxa"/>
            <w:vAlign w:val="bottom"/>
          </w:tcPr>
          <w:p>
            <w:pPr>
              <w:ind w:left="540"/>
              <w:spacing w:after="0"/>
              <w:rPr>
                <w:sz w:val="20"/>
                <w:szCs w:val="20"/>
                <w:color w:val="auto"/>
              </w:rPr>
            </w:pPr>
            <w:r>
              <w:rPr>
                <w:rFonts w:ascii="Arial" w:cs="Arial" w:eastAsia="Arial" w:hAnsi="Arial"/>
                <w:sz w:val="18"/>
                <w:szCs w:val="18"/>
                <w:color w:val="auto"/>
                <w:w w:val="96"/>
              </w:rPr>
              <w:t>OH</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400" w:type="dxa"/>
            <w:vAlign w:val="bottom"/>
          </w:tcPr>
          <w:p>
            <w:pPr>
              <w:ind w:left="240"/>
              <w:spacing w:after="0"/>
              <w:rPr>
                <w:sz w:val="20"/>
                <w:szCs w:val="20"/>
                <w:color w:val="auto"/>
              </w:rPr>
            </w:pPr>
            <w:r>
              <w:rPr>
                <w:rFonts w:ascii="Arial" w:cs="Arial" w:eastAsia="Arial" w:hAnsi="Arial"/>
                <w:sz w:val="18"/>
                <w:szCs w:val="18"/>
                <w:color w:val="auto"/>
              </w:rPr>
              <w:t>Covenant Med Ctr Lakeside</w:t>
            </w:r>
          </w:p>
        </w:tc>
        <w:tc>
          <w:tcPr>
            <w:tcW w:w="3160" w:type="dxa"/>
            <w:vAlign w:val="bottom"/>
          </w:tcPr>
          <w:p>
            <w:pPr>
              <w:spacing w:after="0"/>
              <w:rPr>
                <w:sz w:val="18"/>
                <w:szCs w:val="18"/>
                <w:color w:val="auto"/>
              </w:rPr>
            </w:pPr>
          </w:p>
        </w:tc>
        <w:tc>
          <w:tcPr>
            <w:tcW w:w="1840" w:type="dxa"/>
            <w:vAlign w:val="bottom"/>
          </w:tcPr>
          <w:p>
            <w:pPr>
              <w:ind w:left="220"/>
              <w:spacing w:after="0"/>
              <w:rPr>
                <w:sz w:val="20"/>
                <w:szCs w:val="20"/>
                <w:color w:val="auto"/>
              </w:rPr>
            </w:pPr>
            <w:r>
              <w:rPr>
                <w:rFonts w:ascii="Arial" w:cs="Arial" w:eastAsia="Arial" w:hAnsi="Arial"/>
                <w:sz w:val="18"/>
                <w:szCs w:val="18"/>
                <w:color w:val="auto"/>
              </w:rPr>
              <w:t>Lubbock</w:t>
            </w:r>
          </w:p>
        </w:tc>
        <w:tc>
          <w:tcPr>
            <w:tcW w:w="820" w:type="dxa"/>
            <w:vAlign w:val="bottom"/>
          </w:tcPr>
          <w:p>
            <w:pPr>
              <w:ind w:left="540"/>
              <w:spacing w:after="0"/>
              <w:rPr>
                <w:sz w:val="20"/>
                <w:szCs w:val="20"/>
                <w:color w:val="auto"/>
              </w:rPr>
            </w:pPr>
            <w:r>
              <w:rPr>
                <w:rFonts w:ascii="Arial" w:cs="Arial" w:eastAsia="Arial" w:hAnsi="Arial"/>
                <w:sz w:val="18"/>
                <w:szCs w:val="18"/>
                <w:color w:val="auto"/>
              </w:rPr>
              <w:t>TX</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400" w:type="dxa"/>
            <w:vAlign w:val="bottom"/>
          </w:tcPr>
          <w:p>
            <w:pPr>
              <w:ind w:left="240"/>
              <w:spacing w:after="0"/>
              <w:rPr>
                <w:sz w:val="20"/>
                <w:szCs w:val="20"/>
                <w:color w:val="auto"/>
              </w:rPr>
            </w:pPr>
            <w:r>
              <w:rPr>
                <w:rFonts w:ascii="Arial" w:cs="Arial" w:eastAsia="Arial" w:hAnsi="Arial"/>
                <w:sz w:val="18"/>
                <w:szCs w:val="18"/>
                <w:color w:val="auto"/>
              </w:rPr>
              <w:t>Crestwood Medical Center</w:t>
            </w:r>
          </w:p>
        </w:tc>
        <w:tc>
          <w:tcPr>
            <w:tcW w:w="3160" w:type="dxa"/>
            <w:vAlign w:val="bottom"/>
          </w:tcPr>
          <w:p>
            <w:pPr>
              <w:ind w:left="1680"/>
              <w:spacing w:after="0"/>
              <w:rPr>
                <w:sz w:val="20"/>
                <w:szCs w:val="20"/>
                <w:color w:val="auto"/>
              </w:rPr>
            </w:pPr>
            <w:r>
              <w:rPr>
                <w:rFonts w:ascii="Arial" w:cs="Arial" w:eastAsia="Arial" w:hAnsi="Arial"/>
                <w:sz w:val="18"/>
                <w:szCs w:val="18"/>
                <w:color w:val="auto"/>
              </w:rPr>
              <w:t>Nancy</w:t>
            </w:r>
          </w:p>
        </w:tc>
        <w:tc>
          <w:tcPr>
            <w:tcW w:w="1840" w:type="dxa"/>
            <w:vAlign w:val="bottom"/>
          </w:tcPr>
          <w:p>
            <w:pPr>
              <w:ind w:left="220"/>
              <w:spacing w:after="0"/>
              <w:rPr>
                <w:sz w:val="20"/>
                <w:szCs w:val="20"/>
                <w:color w:val="auto"/>
              </w:rPr>
            </w:pPr>
            <w:r>
              <w:rPr>
                <w:rFonts w:ascii="Arial" w:cs="Arial" w:eastAsia="Arial" w:hAnsi="Arial"/>
                <w:sz w:val="18"/>
                <w:szCs w:val="18"/>
                <w:color w:val="auto"/>
              </w:rPr>
              <w:t>Huntsville</w:t>
            </w:r>
          </w:p>
        </w:tc>
        <w:tc>
          <w:tcPr>
            <w:tcW w:w="820" w:type="dxa"/>
            <w:vAlign w:val="bottom"/>
          </w:tcPr>
          <w:p>
            <w:pPr>
              <w:ind w:left="540"/>
              <w:spacing w:after="0"/>
              <w:rPr>
                <w:sz w:val="20"/>
                <w:szCs w:val="20"/>
                <w:color w:val="auto"/>
              </w:rPr>
            </w:pPr>
            <w:r>
              <w:rPr>
                <w:rFonts w:ascii="Arial" w:cs="Arial" w:eastAsia="Arial" w:hAnsi="Arial"/>
                <w:sz w:val="18"/>
                <w:szCs w:val="18"/>
                <w:color w:val="auto"/>
              </w:rPr>
              <w:t>AL</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400" w:type="dxa"/>
            <w:vAlign w:val="bottom"/>
          </w:tcPr>
          <w:p>
            <w:pPr>
              <w:ind w:left="240"/>
              <w:spacing w:after="0"/>
              <w:rPr>
                <w:sz w:val="20"/>
                <w:szCs w:val="20"/>
                <w:color w:val="auto"/>
              </w:rPr>
            </w:pPr>
            <w:r>
              <w:rPr>
                <w:rFonts w:ascii="Arial" w:cs="Arial" w:eastAsia="Arial" w:hAnsi="Arial"/>
                <w:sz w:val="18"/>
                <w:szCs w:val="18"/>
                <w:color w:val="auto"/>
              </w:rPr>
              <w:t>Dartmouth Mary HitGBcock</w:t>
            </w:r>
          </w:p>
        </w:tc>
        <w:tc>
          <w:tcPr>
            <w:tcW w:w="3160" w:type="dxa"/>
            <w:vAlign w:val="bottom"/>
          </w:tcPr>
          <w:p>
            <w:pPr>
              <w:ind w:left="1680"/>
              <w:spacing w:after="0"/>
              <w:rPr>
                <w:sz w:val="20"/>
                <w:szCs w:val="20"/>
                <w:color w:val="auto"/>
              </w:rPr>
            </w:pPr>
            <w:r>
              <w:rPr>
                <w:rFonts w:ascii="Arial" w:cs="Arial" w:eastAsia="Arial" w:hAnsi="Arial"/>
                <w:sz w:val="18"/>
                <w:szCs w:val="18"/>
                <w:color w:val="auto"/>
              </w:rPr>
              <w:t>Omar Zook</w:t>
            </w:r>
          </w:p>
        </w:tc>
        <w:tc>
          <w:tcPr>
            <w:tcW w:w="1840" w:type="dxa"/>
            <w:vAlign w:val="bottom"/>
          </w:tcPr>
          <w:p>
            <w:pPr>
              <w:ind w:left="220"/>
              <w:spacing w:after="0"/>
              <w:rPr>
                <w:sz w:val="20"/>
                <w:szCs w:val="20"/>
                <w:color w:val="auto"/>
              </w:rPr>
            </w:pPr>
            <w:r>
              <w:rPr>
                <w:rFonts w:ascii="Arial" w:cs="Arial" w:eastAsia="Arial" w:hAnsi="Arial"/>
                <w:sz w:val="18"/>
                <w:szCs w:val="18"/>
                <w:color w:val="auto"/>
              </w:rPr>
              <w:t>Lebanon</w:t>
            </w:r>
          </w:p>
        </w:tc>
        <w:tc>
          <w:tcPr>
            <w:tcW w:w="820" w:type="dxa"/>
            <w:vAlign w:val="bottom"/>
          </w:tcPr>
          <w:p>
            <w:pPr>
              <w:ind w:left="540"/>
              <w:spacing w:after="0"/>
              <w:rPr>
                <w:sz w:val="20"/>
                <w:szCs w:val="20"/>
                <w:color w:val="auto"/>
              </w:rPr>
            </w:pPr>
            <w:r>
              <w:rPr>
                <w:rFonts w:ascii="Arial" w:cs="Arial" w:eastAsia="Arial" w:hAnsi="Arial"/>
                <w:sz w:val="18"/>
                <w:szCs w:val="18"/>
                <w:color w:val="auto"/>
                <w:w w:val="99"/>
              </w:rPr>
              <w:t>NH</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400" w:type="dxa"/>
            <w:vAlign w:val="bottom"/>
          </w:tcPr>
          <w:p>
            <w:pPr>
              <w:ind w:left="240"/>
              <w:spacing w:after="0"/>
              <w:rPr>
                <w:sz w:val="20"/>
                <w:szCs w:val="20"/>
                <w:color w:val="auto"/>
              </w:rPr>
            </w:pPr>
            <w:r>
              <w:rPr>
                <w:rFonts w:ascii="Arial" w:cs="Arial" w:eastAsia="Arial" w:hAnsi="Arial"/>
                <w:sz w:val="18"/>
                <w:szCs w:val="18"/>
                <w:color w:val="auto"/>
              </w:rPr>
              <w:t>Dauterive Hospital</w:t>
            </w:r>
          </w:p>
        </w:tc>
        <w:tc>
          <w:tcPr>
            <w:tcW w:w="3160" w:type="dxa"/>
            <w:vAlign w:val="bottom"/>
          </w:tcPr>
          <w:p>
            <w:pPr>
              <w:ind w:left="1680"/>
              <w:spacing w:after="0"/>
              <w:rPr>
                <w:sz w:val="20"/>
                <w:szCs w:val="20"/>
                <w:color w:val="auto"/>
              </w:rPr>
            </w:pPr>
            <w:r>
              <w:rPr>
                <w:rFonts w:ascii="Arial" w:cs="Arial" w:eastAsia="Arial" w:hAnsi="Arial"/>
                <w:sz w:val="18"/>
                <w:szCs w:val="18"/>
                <w:color w:val="auto"/>
              </w:rPr>
              <w:t>Neal Manuel</w:t>
            </w:r>
          </w:p>
        </w:tc>
        <w:tc>
          <w:tcPr>
            <w:tcW w:w="1840" w:type="dxa"/>
            <w:vAlign w:val="bottom"/>
          </w:tcPr>
          <w:p>
            <w:pPr>
              <w:ind w:left="220"/>
              <w:spacing w:after="0"/>
              <w:rPr>
                <w:sz w:val="20"/>
                <w:szCs w:val="20"/>
                <w:color w:val="auto"/>
              </w:rPr>
            </w:pPr>
            <w:r>
              <w:rPr>
                <w:rFonts w:ascii="Arial" w:cs="Arial" w:eastAsia="Arial" w:hAnsi="Arial"/>
                <w:sz w:val="18"/>
                <w:szCs w:val="18"/>
                <w:color w:val="auto"/>
              </w:rPr>
              <w:t>New Iberia</w:t>
            </w:r>
          </w:p>
        </w:tc>
        <w:tc>
          <w:tcPr>
            <w:tcW w:w="820" w:type="dxa"/>
            <w:vAlign w:val="bottom"/>
          </w:tcPr>
          <w:p>
            <w:pPr>
              <w:ind w:left="540"/>
              <w:spacing w:after="0"/>
              <w:rPr>
                <w:sz w:val="20"/>
                <w:szCs w:val="20"/>
                <w:color w:val="auto"/>
              </w:rPr>
            </w:pPr>
            <w:r>
              <w:rPr>
                <w:rFonts w:ascii="Arial" w:cs="Arial" w:eastAsia="Arial" w:hAnsi="Arial"/>
                <w:sz w:val="18"/>
                <w:szCs w:val="18"/>
                <w:color w:val="auto"/>
              </w:rPr>
              <w:t>LA</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400" w:type="dxa"/>
            <w:vAlign w:val="bottom"/>
          </w:tcPr>
          <w:p>
            <w:pPr>
              <w:ind w:left="240"/>
              <w:spacing w:after="0"/>
              <w:rPr>
                <w:sz w:val="20"/>
                <w:szCs w:val="20"/>
                <w:color w:val="auto"/>
              </w:rPr>
            </w:pPr>
            <w:r>
              <w:rPr>
                <w:rFonts w:ascii="Arial" w:cs="Arial" w:eastAsia="Arial" w:hAnsi="Arial"/>
                <w:sz w:val="18"/>
                <w:szCs w:val="18"/>
                <w:color w:val="auto"/>
              </w:rPr>
              <w:t>Davis Hospital</w:t>
            </w:r>
          </w:p>
        </w:tc>
        <w:tc>
          <w:tcPr>
            <w:tcW w:w="3160" w:type="dxa"/>
            <w:vAlign w:val="bottom"/>
          </w:tcPr>
          <w:p>
            <w:pPr>
              <w:ind w:left="1680"/>
              <w:spacing w:after="0"/>
              <w:rPr>
                <w:sz w:val="20"/>
                <w:szCs w:val="20"/>
                <w:color w:val="auto"/>
              </w:rPr>
            </w:pPr>
            <w:r>
              <w:rPr>
                <w:rFonts w:ascii="Arial" w:cs="Arial" w:eastAsia="Arial" w:hAnsi="Arial"/>
                <w:sz w:val="18"/>
                <w:szCs w:val="18"/>
                <w:color w:val="auto"/>
              </w:rPr>
              <w:t>Steve Kimber</w:t>
            </w:r>
          </w:p>
        </w:tc>
        <w:tc>
          <w:tcPr>
            <w:tcW w:w="1840" w:type="dxa"/>
            <w:vAlign w:val="bottom"/>
          </w:tcPr>
          <w:p>
            <w:pPr>
              <w:ind w:left="220"/>
              <w:spacing w:after="0"/>
              <w:rPr>
                <w:sz w:val="20"/>
                <w:szCs w:val="20"/>
                <w:color w:val="auto"/>
              </w:rPr>
            </w:pPr>
            <w:r>
              <w:rPr>
                <w:rFonts w:ascii="Arial" w:cs="Arial" w:eastAsia="Arial" w:hAnsi="Arial"/>
                <w:sz w:val="18"/>
                <w:szCs w:val="18"/>
                <w:color w:val="auto"/>
              </w:rPr>
              <w:t>Layton</w:t>
            </w:r>
          </w:p>
        </w:tc>
        <w:tc>
          <w:tcPr>
            <w:tcW w:w="820" w:type="dxa"/>
            <w:vAlign w:val="bottom"/>
          </w:tcPr>
          <w:p>
            <w:pPr>
              <w:ind w:left="540"/>
              <w:spacing w:after="0"/>
              <w:rPr>
                <w:sz w:val="20"/>
                <w:szCs w:val="20"/>
                <w:color w:val="auto"/>
              </w:rPr>
            </w:pPr>
            <w:r>
              <w:rPr>
                <w:rFonts w:ascii="Arial" w:cs="Arial" w:eastAsia="Arial" w:hAnsi="Arial"/>
                <w:sz w:val="18"/>
                <w:szCs w:val="18"/>
                <w:color w:val="auto"/>
              </w:rPr>
              <w:t>UT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400" w:type="dxa"/>
            <w:vAlign w:val="bottom"/>
          </w:tcPr>
          <w:p>
            <w:pPr>
              <w:ind w:left="240"/>
              <w:spacing w:after="0"/>
              <w:rPr>
                <w:sz w:val="20"/>
                <w:szCs w:val="20"/>
                <w:color w:val="auto"/>
              </w:rPr>
            </w:pPr>
            <w:r>
              <w:rPr>
                <w:rFonts w:ascii="Arial" w:cs="Arial" w:eastAsia="Arial" w:hAnsi="Arial"/>
                <w:sz w:val="18"/>
                <w:szCs w:val="18"/>
                <w:color w:val="auto"/>
              </w:rPr>
              <w:t>DCH Regional Medical Center</w:t>
            </w:r>
          </w:p>
        </w:tc>
        <w:tc>
          <w:tcPr>
            <w:tcW w:w="3160" w:type="dxa"/>
            <w:vAlign w:val="bottom"/>
          </w:tcPr>
          <w:p>
            <w:pPr>
              <w:ind w:left="1680"/>
              <w:spacing w:after="0"/>
              <w:rPr>
                <w:sz w:val="20"/>
                <w:szCs w:val="20"/>
                <w:color w:val="auto"/>
              </w:rPr>
            </w:pPr>
            <w:r>
              <w:rPr>
                <w:rFonts w:ascii="Arial" w:cs="Arial" w:eastAsia="Arial" w:hAnsi="Arial"/>
                <w:sz w:val="18"/>
                <w:szCs w:val="18"/>
                <w:color w:val="auto"/>
              </w:rPr>
              <w:t>Jean TMelser</w:t>
            </w:r>
          </w:p>
        </w:tc>
        <w:tc>
          <w:tcPr>
            <w:tcW w:w="1840" w:type="dxa"/>
            <w:vAlign w:val="bottom"/>
          </w:tcPr>
          <w:p>
            <w:pPr>
              <w:ind w:left="220"/>
              <w:spacing w:after="0"/>
              <w:rPr>
                <w:sz w:val="20"/>
                <w:szCs w:val="20"/>
                <w:color w:val="auto"/>
              </w:rPr>
            </w:pPr>
            <w:r>
              <w:rPr>
                <w:rFonts w:ascii="Arial" w:cs="Arial" w:eastAsia="Arial" w:hAnsi="Arial"/>
                <w:sz w:val="18"/>
                <w:szCs w:val="18"/>
                <w:color w:val="auto"/>
              </w:rPr>
              <w:t>Tuscaloosa</w:t>
            </w:r>
          </w:p>
        </w:tc>
        <w:tc>
          <w:tcPr>
            <w:tcW w:w="820" w:type="dxa"/>
            <w:vAlign w:val="bottom"/>
          </w:tcPr>
          <w:p>
            <w:pPr>
              <w:ind w:left="540"/>
              <w:spacing w:after="0"/>
              <w:rPr>
                <w:sz w:val="20"/>
                <w:szCs w:val="20"/>
                <w:color w:val="auto"/>
              </w:rPr>
            </w:pPr>
            <w:r>
              <w:rPr>
                <w:rFonts w:ascii="Arial" w:cs="Arial" w:eastAsia="Arial" w:hAnsi="Arial"/>
                <w:sz w:val="18"/>
                <w:szCs w:val="18"/>
                <w:color w:val="auto"/>
              </w:rPr>
              <w:t>AL</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400" w:type="dxa"/>
            <w:vAlign w:val="bottom"/>
          </w:tcPr>
          <w:p>
            <w:pPr>
              <w:ind w:left="240"/>
              <w:spacing w:after="0"/>
              <w:rPr>
                <w:sz w:val="20"/>
                <w:szCs w:val="20"/>
                <w:color w:val="auto"/>
              </w:rPr>
            </w:pPr>
            <w:r>
              <w:rPr>
                <w:rFonts w:ascii="Arial" w:cs="Arial" w:eastAsia="Arial" w:hAnsi="Arial"/>
                <w:sz w:val="18"/>
                <w:szCs w:val="18"/>
                <w:color w:val="auto"/>
              </w:rPr>
              <w:t>Dekalb Medical Center</w:t>
            </w:r>
          </w:p>
        </w:tc>
        <w:tc>
          <w:tcPr>
            <w:tcW w:w="3160" w:type="dxa"/>
            <w:vAlign w:val="bottom"/>
          </w:tcPr>
          <w:p>
            <w:pPr>
              <w:ind w:left="1680"/>
              <w:spacing w:after="0"/>
              <w:rPr>
                <w:sz w:val="20"/>
                <w:szCs w:val="20"/>
                <w:color w:val="auto"/>
              </w:rPr>
            </w:pPr>
            <w:r>
              <w:rPr>
                <w:rFonts w:ascii="Arial" w:cs="Arial" w:eastAsia="Arial" w:hAnsi="Arial"/>
                <w:sz w:val="18"/>
                <w:szCs w:val="18"/>
                <w:color w:val="auto"/>
              </w:rPr>
              <w:t>Joseph Jackson</w:t>
            </w:r>
          </w:p>
        </w:tc>
        <w:tc>
          <w:tcPr>
            <w:tcW w:w="1840" w:type="dxa"/>
            <w:vAlign w:val="bottom"/>
          </w:tcPr>
          <w:p>
            <w:pPr>
              <w:ind w:left="220"/>
              <w:spacing w:after="0"/>
              <w:rPr>
                <w:sz w:val="20"/>
                <w:szCs w:val="20"/>
                <w:color w:val="auto"/>
              </w:rPr>
            </w:pPr>
            <w:r>
              <w:rPr>
                <w:rFonts w:ascii="Arial" w:cs="Arial" w:eastAsia="Arial" w:hAnsi="Arial"/>
                <w:sz w:val="18"/>
                <w:szCs w:val="18"/>
                <w:color w:val="auto"/>
              </w:rPr>
              <w:t>Decatur</w:t>
            </w:r>
          </w:p>
        </w:tc>
        <w:tc>
          <w:tcPr>
            <w:tcW w:w="820" w:type="dxa"/>
            <w:vAlign w:val="bottom"/>
          </w:tcPr>
          <w:p>
            <w:pPr>
              <w:ind w:left="540"/>
              <w:spacing w:after="0"/>
              <w:rPr>
                <w:sz w:val="20"/>
                <w:szCs w:val="20"/>
                <w:color w:val="auto"/>
              </w:rPr>
            </w:pPr>
            <w:r>
              <w:rPr>
                <w:rFonts w:ascii="Arial" w:cs="Arial" w:eastAsia="Arial" w:hAnsi="Arial"/>
                <w:sz w:val="18"/>
                <w:szCs w:val="18"/>
                <w:color w:val="auto"/>
                <w:w w:val="99"/>
              </w:rPr>
              <w:t>GA</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400" w:type="dxa"/>
            <w:vAlign w:val="bottom"/>
          </w:tcPr>
          <w:p>
            <w:pPr>
              <w:ind w:left="240"/>
              <w:spacing w:after="0"/>
              <w:rPr>
                <w:sz w:val="20"/>
                <w:szCs w:val="20"/>
                <w:color w:val="auto"/>
              </w:rPr>
            </w:pPr>
            <w:r>
              <w:rPr>
                <w:rFonts w:ascii="Arial" w:cs="Arial" w:eastAsia="Arial" w:hAnsi="Arial"/>
                <w:sz w:val="18"/>
                <w:szCs w:val="18"/>
                <w:color w:val="auto"/>
              </w:rPr>
              <w:t>Denver Health</w:t>
            </w:r>
          </w:p>
        </w:tc>
        <w:tc>
          <w:tcPr>
            <w:tcW w:w="3160" w:type="dxa"/>
            <w:vAlign w:val="bottom"/>
          </w:tcPr>
          <w:p>
            <w:pPr>
              <w:ind w:left="1680"/>
              <w:spacing w:after="0"/>
              <w:rPr>
                <w:sz w:val="20"/>
                <w:szCs w:val="20"/>
                <w:color w:val="auto"/>
              </w:rPr>
            </w:pPr>
            <w:r>
              <w:rPr>
                <w:rFonts w:ascii="Arial" w:cs="Arial" w:eastAsia="Arial" w:hAnsi="Arial"/>
                <w:sz w:val="18"/>
                <w:szCs w:val="18"/>
                <w:color w:val="auto"/>
              </w:rPr>
              <w:t>Denise Rosnick</w:t>
            </w:r>
          </w:p>
        </w:tc>
        <w:tc>
          <w:tcPr>
            <w:tcW w:w="1840" w:type="dxa"/>
            <w:vAlign w:val="bottom"/>
          </w:tcPr>
          <w:p>
            <w:pPr>
              <w:ind w:left="220"/>
              <w:spacing w:after="0"/>
              <w:rPr>
                <w:sz w:val="20"/>
                <w:szCs w:val="20"/>
                <w:color w:val="auto"/>
              </w:rPr>
            </w:pPr>
            <w:r>
              <w:rPr>
                <w:rFonts w:ascii="Arial" w:cs="Arial" w:eastAsia="Arial" w:hAnsi="Arial"/>
                <w:sz w:val="18"/>
                <w:szCs w:val="18"/>
                <w:color w:val="auto"/>
              </w:rPr>
              <w:t>Denver</w:t>
            </w:r>
          </w:p>
        </w:tc>
        <w:tc>
          <w:tcPr>
            <w:tcW w:w="820" w:type="dxa"/>
            <w:vAlign w:val="bottom"/>
          </w:tcPr>
          <w:p>
            <w:pPr>
              <w:ind w:left="540"/>
              <w:spacing w:after="0"/>
              <w:rPr>
                <w:sz w:val="20"/>
                <w:szCs w:val="20"/>
                <w:color w:val="auto"/>
              </w:rPr>
            </w:pPr>
            <w:r>
              <w:rPr>
                <w:rFonts w:ascii="Arial" w:cs="Arial" w:eastAsia="Arial" w:hAnsi="Arial"/>
                <w:sz w:val="18"/>
                <w:szCs w:val="18"/>
                <w:color w:val="auto"/>
                <w:w w:val="96"/>
              </w:rPr>
              <w:t>CO</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400" w:type="dxa"/>
            <w:vAlign w:val="bottom"/>
          </w:tcPr>
          <w:p>
            <w:pPr>
              <w:ind w:left="240"/>
              <w:spacing w:after="0"/>
              <w:rPr>
                <w:sz w:val="20"/>
                <w:szCs w:val="20"/>
                <w:color w:val="auto"/>
              </w:rPr>
            </w:pPr>
            <w:r>
              <w:rPr>
                <w:rFonts w:ascii="Arial" w:cs="Arial" w:eastAsia="Arial" w:hAnsi="Arial"/>
                <w:sz w:val="18"/>
                <w:szCs w:val="18"/>
                <w:color w:val="auto"/>
              </w:rPr>
              <w:t>Des Peres Hospial</w:t>
            </w:r>
          </w:p>
        </w:tc>
        <w:tc>
          <w:tcPr>
            <w:tcW w:w="3160" w:type="dxa"/>
            <w:vAlign w:val="bottom"/>
          </w:tcPr>
          <w:p>
            <w:pPr>
              <w:ind w:left="1680"/>
              <w:spacing w:after="0"/>
              <w:rPr>
                <w:sz w:val="20"/>
                <w:szCs w:val="20"/>
                <w:color w:val="auto"/>
              </w:rPr>
            </w:pPr>
            <w:r>
              <w:rPr>
                <w:rFonts w:ascii="Arial" w:cs="Arial" w:eastAsia="Arial" w:hAnsi="Arial"/>
                <w:sz w:val="18"/>
                <w:szCs w:val="18"/>
                <w:color w:val="auto"/>
              </w:rPr>
              <w:t>Michael Kendrick</w:t>
            </w:r>
          </w:p>
        </w:tc>
        <w:tc>
          <w:tcPr>
            <w:tcW w:w="1840" w:type="dxa"/>
            <w:vAlign w:val="bottom"/>
          </w:tcPr>
          <w:p>
            <w:pPr>
              <w:ind w:left="220"/>
              <w:spacing w:after="0"/>
              <w:rPr>
                <w:sz w:val="20"/>
                <w:szCs w:val="20"/>
                <w:color w:val="auto"/>
              </w:rPr>
            </w:pPr>
            <w:r>
              <w:rPr>
                <w:rFonts w:ascii="Arial" w:cs="Arial" w:eastAsia="Arial" w:hAnsi="Arial"/>
                <w:sz w:val="18"/>
                <w:szCs w:val="18"/>
                <w:color w:val="auto"/>
              </w:rPr>
              <w:t>St. Louis</w:t>
            </w:r>
          </w:p>
        </w:tc>
        <w:tc>
          <w:tcPr>
            <w:tcW w:w="820" w:type="dxa"/>
            <w:vAlign w:val="bottom"/>
          </w:tcPr>
          <w:p>
            <w:pPr>
              <w:ind w:left="540"/>
              <w:spacing w:after="0"/>
              <w:rPr>
                <w:sz w:val="20"/>
                <w:szCs w:val="20"/>
                <w:color w:val="auto"/>
              </w:rPr>
            </w:pPr>
            <w:r>
              <w:rPr>
                <w:rFonts w:ascii="Arial" w:cs="Arial" w:eastAsia="Arial" w:hAnsi="Arial"/>
                <w:sz w:val="18"/>
                <w:szCs w:val="18"/>
                <w:color w:val="auto"/>
                <w:w w:val="89"/>
              </w:rPr>
              <w:t>MO</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400" w:type="dxa"/>
            <w:vAlign w:val="bottom"/>
          </w:tcPr>
          <w:p>
            <w:pPr>
              <w:ind w:left="240"/>
              <w:spacing w:after="0"/>
              <w:rPr>
                <w:sz w:val="20"/>
                <w:szCs w:val="20"/>
                <w:color w:val="auto"/>
              </w:rPr>
            </w:pPr>
            <w:r>
              <w:rPr>
                <w:rFonts w:ascii="Arial" w:cs="Arial" w:eastAsia="Arial" w:hAnsi="Arial"/>
                <w:sz w:val="18"/>
                <w:szCs w:val="18"/>
                <w:color w:val="auto"/>
              </w:rPr>
              <w:t>Des Peres Square Surgery Ctr</w:t>
            </w:r>
          </w:p>
        </w:tc>
        <w:tc>
          <w:tcPr>
            <w:tcW w:w="3160" w:type="dxa"/>
            <w:vAlign w:val="bottom"/>
          </w:tcPr>
          <w:p>
            <w:pPr>
              <w:ind w:left="1680"/>
              <w:spacing w:after="0"/>
              <w:rPr>
                <w:sz w:val="20"/>
                <w:szCs w:val="20"/>
                <w:color w:val="auto"/>
              </w:rPr>
            </w:pPr>
            <w:r>
              <w:rPr>
                <w:rFonts w:ascii="Arial" w:cs="Arial" w:eastAsia="Arial" w:hAnsi="Arial"/>
                <w:sz w:val="18"/>
                <w:szCs w:val="18"/>
                <w:color w:val="auto"/>
              </w:rPr>
              <w:t>Eileen Evans</w:t>
            </w:r>
          </w:p>
        </w:tc>
        <w:tc>
          <w:tcPr>
            <w:tcW w:w="1840" w:type="dxa"/>
            <w:vAlign w:val="bottom"/>
          </w:tcPr>
          <w:p>
            <w:pPr>
              <w:ind w:left="220"/>
              <w:spacing w:after="0"/>
              <w:rPr>
                <w:sz w:val="20"/>
                <w:szCs w:val="20"/>
                <w:color w:val="auto"/>
              </w:rPr>
            </w:pPr>
            <w:r>
              <w:rPr>
                <w:rFonts w:ascii="Arial" w:cs="Arial" w:eastAsia="Arial" w:hAnsi="Arial"/>
                <w:sz w:val="18"/>
                <w:szCs w:val="18"/>
                <w:color w:val="auto"/>
              </w:rPr>
              <w:t>St. Louis</w:t>
            </w:r>
          </w:p>
        </w:tc>
        <w:tc>
          <w:tcPr>
            <w:tcW w:w="820" w:type="dxa"/>
            <w:vAlign w:val="bottom"/>
          </w:tcPr>
          <w:p>
            <w:pPr>
              <w:ind w:left="540"/>
              <w:spacing w:after="0"/>
              <w:rPr>
                <w:sz w:val="20"/>
                <w:szCs w:val="20"/>
                <w:color w:val="auto"/>
              </w:rPr>
            </w:pPr>
            <w:r>
              <w:rPr>
                <w:rFonts w:ascii="Arial" w:cs="Arial" w:eastAsia="Arial" w:hAnsi="Arial"/>
                <w:sz w:val="18"/>
                <w:szCs w:val="18"/>
                <w:color w:val="auto"/>
                <w:w w:val="89"/>
              </w:rPr>
              <w:t>MO</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400" w:type="dxa"/>
            <w:vAlign w:val="bottom"/>
          </w:tcPr>
          <w:p>
            <w:pPr>
              <w:ind w:left="240"/>
              <w:spacing w:after="0"/>
              <w:rPr>
                <w:sz w:val="20"/>
                <w:szCs w:val="20"/>
                <w:color w:val="auto"/>
              </w:rPr>
            </w:pPr>
            <w:r>
              <w:rPr>
                <w:rFonts w:ascii="Arial" w:cs="Arial" w:eastAsia="Arial" w:hAnsi="Arial"/>
                <w:sz w:val="18"/>
                <w:szCs w:val="18"/>
                <w:color w:val="auto"/>
              </w:rPr>
              <w:t>Desert Orthopedic Surgery Ctr</w:t>
            </w:r>
          </w:p>
        </w:tc>
        <w:tc>
          <w:tcPr>
            <w:tcW w:w="3160" w:type="dxa"/>
            <w:vAlign w:val="bottom"/>
          </w:tcPr>
          <w:p>
            <w:pPr>
              <w:ind w:left="1680"/>
              <w:spacing w:after="0"/>
              <w:rPr>
                <w:sz w:val="20"/>
                <w:szCs w:val="20"/>
                <w:color w:val="auto"/>
              </w:rPr>
            </w:pPr>
            <w:r>
              <w:rPr>
                <w:rFonts w:ascii="Arial" w:cs="Arial" w:eastAsia="Arial" w:hAnsi="Arial"/>
                <w:sz w:val="18"/>
                <w:szCs w:val="18"/>
                <w:color w:val="auto"/>
              </w:rPr>
              <w:t>Leanne Gallegos</w:t>
            </w:r>
          </w:p>
        </w:tc>
        <w:tc>
          <w:tcPr>
            <w:tcW w:w="1840" w:type="dxa"/>
            <w:vAlign w:val="bottom"/>
          </w:tcPr>
          <w:p>
            <w:pPr>
              <w:ind w:left="220"/>
              <w:spacing w:after="0"/>
              <w:rPr>
                <w:sz w:val="20"/>
                <w:szCs w:val="20"/>
                <w:color w:val="auto"/>
              </w:rPr>
            </w:pPr>
            <w:r>
              <w:rPr>
                <w:rFonts w:ascii="Arial" w:cs="Arial" w:eastAsia="Arial" w:hAnsi="Arial"/>
                <w:sz w:val="18"/>
                <w:szCs w:val="18"/>
                <w:color w:val="auto"/>
              </w:rPr>
              <w:t>Rancho Mirage</w:t>
            </w:r>
          </w:p>
        </w:tc>
        <w:tc>
          <w:tcPr>
            <w:tcW w:w="820" w:type="dxa"/>
            <w:vAlign w:val="bottom"/>
          </w:tcPr>
          <w:p>
            <w:pPr>
              <w:ind w:left="540"/>
              <w:spacing w:after="0"/>
              <w:rPr>
                <w:sz w:val="20"/>
                <w:szCs w:val="20"/>
                <w:color w:val="auto"/>
              </w:rPr>
            </w:pPr>
            <w:r>
              <w:rPr>
                <w:rFonts w:ascii="Arial" w:cs="Arial" w:eastAsia="Arial" w:hAnsi="Arial"/>
                <w:sz w:val="18"/>
                <w:szCs w:val="18"/>
                <w:color w:val="auto"/>
              </w:rPr>
              <w:t>CA</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400" w:type="dxa"/>
            <w:vAlign w:val="bottom"/>
          </w:tcPr>
          <w:p>
            <w:pPr>
              <w:ind w:left="240"/>
              <w:spacing w:after="0"/>
              <w:rPr>
                <w:sz w:val="20"/>
                <w:szCs w:val="20"/>
                <w:color w:val="auto"/>
              </w:rPr>
            </w:pPr>
            <w:r>
              <w:rPr>
                <w:rFonts w:ascii="Arial" w:cs="Arial" w:eastAsia="Arial" w:hAnsi="Arial"/>
                <w:sz w:val="18"/>
                <w:szCs w:val="18"/>
                <w:color w:val="auto"/>
              </w:rPr>
              <w:t>Desert Regional Med. Ctr.</w:t>
            </w:r>
          </w:p>
        </w:tc>
        <w:tc>
          <w:tcPr>
            <w:tcW w:w="3160" w:type="dxa"/>
            <w:vAlign w:val="bottom"/>
          </w:tcPr>
          <w:p>
            <w:pPr>
              <w:ind w:left="1680"/>
              <w:spacing w:after="0"/>
              <w:rPr>
                <w:sz w:val="20"/>
                <w:szCs w:val="20"/>
                <w:color w:val="auto"/>
              </w:rPr>
            </w:pPr>
            <w:r>
              <w:rPr>
                <w:rFonts w:ascii="Arial" w:cs="Arial" w:eastAsia="Arial" w:hAnsi="Arial"/>
                <w:sz w:val="18"/>
                <w:szCs w:val="18"/>
                <w:color w:val="auto"/>
              </w:rPr>
              <w:t>Steve Spencer</w:t>
            </w:r>
          </w:p>
        </w:tc>
        <w:tc>
          <w:tcPr>
            <w:tcW w:w="1840" w:type="dxa"/>
            <w:vAlign w:val="bottom"/>
          </w:tcPr>
          <w:p>
            <w:pPr>
              <w:ind w:left="220"/>
              <w:spacing w:after="0"/>
              <w:rPr>
                <w:sz w:val="20"/>
                <w:szCs w:val="20"/>
                <w:color w:val="auto"/>
              </w:rPr>
            </w:pPr>
            <w:r>
              <w:rPr>
                <w:rFonts w:ascii="Arial" w:cs="Arial" w:eastAsia="Arial" w:hAnsi="Arial"/>
                <w:sz w:val="18"/>
                <w:szCs w:val="18"/>
                <w:color w:val="auto"/>
              </w:rPr>
              <w:t>Palm Springs</w:t>
            </w:r>
          </w:p>
        </w:tc>
        <w:tc>
          <w:tcPr>
            <w:tcW w:w="820" w:type="dxa"/>
            <w:vAlign w:val="bottom"/>
          </w:tcPr>
          <w:p>
            <w:pPr>
              <w:ind w:left="540"/>
              <w:spacing w:after="0"/>
              <w:rPr>
                <w:sz w:val="20"/>
                <w:szCs w:val="20"/>
                <w:color w:val="auto"/>
              </w:rPr>
            </w:pPr>
            <w:r>
              <w:rPr>
                <w:rFonts w:ascii="Arial" w:cs="Arial" w:eastAsia="Arial" w:hAnsi="Arial"/>
                <w:sz w:val="18"/>
                <w:szCs w:val="18"/>
                <w:color w:val="auto"/>
              </w:rPr>
              <w:t>CA</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400" w:type="dxa"/>
            <w:vAlign w:val="bottom"/>
          </w:tcPr>
          <w:p>
            <w:pPr>
              <w:ind w:left="240"/>
              <w:spacing w:after="0"/>
              <w:rPr>
                <w:sz w:val="20"/>
                <w:szCs w:val="20"/>
                <w:color w:val="auto"/>
              </w:rPr>
            </w:pPr>
            <w:r>
              <w:rPr>
                <w:rFonts w:ascii="Arial" w:cs="Arial" w:eastAsia="Arial" w:hAnsi="Arial"/>
                <w:sz w:val="18"/>
                <w:szCs w:val="18"/>
                <w:color w:val="auto"/>
              </w:rPr>
              <w:t>DeTar Hospital</w:t>
            </w:r>
          </w:p>
        </w:tc>
        <w:tc>
          <w:tcPr>
            <w:tcW w:w="3160" w:type="dxa"/>
            <w:vAlign w:val="bottom"/>
          </w:tcPr>
          <w:p>
            <w:pPr>
              <w:ind w:left="1680"/>
              <w:spacing w:after="0"/>
              <w:rPr>
                <w:sz w:val="20"/>
                <w:szCs w:val="20"/>
                <w:color w:val="auto"/>
              </w:rPr>
            </w:pPr>
            <w:r>
              <w:rPr>
                <w:rFonts w:ascii="Arial" w:cs="Arial" w:eastAsia="Arial" w:hAnsi="Arial"/>
                <w:sz w:val="18"/>
                <w:szCs w:val="18"/>
                <w:color w:val="auto"/>
              </w:rPr>
              <w:t>Glenda Doebbler</w:t>
            </w:r>
          </w:p>
        </w:tc>
        <w:tc>
          <w:tcPr>
            <w:tcW w:w="1840" w:type="dxa"/>
            <w:vAlign w:val="bottom"/>
          </w:tcPr>
          <w:p>
            <w:pPr>
              <w:ind w:left="220"/>
              <w:spacing w:after="0"/>
              <w:rPr>
                <w:sz w:val="20"/>
                <w:szCs w:val="20"/>
                <w:color w:val="auto"/>
              </w:rPr>
            </w:pPr>
            <w:r>
              <w:rPr>
                <w:rFonts w:ascii="Arial" w:cs="Arial" w:eastAsia="Arial" w:hAnsi="Arial"/>
                <w:sz w:val="18"/>
                <w:szCs w:val="18"/>
                <w:color w:val="auto"/>
              </w:rPr>
              <w:t>Victoria</w:t>
            </w:r>
          </w:p>
        </w:tc>
        <w:tc>
          <w:tcPr>
            <w:tcW w:w="820" w:type="dxa"/>
            <w:vAlign w:val="bottom"/>
          </w:tcPr>
          <w:p>
            <w:pPr>
              <w:ind w:left="540"/>
              <w:spacing w:after="0"/>
              <w:rPr>
                <w:sz w:val="20"/>
                <w:szCs w:val="20"/>
                <w:color w:val="auto"/>
              </w:rPr>
            </w:pPr>
            <w:r>
              <w:rPr>
                <w:rFonts w:ascii="Arial" w:cs="Arial" w:eastAsia="Arial" w:hAnsi="Arial"/>
                <w:sz w:val="18"/>
                <w:szCs w:val="18"/>
                <w:color w:val="auto"/>
              </w:rPr>
              <w:t>TX</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400" w:type="dxa"/>
            <w:vAlign w:val="bottom"/>
          </w:tcPr>
          <w:p>
            <w:pPr>
              <w:ind w:left="240"/>
              <w:spacing w:after="0"/>
              <w:rPr>
                <w:sz w:val="20"/>
                <w:szCs w:val="20"/>
                <w:color w:val="auto"/>
              </w:rPr>
            </w:pPr>
            <w:r>
              <w:rPr>
                <w:rFonts w:ascii="Arial" w:cs="Arial" w:eastAsia="Arial" w:hAnsi="Arial"/>
                <w:sz w:val="18"/>
                <w:szCs w:val="18"/>
                <w:color w:val="auto"/>
              </w:rPr>
              <w:t>Doctors Community Hospital</w:t>
            </w:r>
          </w:p>
        </w:tc>
        <w:tc>
          <w:tcPr>
            <w:tcW w:w="3160" w:type="dxa"/>
            <w:vAlign w:val="bottom"/>
          </w:tcPr>
          <w:p>
            <w:pPr>
              <w:ind w:left="1680"/>
              <w:spacing w:after="0"/>
              <w:rPr>
                <w:sz w:val="20"/>
                <w:szCs w:val="20"/>
                <w:color w:val="auto"/>
              </w:rPr>
            </w:pPr>
            <w:r>
              <w:rPr>
                <w:rFonts w:ascii="Arial" w:cs="Arial" w:eastAsia="Arial" w:hAnsi="Arial"/>
                <w:sz w:val="18"/>
                <w:szCs w:val="18"/>
                <w:color w:val="auto"/>
              </w:rPr>
              <w:t>Van Jennings</w:t>
            </w:r>
          </w:p>
        </w:tc>
        <w:tc>
          <w:tcPr>
            <w:tcW w:w="1840" w:type="dxa"/>
            <w:vAlign w:val="bottom"/>
          </w:tcPr>
          <w:p>
            <w:pPr>
              <w:ind w:left="220"/>
              <w:spacing w:after="0"/>
              <w:rPr>
                <w:sz w:val="20"/>
                <w:szCs w:val="20"/>
                <w:color w:val="auto"/>
              </w:rPr>
            </w:pPr>
            <w:r>
              <w:rPr>
                <w:rFonts w:ascii="Arial" w:cs="Arial" w:eastAsia="Arial" w:hAnsi="Arial"/>
                <w:sz w:val="18"/>
                <w:szCs w:val="18"/>
                <w:color w:val="auto"/>
              </w:rPr>
              <w:t>Lanham</w:t>
            </w:r>
          </w:p>
        </w:tc>
        <w:tc>
          <w:tcPr>
            <w:tcW w:w="820" w:type="dxa"/>
            <w:vAlign w:val="bottom"/>
          </w:tcPr>
          <w:p>
            <w:pPr>
              <w:ind w:left="540"/>
              <w:spacing w:after="0"/>
              <w:rPr>
                <w:sz w:val="20"/>
                <w:szCs w:val="20"/>
                <w:color w:val="auto"/>
              </w:rPr>
            </w:pPr>
            <w:r>
              <w:rPr>
                <w:rFonts w:ascii="Arial" w:cs="Arial" w:eastAsia="Arial" w:hAnsi="Arial"/>
                <w:sz w:val="18"/>
                <w:szCs w:val="18"/>
                <w:color w:val="auto"/>
                <w:w w:val="92"/>
              </w:rPr>
              <w:t>MD</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400" w:type="dxa"/>
            <w:vAlign w:val="bottom"/>
          </w:tcPr>
          <w:p>
            <w:pPr>
              <w:ind w:left="240"/>
              <w:spacing w:after="0"/>
              <w:rPr>
                <w:sz w:val="20"/>
                <w:szCs w:val="20"/>
                <w:color w:val="auto"/>
              </w:rPr>
            </w:pPr>
            <w:r>
              <w:rPr>
                <w:rFonts w:ascii="Arial" w:cs="Arial" w:eastAsia="Arial" w:hAnsi="Arial"/>
                <w:sz w:val="18"/>
                <w:szCs w:val="18"/>
                <w:color w:val="auto"/>
              </w:rPr>
              <w:t>Doctors Hospital of San Pablo</w:t>
            </w:r>
          </w:p>
        </w:tc>
        <w:tc>
          <w:tcPr>
            <w:tcW w:w="3160" w:type="dxa"/>
            <w:vAlign w:val="bottom"/>
          </w:tcPr>
          <w:p>
            <w:pPr>
              <w:ind w:left="1680"/>
              <w:spacing w:after="0"/>
              <w:rPr>
                <w:sz w:val="20"/>
                <w:szCs w:val="20"/>
                <w:color w:val="auto"/>
              </w:rPr>
            </w:pPr>
            <w:r>
              <w:rPr>
                <w:rFonts w:ascii="Arial" w:cs="Arial" w:eastAsia="Arial" w:hAnsi="Arial"/>
                <w:sz w:val="18"/>
                <w:szCs w:val="18"/>
                <w:color w:val="auto"/>
              </w:rPr>
              <w:t>Barbara Pastori</w:t>
            </w:r>
          </w:p>
        </w:tc>
        <w:tc>
          <w:tcPr>
            <w:tcW w:w="1840" w:type="dxa"/>
            <w:vAlign w:val="bottom"/>
          </w:tcPr>
          <w:p>
            <w:pPr>
              <w:ind w:left="220"/>
              <w:spacing w:after="0"/>
              <w:rPr>
                <w:sz w:val="20"/>
                <w:szCs w:val="20"/>
                <w:color w:val="auto"/>
              </w:rPr>
            </w:pPr>
            <w:r>
              <w:rPr>
                <w:rFonts w:ascii="Arial" w:cs="Arial" w:eastAsia="Arial" w:hAnsi="Arial"/>
                <w:sz w:val="18"/>
                <w:szCs w:val="18"/>
                <w:color w:val="auto"/>
              </w:rPr>
              <w:t>San Pablo</w:t>
            </w:r>
          </w:p>
        </w:tc>
        <w:tc>
          <w:tcPr>
            <w:tcW w:w="820" w:type="dxa"/>
            <w:vAlign w:val="bottom"/>
          </w:tcPr>
          <w:p>
            <w:pPr>
              <w:ind w:left="540"/>
              <w:spacing w:after="0"/>
              <w:rPr>
                <w:sz w:val="20"/>
                <w:szCs w:val="20"/>
                <w:color w:val="auto"/>
              </w:rPr>
            </w:pPr>
            <w:r>
              <w:rPr>
                <w:rFonts w:ascii="Arial" w:cs="Arial" w:eastAsia="Arial" w:hAnsi="Arial"/>
                <w:sz w:val="18"/>
                <w:szCs w:val="18"/>
                <w:color w:val="auto"/>
              </w:rPr>
              <w:t>CA</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400" w:type="dxa"/>
            <w:vAlign w:val="bottom"/>
          </w:tcPr>
          <w:p>
            <w:pPr>
              <w:ind w:left="240"/>
              <w:spacing w:after="0"/>
              <w:rPr>
                <w:sz w:val="20"/>
                <w:szCs w:val="20"/>
                <w:color w:val="auto"/>
              </w:rPr>
            </w:pPr>
            <w:r>
              <w:rPr>
                <w:rFonts w:ascii="Arial" w:cs="Arial" w:eastAsia="Arial" w:hAnsi="Arial"/>
                <w:sz w:val="18"/>
                <w:szCs w:val="18"/>
                <w:color w:val="auto"/>
              </w:rPr>
              <w:t>Doctors Hospital of Sarasota</w:t>
            </w:r>
          </w:p>
        </w:tc>
        <w:tc>
          <w:tcPr>
            <w:tcW w:w="3160" w:type="dxa"/>
            <w:vAlign w:val="bottom"/>
          </w:tcPr>
          <w:p>
            <w:pPr>
              <w:ind w:left="1680"/>
              <w:spacing w:after="0"/>
              <w:rPr>
                <w:sz w:val="20"/>
                <w:szCs w:val="20"/>
                <w:color w:val="auto"/>
              </w:rPr>
            </w:pPr>
            <w:r>
              <w:rPr>
                <w:rFonts w:ascii="Arial" w:cs="Arial" w:eastAsia="Arial" w:hAnsi="Arial"/>
                <w:sz w:val="18"/>
                <w:szCs w:val="18"/>
                <w:color w:val="auto"/>
              </w:rPr>
              <w:t>Nancy Jones</w:t>
            </w:r>
          </w:p>
        </w:tc>
        <w:tc>
          <w:tcPr>
            <w:tcW w:w="1840" w:type="dxa"/>
            <w:vAlign w:val="bottom"/>
          </w:tcPr>
          <w:p>
            <w:pPr>
              <w:ind w:left="220"/>
              <w:spacing w:after="0"/>
              <w:rPr>
                <w:sz w:val="20"/>
                <w:szCs w:val="20"/>
                <w:color w:val="auto"/>
              </w:rPr>
            </w:pPr>
            <w:r>
              <w:rPr>
                <w:rFonts w:ascii="Arial" w:cs="Arial" w:eastAsia="Arial" w:hAnsi="Arial"/>
                <w:sz w:val="18"/>
                <w:szCs w:val="18"/>
                <w:color w:val="auto"/>
              </w:rPr>
              <w:t>Sarasota</w:t>
            </w:r>
          </w:p>
        </w:tc>
        <w:tc>
          <w:tcPr>
            <w:tcW w:w="820" w:type="dxa"/>
            <w:vAlign w:val="bottom"/>
          </w:tcPr>
          <w:p>
            <w:pPr>
              <w:ind w:left="540"/>
              <w:spacing w:after="0"/>
              <w:rPr>
                <w:sz w:val="20"/>
                <w:szCs w:val="20"/>
                <w:color w:val="auto"/>
              </w:rPr>
            </w:pPr>
            <w:r>
              <w:rPr>
                <w:rFonts w:ascii="Arial" w:cs="Arial" w:eastAsia="Arial" w:hAnsi="Arial"/>
                <w:sz w:val="18"/>
                <w:szCs w:val="18"/>
                <w:color w:val="auto"/>
              </w:rPr>
              <w:t>FL</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400" w:type="dxa"/>
            <w:vAlign w:val="bottom"/>
          </w:tcPr>
          <w:p>
            <w:pPr>
              <w:ind w:left="240"/>
              <w:spacing w:after="0"/>
              <w:rPr>
                <w:sz w:val="20"/>
                <w:szCs w:val="20"/>
                <w:color w:val="auto"/>
              </w:rPr>
            </w:pPr>
            <w:r>
              <w:rPr>
                <w:rFonts w:ascii="Arial" w:cs="Arial" w:eastAsia="Arial" w:hAnsi="Arial"/>
                <w:sz w:val="18"/>
                <w:szCs w:val="18"/>
                <w:color w:val="auto"/>
              </w:rPr>
              <w:t>Doctors Hosptial of Tattnall</w:t>
            </w:r>
          </w:p>
        </w:tc>
        <w:tc>
          <w:tcPr>
            <w:tcW w:w="3160" w:type="dxa"/>
            <w:vAlign w:val="bottom"/>
          </w:tcPr>
          <w:p>
            <w:pPr>
              <w:ind w:left="1680"/>
              <w:spacing w:after="0"/>
              <w:rPr>
                <w:sz w:val="20"/>
                <w:szCs w:val="20"/>
                <w:color w:val="auto"/>
              </w:rPr>
            </w:pPr>
            <w:r>
              <w:rPr>
                <w:rFonts w:ascii="Arial" w:cs="Arial" w:eastAsia="Arial" w:hAnsi="Arial"/>
                <w:sz w:val="18"/>
                <w:szCs w:val="18"/>
                <w:color w:val="auto"/>
              </w:rPr>
              <w:t>Dan Tanner</w:t>
            </w:r>
          </w:p>
        </w:tc>
        <w:tc>
          <w:tcPr>
            <w:tcW w:w="1840" w:type="dxa"/>
            <w:vAlign w:val="bottom"/>
          </w:tcPr>
          <w:p>
            <w:pPr>
              <w:ind w:left="220"/>
              <w:spacing w:after="0"/>
              <w:rPr>
                <w:sz w:val="20"/>
                <w:szCs w:val="20"/>
                <w:color w:val="auto"/>
              </w:rPr>
            </w:pPr>
            <w:r>
              <w:rPr>
                <w:rFonts w:ascii="Arial" w:cs="Arial" w:eastAsia="Arial" w:hAnsi="Arial"/>
                <w:sz w:val="18"/>
                <w:szCs w:val="18"/>
                <w:color w:val="auto"/>
              </w:rPr>
              <w:t>Reidsville</w:t>
            </w:r>
          </w:p>
        </w:tc>
        <w:tc>
          <w:tcPr>
            <w:tcW w:w="820" w:type="dxa"/>
            <w:vAlign w:val="bottom"/>
          </w:tcPr>
          <w:p>
            <w:pPr>
              <w:ind w:left="540"/>
              <w:spacing w:after="0"/>
              <w:rPr>
                <w:sz w:val="20"/>
                <w:szCs w:val="20"/>
                <w:color w:val="auto"/>
              </w:rPr>
            </w:pPr>
            <w:r>
              <w:rPr>
                <w:rFonts w:ascii="Arial" w:cs="Arial" w:eastAsia="Arial" w:hAnsi="Arial"/>
                <w:sz w:val="18"/>
                <w:szCs w:val="18"/>
                <w:color w:val="auto"/>
                <w:w w:val="99"/>
              </w:rPr>
              <w:t>GA</w:t>
            </w:r>
          </w:p>
        </w:tc>
      </w:t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400" w:type="dxa"/>
            <w:vAlign w:val="bottom"/>
          </w:tcPr>
          <w:p>
            <w:pPr>
              <w:ind w:left="240"/>
              <w:spacing w:after="0"/>
              <w:rPr>
                <w:sz w:val="20"/>
                <w:szCs w:val="20"/>
                <w:color w:val="auto"/>
              </w:rPr>
            </w:pPr>
            <w:r>
              <w:rPr>
                <w:rFonts w:ascii="Arial" w:cs="Arial" w:eastAsia="Arial" w:hAnsi="Arial"/>
                <w:sz w:val="18"/>
                <w:szCs w:val="18"/>
                <w:color w:val="auto"/>
              </w:rPr>
              <w:t>Doctors-Modesto</w:t>
            </w:r>
          </w:p>
        </w:tc>
        <w:tc>
          <w:tcPr>
            <w:tcW w:w="3160" w:type="dxa"/>
            <w:vAlign w:val="bottom"/>
          </w:tcPr>
          <w:p>
            <w:pPr>
              <w:ind w:left="1680"/>
              <w:spacing w:after="0"/>
              <w:rPr>
                <w:sz w:val="20"/>
                <w:szCs w:val="20"/>
                <w:color w:val="auto"/>
              </w:rPr>
            </w:pPr>
            <w:r>
              <w:rPr>
                <w:rFonts w:ascii="Arial" w:cs="Arial" w:eastAsia="Arial" w:hAnsi="Arial"/>
                <w:sz w:val="18"/>
                <w:szCs w:val="18"/>
                <w:color w:val="auto"/>
              </w:rPr>
              <w:t>Sami Nair</w:t>
            </w:r>
          </w:p>
        </w:tc>
        <w:tc>
          <w:tcPr>
            <w:tcW w:w="1840" w:type="dxa"/>
            <w:vAlign w:val="bottom"/>
          </w:tcPr>
          <w:p>
            <w:pPr>
              <w:ind w:left="220"/>
              <w:spacing w:after="0"/>
              <w:rPr>
                <w:sz w:val="20"/>
                <w:szCs w:val="20"/>
                <w:color w:val="auto"/>
              </w:rPr>
            </w:pPr>
            <w:r>
              <w:rPr>
                <w:rFonts w:ascii="Arial" w:cs="Arial" w:eastAsia="Arial" w:hAnsi="Arial"/>
                <w:sz w:val="18"/>
                <w:szCs w:val="18"/>
                <w:color w:val="auto"/>
              </w:rPr>
              <w:t>Modesto</w:t>
            </w:r>
          </w:p>
        </w:tc>
        <w:tc>
          <w:tcPr>
            <w:tcW w:w="820" w:type="dxa"/>
            <w:vAlign w:val="bottom"/>
          </w:tcPr>
          <w:p>
            <w:pPr>
              <w:ind w:left="540"/>
              <w:spacing w:after="0"/>
              <w:rPr>
                <w:sz w:val="20"/>
                <w:szCs w:val="20"/>
                <w:color w:val="auto"/>
              </w:rPr>
            </w:pPr>
            <w:r>
              <w:rPr>
                <w:rFonts w:ascii="Arial" w:cs="Arial" w:eastAsia="Arial" w:hAnsi="Arial"/>
                <w:sz w:val="18"/>
                <w:szCs w:val="18"/>
                <w:color w:val="auto"/>
              </w:rPr>
              <w:t>CA</w:t>
            </w:r>
          </w:p>
        </w:tc>
      </w:tr>
    </w:tbl>
    <w:p>
      <w:pPr>
        <w:sectPr>
          <w:pgSz w:w="11900" w:h="16838" w:orient="portrait"/>
          <w:cols w:equalWidth="0" w:num="1">
            <w:col w:w="11140"/>
          </w:cols>
          <w:pgMar w:left="240" w:top="279" w:right="519" w:bottom="1440" w:gutter="0" w:footer="0" w:header="0"/>
        </w:sectPr>
      </w:pPr>
    </w:p>
    <w:bookmarkStart w:id="339" w:name="page340"/>
    <w:bookmarkEnd w:id="33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600" w:type="dxa"/>
            <w:vAlign w:val="bottom"/>
          </w:tcPr>
          <w:p>
            <w:pPr>
              <w:ind w:left="240"/>
              <w:spacing w:after="0"/>
              <w:rPr>
                <w:sz w:val="20"/>
                <w:szCs w:val="20"/>
                <w:color w:val="auto"/>
              </w:rPr>
            </w:pPr>
            <w:r>
              <w:rPr>
                <w:rFonts w:ascii="Arial" w:cs="Arial" w:eastAsia="Arial" w:hAnsi="Arial"/>
                <w:sz w:val="18"/>
                <w:szCs w:val="18"/>
                <w:color w:val="auto"/>
              </w:rPr>
              <w:t>Dreyer AGBulatory Surg Ctr</w:t>
            </w:r>
          </w:p>
        </w:tc>
        <w:tc>
          <w:tcPr>
            <w:tcW w:w="3020" w:type="dxa"/>
            <w:vAlign w:val="bottom"/>
          </w:tcPr>
          <w:p>
            <w:pPr>
              <w:ind w:left="1480"/>
              <w:spacing w:after="0"/>
              <w:rPr>
                <w:sz w:val="20"/>
                <w:szCs w:val="20"/>
                <w:color w:val="auto"/>
              </w:rPr>
            </w:pPr>
            <w:r>
              <w:rPr>
                <w:rFonts w:ascii="Arial" w:cs="Arial" w:eastAsia="Arial" w:hAnsi="Arial"/>
                <w:sz w:val="18"/>
                <w:szCs w:val="18"/>
                <w:color w:val="auto"/>
              </w:rPr>
              <w:t>Cathy Woodworth</w:t>
            </w:r>
          </w:p>
        </w:tc>
        <w:tc>
          <w:tcPr>
            <w:tcW w:w="1840" w:type="dxa"/>
            <w:vAlign w:val="bottom"/>
          </w:tcPr>
          <w:p>
            <w:pPr>
              <w:ind w:left="160"/>
              <w:spacing w:after="0"/>
              <w:rPr>
                <w:sz w:val="20"/>
                <w:szCs w:val="20"/>
                <w:color w:val="auto"/>
              </w:rPr>
            </w:pPr>
            <w:r>
              <w:rPr>
                <w:rFonts w:ascii="Arial" w:cs="Arial" w:eastAsia="Arial" w:hAnsi="Arial"/>
                <w:sz w:val="18"/>
                <w:szCs w:val="18"/>
                <w:color w:val="auto"/>
              </w:rPr>
              <w:t>Aurora</w:t>
            </w:r>
          </w:p>
        </w:tc>
        <w:tc>
          <w:tcPr>
            <w:tcW w:w="760" w:type="dxa"/>
            <w:vAlign w:val="bottom"/>
          </w:tcPr>
          <w:p>
            <w:pPr>
              <w:ind w:left="480"/>
              <w:spacing w:after="0"/>
              <w:rPr>
                <w:sz w:val="20"/>
                <w:szCs w:val="20"/>
                <w:color w:val="auto"/>
              </w:rPr>
            </w:pPr>
            <w:r>
              <w:rPr>
                <w:rFonts w:ascii="Arial" w:cs="Arial" w:eastAsia="Arial" w:hAnsi="Arial"/>
                <w:sz w:val="18"/>
                <w:szCs w:val="18"/>
                <w:color w:val="auto"/>
              </w:rPr>
              <w:t>IL</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600" w:type="dxa"/>
            <w:vAlign w:val="bottom"/>
          </w:tcPr>
          <w:p>
            <w:pPr>
              <w:ind w:left="240"/>
              <w:spacing w:after="0"/>
              <w:rPr>
                <w:sz w:val="20"/>
                <w:szCs w:val="20"/>
                <w:color w:val="auto"/>
              </w:rPr>
            </w:pPr>
            <w:r>
              <w:rPr>
                <w:rFonts w:ascii="Arial" w:cs="Arial" w:eastAsia="Arial" w:hAnsi="Arial"/>
                <w:sz w:val="18"/>
                <w:szCs w:val="18"/>
                <w:color w:val="auto"/>
              </w:rPr>
              <w:t>Dry Creek Surgery</w:t>
            </w:r>
          </w:p>
        </w:tc>
        <w:tc>
          <w:tcPr>
            <w:tcW w:w="3020" w:type="dxa"/>
            <w:vAlign w:val="bottom"/>
          </w:tcPr>
          <w:p>
            <w:pPr>
              <w:ind w:left="1480"/>
              <w:spacing w:after="0"/>
              <w:rPr>
                <w:sz w:val="20"/>
                <w:szCs w:val="20"/>
                <w:color w:val="auto"/>
              </w:rPr>
            </w:pPr>
            <w:r>
              <w:rPr>
                <w:rFonts w:ascii="Arial" w:cs="Arial" w:eastAsia="Arial" w:hAnsi="Arial"/>
                <w:sz w:val="18"/>
                <w:szCs w:val="18"/>
                <w:color w:val="auto"/>
              </w:rPr>
              <w:t>Doug</w:t>
            </w:r>
          </w:p>
        </w:tc>
        <w:tc>
          <w:tcPr>
            <w:tcW w:w="1840" w:type="dxa"/>
            <w:vAlign w:val="bottom"/>
          </w:tcPr>
          <w:p>
            <w:pPr>
              <w:ind w:left="160"/>
              <w:spacing w:after="0"/>
              <w:rPr>
                <w:sz w:val="20"/>
                <w:szCs w:val="20"/>
                <w:color w:val="auto"/>
              </w:rPr>
            </w:pPr>
            <w:r>
              <w:rPr>
                <w:rFonts w:ascii="Arial" w:cs="Arial" w:eastAsia="Arial" w:hAnsi="Arial"/>
                <w:sz w:val="18"/>
                <w:szCs w:val="18"/>
                <w:color w:val="auto"/>
              </w:rPr>
              <w:t>Englewood</w:t>
            </w:r>
          </w:p>
        </w:tc>
        <w:tc>
          <w:tcPr>
            <w:tcW w:w="760" w:type="dxa"/>
            <w:vAlign w:val="bottom"/>
          </w:tcPr>
          <w:p>
            <w:pPr>
              <w:ind w:left="480"/>
              <w:spacing w:after="0"/>
              <w:rPr>
                <w:sz w:val="20"/>
                <w:szCs w:val="20"/>
                <w:color w:val="auto"/>
              </w:rPr>
            </w:pPr>
            <w:r>
              <w:rPr>
                <w:rFonts w:ascii="Arial" w:cs="Arial" w:eastAsia="Arial" w:hAnsi="Arial"/>
                <w:sz w:val="18"/>
                <w:szCs w:val="18"/>
                <w:color w:val="auto"/>
                <w:w w:val="96"/>
              </w:rPr>
              <w:t>CO</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600" w:type="dxa"/>
            <w:vAlign w:val="bottom"/>
          </w:tcPr>
          <w:p>
            <w:pPr>
              <w:ind w:left="240"/>
              <w:spacing w:after="0"/>
              <w:rPr>
                <w:sz w:val="20"/>
                <w:szCs w:val="20"/>
                <w:color w:val="auto"/>
              </w:rPr>
            </w:pPr>
            <w:r>
              <w:rPr>
                <w:rFonts w:ascii="Arial" w:cs="Arial" w:eastAsia="Arial" w:hAnsi="Arial"/>
                <w:sz w:val="18"/>
                <w:szCs w:val="18"/>
                <w:color w:val="auto"/>
              </w:rPr>
              <w:t>East GA Reg Med Ctr</w:t>
            </w:r>
          </w:p>
        </w:tc>
        <w:tc>
          <w:tcPr>
            <w:tcW w:w="3020" w:type="dxa"/>
            <w:vAlign w:val="bottom"/>
          </w:tcPr>
          <w:p>
            <w:pPr>
              <w:ind w:left="1480"/>
              <w:spacing w:after="0"/>
              <w:rPr>
                <w:sz w:val="20"/>
                <w:szCs w:val="20"/>
                <w:color w:val="auto"/>
              </w:rPr>
            </w:pPr>
            <w:r>
              <w:rPr>
                <w:rFonts w:ascii="Arial" w:cs="Arial" w:eastAsia="Arial" w:hAnsi="Arial"/>
                <w:sz w:val="18"/>
                <w:szCs w:val="18"/>
                <w:color w:val="auto"/>
              </w:rPr>
              <w:t>Linda Williams</w:t>
            </w:r>
          </w:p>
        </w:tc>
        <w:tc>
          <w:tcPr>
            <w:tcW w:w="1840" w:type="dxa"/>
            <w:vAlign w:val="bottom"/>
          </w:tcPr>
          <w:p>
            <w:pPr>
              <w:ind w:left="160"/>
              <w:spacing w:after="0"/>
              <w:rPr>
                <w:sz w:val="20"/>
                <w:szCs w:val="20"/>
                <w:color w:val="auto"/>
              </w:rPr>
            </w:pPr>
            <w:r>
              <w:rPr>
                <w:rFonts w:ascii="Arial" w:cs="Arial" w:eastAsia="Arial" w:hAnsi="Arial"/>
                <w:sz w:val="18"/>
                <w:szCs w:val="18"/>
                <w:color w:val="auto"/>
              </w:rPr>
              <w:t>Statesboro</w:t>
            </w:r>
          </w:p>
        </w:tc>
        <w:tc>
          <w:tcPr>
            <w:tcW w:w="760" w:type="dxa"/>
            <w:vAlign w:val="bottom"/>
          </w:tcPr>
          <w:p>
            <w:pPr>
              <w:ind w:left="480"/>
              <w:spacing w:after="0"/>
              <w:rPr>
                <w:sz w:val="20"/>
                <w:szCs w:val="20"/>
                <w:color w:val="auto"/>
              </w:rPr>
            </w:pPr>
            <w:r>
              <w:rPr>
                <w:rFonts w:ascii="Arial" w:cs="Arial" w:eastAsia="Arial" w:hAnsi="Arial"/>
                <w:sz w:val="18"/>
                <w:szCs w:val="18"/>
                <w:color w:val="auto"/>
                <w:w w:val="99"/>
              </w:rPr>
              <w:t>GA</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600" w:type="dxa"/>
            <w:vAlign w:val="bottom"/>
          </w:tcPr>
          <w:p>
            <w:pPr>
              <w:ind w:left="240"/>
              <w:spacing w:after="0"/>
              <w:rPr>
                <w:sz w:val="20"/>
                <w:szCs w:val="20"/>
                <w:color w:val="auto"/>
              </w:rPr>
            </w:pPr>
            <w:r>
              <w:rPr>
                <w:rFonts w:ascii="Arial" w:cs="Arial" w:eastAsia="Arial" w:hAnsi="Arial"/>
                <w:sz w:val="18"/>
                <w:szCs w:val="18"/>
                <w:color w:val="auto"/>
              </w:rPr>
              <w:t>Eden Hospital</w:t>
            </w:r>
          </w:p>
        </w:tc>
        <w:tc>
          <w:tcPr>
            <w:tcW w:w="3020" w:type="dxa"/>
            <w:vAlign w:val="bottom"/>
          </w:tcPr>
          <w:p>
            <w:pPr>
              <w:ind w:left="1480"/>
              <w:spacing w:after="0"/>
              <w:rPr>
                <w:sz w:val="20"/>
                <w:szCs w:val="20"/>
                <w:color w:val="auto"/>
              </w:rPr>
            </w:pPr>
            <w:r>
              <w:rPr>
                <w:rFonts w:ascii="Arial" w:cs="Arial" w:eastAsia="Arial" w:hAnsi="Arial"/>
                <w:sz w:val="18"/>
                <w:szCs w:val="18"/>
                <w:color w:val="auto"/>
              </w:rPr>
              <w:t>Hazel Fugett</w:t>
            </w:r>
          </w:p>
        </w:tc>
        <w:tc>
          <w:tcPr>
            <w:tcW w:w="1840" w:type="dxa"/>
            <w:vAlign w:val="bottom"/>
          </w:tcPr>
          <w:p>
            <w:pPr>
              <w:ind w:left="160"/>
              <w:spacing w:after="0"/>
              <w:rPr>
                <w:sz w:val="20"/>
                <w:szCs w:val="20"/>
                <w:color w:val="auto"/>
              </w:rPr>
            </w:pPr>
            <w:r>
              <w:rPr>
                <w:rFonts w:ascii="Arial" w:cs="Arial" w:eastAsia="Arial" w:hAnsi="Arial"/>
                <w:sz w:val="18"/>
                <w:szCs w:val="18"/>
                <w:color w:val="auto"/>
              </w:rPr>
              <w:t>Castro Valley</w:t>
            </w:r>
          </w:p>
        </w:tc>
        <w:tc>
          <w:tcPr>
            <w:tcW w:w="760" w:type="dxa"/>
            <w:vAlign w:val="bottom"/>
          </w:tcPr>
          <w:p>
            <w:pPr>
              <w:ind w:left="480"/>
              <w:spacing w:after="0"/>
              <w:rPr>
                <w:sz w:val="20"/>
                <w:szCs w:val="20"/>
                <w:color w:val="auto"/>
              </w:rPr>
            </w:pPr>
            <w:r>
              <w:rPr>
                <w:rFonts w:ascii="Arial" w:cs="Arial" w:eastAsia="Arial" w:hAnsi="Arial"/>
                <w:sz w:val="18"/>
                <w:szCs w:val="18"/>
                <w:color w:val="auto"/>
              </w:rPr>
              <w:t>CA</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600" w:type="dxa"/>
            <w:vAlign w:val="bottom"/>
          </w:tcPr>
          <w:p>
            <w:pPr>
              <w:ind w:left="240"/>
              <w:spacing w:after="0"/>
              <w:rPr>
                <w:sz w:val="20"/>
                <w:szCs w:val="20"/>
                <w:color w:val="auto"/>
              </w:rPr>
            </w:pPr>
            <w:r>
              <w:rPr>
                <w:rFonts w:ascii="Arial" w:cs="Arial" w:eastAsia="Arial" w:hAnsi="Arial"/>
                <w:sz w:val="18"/>
                <w:szCs w:val="18"/>
                <w:color w:val="auto"/>
              </w:rPr>
              <w:t>Edmond Reg Med Ctr</w:t>
            </w:r>
          </w:p>
        </w:tc>
        <w:tc>
          <w:tcPr>
            <w:tcW w:w="3020" w:type="dxa"/>
            <w:vAlign w:val="bottom"/>
          </w:tcPr>
          <w:p>
            <w:pPr>
              <w:ind w:left="1480"/>
              <w:spacing w:after="0"/>
              <w:rPr>
                <w:sz w:val="20"/>
                <w:szCs w:val="20"/>
                <w:color w:val="auto"/>
              </w:rPr>
            </w:pPr>
            <w:r>
              <w:rPr>
                <w:rFonts w:ascii="Arial" w:cs="Arial" w:eastAsia="Arial" w:hAnsi="Arial"/>
                <w:sz w:val="18"/>
                <w:szCs w:val="18"/>
                <w:color w:val="auto"/>
              </w:rPr>
              <w:t>Beverly McLemore</w:t>
            </w:r>
          </w:p>
        </w:tc>
        <w:tc>
          <w:tcPr>
            <w:tcW w:w="1840" w:type="dxa"/>
            <w:vAlign w:val="bottom"/>
          </w:tcPr>
          <w:p>
            <w:pPr>
              <w:ind w:left="160"/>
              <w:spacing w:after="0"/>
              <w:rPr>
                <w:sz w:val="20"/>
                <w:szCs w:val="20"/>
                <w:color w:val="auto"/>
              </w:rPr>
            </w:pPr>
            <w:r>
              <w:rPr>
                <w:rFonts w:ascii="Arial" w:cs="Arial" w:eastAsia="Arial" w:hAnsi="Arial"/>
                <w:sz w:val="18"/>
                <w:szCs w:val="18"/>
                <w:color w:val="auto"/>
              </w:rPr>
              <w:t>Edmond</w:t>
            </w:r>
          </w:p>
        </w:tc>
        <w:tc>
          <w:tcPr>
            <w:tcW w:w="760" w:type="dxa"/>
            <w:vAlign w:val="bottom"/>
          </w:tcPr>
          <w:p>
            <w:pPr>
              <w:ind w:left="480"/>
              <w:spacing w:after="0"/>
              <w:rPr>
                <w:sz w:val="20"/>
                <w:szCs w:val="20"/>
                <w:color w:val="auto"/>
              </w:rPr>
            </w:pPr>
            <w:r>
              <w:rPr>
                <w:rFonts w:ascii="Arial" w:cs="Arial" w:eastAsia="Arial" w:hAnsi="Arial"/>
                <w:sz w:val="18"/>
                <w:szCs w:val="18"/>
                <w:color w:val="auto"/>
                <w:w w:val="99"/>
              </w:rPr>
              <w:t>OK</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600" w:type="dxa"/>
            <w:vAlign w:val="bottom"/>
          </w:tcPr>
          <w:p>
            <w:pPr>
              <w:ind w:left="240"/>
              <w:spacing w:after="0"/>
              <w:rPr>
                <w:sz w:val="20"/>
                <w:szCs w:val="20"/>
                <w:color w:val="auto"/>
              </w:rPr>
            </w:pPr>
            <w:r>
              <w:rPr>
                <w:rFonts w:ascii="Arial" w:cs="Arial" w:eastAsia="Arial" w:hAnsi="Arial"/>
                <w:sz w:val="18"/>
                <w:szCs w:val="18"/>
                <w:color w:val="auto"/>
              </w:rPr>
              <w:t>Edward White Hospital</w:t>
            </w:r>
          </w:p>
        </w:tc>
        <w:tc>
          <w:tcPr>
            <w:tcW w:w="3020" w:type="dxa"/>
            <w:vAlign w:val="bottom"/>
          </w:tcPr>
          <w:p>
            <w:pPr>
              <w:ind w:left="1480"/>
              <w:spacing w:after="0"/>
              <w:rPr>
                <w:sz w:val="20"/>
                <w:szCs w:val="20"/>
                <w:color w:val="auto"/>
              </w:rPr>
            </w:pPr>
            <w:r>
              <w:rPr>
                <w:rFonts w:ascii="Arial" w:cs="Arial" w:eastAsia="Arial" w:hAnsi="Arial"/>
                <w:sz w:val="18"/>
                <w:szCs w:val="18"/>
                <w:color w:val="auto"/>
              </w:rPr>
              <w:t>Judith Mitchell</w:t>
            </w:r>
          </w:p>
        </w:tc>
        <w:tc>
          <w:tcPr>
            <w:tcW w:w="1840" w:type="dxa"/>
            <w:vAlign w:val="bottom"/>
          </w:tcPr>
          <w:p>
            <w:pPr>
              <w:ind w:left="160"/>
              <w:spacing w:after="0"/>
              <w:rPr>
                <w:sz w:val="20"/>
                <w:szCs w:val="20"/>
                <w:color w:val="auto"/>
              </w:rPr>
            </w:pPr>
            <w:r>
              <w:rPr>
                <w:rFonts w:ascii="Arial" w:cs="Arial" w:eastAsia="Arial" w:hAnsi="Arial"/>
                <w:sz w:val="18"/>
                <w:szCs w:val="18"/>
                <w:color w:val="auto"/>
              </w:rPr>
              <w:t>St. Petersburg</w:t>
            </w:r>
          </w:p>
        </w:tc>
        <w:tc>
          <w:tcPr>
            <w:tcW w:w="760" w:type="dxa"/>
            <w:vAlign w:val="bottom"/>
          </w:tcPr>
          <w:p>
            <w:pPr>
              <w:ind w:left="480"/>
              <w:spacing w:after="0"/>
              <w:rPr>
                <w:sz w:val="20"/>
                <w:szCs w:val="20"/>
                <w:color w:val="auto"/>
              </w:rPr>
            </w:pPr>
            <w:r>
              <w:rPr>
                <w:rFonts w:ascii="Arial" w:cs="Arial" w:eastAsia="Arial" w:hAnsi="Arial"/>
                <w:sz w:val="18"/>
                <w:szCs w:val="18"/>
                <w:color w:val="auto"/>
              </w:rPr>
              <w:t>FL</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600" w:type="dxa"/>
            <w:vAlign w:val="bottom"/>
          </w:tcPr>
          <w:p>
            <w:pPr>
              <w:ind w:left="240"/>
              <w:spacing w:after="0"/>
              <w:rPr>
                <w:sz w:val="20"/>
                <w:szCs w:val="20"/>
                <w:color w:val="auto"/>
              </w:rPr>
            </w:pPr>
            <w:r>
              <w:rPr>
                <w:rFonts w:ascii="Arial" w:cs="Arial" w:eastAsia="Arial" w:hAnsi="Arial"/>
                <w:sz w:val="18"/>
                <w:szCs w:val="18"/>
                <w:color w:val="auto"/>
              </w:rPr>
              <w:t>Eisenhower Medical Center</w:t>
            </w:r>
          </w:p>
        </w:tc>
        <w:tc>
          <w:tcPr>
            <w:tcW w:w="3020" w:type="dxa"/>
            <w:vAlign w:val="bottom"/>
          </w:tcPr>
          <w:p>
            <w:pPr>
              <w:ind w:left="1480"/>
              <w:spacing w:after="0"/>
              <w:rPr>
                <w:sz w:val="20"/>
                <w:szCs w:val="20"/>
                <w:color w:val="auto"/>
              </w:rPr>
            </w:pPr>
            <w:r>
              <w:rPr>
                <w:rFonts w:ascii="Arial" w:cs="Arial" w:eastAsia="Arial" w:hAnsi="Arial"/>
                <w:sz w:val="18"/>
                <w:szCs w:val="18"/>
                <w:color w:val="auto"/>
              </w:rPr>
              <w:t>Carole Hagenow</w:t>
            </w:r>
          </w:p>
        </w:tc>
        <w:tc>
          <w:tcPr>
            <w:tcW w:w="1840" w:type="dxa"/>
            <w:vAlign w:val="bottom"/>
          </w:tcPr>
          <w:p>
            <w:pPr>
              <w:ind w:left="160"/>
              <w:spacing w:after="0"/>
              <w:rPr>
                <w:sz w:val="20"/>
                <w:szCs w:val="20"/>
                <w:color w:val="auto"/>
              </w:rPr>
            </w:pPr>
            <w:r>
              <w:rPr>
                <w:rFonts w:ascii="Arial" w:cs="Arial" w:eastAsia="Arial" w:hAnsi="Arial"/>
                <w:sz w:val="18"/>
                <w:szCs w:val="18"/>
                <w:color w:val="auto"/>
              </w:rPr>
              <w:t>RanGB Mirage</w:t>
            </w:r>
          </w:p>
        </w:tc>
        <w:tc>
          <w:tcPr>
            <w:tcW w:w="760" w:type="dxa"/>
            <w:vAlign w:val="bottom"/>
          </w:tcPr>
          <w:p>
            <w:pPr>
              <w:ind w:left="480"/>
              <w:spacing w:after="0"/>
              <w:rPr>
                <w:sz w:val="20"/>
                <w:szCs w:val="20"/>
                <w:color w:val="auto"/>
              </w:rPr>
            </w:pPr>
            <w:r>
              <w:rPr>
                <w:rFonts w:ascii="Arial" w:cs="Arial" w:eastAsia="Arial" w:hAnsi="Arial"/>
                <w:sz w:val="18"/>
                <w:szCs w:val="18"/>
                <w:color w:val="auto"/>
              </w:rPr>
              <w:t>CA</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600" w:type="dxa"/>
            <w:vAlign w:val="bottom"/>
          </w:tcPr>
          <w:p>
            <w:pPr>
              <w:ind w:left="240"/>
              <w:spacing w:after="0"/>
              <w:rPr>
                <w:sz w:val="20"/>
                <w:szCs w:val="20"/>
                <w:color w:val="auto"/>
              </w:rPr>
            </w:pPr>
            <w:r>
              <w:rPr>
                <w:rFonts w:ascii="Arial" w:cs="Arial" w:eastAsia="Arial" w:hAnsi="Arial"/>
                <w:sz w:val="18"/>
                <w:szCs w:val="18"/>
                <w:color w:val="auto"/>
              </w:rPr>
              <w:t>Emanuel Medical Center</w:t>
            </w:r>
          </w:p>
        </w:tc>
        <w:tc>
          <w:tcPr>
            <w:tcW w:w="3020" w:type="dxa"/>
            <w:vAlign w:val="bottom"/>
          </w:tcPr>
          <w:p>
            <w:pPr>
              <w:ind w:left="1480"/>
              <w:spacing w:after="0"/>
              <w:rPr>
                <w:sz w:val="20"/>
                <w:szCs w:val="20"/>
                <w:color w:val="auto"/>
              </w:rPr>
            </w:pPr>
            <w:r>
              <w:rPr>
                <w:rFonts w:ascii="Arial" w:cs="Arial" w:eastAsia="Arial" w:hAnsi="Arial"/>
                <w:sz w:val="18"/>
                <w:szCs w:val="18"/>
                <w:color w:val="auto"/>
                <w:w w:val="99"/>
              </w:rPr>
              <w:t>Joe OsteCJ SEund</w:t>
            </w:r>
          </w:p>
        </w:tc>
        <w:tc>
          <w:tcPr>
            <w:tcW w:w="1840" w:type="dxa"/>
            <w:vAlign w:val="bottom"/>
          </w:tcPr>
          <w:p>
            <w:pPr>
              <w:ind w:left="160"/>
              <w:spacing w:after="0"/>
              <w:rPr>
                <w:sz w:val="20"/>
                <w:szCs w:val="20"/>
                <w:color w:val="auto"/>
              </w:rPr>
            </w:pPr>
            <w:r>
              <w:rPr>
                <w:rFonts w:ascii="Arial" w:cs="Arial" w:eastAsia="Arial" w:hAnsi="Arial"/>
                <w:sz w:val="18"/>
                <w:szCs w:val="18"/>
                <w:color w:val="auto"/>
              </w:rPr>
              <w:t>TuCJ SEock</w:t>
            </w:r>
          </w:p>
        </w:tc>
        <w:tc>
          <w:tcPr>
            <w:tcW w:w="760" w:type="dxa"/>
            <w:vAlign w:val="bottom"/>
          </w:tcPr>
          <w:p>
            <w:pPr>
              <w:ind w:left="480"/>
              <w:spacing w:after="0"/>
              <w:rPr>
                <w:sz w:val="20"/>
                <w:szCs w:val="20"/>
                <w:color w:val="auto"/>
              </w:rPr>
            </w:pPr>
            <w:r>
              <w:rPr>
                <w:rFonts w:ascii="Arial" w:cs="Arial" w:eastAsia="Arial" w:hAnsi="Arial"/>
                <w:sz w:val="18"/>
                <w:szCs w:val="18"/>
                <w:color w:val="auto"/>
              </w:rPr>
              <w:t>CA</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600" w:type="dxa"/>
            <w:vAlign w:val="bottom"/>
          </w:tcPr>
          <w:p>
            <w:pPr>
              <w:ind w:left="240"/>
              <w:spacing w:after="0"/>
              <w:rPr>
                <w:sz w:val="20"/>
                <w:szCs w:val="20"/>
                <w:color w:val="auto"/>
              </w:rPr>
            </w:pPr>
            <w:r>
              <w:rPr>
                <w:rFonts w:ascii="Arial" w:cs="Arial" w:eastAsia="Arial" w:hAnsi="Arial"/>
                <w:sz w:val="18"/>
                <w:szCs w:val="18"/>
                <w:color w:val="auto"/>
              </w:rPr>
              <w:t>Emerson Hospital</w:t>
            </w:r>
          </w:p>
        </w:tc>
        <w:tc>
          <w:tcPr>
            <w:tcW w:w="30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600" w:type="dxa"/>
            <w:vAlign w:val="bottom"/>
          </w:tcPr>
          <w:p>
            <w:pPr>
              <w:ind w:left="240"/>
              <w:spacing w:after="0"/>
              <w:rPr>
                <w:sz w:val="20"/>
                <w:szCs w:val="20"/>
                <w:color w:val="auto"/>
              </w:rPr>
            </w:pPr>
            <w:r>
              <w:rPr>
                <w:rFonts w:ascii="Arial" w:cs="Arial" w:eastAsia="Arial" w:hAnsi="Arial"/>
                <w:sz w:val="18"/>
                <w:szCs w:val="18"/>
                <w:color w:val="auto"/>
              </w:rPr>
              <w:t>Fellowship Spine Surgery</w:t>
            </w:r>
          </w:p>
        </w:tc>
        <w:tc>
          <w:tcPr>
            <w:tcW w:w="3020" w:type="dxa"/>
            <w:vAlign w:val="bottom"/>
          </w:tcPr>
          <w:p>
            <w:pPr>
              <w:ind w:left="1480"/>
              <w:spacing w:after="0"/>
              <w:rPr>
                <w:sz w:val="20"/>
                <w:szCs w:val="20"/>
                <w:color w:val="auto"/>
              </w:rPr>
            </w:pPr>
            <w:r>
              <w:rPr>
                <w:rFonts w:ascii="Arial" w:cs="Arial" w:eastAsia="Arial" w:hAnsi="Arial"/>
                <w:sz w:val="18"/>
                <w:szCs w:val="18"/>
                <w:color w:val="auto"/>
              </w:rPr>
              <w:t>Deb Schlesinger</w:t>
            </w:r>
          </w:p>
        </w:tc>
        <w:tc>
          <w:tcPr>
            <w:tcW w:w="1840" w:type="dxa"/>
            <w:vAlign w:val="bottom"/>
          </w:tcPr>
          <w:p>
            <w:pPr>
              <w:ind w:left="160"/>
              <w:spacing w:after="0"/>
              <w:rPr>
                <w:sz w:val="20"/>
                <w:szCs w:val="20"/>
                <w:color w:val="auto"/>
              </w:rPr>
            </w:pPr>
            <w:r>
              <w:rPr>
                <w:rFonts w:ascii="Arial" w:cs="Arial" w:eastAsia="Arial" w:hAnsi="Arial"/>
                <w:sz w:val="18"/>
                <w:szCs w:val="18"/>
                <w:color w:val="auto"/>
              </w:rPr>
              <w:t>Mt. Laurel</w:t>
            </w:r>
          </w:p>
        </w:tc>
        <w:tc>
          <w:tcPr>
            <w:tcW w:w="760" w:type="dxa"/>
            <w:vAlign w:val="bottom"/>
          </w:tcPr>
          <w:p>
            <w:pPr>
              <w:ind w:left="480"/>
              <w:spacing w:after="0"/>
              <w:rPr>
                <w:sz w:val="20"/>
                <w:szCs w:val="20"/>
                <w:color w:val="auto"/>
              </w:rPr>
            </w:pPr>
            <w:r>
              <w:rPr>
                <w:rFonts w:ascii="Arial" w:cs="Arial" w:eastAsia="Arial" w:hAnsi="Arial"/>
                <w:sz w:val="18"/>
                <w:szCs w:val="18"/>
                <w:color w:val="auto"/>
              </w:rPr>
              <w:t>NJ</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600" w:type="dxa"/>
            <w:vAlign w:val="bottom"/>
          </w:tcPr>
          <w:p>
            <w:pPr>
              <w:ind w:left="240"/>
              <w:spacing w:after="0"/>
              <w:rPr>
                <w:sz w:val="20"/>
                <w:szCs w:val="20"/>
                <w:color w:val="auto"/>
              </w:rPr>
            </w:pPr>
            <w:r>
              <w:rPr>
                <w:rFonts w:ascii="Arial" w:cs="Arial" w:eastAsia="Arial" w:hAnsi="Arial"/>
                <w:sz w:val="18"/>
                <w:szCs w:val="18"/>
                <w:color w:val="auto"/>
              </w:rPr>
              <w:t>Florida Hospital Waterman</w:t>
            </w:r>
          </w:p>
        </w:tc>
        <w:tc>
          <w:tcPr>
            <w:tcW w:w="3020" w:type="dxa"/>
            <w:vAlign w:val="bottom"/>
          </w:tcPr>
          <w:p>
            <w:pPr>
              <w:ind w:left="1480"/>
              <w:spacing w:after="0"/>
              <w:rPr>
                <w:sz w:val="20"/>
                <w:szCs w:val="20"/>
                <w:color w:val="auto"/>
              </w:rPr>
            </w:pPr>
            <w:r>
              <w:rPr>
                <w:rFonts w:ascii="Arial" w:cs="Arial" w:eastAsia="Arial" w:hAnsi="Arial"/>
                <w:sz w:val="18"/>
                <w:szCs w:val="18"/>
                <w:color w:val="auto"/>
              </w:rPr>
              <w:t>Jennifer Wetz</w:t>
            </w:r>
          </w:p>
        </w:tc>
        <w:tc>
          <w:tcPr>
            <w:tcW w:w="1840" w:type="dxa"/>
            <w:vAlign w:val="bottom"/>
          </w:tcPr>
          <w:p>
            <w:pPr>
              <w:ind w:left="160"/>
              <w:spacing w:after="0"/>
              <w:rPr>
                <w:sz w:val="20"/>
                <w:szCs w:val="20"/>
                <w:color w:val="auto"/>
              </w:rPr>
            </w:pPr>
            <w:r>
              <w:rPr>
                <w:rFonts w:ascii="Arial" w:cs="Arial" w:eastAsia="Arial" w:hAnsi="Arial"/>
                <w:sz w:val="18"/>
                <w:szCs w:val="18"/>
                <w:color w:val="auto"/>
              </w:rPr>
              <w:t>Eustis</w:t>
            </w:r>
          </w:p>
        </w:tc>
        <w:tc>
          <w:tcPr>
            <w:tcW w:w="760" w:type="dxa"/>
            <w:vAlign w:val="bottom"/>
          </w:tcPr>
          <w:p>
            <w:pPr>
              <w:ind w:left="480"/>
              <w:spacing w:after="0"/>
              <w:rPr>
                <w:sz w:val="20"/>
                <w:szCs w:val="20"/>
                <w:color w:val="auto"/>
              </w:rPr>
            </w:pPr>
            <w:r>
              <w:rPr>
                <w:rFonts w:ascii="Arial" w:cs="Arial" w:eastAsia="Arial" w:hAnsi="Arial"/>
                <w:sz w:val="18"/>
                <w:szCs w:val="18"/>
                <w:color w:val="auto"/>
              </w:rPr>
              <w:t>FL</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600" w:type="dxa"/>
            <w:vAlign w:val="bottom"/>
          </w:tcPr>
          <w:p>
            <w:pPr>
              <w:ind w:left="240"/>
              <w:spacing w:after="0"/>
              <w:rPr>
                <w:sz w:val="20"/>
                <w:szCs w:val="20"/>
                <w:color w:val="auto"/>
              </w:rPr>
            </w:pPr>
            <w:r>
              <w:rPr>
                <w:rFonts w:ascii="Arial" w:cs="Arial" w:eastAsia="Arial" w:hAnsi="Arial"/>
                <w:sz w:val="18"/>
                <w:szCs w:val="18"/>
                <w:color w:val="auto"/>
              </w:rPr>
              <w:t>Forsyth Memorial Hospital</w:t>
            </w:r>
          </w:p>
        </w:tc>
        <w:tc>
          <w:tcPr>
            <w:tcW w:w="3020" w:type="dxa"/>
            <w:vAlign w:val="bottom"/>
          </w:tcPr>
          <w:p>
            <w:pPr>
              <w:ind w:left="1480"/>
              <w:spacing w:after="0"/>
              <w:rPr>
                <w:sz w:val="20"/>
                <w:szCs w:val="20"/>
                <w:color w:val="auto"/>
              </w:rPr>
            </w:pPr>
            <w:r>
              <w:rPr>
                <w:rFonts w:ascii="Arial" w:cs="Arial" w:eastAsia="Arial" w:hAnsi="Arial"/>
                <w:sz w:val="18"/>
                <w:szCs w:val="18"/>
                <w:color w:val="auto"/>
              </w:rPr>
              <w:t>Gerry Reid</w:t>
            </w:r>
          </w:p>
        </w:tc>
        <w:tc>
          <w:tcPr>
            <w:tcW w:w="1840" w:type="dxa"/>
            <w:vAlign w:val="bottom"/>
          </w:tcPr>
          <w:p>
            <w:pPr>
              <w:ind w:left="160"/>
              <w:spacing w:after="0"/>
              <w:rPr>
                <w:sz w:val="20"/>
                <w:szCs w:val="20"/>
                <w:color w:val="auto"/>
              </w:rPr>
            </w:pPr>
            <w:r>
              <w:rPr>
                <w:rFonts w:ascii="Arial" w:cs="Arial" w:eastAsia="Arial" w:hAnsi="Arial"/>
                <w:sz w:val="18"/>
                <w:szCs w:val="18"/>
                <w:color w:val="auto"/>
              </w:rPr>
              <w:t>Winstom Salem</w:t>
            </w:r>
          </w:p>
        </w:tc>
        <w:tc>
          <w:tcPr>
            <w:tcW w:w="760" w:type="dxa"/>
            <w:vAlign w:val="bottom"/>
          </w:tcPr>
          <w:p>
            <w:pPr>
              <w:ind w:left="480"/>
              <w:spacing w:after="0"/>
              <w:rPr>
                <w:sz w:val="20"/>
                <w:szCs w:val="20"/>
                <w:color w:val="auto"/>
              </w:rPr>
            </w:pPr>
            <w:r>
              <w:rPr>
                <w:rFonts w:ascii="Arial" w:cs="Arial" w:eastAsia="Arial" w:hAnsi="Arial"/>
                <w:sz w:val="18"/>
                <w:szCs w:val="18"/>
                <w:color w:val="auto"/>
                <w:w w:val="99"/>
              </w:rPr>
              <w:t>NC</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600" w:type="dxa"/>
            <w:vAlign w:val="bottom"/>
          </w:tcPr>
          <w:p>
            <w:pPr>
              <w:ind w:left="240"/>
              <w:spacing w:after="0"/>
              <w:rPr>
                <w:sz w:val="20"/>
                <w:szCs w:val="20"/>
                <w:color w:val="auto"/>
              </w:rPr>
            </w:pPr>
            <w:r>
              <w:rPr>
                <w:rFonts w:ascii="Arial" w:cs="Arial" w:eastAsia="Arial" w:hAnsi="Arial"/>
                <w:sz w:val="18"/>
                <w:szCs w:val="18"/>
                <w:color w:val="auto"/>
              </w:rPr>
              <w:t>Fountain Valley Regional</w:t>
            </w:r>
          </w:p>
        </w:tc>
        <w:tc>
          <w:tcPr>
            <w:tcW w:w="3020" w:type="dxa"/>
            <w:vAlign w:val="bottom"/>
          </w:tcPr>
          <w:p>
            <w:pPr>
              <w:ind w:left="1480"/>
              <w:spacing w:after="0"/>
              <w:rPr>
                <w:sz w:val="20"/>
                <w:szCs w:val="20"/>
                <w:color w:val="auto"/>
              </w:rPr>
            </w:pPr>
            <w:r>
              <w:rPr>
                <w:rFonts w:ascii="Arial" w:cs="Arial" w:eastAsia="Arial" w:hAnsi="Arial"/>
                <w:sz w:val="18"/>
                <w:szCs w:val="18"/>
                <w:color w:val="auto"/>
              </w:rPr>
              <w:t>Tito</w:t>
            </w:r>
          </w:p>
        </w:tc>
        <w:tc>
          <w:tcPr>
            <w:tcW w:w="1840" w:type="dxa"/>
            <w:vAlign w:val="bottom"/>
          </w:tcPr>
          <w:p>
            <w:pPr>
              <w:ind w:left="160"/>
              <w:spacing w:after="0"/>
              <w:rPr>
                <w:sz w:val="20"/>
                <w:szCs w:val="20"/>
                <w:color w:val="auto"/>
              </w:rPr>
            </w:pPr>
            <w:r>
              <w:rPr>
                <w:rFonts w:ascii="Arial" w:cs="Arial" w:eastAsia="Arial" w:hAnsi="Arial"/>
                <w:sz w:val="18"/>
                <w:szCs w:val="18"/>
                <w:color w:val="auto"/>
              </w:rPr>
              <w:t>Fountain Valley</w:t>
            </w:r>
          </w:p>
        </w:tc>
        <w:tc>
          <w:tcPr>
            <w:tcW w:w="760" w:type="dxa"/>
            <w:vAlign w:val="bottom"/>
          </w:tcPr>
          <w:p>
            <w:pPr>
              <w:ind w:left="480"/>
              <w:spacing w:after="0"/>
              <w:rPr>
                <w:sz w:val="20"/>
                <w:szCs w:val="20"/>
                <w:color w:val="auto"/>
              </w:rPr>
            </w:pPr>
            <w:r>
              <w:rPr>
                <w:rFonts w:ascii="Arial" w:cs="Arial" w:eastAsia="Arial" w:hAnsi="Arial"/>
                <w:sz w:val="18"/>
                <w:szCs w:val="18"/>
                <w:color w:val="auto"/>
              </w:rPr>
              <w:t>CA</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600" w:type="dxa"/>
            <w:vAlign w:val="bottom"/>
          </w:tcPr>
          <w:p>
            <w:pPr>
              <w:ind w:left="240"/>
              <w:spacing w:after="0"/>
              <w:rPr>
                <w:sz w:val="20"/>
                <w:szCs w:val="20"/>
                <w:color w:val="auto"/>
              </w:rPr>
            </w:pPr>
            <w:r>
              <w:rPr>
                <w:rFonts w:ascii="Arial" w:cs="Arial" w:eastAsia="Arial" w:hAnsi="Arial"/>
                <w:sz w:val="18"/>
                <w:szCs w:val="18"/>
                <w:color w:val="auto"/>
              </w:rPr>
              <w:t>Franklin Square Hospital</w:t>
            </w:r>
          </w:p>
        </w:tc>
        <w:tc>
          <w:tcPr>
            <w:tcW w:w="3020" w:type="dxa"/>
            <w:vAlign w:val="bottom"/>
          </w:tcPr>
          <w:p>
            <w:pPr>
              <w:ind w:left="1480"/>
              <w:spacing w:after="0"/>
              <w:rPr>
                <w:sz w:val="20"/>
                <w:szCs w:val="20"/>
                <w:color w:val="auto"/>
              </w:rPr>
            </w:pPr>
            <w:r>
              <w:rPr>
                <w:rFonts w:ascii="Arial" w:cs="Arial" w:eastAsia="Arial" w:hAnsi="Arial"/>
                <w:sz w:val="18"/>
                <w:szCs w:val="18"/>
                <w:color w:val="auto"/>
              </w:rPr>
              <w:t>Kenneth W.</w:t>
            </w:r>
          </w:p>
        </w:tc>
        <w:tc>
          <w:tcPr>
            <w:tcW w:w="1840" w:type="dxa"/>
            <w:vAlign w:val="bottom"/>
          </w:tcPr>
          <w:p>
            <w:pPr>
              <w:ind w:left="160"/>
              <w:spacing w:after="0"/>
              <w:rPr>
                <w:sz w:val="20"/>
                <w:szCs w:val="20"/>
                <w:color w:val="auto"/>
              </w:rPr>
            </w:pPr>
            <w:r>
              <w:rPr>
                <w:rFonts w:ascii="Arial" w:cs="Arial" w:eastAsia="Arial" w:hAnsi="Arial"/>
                <w:sz w:val="18"/>
                <w:szCs w:val="18"/>
                <w:color w:val="auto"/>
              </w:rPr>
              <w:t>Baltimore</w:t>
            </w:r>
          </w:p>
        </w:tc>
        <w:tc>
          <w:tcPr>
            <w:tcW w:w="760" w:type="dxa"/>
            <w:vAlign w:val="bottom"/>
          </w:tcPr>
          <w:p>
            <w:pPr>
              <w:ind w:left="480"/>
              <w:spacing w:after="0"/>
              <w:rPr>
                <w:sz w:val="20"/>
                <w:szCs w:val="20"/>
                <w:color w:val="auto"/>
              </w:rPr>
            </w:pPr>
            <w:r>
              <w:rPr>
                <w:rFonts w:ascii="Arial" w:cs="Arial" w:eastAsia="Arial" w:hAnsi="Arial"/>
                <w:sz w:val="18"/>
                <w:szCs w:val="18"/>
                <w:color w:val="auto"/>
                <w:w w:val="92"/>
              </w:rPr>
              <w:t>MD</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600" w:type="dxa"/>
            <w:vAlign w:val="bottom"/>
          </w:tcPr>
          <w:p>
            <w:pPr>
              <w:ind w:left="240"/>
              <w:spacing w:after="0"/>
              <w:rPr>
                <w:sz w:val="20"/>
                <w:szCs w:val="20"/>
                <w:color w:val="auto"/>
              </w:rPr>
            </w:pPr>
            <w:r>
              <w:rPr>
                <w:rFonts w:ascii="Arial" w:cs="Arial" w:eastAsia="Arial" w:hAnsi="Arial"/>
                <w:sz w:val="18"/>
                <w:szCs w:val="18"/>
                <w:color w:val="auto"/>
              </w:rPr>
              <w:t>Fremont Area Med Ctr</w:t>
            </w:r>
          </w:p>
        </w:tc>
        <w:tc>
          <w:tcPr>
            <w:tcW w:w="3020" w:type="dxa"/>
            <w:vAlign w:val="bottom"/>
          </w:tcPr>
          <w:p>
            <w:pPr>
              <w:ind w:left="1480"/>
              <w:spacing w:after="0"/>
              <w:rPr>
                <w:sz w:val="20"/>
                <w:szCs w:val="20"/>
                <w:color w:val="auto"/>
              </w:rPr>
            </w:pPr>
            <w:r>
              <w:rPr>
                <w:rFonts w:ascii="Arial" w:cs="Arial" w:eastAsia="Arial" w:hAnsi="Arial"/>
                <w:sz w:val="18"/>
                <w:szCs w:val="18"/>
                <w:color w:val="auto"/>
              </w:rPr>
              <w:t>Becky</w:t>
            </w:r>
          </w:p>
        </w:tc>
        <w:tc>
          <w:tcPr>
            <w:tcW w:w="1840" w:type="dxa"/>
            <w:vAlign w:val="bottom"/>
          </w:tcPr>
          <w:p>
            <w:pPr>
              <w:ind w:left="160"/>
              <w:spacing w:after="0"/>
              <w:rPr>
                <w:sz w:val="20"/>
                <w:szCs w:val="20"/>
                <w:color w:val="auto"/>
              </w:rPr>
            </w:pPr>
            <w:r>
              <w:rPr>
                <w:rFonts w:ascii="Arial" w:cs="Arial" w:eastAsia="Arial" w:hAnsi="Arial"/>
                <w:sz w:val="18"/>
                <w:szCs w:val="18"/>
                <w:color w:val="auto"/>
              </w:rPr>
              <w:t>Fremont</w:t>
            </w:r>
          </w:p>
        </w:tc>
        <w:tc>
          <w:tcPr>
            <w:tcW w:w="760" w:type="dxa"/>
            <w:vAlign w:val="bottom"/>
          </w:tcPr>
          <w:p>
            <w:pPr>
              <w:ind w:left="480"/>
              <w:spacing w:after="0"/>
              <w:rPr>
                <w:sz w:val="20"/>
                <w:szCs w:val="20"/>
                <w:color w:val="auto"/>
              </w:rPr>
            </w:pPr>
            <w:r>
              <w:rPr>
                <w:rFonts w:ascii="Arial" w:cs="Arial" w:eastAsia="Arial" w:hAnsi="Arial"/>
                <w:sz w:val="18"/>
                <w:szCs w:val="18"/>
                <w:color w:val="auto"/>
              </w:rPr>
              <w:t>NE</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600" w:type="dxa"/>
            <w:vAlign w:val="bottom"/>
          </w:tcPr>
          <w:p>
            <w:pPr>
              <w:ind w:left="240"/>
              <w:spacing w:after="0"/>
              <w:rPr>
                <w:sz w:val="20"/>
                <w:szCs w:val="20"/>
                <w:color w:val="auto"/>
              </w:rPr>
            </w:pPr>
            <w:r>
              <w:rPr>
                <w:rFonts w:ascii="Arial" w:cs="Arial" w:eastAsia="Arial" w:hAnsi="Arial"/>
                <w:sz w:val="18"/>
                <w:szCs w:val="18"/>
                <w:color w:val="auto"/>
              </w:rPr>
              <w:t>French Hospital Medical Center</w:t>
            </w:r>
          </w:p>
        </w:tc>
        <w:tc>
          <w:tcPr>
            <w:tcW w:w="3020" w:type="dxa"/>
            <w:vAlign w:val="bottom"/>
          </w:tcPr>
          <w:p>
            <w:pPr>
              <w:ind w:left="1480"/>
              <w:spacing w:after="0"/>
              <w:rPr>
                <w:sz w:val="20"/>
                <w:szCs w:val="20"/>
                <w:color w:val="auto"/>
              </w:rPr>
            </w:pPr>
            <w:r>
              <w:rPr>
                <w:rFonts w:ascii="Arial" w:cs="Arial" w:eastAsia="Arial" w:hAnsi="Arial"/>
                <w:sz w:val="18"/>
                <w:szCs w:val="18"/>
                <w:color w:val="auto"/>
              </w:rPr>
              <w:t>Jim Paulsen</w:t>
            </w:r>
          </w:p>
        </w:tc>
        <w:tc>
          <w:tcPr>
            <w:tcW w:w="1840" w:type="dxa"/>
            <w:vAlign w:val="bottom"/>
          </w:tcPr>
          <w:p>
            <w:pPr>
              <w:ind w:left="160"/>
              <w:spacing w:after="0"/>
              <w:rPr>
                <w:sz w:val="20"/>
                <w:szCs w:val="20"/>
                <w:color w:val="auto"/>
              </w:rPr>
            </w:pPr>
            <w:r>
              <w:rPr>
                <w:rFonts w:ascii="Arial" w:cs="Arial" w:eastAsia="Arial" w:hAnsi="Arial"/>
                <w:sz w:val="18"/>
                <w:szCs w:val="18"/>
                <w:color w:val="auto"/>
              </w:rPr>
              <w:t>San Luis Obisp</w:t>
            </w:r>
          </w:p>
        </w:tc>
        <w:tc>
          <w:tcPr>
            <w:tcW w:w="760" w:type="dxa"/>
            <w:vAlign w:val="bottom"/>
          </w:tcPr>
          <w:p>
            <w:pPr>
              <w:ind w:left="480"/>
              <w:spacing w:after="0"/>
              <w:rPr>
                <w:sz w:val="20"/>
                <w:szCs w:val="20"/>
                <w:color w:val="auto"/>
              </w:rPr>
            </w:pPr>
            <w:r>
              <w:rPr>
                <w:rFonts w:ascii="Arial" w:cs="Arial" w:eastAsia="Arial" w:hAnsi="Arial"/>
                <w:sz w:val="18"/>
                <w:szCs w:val="18"/>
                <w:color w:val="auto"/>
              </w:rPr>
              <w:t>CA</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600" w:type="dxa"/>
            <w:vAlign w:val="bottom"/>
          </w:tcPr>
          <w:p>
            <w:pPr>
              <w:ind w:left="240"/>
              <w:spacing w:after="0"/>
              <w:rPr>
                <w:sz w:val="20"/>
                <w:szCs w:val="20"/>
                <w:color w:val="auto"/>
              </w:rPr>
            </w:pPr>
            <w:r>
              <w:rPr>
                <w:rFonts w:ascii="Arial" w:cs="Arial" w:eastAsia="Arial" w:hAnsi="Arial"/>
                <w:sz w:val="18"/>
                <w:szCs w:val="18"/>
                <w:color w:val="auto"/>
              </w:rPr>
              <w:t>Fulton County</w:t>
            </w:r>
          </w:p>
        </w:tc>
        <w:tc>
          <w:tcPr>
            <w:tcW w:w="3020" w:type="dxa"/>
            <w:vAlign w:val="bottom"/>
          </w:tcPr>
          <w:p>
            <w:pPr>
              <w:ind w:left="1480"/>
              <w:spacing w:after="0"/>
              <w:rPr>
                <w:sz w:val="20"/>
                <w:szCs w:val="20"/>
                <w:color w:val="auto"/>
              </w:rPr>
            </w:pPr>
            <w:r>
              <w:rPr>
                <w:rFonts w:ascii="Arial" w:cs="Arial" w:eastAsia="Arial" w:hAnsi="Arial"/>
                <w:sz w:val="18"/>
                <w:szCs w:val="18"/>
                <w:color w:val="auto"/>
              </w:rPr>
              <w:t>Cindy Wanless</w:t>
            </w:r>
          </w:p>
        </w:tc>
        <w:tc>
          <w:tcPr>
            <w:tcW w:w="1840" w:type="dxa"/>
            <w:vAlign w:val="bottom"/>
          </w:tcPr>
          <w:p>
            <w:pPr>
              <w:ind w:left="160"/>
              <w:spacing w:after="0"/>
              <w:rPr>
                <w:sz w:val="20"/>
                <w:szCs w:val="20"/>
                <w:color w:val="auto"/>
              </w:rPr>
            </w:pPr>
            <w:r>
              <w:rPr>
                <w:rFonts w:ascii="Arial" w:cs="Arial" w:eastAsia="Arial" w:hAnsi="Arial"/>
                <w:sz w:val="18"/>
                <w:szCs w:val="18"/>
                <w:color w:val="auto"/>
              </w:rPr>
              <w:t>Wauseon</w:t>
            </w:r>
          </w:p>
        </w:tc>
        <w:tc>
          <w:tcPr>
            <w:tcW w:w="760" w:type="dxa"/>
            <w:vAlign w:val="bottom"/>
          </w:tcPr>
          <w:p>
            <w:pPr>
              <w:ind w:left="480"/>
              <w:spacing w:after="0"/>
              <w:rPr>
                <w:sz w:val="20"/>
                <w:szCs w:val="20"/>
                <w:color w:val="auto"/>
              </w:rPr>
            </w:pPr>
            <w:r>
              <w:rPr>
                <w:rFonts w:ascii="Arial" w:cs="Arial" w:eastAsia="Arial" w:hAnsi="Arial"/>
                <w:sz w:val="18"/>
                <w:szCs w:val="18"/>
                <w:color w:val="auto"/>
                <w:w w:val="96"/>
              </w:rPr>
              <w:t>OH</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600" w:type="dxa"/>
            <w:vAlign w:val="bottom"/>
          </w:tcPr>
          <w:p>
            <w:pPr>
              <w:ind w:left="240"/>
              <w:spacing w:after="0"/>
              <w:rPr>
                <w:sz w:val="20"/>
                <w:szCs w:val="20"/>
                <w:color w:val="auto"/>
              </w:rPr>
            </w:pPr>
            <w:r>
              <w:rPr>
                <w:rFonts w:ascii="Arial" w:cs="Arial" w:eastAsia="Arial" w:hAnsi="Arial"/>
                <w:sz w:val="18"/>
                <w:szCs w:val="18"/>
                <w:color w:val="auto"/>
              </w:rPr>
              <w:t>Garden City</w:t>
            </w:r>
          </w:p>
        </w:tc>
        <w:tc>
          <w:tcPr>
            <w:tcW w:w="3020" w:type="dxa"/>
            <w:vAlign w:val="bottom"/>
          </w:tcPr>
          <w:p>
            <w:pPr>
              <w:ind w:left="1480"/>
              <w:spacing w:after="0"/>
              <w:rPr>
                <w:sz w:val="20"/>
                <w:szCs w:val="20"/>
                <w:color w:val="auto"/>
              </w:rPr>
            </w:pPr>
            <w:r>
              <w:rPr>
                <w:rFonts w:ascii="Arial" w:cs="Arial" w:eastAsia="Arial" w:hAnsi="Arial"/>
                <w:sz w:val="18"/>
                <w:szCs w:val="18"/>
                <w:color w:val="auto"/>
              </w:rPr>
              <w:t>Annette Krupa</w:t>
            </w:r>
          </w:p>
        </w:tc>
        <w:tc>
          <w:tcPr>
            <w:tcW w:w="1840" w:type="dxa"/>
            <w:vAlign w:val="bottom"/>
          </w:tcPr>
          <w:p>
            <w:pPr>
              <w:ind w:left="160"/>
              <w:spacing w:after="0"/>
              <w:rPr>
                <w:sz w:val="20"/>
                <w:szCs w:val="20"/>
                <w:color w:val="auto"/>
              </w:rPr>
            </w:pPr>
            <w:r>
              <w:rPr>
                <w:rFonts w:ascii="Arial" w:cs="Arial" w:eastAsia="Arial" w:hAnsi="Arial"/>
                <w:sz w:val="18"/>
                <w:szCs w:val="18"/>
                <w:color w:val="auto"/>
              </w:rPr>
              <w:t>Garden City</w:t>
            </w:r>
          </w:p>
        </w:tc>
        <w:tc>
          <w:tcPr>
            <w:tcW w:w="760" w:type="dxa"/>
            <w:vAlign w:val="bottom"/>
          </w:tcPr>
          <w:p>
            <w:pPr>
              <w:ind w:left="480"/>
              <w:spacing w:after="0"/>
              <w:rPr>
                <w:sz w:val="20"/>
                <w:szCs w:val="20"/>
                <w:color w:val="auto"/>
              </w:rPr>
            </w:pPr>
            <w:r>
              <w:rPr>
                <w:rFonts w:ascii="Arial" w:cs="Arial" w:eastAsia="Arial" w:hAnsi="Arial"/>
                <w:sz w:val="18"/>
                <w:szCs w:val="18"/>
                <w:color w:val="auto"/>
              </w:rPr>
              <w:t>MI</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600" w:type="dxa"/>
            <w:vAlign w:val="bottom"/>
          </w:tcPr>
          <w:p>
            <w:pPr>
              <w:ind w:left="240"/>
              <w:spacing w:after="0"/>
              <w:rPr>
                <w:sz w:val="20"/>
                <w:szCs w:val="20"/>
                <w:color w:val="auto"/>
              </w:rPr>
            </w:pPr>
            <w:r>
              <w:rPr>
                <w:rFonts w:ascii="Arial" w:cs="Arial" w:eastAsia="Arial" w:hAnsi="Arial"/>
                <w:sz w:val="18"/>
                <w:szCs w:val="18"/>
                <w:color w:val="auto"/>
              </w:rPr>
              <w:t>Good Samaritan Hospital</w:t>
            </w:r>
          </w:p>
        </w:tc>
        <w:tc>
          <w:tcPr>
            <w:tcW w:w="3020" w:type="dxa"/>
            <w:vAlign w:val="bottom"/>
          </w:tcPr>
          <w:p>
            <w:pPr>
              <w:ind w:left="1480"/>
              <w:spacing w:after="0"/>
              <w:rPr>
                <w:sz w:val="20"/>
                <w:szCs w:val="20"/>
                <w:color w:val="auto"/>
              </w:rPr>
            </w:pPr>
            <w:r>
              <w:rPr>
                <w:rFonts w:ascii="Arial" w:cs="Arial" w:eastAsia="Arial" w:hAnsi="Arial"/>
                <w:sz w:val="18"/>
                <w:szCs w:val="18"/>
                <w:color w:val="auto"/>
              </w:rPr>
              <w:t>Bob Hanson</w:t>
            </w:r>
          </w:p>
        </w:tc>
        <w:tc>
          <w:tcPr>
            <w:tcW w:w="1840" w:type="dxa"/>
            <w:vAlign w:val="bottom"/>
          </w:tcPr>
          <w:p>
            <w:pPr>
              <w:ind w:left="160"/>
              <w:spacing w:after="0"/>
              <w:rPr>
                <w:sz w:val="20"/>
                <w:szCs w:val="20"/>
                <w:color w:val="auto"/>
              </w:rPr>
            </w:pPr>
            <w:r>
              <w:rPr>
                <w:rFonts w:ascii="Arial" w:cs="Arial" w:eastAsia="Arial" w:hAnsi="Arial"/>
                <w:sz w:val="18"/>
                <w:szCs w:val="18"/>
                <w:color w:val="auto"/>
              </w:rPr>
              <w:t>Downers Grove</w:t>
            </w:r>
          </w:p>
        </w:tc>
        <w:tc>
          <w:tcPr>
            <w:tcW w:w="760" w:type="dxa"/>
            <w:vAlign w:val="bottom"/>
          </w:tcPr>
          <w:p>
            <w:pPr>
              <w:ind w:left="480"/>
              <w:spacing w:after="0"/>
              <w:rPr>
                <w:sz w:val="20"/>
                <w:szCs w:val="20"/>
                <w:color w:val="auto"/>
              </w:rPr>
            </w:pPr>
            <w:r>
              <w:rPr>
                <w:rFonts w:ascii="Arial" w:cs="Arial" w:eastAsia="Arial" w:hAnsi="Arial"/>
                <w:sz w:val="18"/>
                <w:szCs w:val="18"/>
                <w:color w:val="auto"/>
              </w:rPr>
              <w:t>IL</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600" w:type="dxa"/>
            <w:vAlign w:val="bottom"/>
          </w:tcPr>
          <w:p>
            <w:pPr>
              <w:ind w:left="240"/>
              <w:spacing w:after="0"/>
              <w:rPr>
                <w:sz w:val="20"/>
                <w:szCs w:val="20"/>
                <w:color w:val="auto"/>
              </w:rPr>
            </w:pPr>
            <w:r>
              <w:rPr>
                <w:rFonts w:ascii="Arial" w:cs="Arial" w:eastAsia="Arial" w:hAnsi="Arial"/>
                <w:sz w:val="18"/>
                <w:szCs w:val="18"/>
                <w:color w:val="auto"/>
              </w:rPr>
              <w:t>Good Samaritan Medical Center</w:t>
            </w:r>
          </w:p>
        </w:tc>
        <w:tc>
          <w:tcPr>
            <w:tcW w:w="3020" w:type="dxa"/>
            <w:vAlign w:val="bottom"/>
          </w:tcPr>
          <w:p>
            <w:pPr>
              <w:ind w:left="1480"/>
              <w:spacing w:after="0"/>
              <w:rPr>
                <w:sz w:val="20"/>
                <w:szCs w:val="20"/>
                <w:color w:val="auto"/>
              </w:rPr>
            </w:pPr>
            <w:r>
              <w:rPr>
                <w:rFonts w:ascii="Arial" w:cs="Arial" w:eastAsia="Arial" w:hAnsi="Arial"/>
                <w:sz w:val="18"/>
                <w:szCs w:val="18"/>
                <w:color w:val="auto"/>
              </w:rPr>
              <w:t>James Watson</w:t>
            </w:r>
          </w:p>
        </w:tc>
        <w:tc>
          <w:tcPr>
            <w:tcW w:w="1840" w:type="dxa"/>
            <w:vAlign w:val="bottom"/>
          </w:tcPr>
          <w:p>
            <w:pPr>
              <w:ind w:left="160"/>
              <w:spacing w:after="0"/>
              <w:rPr>
                <w:sz w:val="20"/>
                <w:szCs w:val="20"/>
                <w:color w:val="auto"/>
              </w:rPr>
            </w:pPr>
            <w:r>
              <w:rPr>
                <w:rFonts w:ascii="Arial" w:cs="Arial" w:eastAsia="Arial" w:hAnsi="Arial"/>
                <w:sz w:val="18"/>
                <w:szCs w:val="18"/>
                <w:color w:val="auto"/>
              </w:rPr>
              <w:t>West Palm Beach</w:t>
            </w:r>
          </w:p>
        </w:tc>
        <w:tc>
          <w:tcPr>
            <w:tcW w:w="760" w:type="dxa"/>
            <w:vAlign w:val="bottom"/>
          </w:tcPr>
          <w:p>
            <w:pPr>
              <w:ind w:left="480"/>
              <w:spacing w:after="0"/>
              <w:rPr>
                <w:sz w:val="20"/>
                <w:szCs w:val="20"/>
                <w:color w:val="auto"/>
              </w:rPr>
            </w:pPr>
            <w:r>
              <w:rPr>
                <w:rFonts w:ascii="Arial" w:cs="Arial" w:eastAsia="Arial" w:hAnsi="Arial"/>
                <w:sz w:val="18"/>
                <w:szCs w:val="18"/>
                <w:color w:val="auto"/>
              </w:rPr>
              <w:t>FL</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600" w:type="dxa"/>
            <w:vAlign w:val="bottom"/>
          </w:tcPr>
          <w:p>
            <w:pPr>
              <w:ind w:left="240"/>
              <w:spacing w:after="0"/>
              <w:rPr>
                <w:sz w:val="20"/>
                <w:szCs w:val="20"/>
                <w:color w:val="auto"/>
              </w:rPr>
            </w:pPr>
            <w:r>
              <w:rPr>
                <w:rFonts w:ascii="Arial" w:cs="Arial" w:eastAsia="Arial" w:hAnsi="Arial"/>
                <w:sz w:val="18"/>
                <w:szCs w:val="18"/>
                <w:color w:val="auto"/>
              </w:rPr>
              <w:t>Great Plains Regional MC</w:t>
            </w:r>
          </w:p>
        </w:tc>
        <w:tc>
          <w:tcPr>
            <w:tcW w:w="3020" w:type="dxa"/>
            <w:vAlign w:val="bottom"/>
          </w:tcPr>
          <w:p>
            <w:pPr>
              <w:ind w:left="1480"/>
              <w:spacing w:after="0"/>
              <w:rPr>
                <w:sz w:val="20"/>
                <w:szCs w:val="20"/>
                <w:color w:val="auto"/>
              </w:rPr>
            </w:pPr>
            <w:r>
              <w:rPr>
                <w:rFonts w:ascii="Arial" w:cs="Arial" w:eastAsia="Arial" w:hAnsi="Arial"/>
                <w:sz w:val="18"/>
                <w:szCs w:val="18"/>
                <w:color w:val="auto"/>
              </w:rPr>
              <w:t>Lance Arterburn</w:t>
            </w:r>
          </w:p>
        </w:tc>
        <w:tc>
          <w:tcPr>
            <w:tcW w:w="1840" w:type="dxa"/>
            <w:vAlign w:val="bottom"/>
          </w:tcPr>
          <w:p>
            <w:pPr>
              <w:ind w:left="160"/>
              <w:spacing w:after="0"/>
              <w:rPr>
                <w:sz w:val="20"/>
                <w:szCs w:val="20"/>
                <w:color w:val="auto"/>
              </w:rPr>
            </w:pPr>
            <w:r>
              <w:rPr>
                <w:rFonts w:ascii="Arial" w:cs="Arial" w:eastAsia="Arial" w:hAnsi="Arial"/>
                <w:sz w:val="18"/>
                <w:szCs w:val="18"/>
                <w:color w:val="auto"/>
              </w:rPr>
              <w:t>North Platte</w:t>
            </w:r>
          </w:p>
        </w:tc>
        <w:tc>
          <w:tcPr>
            <w:tcW w:w="760" w:type="dxa"/>
            <w:vAlign w:val="bottom"/>
          </w:tcPr>
          <w:p>
            <w:pPr>
              <w:ind w:left="480"/>
              <w:spacing w:after="0"/>
              <w:rPr>
                <w:sz w:val="20"/>
                <w:szCs w:val="20"/>
                <w:color w:val="auto"/>
              </w:rPr>
            </w:pPr>
            <w:r>
              <w:rPr>
                <w:rFonts w:ascii="Arial" w:cs="Arial" w:eastAsia="Arial" w:hAnsi="Arial"/>
                <w:sz w:val="18"/>
                <w:szCs w:val="18"/>
                <w:color w:val="auto"/>
              </w:rPr>
              <w:t>NE</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600" w:type="dxa"/>
            <w:vAlign w:val="bottom"/>
          </w:tcPr>
          <w:p>
            <w:pPr>
              <w:ind w:left="240"/>
              <w:spacing w:after="0"/>
              <w:rPr>
                <w:sz w:val="20"/>
                <w:szCs w:val="20"/>
                <w:color w:val="auto"/>
              </w:rPr>
            </w:pPr>
            <w:r>
              <w:rPr>
                <w:rFonts w:ascii="Arial" w:cs="Arial" w:eastAsia="Arial" w:hAnsi="Arial"/>
                <w:sz w:val="18"/>
                <w:szCs w:val="18"/>
                <w:color w:val="auto"/>
              </w:rPr>
              <w:t>Greater Baton Rouge</w:t>
            </w:r>
          </w:p>
        </w:tc>
        <w:tc>
          <w:tcPr>
            <w:tcW w:w="3020" w:type="dxa"/>
            <w:vAlign w:val="bottom"/>
          </w:tcPr>
          <w:p>
            <w:pPr>
              <w:ind w:left="1480"/>
              <w:spacing w:after="0"/>
              <w:rPr>
                <w:sz w:val="20"/>
                <w:szCs w:val="20"/>
                <w:color w:val="auto"/>
              </w:rPr>
            </w:pPr>
            <w:r>
              <w:rPr>
                <w:rFonts w:ascii="Arial" w:cs="Arial" w:eastAsia="Arial" w:hAnsi="Arial"/>
                <w:sz w:val="18"/>
                <w:szCs w:val="18"/>
                <w:color w:val="auto"/>
              </w:rPr>
              <w:t>Kim Doucet</w:t>
            </w:r>
          </w:p>
        </w:tc>
        <w:tc>
          <w:tcPr>
            <w:tcW w:w="1840" w:type="dxa"/>
            <w:vAlign w:val="bottom"/>
          </w:tcPr>
          <w:p>
            <w:pPr>
              <w:ind w:left="160"/>
              <w:spacing w:after="0"/>
              <w:rPr>
                <w:sz w:val="20"/>
                <w:szCs w:val="20"/>
                <w:color w:val="auto"/>
              </w:rPr>
            </w:pPr>
            <w:r>
              <w:rPr>
                <w:rFonts w:ascii="Arial" w:cs="Arial" w:eastAsia="Arial" w:hAnsi="Arial"/>
                <w:sz w:val="18"/>
                <w:szCs w:val="18"/>
                <w:color w:val="auto"/>
              </w:rPr>
              <w:t>Baton Rouge</w:t>
            </w:r>
          </w:p>
        </w:tc>
        <w:tc>
          <w:tcPr>
            <w:tcW w:w="760" w:type="dxa"/>
            <w:vAlign w:val="bottom"/>
          </w:tcPr>
          <w:p>
            <w:pPr>
              <w:ind w:left="480"/>
              <w:spacing w:after="0"/>
              <w:rPr>
                <w:sz w:val="20"/>
                <w:szCs w:val="20"/>
                <w:color w:val="auto"/>
              </w:rPr>
            </w:pPr>
            <w:r>
              <w:rPr>
                <w:rFonts w:ascii="Arial" w:cs="Arial" w:eastAsia="Arial" w:hAnsi="Arial"/>
                <w:sz w:val="18"/>
                <w:szCs w:val="18"/>
                <w:color w:val="auto"/>
              </w:rPr>
              <w:t>LA</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600" w:type="dxa"/>
            <w:vAlign w:val="bottom"/>
          </w:tcPr>
          <w:p>
            <w:pPr>
              <w:ind w:left="240"/>
              <w:spacing w:after="0"/>
              <w:rPr>
                <w:sz w:val="20"/>
                <w:szCs w:val="20"/>
                <w:color w:val="auto"/>
              </w:rPr>
            </w:pPr>
            <w:r>
              <w:rPr>
                <w:rFonts w:ascii="Arial" w:cs="Arial" w:eastAsia="Arial" w:hAnsi="Arial"/>
                <w:sz w:val="18"/>
                <w:szCs w:val="18"/>
                <w:color w:val="auto"/>
              </w:rPr>
              <w:t>Gulf Coast Outpatient</w:t>
            </w:r>
          </w:p>
        </w:tc>
        <w:tc>
          <w:tcPr>
            <w:tcW w:w="3020" w:type="dxa"/>
            <w:vAlign w:val="bottom"/>
          </w:tcPr>
          <w:p>
            <w:pPr>
              <w:ind w:left="1480"/>
              <w:spacing w:after="0"/>
              <w:rPr>
                <w:sz w:val="20"/>
                <w:szCs w:val="20"/>
                <w:color w:val="auto"/>
              </w:rPr>
            </w:pPr>
            <w:r>
              <w:rPr>
                <w:rFonts w:ascii="Arial" w:cs="Arial" w:eastAsia="Arial" w:hAnsi="Arial"/>
                <w:sz w:val="18"/>
                <w:szCs w:val="18"/>
                <w:color w:val="auto"/>
              </w:rPr>
              <w:t>Elanna Edge</w:t>
            </w:r>
          </w:p>
        </w:tc>
        <w:tc>
          <w:tcPr>
            <w:tcW w:w="1840" w:type="dxa"/>
            <w:vAlign w:val="bottom"/>
          </w:tcPr>
          <w:p>
            <w:pPr>
              <w:ind w:left="160"/>
              <w:spacing w:after="0"/>
              <w:rPr>
                <w:sz w:val="20"/>
                <w:szCs w:val="20"/>
                <w:color w:val="auto"/>
              </w:rPr>
            </w:pPr>
            <w:r>
              <w:rPr>
                <w:rFonts w:ascii="Arial" w:cs="Arial" w:eastAsia="Arial" w:hAnsi="Arial"/>
                <w:sz w:val="18"/>
                <w:szCs w:val="18"/>
                <w:color w:val="auto"/>
              </w:rPr>
              <w:t>Biloxi</w:t>
            </w:r>
          </w:p>
        </w:tc>
        <w:tc>
          <w:tcPr>
            <w:tcW w:w="760" w:type="dxa"/>
            <w:vAlign w:val="bottom"/>
          </w:tcPr>
          <w:p>
            <w:pPr>
              <w:ind w:left="480"/>
              <w:spacing w:after="0"/>
              <w:rPr>
                <w:sz w:val="20"/>
                <w:szCs w:val="20"/>
                <w:color w:val="auto"/>
              </w:rPr>
            </w:pPr>
            <w:r>
              <w:rPr>
                <w:rFonts w:ascii="Arial" w:cs="Arial" w:eastAsia="Arial" w:hAnsi="Arial"/>
                <w:sz w:val="18"/>
                <w:szCs w:val="18"/>
                <w:color w:val="auto"/>
                <w:w w:val="96"/>
              </w:rPr>
              <w:t>MS</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600" w:type="dxa"/>
            <w:vAlign w:val="bottom"/>
          </w:tcPr>
          <w:p>
            <w:pPr>
              <w:ind w:left="240"/>
              <w:spacing w:after="0"/>
              <w:rPr>
                <w:sz w:val="20"/>
                <w:szCs w:val="20"/>
                <w:color w:val="auto"/>
              </w:rPr>
            </w:pPr>
            <w:r>
              <w:rPr>
                <w:rFonts w:ascii="Arial" w:cs="Arial" w:eastAsia="Arial" w:hAnsi="Arial"/>
                <w:sz w:val="18"/>
                <w:szCs w:val="18"/>
                <w:color w:val="auto"/>
              </w:rPr>
              <w:t>Gulf South SC</w:t>
            </w:r>
          </w:p>
        </w:tc>
        <w:tc>
          <w:tcPr>
            <w:tcW w:w="3020" w:type="dxa"/>
            <w:vAlign w:val="bottom"/>
          </w:tcPr>
          <w:p>
            <w:pPr>
              <w:ind w:left="1480"/>
              <w:spacing w:after="0"/>
              <w:rPr>
                <w:sz w:val="20"/>
                <w:szCs w:val="20"/>
                <w:color w:val="auto"/>
              </w:rPr>
            </w:pPr>
            <w:r>
              <w:rPr>
                <w:rFonts w:ascii="Arial" w:cs="Arial" w:eastAsia="Arial" w:hAnsi="Arial"/>
                <w:sz w:val="18"/>
                <w:szCs w:val="18"/>
                <w:color w:val="auto"/>
              </w:rPr>
              <w:t>Jane Wallace</w:t>
            </w:r>
          </w:p>
        </w:tc>
        <w:tc>
          <w:tcPr>
            <w:tcW w:w="1840" w:type="dxa"/>
            <w:vAlign w:val="bottom"/>
          </w:tcPr>
          <w:p>
            <w:pPr>
              <w:ind w:left="160"/>
              <w:spacing w:after="0"/>
              <w:rPr>
                <w:sz w:val="20"/>
                <w:szCs w:val="20"/>
                <w:color w:val="auto"/>
              </w:rPr>
            </w:pPr>
            <w:r>
              <w:rPr>
                <w:rFonts w:ascii="Arial" w:cs="Arial" w:eastAsia="Arial" w:hAnsi="Arial"/>
                <w:sz w:val="18"/>
                <w:szCs w:val="18"/>
                <w:color w:val="auto"/>
              </w:rPr>
              <w:t>Gulport</w:t>
            </w:r>
          </w:p>
        </w:tc>
        <w:tc>
          <w:tcPr>
            <w:tcW w:w="760" w:type="dxa"/>
            <w:vAlign w:val="bottom"/>
          </w:tcPr>
          <w:p>
            <w:pPr>
              <w:ind w:left="480"/>
              <w:spacing w:after="0"/>
              <w:rPr>
                <w:sz w:val="20"/>
                <w:szCs w:val="20"/>
                <w:color w:val="auto"/>
              </w:rPr>
            </w:pPr>
            <w:r>
              <w:rPr>
                <w:rFonts w:ascii="Arial" w:cs="Arial" w:eastAsia="Arial" w:hAnsi="Arial"/>
                <w:sz w:val="18"/>
                <w:szCs w:val="18"/>
                <w:color w:val="auto"/>
                <w:w w:val="96"/>
              </w:rPr>
              <w:t>MS</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600" w:type="dxa"/>
            <w:vAlign w:val="bottom"/>
          </w:tcPr>
          <w:p>
            <w:pPr>
              <w:ind w:left="240"/>
              <w:spacing w:after="0"/>
              <w:rPr>
                <w:sz w:val="20"/>
                <w:szCs w:val="20"/>
                <w:color w:val="auto"/>
              </w:rPr>
            </w:pPr>
            <w:r>
              <w:rPr>
                <w:rFonts w:ascii="Arial" w:cs="Arial" w:eastAsia="Arial" w:hAnsi="Arial"/>
                <w:sz w:val="18"/>
                <w:szCs w:val="18"/>
                <w:color w:val="auto"/>
              </w:rPr>
              <w:t>Hackensack Medical Center</w:t>
            </w:r>
          </w:p>
        </w:tc>
        <w:tc>
          <w:tcPr>
            <w:tcW w:w="3020" w:type="dxa"/>
            <w:vAlign w:val="bottom"/>
          </w:tcPr>
          <w:p>
            <w:pPr>
              <w:ind w:left="1480"/>
              <w:spacing w:after="0"/>
              <w:rPr>
                <w:sz w:val="20"/>
                <w:szCs w:val="20"/>
                <w:color w:val="auto"/>
              </w:rPr>
            </w:pPr>
            <w:r>
              <w:rPr>
                <w:rFonts w:ascii="Arial" w:cs="Arial" w:eastAsia="Arial" w:hAnsi="Arial"/>
                <w:sz w:val="18"/>
                <w:szCs w:val="18"/>
                <w:color w:val="auto"/>
              </w:rPr>
              <w:t>Chris Bush</w:t>
            </w:r>
          </w:p>
        </w:tc>
        <w:tc>
          <w:tcPr>
            <w:tcW w:w="1840" w:type="dxa"/>
            <w:vAlign w:val="bottom"/>
          </w:tcPr>
          <w:p>
            <w:pPr>
              <w:ind w:left="160"/>
              <w:spacing w:after="0"/>
              <w:rPr>
                <w:sz w:val="20"/>
                <w:szCs w:val="20"/>
                <w:color w:val="auto"/>
              </w:rPr>
            </w:pPr>
            <w:r>
              <w:rPr>
                <w:rFonts w:ascii="Arial" w:cs="Arial" w:eastAsia="Arial" w:hAnsi="Arial"/>
                <w:sz w:val="18"/>
                <w:szCs w:val="18"/>
                <w:color w:val="auto"/>
              </w:rPr>
              <w:t>Hackensack</w:t>
            </w:r>
          </w:p>
        </w:tc>
        <w:tc>
          <w:tcPr>
            <w:tcW w:w="760" w:type="dxa"/>
            <w:vAlign w:val="bottom"/>
          </w:tcPr>
          <w:p>
            <w:pPr>
              <w:ind w:left="480"/>
              <w:spacing w:after="0"/>
              <w:rPr>
                <w:sz w:val="20"/>
                <w:szCs w:val="20"/>
                <w:color w:val="auto"/>
              </w:rPr>
            </w:pPr>
            <w:r>
              <w:rPr>
                <w:rFonts w:ascii="Arial" w:cs="Arial" w:eastAsia="Arial" w:hAnsi="Arial"/>
                <w:sz w:val="18"/>
                <w:szCs w:val="18"/>
                <w:color w:val="auto"/>
              </w:rPr>
              <w:t>NJ</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600" w:type="dxa"/>
            <w:vAlign w:val="bottom"/>
          </w:tcPr>
          <w:p>
            <w:pPr>
              <w:ind w:left="240"/>
              <w:spacing w:after="0"/>
              <w:rPr>
                <w:sz w:val="20"/>
                <w:szCs w:val="20"/>
                <w:color w:val="auto"/>
              </w:rPr>
            </w:pPr>
            <w:r>
              <w:rPr>
                <w:rFonts w:ascii="Arial" w:cs="Arial" w:eastAsia="Arial" w:hAnsi="Arial"/>
                <w:sz w:val="18"/>
                <w:szCs w:val="18"/>
                <w:color w:val="auto"/>
              </w:rPr>
              <w:t>Hamot Medical Center</w:t>
            </w:r>
          </w:p>
        </w:tc>
        <w:tc>
          <w:tcPr>
            <w:tcW w:w="3020" w:type="dxa"/>
            <w:vAlign w:val="bottom"/>
          </w:tcPr>
          <w:p>
            <w:pPr>
              <w:ind w:left="1480"/>
              <w:spacing w:after="0"/>
              <w:rPr>
                <w:sz w:val="20"/>
                <w:szCs w:val="20"/>
                <w:color w:val="auto"/>
              </w:rPr>
            </w:pPr>
            <w:r>
              <w:rPr>
                <w:rFonts w:ascii="Arial" w:cs="Arial" w:eastAsia="Arial" w:hAnsi="Arial"/>
                <w:sz w:val="18"/>
                <w:szCs w:val="18"/>
                <w:color w:val="auto"/>
              </w:rPr>
              <w:t>Robert Klein</w:t>
            </w:r>
          </w:p>
        </w:tc>
        <w:tc>
          <w:tcPr>
            <w:tcW w:w="1840" w:type="dxa"/>
            <w:vAlign w:val="bottom"/>
          </w:tcPr>
          <w:p>
            <w:pPr>
              <w:ind w:left="160"/>
              <w:spacing w:after="0"/>
              <w:rPr>
                <w:sz w:val="20"/>
                <w:szCs w:val="20"/>
                <w:color w:val="auto"/>
              </w:rPr>
            </w:pPr>
            <w:r>
              <w:rPr>
                <w:rFonts w:ascii="Arial" w:cs="Arial" w:eastAsia="Arial" w:hAnsi="Arial"/>
                <w:sz w:val="18"/>
                <w:szCs w:val="18"/>
                <w:color w:val="auto"/>
              </w:rPr>
              <w:t>Erie</w:t>
            </w:r>
          </w:p>
        </w:tc>
        <w:tc>
          <w:tcPr>
            <w:tcW w:w="760" w:type="dxa"/>
            <w:vAlign w:val="bottom"/>
          </w:tcPr>
          <w:p>
            <w:pPr>
              <w:ind w:left="480"/>
              <w:spacing w:after="0"/>
              <w:rPr>
                <w:sz w:val="20"/>
                <w:szCs w:val="20"/>
                <w:color w:val="auto"/>
              </w:rPr>
            </w:pPr>
            <w:r>
              <w:rPr>
                <w:rFonts w:ascii="Arial" w:cs="Arial" w:eastAsia="Arial" w:hAnsi="Arial"/>
                <w:sz w:val="18"/>
                <w:szCs w:val="18"/>
                <w:color w:val="auto"/>
              </w:rPr>
              <w:t>PA</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600" w:type="dxa"/>
            <w:vAlign w:val="bottom"/>
          </w:tcPr>
          <w:p>
            <w:pPr>
              <w:ind w:left="240"/>
              <w:spacing w:after="0"/>
              <w:rPr>
                <w:sz w:val="20"/>
                <w:szCs w:val="20"/>
                <w:color w:val="auto"/>
              </w:rPr>
            </w:pPr>
            <w:r>
              <w:rPr>
                <w:rFonts w:ascii="Arial" w:cs="Arial" w:eastAsia="Arial" w:hAnsi="Arial"/>
                <w:sz w:val="18"/>
                <w:szCs w:val="18"/>
                <w:color w:val="auto"/>
              </w:rPr>
              <w:t>Harrisburg Hospital</w:t>
            </w:r>
          </w:p>
        </w:tc>
        <w:tc>
          <w:tcPr>
            <w:tcW w:w="3020" w:type="dxa"/>
            <w:vAlign w:val="bottom"/>
          </w:tcPr>
          <w:p>
            <w:pPr>
              <w:ind w:left="1480"/>
              <w:spacing w:after="0"/>
              <w:rPr>
                <w:sz w:val="20"/>
                <w:szCs w:val="20"/>
                <w:color w:val="auto"/>
              </w:rPr>
            </w:pPr>
            <w:r>
              <w:rPr>
                <w:rFonts w:ascii="Arial" w:cs="Arial" w:eastAsia="Arial" w:hAnsi="Arial"/>
                <w:sz w:val="18"/>
                <w:szCs w:val="18"/>
                <w:color w:val="auto"/>
              </w:rPr>
              <w:t>Otar Sarishvili</w:t>
            </w:r>
          </w:p>
        </w:tc>
        <w:tc>
          <w:tcPr>
            <w:tcW w:w="1840" w:type="dxa"/>
            <w:vAlign w:val="bottom"/>
          </w:tcPr>
          <w:p>
            <w:pPr>
              <w:ind w:left="160"/>
              <w:spacing w:after="0"/>
              <w:rPr>
                <w:sz w:val="20"/>
                <w:szCs w:val="20"/>
                <w:color w:val="auto"/>
              </w:rPr>
            </w:pPr>
            <w:r>
              <w:rPr>
                <w:rFonts w:ascii="Arial" w:cs="Arial" w:eastAsia="Arial" w:hAnsi="Arial"/>
                <w:sz w:val="18"/>
                <w:szCs w:val="18"/>
                <w:color w:val="auto"/>
              </w:rPr>
              <w:t>Harrisburg</w:t>
            </w:r>
          </w:p>
        </w:tc>
        <w:tc>
          <w:tcPr>
            <w:tcW w:w="760" w:type="dxa"/>
            <w:vAlign w:val="bottom"/>
          </w:tcPr>
          <w:p>
            <w:pPr>
              <w:ind w:left="480"/>
              <w:spacing w:after="0"/>
              <w:rPr>
                <w:sz w:val="20"/>
                <w:szCs w:val="20"/>
                <w:color w:val="auto"/>
              </w:rPr>
            </w:pPr>
            <w:r>
              <w:rPr>
                <w:rFonts w:ascii="Arial" w:cs="Arial" w:eastAsia="Arial" w:hAnsi="Arial"/>
                <w:sz w:val="18"/>
                <w:szCs w:val="18"/>
                <w:color w:val="auto"/>
              </w:rPr>
              <w:t>PA</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600" w:type="dxa"/>
            <w:vAlign w:val="bottom"/>
          </w:tcPr>
          <w:p>
            <w:pPr>
              <w:ind w:left="240"/>
              <w:spacing w:after="0"/>
              <w:rPr>
                <w:sz w:val="20"/>
                <w:szCs w:val="20"/>
                <w:color w:val="auto"/>
              </w:rPr>
            </w:pPr>
            <w:r>
              <w:rPr>
                <w:rFonts w:ascii="Arial" w:cs="Arial" w:eastAsia="Arial" w:hAnsi="Arial"/>
                <w:sz w:val="18"/>
                <w:szCs w:val="18"/>
                <w:color w:val="auto"/>
              </w:rPr>
              <w:t>Harton Regional Medical Center</w:t>
            </w:r>
          </w:p>
        </w:tc>
        <w:tc>
          <w:tcPr>
            <w:tcW w:w="3020" w:type="dxa"/>
            <w:vAlign w:val="bottom"/>
          </w:tcPr>
          <w:p>
            <w:pPr>
              <w:ind w:left="1480"/>
              <w:spacing w:after="0"/>
              <w:rPr>
                <w:sz w:val="20"/>
                <w:szCs w:val="20"/>
                <w:color w:val="auto"/>
              </w:rPr>
            </w:pPr>
            <w:r>
              <w:rPr>
                <w:rFonts w:ascii="Arial" w:cs="Arial" w:eastAsia="Arial" w:hAnsi="Arial"/>
                <w:sz w:val="18"/>
                <w:szCs w:val="18"/>
                <w:color w:val="auto"/>
              </w:rPr>
              <w:t>Todd Emory</w:t>
            </w:r>
          </w:p>
        </w:tc>
        <w:tc>
          <w:tcPr>
            <w:tcW w:w="1840" w:type="dxa"/>
            <w:vAlign w:val="bottom"/>
          </w:tcPr>
          <w:p>
            <w:pPr>
              <w:ind w:left="160"/>
              <w:spacing w:after="0"/>
              <w:rPr>
                <w:sz w:val="20"/>
                <w:szCs w:val="20"/>
                <w:color w:val="auto"/>
              </w:rPr>
            </w:pPr>
            <w:r>
              <w:rPr>
                <w:rFonts w:ascii="Arial" w:cs="Arial" w:eastAsia="Arial" w:hAnsi="Arial"/>
                <w:sz w:val="18"/>
                <w:szCs w:val="18"/>
                <w:color w:val="auto"/>
              </w:rPr>
              <w:t>Tullahoma</w:t>
            </w:r>
          </w:p>
        </w:tc>
        <w:tc>
          <w:tcPr>
            <w:tcW w:w="760" w:type="dxa"/>
            <w:vAlign w:val="bottom"/>
          </w:tcPr>
          <w:p>
            <w:pPr>
              <w:ind w:left="480"/>
              <w:spacing w:after="0"/>
              <w:rPr>
                <w:sz w:val="20"/>
                <w:szCs w:val="20"/>
                <w:color w:val="auto"/>
              </w:rPr>
            </w:pPr>
            <w:r>
              <w:rPr>
                <w:rFonts w:ascii="Arial" w:cs="Arial" w:eastAsia="Arial" w:hAnsi="Arial"/>
                <w:sz w:val="18"/>
                <w:szCs w:val="18"/>
                <w:color w:val="auto"/>
              </w:rPr>
              <w:t>TN</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600" w:type="dxa"/>
            <w:vAlign w:val="bottom"/>
          </w:tcPr>
          <w:p>
            <w:pPr>
              <w:ind w:left="240"/>
              <w:spacing w:after="0"/>
              <w:rPr>
                <w:sz w:val="20"/>
                <w:szCs w:val="20"/>
                <w:color w:val="auto"/>
              </w:rPr>
            </w:pPr>
            <w:r>
              <w:rPr>
                <w:rFonts w:ascii="Arial" w:cs="Arial" w:eastAsia="Arial" w:hAnsi="Arial"/>
                <w:sz w:val="18"/>
                <w:szCs w:val="18"/>
                <w:color w:val="auto"/>
              </w:rPr>
              <w:t>Harrisburg Endoscopy &amp; Surgery Center</w:t>
            </w:r>
          </w:p>
        </w:tc>
        <w:tc>
          <w:tcPr>
            <w:tcW w:w="3020" w:type="dxa"/>
            <w:vAlign w:val="bottom"/>
          </w:tcPr>
          <w:p>
            <w:pPr>
              <w:spacing w:after="0"/>
              <w:rPr>
                <w:sz w:val="18"/>
                <w:szCs w:val="18"/>
                <w:color w:val="auto"/>
              </w:rPr>
            </w:pPr>
          </w:p>
        </w:tc>
        <w:tc>
          <w:tcPr>
            <w:tcW w:w="1840" w:type="dxa"/>
            <w:vAlign w:val="bottom"/>
          </w:tcPr>
          <w:p>
            <w:pPr>
              <w:ind w:left="160"/>
              <w:spacing w:after="0"/>
              <w:rPr>
                <w:sz w:val="20"/>
                <w:szCs w:val="20"/>
                <w:color w:val="auto"/>
              </w:rPr>
            </w:pPr>
            <w:r>
              <w:rPr>
                <w:rFonts w:ascii="Arial" w:cs="Arial" w:eastAsia="Arial" w:hAnsi="Arial"/>
                <w:sz w:val="18"/>
                <w:szCs w:val="18"/>
                <w:color w:val="auto"/>
              </w:rPr>
              <w:t>Harrisburg</w:t>
            </w:r>
          </w:p>
        </w:tc>
        <w:tc>
          <w:tcPr>
            <w:tcW w:w="760" w:type="dxa"/>
            <w:vAlign w:val="bottom"/>
          </w:tcPr>
          <w:p>
            <w:pPr>
              <w:ind w:left="480"/>
              <w:spacing w:after="0"/>
              <w:rPr>
                <w:sz w:val="20"/>
                <w:szCs w:val="20"/>
                <w:color w:val="auto"/>
              </w:rPr>
            </w:pPr>
            <w:r>
              <w:rPr>
                <w:rFonts w:ascii="Arial" w:cs="Arial" w:eastAsia="Arial" w:hAnsi="Arial"/>
                <w:sz w:val="18"/>
                <w:szCs w:val="18"/>
                <w:color w:val="auto"/>
              </w:rPr>
              <w:t>PA</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600" w:type="dxa"/>
            <w:vAlign w:val="bottom"/>
          </w:tcPr>
          <w:p>
            <w:pPr>
              <w:ind w:left="240"/>
              <w:spacing w:after="0"/>
              <w:rPr>
                <w:sz w:val="20"/>
                <w:szCs w:val="20"/>
                <w:color w:val="auto"/>
              </w:rPr>
            </w:pPr>
            <w:r>
              <w:rPr>
                <w:rFonts w:ascii="Arial" w:cs="Arial" w:eastAsia="Arial" w:hAnsi="Arial"/>
                <w:sz w:val="18"/>
                <w:szCs w:val="18"/>
                <w:color w:val="auto"/>
              </w:rPr>
              <w:t>Health Central</w:t>
            </w:r>
          </w:p>
        </w:tc>
        <w:tc>
          <w:tcPr>
            <w:tcW w:w="3020" w:type="dxa"/>
            <w:vAlign w:val="bottom"/>
          </w:tcPr>
          <w:p>
            <w:pPr>
              <w:ind w:left="1480"/>
              <w:spacing w:after="0"/>
              <w:rPr>
                <w:sz w:val="20"/>
                <w:szCs w:val="20"/>
                <w:color w:val="auto"/>
              </w:rPr>
            </w:pPr>
            <w:r>
              <w:rPr>
                <w:rFonts w:ascii="Arial" w:cs="Arial" w:eastAsia="Arial" w:hAnsi="Arial"/>
                <w:sz w:val="18"/>
                <w:szCs w:val="18"/>
                <w:color w:val="auto"/>
              </w:rPr>
              <w:t>Marsha Bommer</w:t>
            </w:r>
          </w:p>
        </w:tc>
        <w:tc>
          <w:tcPr>
            <w:tcW w:w="1840" w:type="dxa"/>
            <w:vAlign w:val="bottom"/>
          </w:tcPr>
          <w:p>
            <w:pPr>
              <w:ind w:left="160"/>
              <w:spacing w:after="0"/>
              <w:rPr>
                <w:sz w:val="20"/>
                <w:szCs w:val="20"/>
                <w:color w:val="auto"/>
              </w:rPr>
            </w:pPr>
            <w:r>
              <w:rPr>
                <w:rFonts w:ascii="Arial" w:cs="Arial" w:eastAsia="Arial" w:hAnsi="Arial"/>
                <w:sz w:val="18"/>
                <w:szCs w:val="18"/>
                <w:color w:val="auto"/>
              </w:rPr>
              <w:t>Ocoee</w:t>
            </w:r>
          </w:p>
        </w:tc>
        <w:tc>
          <w:tcPr>
            <w:tcW w:w="760" w:type="dxa"/>
            <w:vAlign w:val="bottom"/>
          </w:tcPr>
          <w:p>
            <w:pPr>
              <w:ind w:left="480"/>
              <w:spacing w:after="0"/>
              <w:rPr>
                <w:sz w:val="20"/>
                <w:szCs w:val="20"/>
                <w:color w:val="auto"/>
              </w:rPr>
            </w:pPr>
            <w:r>
              <w:rPr>
                <w:rFonts w:ascii="Arial" w:cs="Arial" w:eastAsia="Arial" w:hAnsi="Arial"/>
                <w:sz w:val="18"/>
                <w:szCs w:val="18"/>
                <w:color w:val="auto"/>
              </w:rPr>
              <w:t>FL</w:t>
            </w:r>
          </w:p>
        </w:tc>
      </w:t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600" w:type="dxa"/>
            <w:vAlign w:val="bottom"/>
          </w:tcPr>
          <w:p>
            <w:pPr>
              <w:ind w:left="240"/>
              <w:spacing w:after="0"/>
              <w:rPr>
                <w:sz w:val="20"/>
                <w:szCs w:val="20"/>
                <w:color w:val="auto"/>
              </w:rPr>
            </w:pPr>
            <w:r>
              <w:rPr>
                <w:rFonts w:ascii="Arial" w:cs="Arial" w:eastAsia="Arial" w:hAnsi="Arial"/>
                <w:sz w:val="18"/>
                <w:szCs w:val="18"/>
                <w:color w:val="auto"/>
              </w:rPr>
              <w:t>Health Center Northwest</w:t>
            </w:r>
          </w:p>
        </w:tc>
        <w:tc>
          <w:tcPr>
            <w:tcW w:w="3020" w:type="dxa"/>
            <w:vAlign w:val="bottom"/>
          </w:tcPr>
          <w:p>
            <w:pPr>
              <w:ind w:left="1480"/>
              <w:spacing w:after="0"/>
              <w:rPr>
                <w:sz w:val="20"/>
                <w:szCs w:val="20"/>
                <w:color w:val="auto"/>
              </w:rPr>
            </w:pPr>
            <w:r>
              <w:rPr>
                <w:rFonts w:ascii="Arial" w:cs="Arial" w:eastAsia="Arial" w:hAnsi="Arial"/>
                <w:sz w:val="18"/>
                <w:szCs w:val="18"/>
                <w:color w:val="auto"/>
              </w:rPr>
              <w:t>Trina Stivers</w:t>
            </w:r>
          </w:p>
        </w:tc>
        <w:tc>
          <w:tcPr>
            <w:tcW w:w="1840" w:type="dxa"/>
            <w:vAlign w:val="bottom"/>
          </w:tcPr>
          <w:p>
            <w:pPr>
              <w:ind w:left="160"/>
              <w:spacing w:after="0"/>
              <w:rPr>
                <w:sz w:val="20"/>
                <w:szCs w:val="20"/>
                <w:color w:val="auto"/>
              </w:rPr>
            </w:pPr>
            <w:r>
              <w:rPr>
                <w:rFonts w:ascii="Arial" w:cs="Arial" w:eastAsia="Arial" w:hAnsi="Arial"/>
                <w:sz w:val="18"/>
                <w:szCs w:val="18"/>
                <w:color w:val="auto"/>
              </w:rPr>
              <w:t>Kalispell</w:t>
            </w:r>
          </w:p>
        </w:tc>
        <w:tc>
          <w:tcPr>
            <w:tcW w:w="760" w:type="dxa"/>
            <w:vAlign w:val="bottom"/>
          </w:tcPr>
          <w:p>
            <w:pPr>
              <w:ind w:left="480"/>
              <w:spacing w:after="0"/>
              <w:rPr>
                <w:sz w:val="20"/>
                <w:szCs w:val="20"/>
                <w:color w:val="auto"/>
              </w:rPr>
            </w:pPr>
            <w:r>
              <w:rPr>
                <w:rFonts w:ascii="Arial" w:cs="Arial" w:eastAsia="Arial" w:hAnsi="Arial"/>
                <w:sz w:val="18"/>
                <w:szCs w:val="18"/>
                <w:color w:val="auto"/>
                <w:w w:val="99"/>
              </w:rPr>
              <w:t>MT</w:t>
            </w:r>
          </w:p>
        </w:tc>
      </w:tr>
    </w:tbl>
    <w:p>
      <w:pPr>
        <w:sectPr>
          <w:pgSz w:w="11900" w:h="16838" w:orient="portrait"/>
          <w:cols w:equalWidth="0" w:num="1">
            <w:col w:w="11140"/>
          </w:cols>
          <w:pgMar w:left="240" w:top="280" w:right="519" w:bottom="1440" w:gutter="0" w:footer="0" w:header="0"/>
        </w:sectPr>
      </w:pPr>
    </w:p>
    <w:bookmarkStart w:id="340" w:name="page341"/>
    <w:bookmarkEnd w:id="34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740" w:type="dxa"/>
            <w:vAlign w:val="bottom"/>
          </w:tcPr>
          <w:p>
            <w:pPr>
              <w:ind w:left="240"/>
              <w:spacing w:after="0"/>
              <w:rPr>
                <w:sz w:val="20"/>
                <w:szCs w:val="20"/>
                <w:color w:val="auto"/>
              </w:rPr>
            </w:pPr>
            <w:r>
              <w:rPr>
                <w:rFonts w:ascii="Arial" w:cs="Arial" w:eastAsia="Arial" w:hAnsi="Arial"/>
                <w:sz w:val="18"/>
                <w:szCs w:val="18"/>
                <w:color w:val="auto"/>
              </w:rPr>
              <w:t>Health South Surg of Jax</w:t>
            </w:r>
          </w:p>
        </w:tc>
        <w:tc>
          <w:tcPr>
            <w:tcW w:w="3440" w:type="dxa"/>
            <w:vAlign w:val="bottom"/>
          </w:tcPr>
          <w:p>
            <w:pPr>
              <w:ind w:left="2000"/>
              <w:spacing w:after="0"/>
              <w:rPr>
                <w:sz w:val="20"/>
                <w:szCs w:val="20"/>
                <w:color w:val="auto"/>
              </w:rPr>
            </w:pPr>
            <w:r>
              <w:rPr>
                <w:rFonts w:ascii="Arial" w:cs="Arial" w:eastAsia="Arial" w:hAnsi="Arial"/>
                <w:sz w:val="18"/>
                <w:szCs w:val="18"/>
                <w:color w:val="auto"/>
              </w:rPr>
              <w:t>Wendy</w:t>
            </w:r>
          </w:p>
        </w:tc>
        <w:tc>
          <w:tcPr>
            <w:tcW w:w="1560" w:type="dxa"/>
            <w:vAlign w:val="bottom"/>
          </w:tcPr>
          <w:p>
            <w:pPr>
              <w:ind w:left="60"/>
              <w:spacing w:after="0"/>
              <w:rPr>
                <w:sz w:val="20"/>
                <w:szCs w:val="20"/>
                <w:color w:val="auto"/>
              </w:rPr>
            </w:pPr>
            <w:r>
              <w:rPr>
                <w:rFonts w:ascii="Arial" w:cs="Arial" w:eastAsia="Arial" w:hAnsi="Arial"/>
                <w:sz w:val="18"/>
                <w:szCs w:val="18"/>
                <w:color w:val="auto"/>
              </w:rPr>
              <w:t>Jackson</w:t>
            </w:r>
          </w:p>
        </w:tc>
        <w:tc>
          <w:tcPr>
            <w:tcW w:w="700" w:type="dxa"/>
            <w:vAlign w:val="bottom"/>
          </w:tcPr>
          <w:p>
            <w:pPr>
              <w:ind w:left="420"/>
              <w:spacing w:after="0"/>
              <w:rPr>
                <w:sz w:val="20"/>
                <w:szCs w:val="20"/>
                <w:color w:val="auto"/>
              </w:rPr>
            </w:pPr>
            <w:r>
              <w:rPr>
                <w:rFonts w:ascii="Arial" w:cs="Arial" w:eastAsia="Arial" w:hAnsi="Arial"/>
                <w:sz w:val="18"/>
                <w:szCs w:val="18"/>
                <w:color w:val="auto"/>
                <w:w w:val="96"/>
              </w:rPr>
              <w:t>MS</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740" w:type="dxa"/>
            <w:vAlign w:val="bottom"/>
          </w:tcPr>
          <w:p>
            <w:pPr>
              <w:ind w:left="240"/>
              <w:spacing w:after="0"/>
              <w:rPr>
                <w:sz w:val="20"/>
                <w:szCs w:val="20"/>
                <w:color w:val="auto"/>
              </w:rPr>
            </w:pPr>
            <w:r>
              <w:rPr>
                <w:rFonts w:ascii="Arial" w:cs="Arial" w:eastAsia="Arial" w:hAnsi="Arial"/>
                <w:sz w:val="18"/>
                <w:szCs w:val="18"/>
                <w:color w:val="auto"/>
              </w:rPr>
              <w:t>HealthPark Hospital</w:t>
            </w:r>
          </w:p>
        </w:tc>
        <w:tc>
          <w:tcPr>
            <w:tcW w:w="3440" w:type="dxa"/>
            <w:vAlign w:val="bottom"/>
          </w:tcPr>
          <w:p>
            <w:pPr>
              <w:ind w:left="2000"/>
              <w:spacing w:after="0"/>
              <w:rPr>
                <w:sz w:val="20"/>
                <w:szCs w:val="20"/>
                <w:color w:val="auto"/>
              </w:rPr>
            </w:pPr>
            <w:r>
              <w:rPr>
                <w:rFonts w:ascii="Arial" w:cs="Arial" w:eastAsia="Arial" w:hAnsi="Arial"/>
                <w:sz w:val="18"/>
                <w:szCs w:val="18"/>
                <w:color w:val="auto"/>
              </w:rPr>
              <w:t>Chris Henson</w:t>
            </w:r>
          </w:p>
        </w:tc>
        <w:tc>
          <w:tcPr>
            <w:tcW w:w="1560" w:type="dxa"/>
            <w:vAlign w:val="bottom"/>
          </w:tcPr>
          <w:p>
            <w:pPr>
              <w:ind w:left="60"/>
              <w:spacing w:after="0"/>
              <w:rPr>
                <w:sz w:val="20"/>
                <w:szCs w:val="20"/>
                <w:color w:val="auto"/>
              </w:rPr>
            </w:pPr>
            <w:r>
              <w:rPr>
                <w:rFonts w:ascii="Arial" w:cs="Arial" w:eastAsia="Arial" w:hAnsi="Arial"/>
                <w:sz w:val="18"/>
                <w:szCs w:val="18"/>
                <w:color w:val="auto"/>
              </w:rPr>
              <w:t>Hot Springs</w:t>
            </w:r>
          </w:p>
        </w:tc>
        <w:tc>
          <w:tcPr>
            <w:tcW w:w="700" w:type="dxa"/>
            <w:vAlign w:val="bottom"/>
          </w:tcPr>
          <w:p>
            <w:pPr>
              <w:ind w:left="420"/>
              <w:spacing w:after="0"/>
              <w:rPr>
                <w:sz w:val="20"/>
                <w:szCs w:val="20"/>
                <w:color w:val="auto"/>
              </w:rPr>
            </w:pPr>
            <w:r>
              <w:rPr>
                <w:rFonts w:ascii="Arial" w:cs="Arial" w:eastAsia="Arial" w:hAnsi="Arial"/>
                <w:sz w:val="18"/>
                <w:szCs w:val="18"/>
                <w:color w:val="auto"/>
              </w:rPr>
              <w:t>AR</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740" w:type="dxa"/>
            <w:vAlign w:val="bottom"/>
          </w:tcPr>
          <w:p>
            <w:pPr>
              <w:ind w:left="240"/>
              <w:spacing w:after="0"/>
              <w:rPr>
                <w:sz w:val="20"/>
                <w:szCs w:val="20"/>
                <w:color w:val="auto"/>
              </w:rPr>
            </w:pPr>
            <w:r>
              <w:rPr>
                <w:rFonts w:ascii="Arial" w:cs="Arial" w:eastAsia="Arial" w:hAnsi="Arial"/>
                <w:sz w:val="18"/>
                <w:szCs w:val="18"/>
                <w:color w:val="auto"/>
              </w:rPr>
              <w:t>HealthSouth AlhaGBra SurgCtr</w:t>
            </w:r>
          </w:p>
        </w:tc>
        <w:tc>
          <w:tcPr>
            <w:tcW w:w="3440" w:type="dxa"/>
            <w:vAlign w:val="bottom"/>
          </w:tcPr>
          <w:p>
            <w:pPr>
              <w:ind w:left="2000"/>
              <w:spacing w:after="0"/>
              <w:rPr>
                <w:sz w:val="20"/>
                <w:szCs w:val="20"/>
                <w:color w:val="auto"/>
              </w:rPr>
            </w:pPr>
            <w:r>
              <w:rPr>
                <w:rFonts w:ascii="Arial" w:cs="Arial" w:eastAsia="Arial" w:hAnsi="Arial"/>
                <w:sz w:val="18"/>
                <w:szCs w:val="18"/>
                <w:color w:val="auto"/>
              </w:rPr>
              <w:t>GBrist LoGBoy</w:t>
            </w:r>
          </w:p>
        </w:tc>
        <w:tc>
          <w:tcPr>
            <w:tcW w:w="1560" w:type="dxa"/>
            <w:vAlign w:val="bottom"/>
          </w:tcPr>
          <w:p>
            <w:pPr>
              <w:ind w:left="60"/>
              <w:spacing w:after="0"/>
              <w:rPr>
                <w:sz w:val="20"/>
                <w:szCs w:val="20"/>
                <w:color w:val="auto"/>
              </w:rPr>
            </w:pPr>
            <w:r>
              <w:rPr>
                <w:rFonts w:ascii="Arial" w:cs="Arial" w:eastAsia="Arial" w:hAnsi="Arial"/>
                <w:sz w:val="18"/>
                <w:szCs w:val="18"/>
                <w:color w:val="auto"/>
              </w:rPr>
              <w:t>Sacramento</w:t>
            </w:r>
          </w:p>
        </w:tc>
        <w:tc>
          <w:tcPr>
            <w:tcW w:w="700" w:type="dxa"/>
            <w:vAlign w:val="bottom"/>
          </w:tcPr>
          <w:p>
            <w:pPr>
              <w:ind w:left="420"/>
              <w:spacing w:after="0"/>
              <w:rPr>
                <w:sz w:val="20"/>
                <w:szCs w:val="20"/>
                <w:color w:val="auto"/>
              </w:rPr>
            </w:pPr>
            <w:r>
              <w:rPr>
                <w:rFonts w:ascii="Arial" w:cs="Arial" w:eastAsia="Arial" w:hAnsi="Arial"/>
                <w:sz w:val="18"/>
                <w:szCs w:val="18"/>
                <w:color w:val="auto"/>
              </w:rPr>
              <w:t>CA</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740" w:type="dxa"/>
            <w:vAlign w:val="bottom"/>
          </w:tcPr>
          <w:p>
            <w:pPr>
              <w:ind w:left="240"/>
              <w:spacing w:after="0"/>
              <w:rPr>
                <w:sz w:val="20"/>
                <w:szCs w:val="20"/>
                <w:color w:val="auto"/>
              </w:rPr>
            </w:pPr>
            <w:r>
              <w:rPr>
                <w:rFonts w:ascii="Arial" w:cs="Arial" w:eastAsia="Arial" w:hAnsi="Arial"/>
                <w:sz w:val="18"/>
                <w:szCs w:val="18"/>
                <w:color w:val="auto"/>
              </w:rPr>
              <w:t>Healthsouth ChaRLotte</w:t>
            </w:r>
          </w:p>
        </w:tc>
        <w:tc>
          <w:tcPr>
            <w:tcW w:w="3440" w:type="dxa"/>
            <w:vAlign w:val="bottom"/>
          </w:tcPr>
          <w:p>
            <w:pPr>
              <w:ind w:left="2000"/>
              <w:spacing w:after="0"/>
              <w:rPr>
                <w:sz w:val="20"/>
                <w:szCs w:val="20"/>
                <w:color w:val="auto"/>
              </w:rPr>
            </w:pPr>
            <w:r>
              <w:rPr>
                <w:rFonts w:ascii="Arial" w:cs="Arial" w:eastAsia="Arial" w:hAnsi="Arial"/>
                <w:sz w:val="18"/>
                <w:szCs w:val="18"/>
                <w:color w:val="auto"/>
              </w:rPr>
              <w:t>Sue Simpson</w:t>
            </w:r>
          </w:p>
        </w:tc>
        <w:tc>
          <w:tcPr>
            <w:tcW w:w="1560" w:type="dxa"/>
            <w:vAlign w:val="bottom"/>
          </w:tcPr>
          <w:p>
            <w:pPr>
              <w:ind w:left="60"/>
              <w:spacing w:after="0"/>
              <w:rPr>
                <w:sz w:val="20"/>
                <w:szCs w:val="20"/>
                <w:color w:val="auto"/>
              </w:rPr>
            </w:pPr>
            <w:r>
              <w:rPr>
                <w:rFonts w:ascii="Arial" w:cs="Arial" w:eastAsia="Arial" w:hAnsi="Arial"/>
                <w:sz w:val="18"/>
                <w:szCs w:val="18"/>
                <w:color w:val="auto"/>
              </w:rPr>
              <w:t>ChaCJ SEotte</w:t>
            </w:r>
          </w:p>
        </w:tc>
        <w:tc>
          <w:tcPr>
            <w:tcW w:w="700" w:type="dxa"/>
            <w:vAlign w:val="bottom"/>
          </w:tcPr>
          <w:p>
            <w:pPr>
              <w:ind w:left="420"/>
              <w:spacing w:after="0"/>
              <w:rPr>
                <w:sz w:val="20"/>
                <w:szCs w:val="20"/>
                <w:color w:val="auto"/>
              </w:rPr>
            </w:pPr>
            <w:r>
              <w:rPr>
                <w:rFonts w:ascii="Arial" w:cs="Arial" w:eastAsia="Arial" w:hAnsi="Arial"/>
                <w:sz w:val="18"/>
                <w:szCs w:val="18"/>
                <w:color w:val="auto"/>
                <w:w w:val="99"/>
              </w:rPr>
              <w:t>NC</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740" w:type="dxa"/>
            <w:vAlign w:val="bottom"/>
          </w:tcPr>
          <w:p>
            <w:pPr>
              <w:ind w:left="240"/>
              <w:spacing w:after="0"/>
              <w:rPr>
                <w:sz w:val="20"/>
                <w:szCs w:val="20"/>
                <w:color w:val="auto"/>
              </w:rPr>
            </w:pPr>
            <w:r>
              <w:rPr>
                <w:rFonts w:ascii="Arial" w:cs="Arial" w:eastAsia="Arial" w:hAnsi="Arial"/>
                <w:sz w:val="18"/>
                <w:szCs w:val="18"/>
                <w:color w:val="auto"/>
              </w:rPr>
              <w:t>HealthSouth Surgery Center</w:t>
            </w:r>
          </w:p>
        </w:tc>
        <w:tc>
          <w:tcPr>
            <w:tcW w:w="3440" w:type="dxa"/>
            <w:vAlign w:val="bottom"/>
          </w:tcPr>
          <w:p>
            <w:pPr>
              <w:ind w:left="2000"/>
              <w:spacing w:after="0"/>
              <w:rPr>
                <w:sz w:val="20"/>
                <w:szCs w:val="20"/>
                <w:color w:val="auto"/>
              </w:rPr>
            </w:pPr>
            <w:r>
              <w:rPr>
                <w:rFonts w:ascii="Arial" w:cs="Arial" w:eastAsia="Arial" w:hAnsi="Arial"/>
                <w:sz w:val="18"/>
                <w:szCs w:val="18"/>
                <w:color w:val="auto"/>
              </w:rPr>
              <w:t>John C.</w:t>
            </w:r>
          </w:p>
        </w:tc>
        <w:tc>
          <w:tcPr>
            <w:tcW w:w="1560" w:type="dxa"/>
            <w:vAlign w:val="bottom"/>
          </w:tcPr>
          <w:p>
            <w:pPr>
              <w:ind w:left="60"/>
              <w:spacing w:after="0"/>
              <w:rPr>
                <w:sz w:val="20"/>
                <w:szCs w:val="20"/>
                <w:color w:val="auto"/>
              </w:rPr>
            </w:pPr>
            <w:r>
              <w:rPr>
                <w:rFonts w:ascii="Arial" w:cs="Arial" w:eastAsia="Arial" w:hAnsi="Arial"/>
                <w:sz w:val="18"/>
                <w:szCs w:val="18"/>
                <w:color w:val="auto"/>
              </w:rPr>
              <w:t>Lexington</w:t>
            </w:r>
          </w:p>
        </w:tc>
        <w:tc>
          <w:tcPr>
            <w:tcW w:w="700" w:type="dxa"/>
            <w:vAlign w:val="bottom"/>
          </w:tcPr>
          <w:p>
            <w:pPr>
              <w:ind w:left="420"/>
              <w:spacing w:after="0"/>
              <w:rPr>
                <w:sz w:val="20"/>
                <w:szCs w:val="20"/>
                <w:color w:val="auto"/>
              </w:rPr>
            </w:pPr>
            <w:r>
              <w:rPr>
                <w:rFonts w:ascii="Arial" w:cs="Arial" w:eastAsia="Arial" w:hAnsi="Arial"/>
                <w:sz w:val="18"/>
                <w:szCs w:val="18"/>
                <w:color w:val="auto"/>
              </w:rPr>
              <w:t>KY</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740" w:type="dxa"/>
            <w:vAlign w:val="bottom"/>
          </w:tcPr>
          <w:p>
            <w:pPr>
              <w:ind w:left="240"/>
              <w:spacing w:after="0"/>
              <w:rPr>
                <w:sz w:val="20"/>
                <w:szCs w:val="20"/>
                <w:color w:val="auto"/>
              </w:rPr>
            </w:pPr>
            <w:r>
              <w:rPr>
                <w:rFonts w:ascii="Arial" w:cs="Arial" w:eastAsia="Arial" w:hAnsi="Arial"/>
                <w:sz w:val="18"/>
                <w:szCs w:val="18"/>
                <w:color w:val="auto"/>
              </w:rPr>
              <w:t>Heartland Regional Medical Center</w:t>
            </w:r>
          </w:p>
        </w:tc>
        <w:tc>
          <w:tcPr>
            <w:tcW w:w="3440" w:type="dxa"/>
            <w:vAlign w:val="bottom"/>
          </w:tcPr>
          <w:p>
            <w:pPr>
              <w:ind w:left="2000"/>
              <w:spacing w:after="0"/>
              <w:rPr>
                <w:sz w:val="20"/>
                <w:szCs w:val="20"/>
                <w:color w:val="auto"/>
              </w:rPr>
            </w:pPr>
            <w:r>
              <w:rPr>
                <w:rFonts w:ascii="Arial" w:cs="Arial" w:eastAsia="Arial" w:hAnsi="Arial"/>
                <w:sz w:val="18"/>
                <w:szCs w:val="18"/>
                <w:color w:val="auto"/>
              </w:rPr>
              <w:t>Linda Whitsell</w:t>
            </w:r>
          </w:p>
        </w:tc>
        <w:tc>
          <w:tcPr>
            <w:tcW w:w="1560" w:type="dxa"/>
            <w:vAlign w:val="bottom"/>
          </w:tcPr>
          <w:p>
            <w:pPr>
              <w:ind w:left="60"/>
              <w:spacing w:after="0"/>
              <w:rPr>
                <w:sz w:val="20"/>
                <w:szCs w:val="20"/>
                <w:color w:val="auto"/>
              </w:rPr>
            </w:pPr>
            <w:r>
              <w:rPr>
                <w:rFonts w:ascii="Arial" w:cs="Arial" w:eastAsia="Arial" w:hAnsi="Arial"/>
                <w:sz w:val="18"/>
                <w:szCs w:val="18"/>
                <w:color w:val="auto"/>
              </w:rPr>
              <w:t>St. Joseph</w:t>
            </w:r>
          </w:p>
        </w:tc>
        <w:tc>
          <w:tcPr>
            <w:tcW w:w="700" w:type="dxa"/>
            <w:vAlign w:val="bottom"/>
          </w:tcPr>
          <w:p>
            <w:pPr>
              <w:ind w:left="420"/>
              <w:spacing w:after="0"/>
              <w:rPr>
                <w:sz w:val="20"/>
                <w:szCs w:val="20"/>
                <w:color w:val="auto"/>
              </w:rPr>
            </w:pPr>
            <w:r>
              <w:rPr>
                <w:rFonts w:ascii="Arial" w:cs="Arial" w:eastAsia="Arial" w:hAnsi="Arial"/>
                <w:sz w:val="18"/>
                <w:szCs w:val="18"/>
                <w:color w:val="auto"/>
                <w:w w:val="89"/>
              </w:rPr>
              <w:t>MO</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740" w:type="dxa"/>
            <w:vAlign w:val="bottom"/>
          </w:tcPr>
          <w:p>
            <w:pPr>
              <w:ind w:left="240"/>
              <w:spacing w:after="0"/>
              <w:rPr>
                <w:sz w:val="20"/>
                <w:szCs w:val="20"/>
                <w:color w:val="auto"/>
              </w:rPr>
            </w:pPr>
            <w:r>
              <w:rPr>
                <w:rFonts w:ascii="Arial" w:cs="Arial" w:eastAsia="Arial" w:hAnsi="Arial"/>
                <w:sz w:val="18"/>
                <w:szCs w:val="18"/>
                <w:color w:val="auto"/>
              </w:rPr>
              <w:t>Hemet Valley Medical Center</w:t>
            </w:r>
          </w:p>
        </w:tc>
        <w:tc>
          <w:tcPr>
            <w:tcW w:w="3440" w:type="dxa"/>
            <w:vAlign w:val="bottom"/>
          </w:tcPr>
          <w:p>
            <w:pPr>
              <w:ind w:left="2000"/>
              <w:spacing w:after="0"/>
              <w:rPr>
                <w:sz w:val="20"/>
                <w:szCs w:val="20"/>
                <w:color w:val="auto"/>
              </w:rPr>
            </w:pPr>
            <w:r>
              <w:rPr>
                <w:rFonts w:ascii="Arial" w:cs="Arial" w:eastAsia="Arial" w:hAnsi="Arial"/>
                <w:sz w:val="18"/>
                <w:szCs w:val="18"/>
                <w:color w:val="auto"/>
              </w:rPr>
              <w:t>Lisa Dew</w:t>
            </w:r>
          </w:p>
        </w:tc>
        <w:tc>
          <w:tcPr>
            <w:tcW w:w="1560" w:type="dxa"/>
            <w:vAlign w:val="bottom"/>
          </w:tcPr>
          <w:p>
            <w:pPr>
              <w:ind w:left="60"/>
              <w:spacing w:after="0"/>
              <w:rPr>
                <w:sz w:val="20"/>
                <w:szCs w:val="20"/>
                <w:color w:val="auto"/>
              </w:rPr>
            </w:pPr>
            <w:r>
              <w:rPr>
                <w:rFonts w:ascii="Arial" w:cs="Arial" w:eastAsia="Arial" w:hAnsi="Arial"/>
                <w:sz w:val="18"/>
                <w:szCs w:val="18"/>
                <w:color w:val="auto"/>
              </w:rPr>
              <w:t>Hemet</w:t>
            </w:r>
          </w:p>
        </w:tc>
        <w:tc>
          <w:tcPr>
            <w:tcW w:w="700" w:type="dxa"/>
            <w:vAlign w:val="bottom"/>
          </w:tcPr>
          <w:p>
            <w:pPr>
              <w:ind w:left="420"/>
              <w:spacing w:after="0"/>
              <w:rPr>
                <w:sz w:val="20"/>
                <w:szCs w:val="20"/>
                <w:color w:val="auto"/>
              </w:rPr>
            </w:pPr>
            <w:r>
              <w:rPr>
                <w:rFonts w:ascii="Arial" w:cs="Arial" w:eastAsia="Arial" w:hAnsi="Arial"/>
                <w:sz w:val="18"/>
                <w:szCs w:val="18"/>
                <w:color w:val="auto"/>
              </w:rPr>
              <w:t>CA</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740" w:type="dxa"/>
            <w:vAlign w:val="bottom"/>
          </w:tcPr>
          <w:p>
            <w:pPr>
              <w:ind w:left="240"/>
              <w:spacing w:after="0"/>
              <w:rPr>
                <w:sz w:val="20"/>
                <w:szCs w:val="20"/>
                <w:color w:val="auto"/>
              </w:rPr>
            </w:pPr>
            <w:r>
              <w:rPr>
                <w:rFonts w:ascii="Arial" w:cs="Arial" w:eastAsia="Arial" w:hAnsi="Arial"/>
                <w:sz w:val="18"/>
                <w:szCs w:val="18"/>
                <w:color w:val="auto"/>
              </w:rPr>
              <w:t>Henry Ford Macomb</w:t>
            </w:r>
          </w:p>
        </w:tc>
        <w:tc>
          <w:tcPr>
            <w:tcW w:w="3440" w:type="dxa"/>
            <w:vAlign w:val="bottom"/>
          </w:tcPr>
          <w:p>
            <w:pPr>
              <w:ind w:left="2000"/>
              <w:spacing w:after="0"/>
              <w:rPr>
                <w:sz w:val="20"/>
                <w:szCs w:val="20"/>
                <w:color w:val="auto"/>
              </w:rPr>
            </w:pPr>
            <w:r>
              <w:rPr>
                <w:rFonts w:ascii="Arial" w:cs="Arial" w:eastAsia="Arial" w:hAnsi="Arial"/>
                <w:sz w:val="18"/>
                <w:szCs w:val="18"/>
                <w:color w:val="auto"/>
              </w:rPr>
              <w:t>Joseph Bertrum</w:t>
            </w:r>
          </w:p>
        </w:tc>
        <w:tc>
          <w:tcPr>
            <w:tcW w:w="1560" w:type="dxa"/>
            <w:vAlign w:val="bottom"/>
          </w:tcPr>
          <w:p>
            <w:pPr>
              <w:ind w:left="60"/>
              <w:spacing w:after="0"/>
              <w:rPr>
                <w:sz w:val="20"/>
                <w:szCs w:val="20"/>
                <w:color w:val="auto"/>
              </w:rPr>
            </w:pPr>
            <w:r>
              <w:rPr>
                <w:rFonts w:ascii="Arial" w:cs="Arial" w:eastAsia="Arial" w:hAnsi="Arial"/>
                <w:sz w:val="18"/>
                <w:szCs w:val="18"/>
                <w:color w:val="auto"/>
              </w:rPr>
              <w:t>Township</w:t>
            </w:r>
          </w:p>
        </w:tc>
        <w:tc>
          <w:tcPr>
            <w:tcW w:w="700" w:type="dxa"/>
            <w:vAlign w:val="bottom"/>
          </w:tcPr>
          <w:p>
            <w:pPr>
              <w:ind w:left="420"/>
              <w:spacing w:after="0"/>
              <w:rPr>
                <w:sz w:val="20"/>
                <w:szCs w:val="20"/>
                <w:color w:val="auto"/>
              </w:rPr>
            </w:pPr>
            <w:r>
              <w:rPr>
                <w:rFonts w:ascii="Arial" w:cs="Arial" w:eastAsia="Arial" w:hAnsi="Arial"/>
                <w:sz w:val="18"/>
                <w:szCs w:val="18"/>
                <w:color w:val="auto"/>
              </w:rPr>
              <w:t>MI</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740" w:type="dxa"/>
            <w:vAlign w:val="bottom"/>
          </w:tcPr>
          <w:p>
            <w:pPr>
              <w:ind w:left="240"/>
              <w:spacing w:after="0"/>
              <w:rPr>
                <w:sz w:val="20"/>
                <w:szCs w:val="20"/>
                <w:color w:val="auto"/>
              </w:rPr>
            </w:pPr>
            <w:r>
              <w:rPr>
                <w:rFonts w:ascii="Arial" w:cs="Arial" w:eastAsia="Arial" w:hAnsi="Arial"/>
                <w:sz w:val="18"/>
                <w:szCs w:val="18"/>
                <w:color w:val="auto"/>
              </w:rPr>
              <w:t>Hiawatha Community Hospital</w:t>
            </w:r>
          </w:p>
        </w:tc>
        <w:tc>
          <w:tcPr>
            <w:tcW w:w="3440" w:type="dxa"/>
            <w:vAlign w:val="bottom"/>
          </w:tcPr>
          <w:p>
            <w:pPr>
              <w:ind w:left="2000"/>
              <w:spacing w:after="0"/>
              <w:rPr>
                <w:sz w:val="20"/>
                <w:szCs w:val="20"/>
                <w:color w:val="auto"/>
              </w:rPr>
            </w:pPr>
            <w:r>
              <w:rPr>
                <w:rFonts w:ascii="Arial" w:cs="Arial" w:eastAsia="Arial" w:hAnsi="Arial"/>
                <w:sz w:val="18"/>
                <w:szCs w:val="18"/>
                <w:color w:val="auto"/>
              </w:rPr>
              <w:t>Ronna Boltz</w:t>
            </w:r>
          </w:p>
        </w:tc>
        <w:tc>
          <w:tcPr>
            <w:tcW w:w="1560" w:type="dxa"/>
            <w:vAlign w:val="bottom"/>
          </w:tcPr>
          <w:p>
            <w:pPr>
              <w:ind w:left="60"/>
              <w:spacing w:after="0"/>
              <w:rPr>
                <w:sz w:val="20"/>
                <w:szCs w:val="20"/>
                <w:color w:val="auto"/>
              </w:rPr>
            </w:pPr>
            <w:r>
              <w:rPr>
                <w:rFonts w:ascii="Arial" w:cs="Arial" w:eastAsia="Arial" w:hAnsi="Arial"/>
                <w:sz w:val="18"/>
                <w:szCs w:val="18"/>
                <w:color w:val="auto"/>
              </w:rPr>
              <w:t>Hiawatha</w:t>
            </w:r>
          </w:p>
        </w:tc>
        <w:tc>
          <w:tcPr>
            <w:tcW w:w="700" w:type="dxa"/>
            <w:vAlign w:val="bottom"/>
          </w:tcPr>
          <w:p>
            <w:pPr>
              <w:ind w:left="420"/>
              <w:spacing w:after="0"/>
              <w:rPr>
                <w:sz w:val="20"/>
                <w:szCs w:val="20"/>
                <w:color w:val="auto"/>
              </w:rPr>
            </w:pPr>
            <w:r>
              <w:rPr>
                <w:rFonts w:ascii="Arial" w:cs="Arial" w:eastAsia="Arial" w:hAnsi="Arial"/>
                <w:sz w:val="18"/>
                <w:szCs w:val="18"/>
                <w:color w:val="auto"/>
              </w:rPr>
              <w:t>KS</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740" w:type="dxa"/>
            <w:vAlign w:val="bottom"/>
          </w:tcPr>
          <w:p>
            <w:pPr>
              <w:ind w:left="240"/>
              <w:spacing w:after="0"/>
              <w:rPr>
                <w:sz w:val="20"/>
                <w:szCs w:val="20"/>
                <w:color w:val="auto"/>
              </w:rPr>
            </w:pPr>
            <w:r>
              <w:rPr>
                <w:rFonts w:ascii="Arial" w:cs="Arial" w:eastAsia="Arial" w:hAnsi="Arial"/>
                <w:sz w:val="18"/>
                <w:szCs w:val="18"/>
                <w:color w:val="auto"/>
              </w:rPr>
              <w:t>Holmes Regional</w:t>
            </w:r>
          </w:p>
        </w:tc>
        <w:tc>
          <w:tcPr>
            <w:tcW w:w="3440" w:type="dxa"/>
            <w:vAlign w:val="bottom"/>
          </w:tcPr>
          <w:p>
            <w:pPr>
              <w:ind w:left="2000"/>
              <w:spacing w:after="0"/>
              <w:rPr>
                <w:sz w:val="20"/>
                <w:szCs w:val="20"/>
                <w:color w:val="auto"/>
              </w:rPr>
            </w:pPr>
            <w:r>
              <w:rPr>
                <w:rFonts w:ascii="Arial" w:cs="Arial" w:eastAsia="Arial" w:hAnsi="Arial"/>
                <w:sz w:val="18"/>
                <w:szCs w:val="18"/>
                <w:color w:val="auto"/>
              </w:rPr>
              <w:t>Brenda Rivera</w:t>
            </w:r>
          </w:p>
        </w:tc>
        <w:tc>
          <w:tcPr>
            <w:tcW w:w="1560" w:type="dxa"/>
            <w:vAlign w:val="bottom"/>
          </w:tcPr>
          <w:p>
            <w:pPr>
              <w:ind w:left="60"/>
              <w:spacing w:after="0"/>
              <w:rPr>
                <w:sz w:val="20"/>
                <w:szCs w:val="20"/>
                <w:color w:val="auto"/>
              </w:rPr>
            </w:pPr>
            <w:r>
              <w:rPr>
                <w:rFonts w:ascii="Arial" w:cs="Arial" w:eastAsia="Arial" w:hAnsi="Arial"/>
                <w:sz w:val="18"/>
                <w:szCs w:val="18"/>
                <w:color w:val="auto"/>
              </w:rPr>
              <w:t>Melbourne</w:t>
            </w:r>
          </w:p>
        </w:tc>
        <w:tc>
          <w:tcPr>
            <w:tcW w:w="700" w:type="dxa"/>
            <w:vAlign w:val="bottom"/>
          </w:tcPr>
          <w:p>
            <w:pPr>
              <w:ind w:left="420"/>
              <w:spacing w:after="0"/>
              <w:rPr>
                <w:sz w:val="20"/>
                <w:szCs w:val="20"/>
                <w:color w:val="auto"/>
              </w:rPr>
            </w:pPr>
            <w:r>
              <w:rPr>
                <w:rFonts w:ascii="Arial" w:cs="Arial" w:eastAsia="Arial" w:hAnsi="Arial"/>
                <w:sz w:val="18"/>
                <w:szCs w:val="18"/>
                <w:color w:val="auto"/>
              </w:rPr>
              <w:t>FL</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740" w:type="dxa"/>
            <w:vAlign w:val="bottom"/>
          </w:tcPr>
          <w:p>
            <w:pPr>
              <w:ind w:left="240"/>
              <w:spacing w:after="0"/>
              <w:rPr>
                <w:sz w:val="20"/>
                <w:szCs w:val="20"/>
                <w:color w:val="auto"/>
              </w:rPr>
            </w:pPr>
            <w:r>
              <w:rPr>
                <w:rFonts w:ascii="Arial" w:cs="Arial" w:eastAsia="Arial" w:hAnsi="Arial"/>
                <w:sz w:val="18"/>
                <w:szCs w:val="18"/>
                <w:color w:val="auto"/>
              </w:rPr>
              <w:t>Holy Family</w:t>
            </w:r>
          </w:p>
        </w:tc>
        <w:tc>
          <w:tcPr>
            <w:tcW w:w="3440" w:type="dxa"/>
            <w:vAlign w:val="bottom"/>
          </w:tcPr>
          <w:p>
            <w:pPr>
              <w:ind w:left="2000"/>
              <w:spacing w:after="0"/>
              <w:rPr>
                <w:sz w:val="20"/>
                <w:szCs w:val="20"/>
                <w:color w:val="auto"/>
              </w:rPr>
            </w:pPr>
            <w:r>
              <w:rPr>
                <w:rFonts w:ascii="Arial" w:cs="Arial" w:eastAsia="Arial" w:hAnsi="Arial"/>
                <w:sz w:val="18"/>
                <w:szCs w:val="18"/>
                <w:color w:val="auto"/>
              </w:rPr>
              <w:t>Lisa Sherman</w:t>
            </w:r>
          </w:p>
        </w:tc>
        <w:tc>
          <w:tcPr>
            <w:tcW w:w="1560" w:type="dxa"/>
            <w:vAlign w:val="bottom"/>
          </w:tcPr>
          <w:p>
            <w:pPr>
              <w:ind w:left="60"/>
              <w:spacing w:after="0"/>
              <w:rPr>
                <w:sz w:val="20"/>
                <w:szCs w:val="20"/>
                <w:color w:val="auto"/>
              </w:rPr>
            </w:pPr>
            <w:r>
              <w:rPr>
                <w:rFonts w:ascii="Arial" w:cs="Arial" w:eastAsia="Arial" w:hAnsi="Arial"/>
                <w:sz w:val="18"/>
                <w:szCs w:val="18"/>
                <w:color w:val="auto"/>
              </w:rPr>
              <w:t>Manitowoc</w:t>
            </w:r>
          </w:p>
        </w:tc>
        <w:tc>
          <w:tcPr>
            <w:tcW w:w="700" w:type="dxa"/>
            <w:vAlign w:val="bottom"/>
          </w:tcPr>
          <w:p>
            <w:pPr>
              <w:ind w:left="420"/>
              <w:spacing w:after="0"/>
              <w:rPr>
                <w:sz w:val="20"/>
                <w:szCs w:val="20"/>
                <w:color w:val="auto"/>
              </w:rPr>
            </w:pPr>
            <w:r>
              <w:rPr>
                <w:rFonts w:ascii="Arial" w:cs="Arial" w:eastAsia="Arial" w:hAnsi="Arial"/>
                <w:sz w:val="18"/>
                <w:szCs w:val="18"/>
                <w:color w:val="auto"/>
              </w:rPr>
              <w:t>WI</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740" w:type="dxa"/>
            <w:vAlign w:val="bottom"/>
          </w:tcPr>
          <w:p>
            <w:pPr>
              <w:ind w:left="240"/>
              <w:spacing w:after="0"/>
              <w:rPr>
                <w:sz w:val="20"/>
                <w:szCs w:val="20"/>
                <w:color w:val="auto"/>
              </w:rPr>
            </w:pPr>
            <w:r>
              <w:rPr>
                <w:rFonts w:ascii="Arial" w:cs="Arial" w:eastAsia="Arial" w:hAnsi="Arial"/>
                <w:sz w:val="18"/>
                <w:szCs w:val="18"/>
                <w:color w:val="auto"/>
              </w:rPr>
              <w:t>Holy Name Hospital</w:t>
            </w:r>
          </w:p>
        </w:tc>
        <w:tc>
          <w:tcPr>
            <w:tcW w:w="3440" w:type="dxa"/>
            <w:vAlign w:val="bottom"/>
          </w:tcPr>
          <w:p>
            <w:pPr>
              <w:ind w:left="2000"/>
              <w:spacing w:after="0"/>
              <w:rPr>
                <w:sz w:val="20"/>
                <w:szCs w:val="20"/>
                <w:color w:val="auto"/>
              </w:rPr>
            </w:pPr>
            <w:r>
              <w:rPr>
                <w:rFonts w:ascii="Arial" w:cs="Arial" w:eastAsia="Arial" w:hAnsi="Arial"/>
                <w:sz w:val="18"/>
                <w:szCs w:val="18"/>
                <w:color w:val="auto"/>
              </w:rPr>
              <w:t>Nick Fava</w:t>
            </w:r>
          </w:p>
        </w:tc>
        <w:tc>
          <w:tcPr>
            <w:tcW w:w="1560" w:type="dxa"/>
            <w:vAlign w:val="bottom"/>
          </w:tcPr>
          <w:p>
            <w:pPr>
              <w:ind w:left="60"/>
              <w:spacing w:after="0"/>
              <w:rPr>
                <w:sz w:val="20"/>
                <w:szCs w:val="20"/>
                <w:color w:val="auto"/>
              </w:rPr>
            </w:pPr>
            <w:r>
              <w:rPr>
                <w:rFonts w:ascii="Arial" w:cs="Arial" w:eastAsia="Arial" w:hAnsi="Arial"/>
                <w:sz w:val="18"/>
                <w:szCs w:val="18"/>
                <w:color w:val="auto"/>
              </w:rPr>
              <w:t>Teaneck</w:t>
            </w:r>
          </w:p>
        </w:tc>
        <w:tc>
          <w:tcPr>
            <w:tcW w:w="700" w:type="dxa"/>
            <w:vAlign w:val="bottom"/>
          </w:tcPr>
          <w:p>
            <w:pPr>
              <w:ind w:left="420"/>
              <w:spacing w:after="0"/>
              <w:rPr>
                <w:sz w:val="20"/>
                <w:szCs w:val="20"/>
                <w:color w:val="auto"/>
              </w:rPr>
            </w:pPr>
            <w:r>
              <w:rPr>
                <w:rFonts w:ascii="Arial" w:cs="Arial" w:eastAsia="Arial" w:hAnsi="Arial"/>
                <w:sz w:val="18"/>
                <w:szCs w:val="18"/>
                <w:color w:val="auto"/>
              </w:rPr>
              <w:t>NJ</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740" w:type="dxa"/>
            <w:vAlign w:val="bottom"/>
          </w:tcPr>
          <w:p>
            <w:pPr>
              <w:ind w:left="240"/>
              <w:spacing w:after="0"/>
              <w:rPr>
                <w:sz w:val="20"/>
                <w:szCs w:val="20"/>
                <w:color w:val="auto"/>
              </w:rPr>
            </w:pPr>
            <w:r>
              <w:rPr>
                <w:rFonts w:ascii="Arial" w:cs="Arial" w:eastAsia="Arial" w:hAnsi="Arial"/>
                <w:sz w:val="18"/>
                <w:szCs w:val="18"/>
                <w:color w:val="auto"/>
              </w:rPr>
              <w:t>Holy Redeemer</w:t>
            </w:r>
          </w:p>
        </w:tc>
        <w:tc>
          <w:tcPr>
            <w:tcW w:w="3440" w:type="dxa"/>
            <w:vAlign w:val="bottom"/>
          </w:tcPr>
          <w:p>
            <w:pPr>
              <w:ind w:left="2000"/>
              <w:spacing w:after="0"/>
              <w:rPr>
                <w:sz w:val="20"/>
                <w:szCs w:val="20"/>
                <w:color w:val="auto"/>
              </w:rPr>
            </w:pPr>
            <w:r>
              <w:rPr>
                <w:rFonts w:ascii="Arial" w:cs="Arial" w:eastAsia="Arial" w:hAnsi="Arial"/>
                <w:sz w:val="18"/>
                <w:szCs w:val="18"/>
                <w:color w:val="auto"/>
                <w:w w:val="90"/>
              </w:rPr>
              <w:t>Suzanne Merryman</w:t>
            </w:r>
          </w:p>
        </w:tc>
        <w:tc>
          <w:tcPr>
            <w:tcW w:w="1560" w:type="dxa"/>
            <w:vAlign w:val="bottom"/>
          </w:tcPr>
          <w:p>
            <w:pPr>
              <w:ind w:left="60"/>
              <w:spacing w:after="0"/>
              <w:rPr>
                <w:sz w:val="20"/>
                <w:szCs w:val="20"/>
                <w:color w:val="auto"/>
              </w:rPr>
            </w:pPr>
            <w:r>
              <w:rPr>
                <w:rFonts w:ascii="Arial" w:cs="Arial" w:eastAsia="Arial" w:hAnsi="Arial"/>
                <w:sz w:val="18"/>
                <w:szCs w:val="18"/>
                <w:color w:val="auto"/>
              </w:rPr>
              <w:t>Meadowbrook</w:t>
            </w:r>
          </w:p>
        </w:tc>
        <w:tc>
          <w:tcPr>
            <w:tcW w:w="700" w:type="dxa"/>
            <w:vAlign w:val="bottom"/>
          </w:tcPr>
          <w:p>
            <w:pPr>
              <w:ind w:left="420"/>
              <w:spacing w:after="0"/>
              <w:rPr>
                <w:sz w:val="20"/>
                <w:szCs w:val="20"/>
                <w:color w:val="auto"/>
              </w:rPr>
            </w:pPr>
            <w:r>
              <w:rPr>
                <w:rFonts w:ascii="Arial" w:cs="Arial" w:eastAsia="Arial" w:hAnsi="Arial"/>
                <w:sz w:val="18"/>
                <w:szCs w:val="18"/>
                <w:color w:val="auto"/>
              </w:rPr>
              <w:t>PA</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740" w:type="dxa"/>
            <w:vAlign w:val="bottom"/>
          </w:tcPr>
          <w:p>
            <w:pPr>
              <w:ind w:left="240"/>
              <w:spacing w:after="0"/>
              <w:rPr>
                <w:sz w:val="20"/>
                <w:szCs w:val="20"/>
                <w:color w:val="auto"/>
              </w:rPr>
            </w:pPr>
            <w:r>
              <w:rPr>
                <w:rFonts w:ascii="Arial" w:cs="Arial" w:eastAsia="Arial" w:hAnsi="Arial"/>
                <w:sz w:val="18"/>
                <w:szCs w:val="18"/>
                <w:color w:val="auto"/>
              </w:rPr>
              <w:t>Holy Spirit</w:t>
            </w:r>
          </w:p>
        </w:tc>
        <w:tc>
          <w:tcPr>
            <w:tcW w:w="3440" w:type="dxa"/>
            <w:vAlign w:val="bottom"/>
          </w:tcPr>
          <w:p>
            <w:pPr>
              <w:ind w:left="2000"/>
              <w:spacing w:after="0"/>
              <w:rPr>
                <w:sz w:val="20"/>
                <w:szCs w:val="20"/>
                <w:color w:val="auto"/>
              </w:rPr>
            </w:pPr>
            <w:r>
              <w:rPr>
                <w:rFonts w:ascii="Arial" w:cs="Arial" w:eastAsia="Arial" w:hAnsi="Arial"/>
                <w:sz w:val="18"/>
                <w:szCs w:val="18"/>
                <w:color w:val="auto"/>
              </w:rPr>
              <w:t>Jim Fisher</w:t>
            </w:r>
          </w:p>
        </w:tc>
        <w:tc>
          <w:tcPr>
            <w:tcW w:w="1560" w:type="dxa"/>
            <w:vAlign w:val="bottom"/>
          </w:tcPr>
          <w:p>
            <w:pPr>
              <w:ind w:left="60"/>
              <w:spacing w:after="0"/>
              <w:rPr>
                <w:sz w:val="20"/>
                <w:szCs w:val="20"/>
                <w:color w:val="auto"/>
              </w:rPr>
            </w:pPr>
            <w:r>
              <w:rPr>
                <w:rFonts w:ascii="Arial" w:cs="Arial" w:eastAsia="Arial" w:hAnsi="Arial"/>
                <w:sz w:val="18"/>
                <w:szCs w:val="18"/>
                <w:color w:val="auto"/>
              </w:rPr>
              <w:t>Camp Hill</w:t>
            </w:r>
          </w:p>
        </w:tc>
        <w:tc>
          <w:tcPr>
            <w:tcW w:w="700" w:type="dxa"/>
            <w:vAlign w:val="bottom"/>
          </w:tcPr>
          <w:p>
            <w:pPr>
              <w:ind w:left="420"/>
              <w:spacing w:after="0"/>
              <w:rPr>
                <w:sz w:val="20"/>
                <w:szCs w:val="20"/>
                <w:color w:val="auto"/>
              </w:rPr>
            </w:pPr>
            <w:r>
              <w:rPr>
                <w:rFonts w:ascii="Arial" w:cs="Arial" w:eastAsia="Arial" w:hAnsi="Arial"/>
                <w:sz w:val="18"/>
                <w:szCs w:val="18"/>
                <w:color w:val="auto"/>
              </w:rPr>
              <w:t>PA</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740" w:type="dxa"/>
            <w:vAlign w:val="bottom"/>
          </w:tcPr>
          <w:p>
            <w:pPr>
              <w:ind w:left="240"/>
              <w:spacing w:after="0"/>
              <w:rPr>
                <w:sz w:val="20"/>
                <w:szCs w:val="20"/>
                <w:color w:val="auto"/>
              </w:rPr>
            </w:pPr>
            <w:r>
              <w:rPr>
                <w:rFonts w:ascii="Arial" w:cs="Arial" w:eastAsia="Arial" w:hAnsi="Arial"/>
                <w:sz w:val="18"/>
                <w:szCs w:val="18"/>
                <w:color w:val="auto"/>
              </w:rPr>
              <w:t>Ingham Regional Medical Center</w:t>
            </w:r>
          </w:p>
        </w:tc>
        <w:tc>
          <w:tcPr>
            <w:tcW w:w="3440" w:type="dxa"/>
            <w:vAlign w:val="bottom"/>
          </w:tcPr>
          <w:p>
            <w:pPr>
              <w:ind w:left="2000"/>
              <w:spacing w:after="0"/>
              <w:rPr>
                <w:sz w:val="20"/>
                <w:szCs w:val="20"/>
                <w:color w:val="auto"/>
              </w:rPr>
            </w:pPr>
            <w:r>
              <w:rPr>
                <w:rFonts w:ascii="Arial" w:cs="Arial" w:eastAsia="Arial" w:hAnsi="Arial"/>
                <w:sz w:val="18"/>
                <w:szCs w:val="18"/>
                <w:color w:val="auto"/>
              </w:rPr>
              <w:t>Linda Vincent</w:t>
            </w:r>
          </w:p>
        </w:tc>
        <w:tc>
          <w:tcPr>
            <w:tcW w:w="1560" w:type="dxa"/>
            <w:vAlign w:val="bottom"/>
          </w:tcPr>
          <w:p>
            <w:pPr>
              <w:ind w:left="60"/>
              <w:spacing w:after="0"/>
              <w:rPr>
                <w:sz w:val="20"/>
                <w:szCs w:val="20"/>
                <w:color w:val="auto"/>
              </w:rPr>
            </w:pPr>
            <w:r>
              <w:rPr>
                <w:rFonts w:ascii="Arial" w:cs="Arial" w:eastAsia="Arial" w:hAnsi="Arial"/>
                <w:sz w:val="18"/>
                <w:szCs w:val="18"/>
                <w:color w:val="auto"/>
              </w:rPr>
              <w:t>Lansing</w:t>
            </w:r>
          </w:p>
        </w:tc>
        <w:tc>
          <w:tcPr>
            <w:tcW w:w="700" w:type="dxa"/>
            <w:vAlign w:val="bottom"/>
          </w:tcPr>
          <w:p>
            <w:pPr>
              <w:ind w:left="420"/>
              <w:spacing w:after="0"/>
              <w:rPr>
                <w:sz w:val="20"/>
                <w:szCs w:val="20"/>
                <w:color w:val="auto"/>
              </w:rPr>
            </w:pPr>
            <w:r>
              <w:rPr>
                <w:rFonts w:ascii="Arial" w:cs="Arial" w:eastAsia="Arial" w:hAnsi="Arial"/>
                <w:sz w:val="18"/>
                <w:szCs w:val="18"/>
                <w:color w:val="auto"/>
              </w:rPr>
              <w:t>MI</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740" w:type="dxa"/>
            <w:vAlign w:val="bottom"/>
          </w:tcPr>
          <w:p>
            <w:pPr>
              <w:ind w:left="240"/>
              <w:spacing w:after="0"/>
              <w:rPr>
                <w:sz w:val="20"/>
                <w:szCs w:val="20"/>
                <w:color w:val="auto"/>
              </w:rPr>
            </w:pPr>
            <w:r>
              <w:rPr>
                <w:rFonts w:ascii="Arial" w:cs="Arial" w:eastAsia="Arial" w:hAnsi="Arial"/>
                <w:sz w:val="18"/>
                <w:szCs w:val="18"/>
                <w:color w:val="auto"/>
              </w:rPr>
              <w:t>Inland Valley RMC</w:t>
            </w:r>
          </w:p>
        </w:tc>
        <w:tc>
          <w:tcPr>
            <w:tcW w:w="3440" w:type="dxa"/>
            <w:vAlign w:val="bottom"/>
          </w:tcPr>
          <w:p>
            <w:pPr>
              <w:ind w:left="2000"/>
              <w:spacing w:after="0"/>
              <w:rPr>
                <w:sz w:val="20"/>
                <w:szCs w:val="20"/>
                <w:color w:val="auto"/>
              </w:rPr>
            </w:pPr>
            <w:r>
              <w:rPr>
                <w:rFonts w:ascii="Arial" w:cs="Arial" w:eastAsia="Arial" w:hAnsi="Arial"/>
                <w:sz w:val="18"/>
                <w:szCs w:val="18"/>
                <w:color w:val="auto"/>
              </w:rPr>
              <w:t>Jim Wooton</w:t>
            </w:r>
          </w:p>
        </w:tc>
        <w:tc>
          <w:tcPr>
            <w:tcW w:w="1560" w:type="dxa"/>
            <w:vAlign w:val="bottom"/>
          </w:tcPr>
          <w:p>
            <w:pPr>
              <w:ind w:left="60"/>
              <w:spacing w:after="0"/>
              <w:rPr>
                <w:sz w:val="20"/>
                <w:szCs w:val="20"/>
                <w:color w:val="auto"/>
              </w:rPr>
            </w:pPr>
            <w:r>
              <w:rPr>
                <w:rFonts w:ascii="Arial" w:cs="Arial" w:eastAsia="Arial" w:hAnsi="Arial"/>
                <w:sz w:val="18"/>
                <w:szCs w:val="18"/>
                <w:color w:val="auto"/>
              </w:rPr>
              <w:t>Wildomar</w:t>
            </w:r>
          </w:p>
        </w:tc>
        <w:tc>
          <w:tcPr>
            <w:tcW w:w="700" w:type="dxa"/>
            <w:vAlign w:val="bottom"/>
          </w:tcPr>
          <w:p>
            <w:pPr>
              <w:ind w:left="420"/>
              <w:spacing w:after="0"/>
              <w:rPr>
                <w:sz w:val="20"/>
                <w:szCs w:val="20"/>
                <w:color w:val="auto"/>
              </w:rPr>
            </w:pPr>
            <w:r>
              <w:rPr>
                <w:rFonts w:ascii="Arial" w:cs="Arial" w:eastAsia="Arial" w:hAnsi="Arial"/>
                <w:sz w:val="18"/>
                <w:szCs w:val="18"/>
                <w:color w:val="auto"/>
              </w:rPr>
              <w:t>CA</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740" w:type="dxa"/>
            <w:vAlign w:val="bottom"/>
          </w:tcPr>
          <w:p>
            <w:pPr>
              <w:ind w:left="240"/>
              <w:spacing w:after="0"/>
              <w:rPr>
                <w:sz w:val="20"/>
                <w:szCs w:val="20"/>
                <w:color w:val="auto"/>
              </w:rPr>
            </w:pPr>
            <w:r>
              <w:rPr>
                <w:rFonts w:ascii="Arial" w:cs="Arial" w:eastAsia="Arial" w:hAnsi="Arial"/>
                <w:sz w:val="18"/>
                <w:szCs w:val="18"/>
                <w:color w:val="auto"/>
              </w:rPr>
              <w:t>John Muir Hospital</w:t>
            </w:r>
          </w:p>
        </w:tc>
        <w:tc>
          <w:tcPr>
            <w:tcW w:w="3440" w:type="dxa"/>
            <w:vAlign w:val="bottom"/>
          </w:tcPr>
          <w:p>
            <w:pPr>
              <w:ind w:left="2000"/>
              <w:spacing w:after="0"/>
              <w:rPr>
                <w:sz w:val="20"/>
                <w:szCs w:val="20"/>
                <w:color w:val="auto"/>
              </w:rPr>
            </w:pPr>
            <w:r>
              <w:rPr>
                <w:rFonts w:ascii="Arial" w:cs="Arial" w:eastAsia="Arial" w:hAnsi="Arial"/>
                <w:sz w:val="18"/>
                <w:szCs w:val="18"/>
                <w:color w:val="auto"/>
              </w:rPr>
              <w:t>Richard Johnson</w:t>
            </w:r>
          </w:p>
        </w:tc>
        <w:tc>
          <w:tcPr>
            <w:tcW w:w="1560" w:type="dxa"/>
            <w:vAlign w:val="bottom"/>
          </w:tcPr>
          <w:p>
            <w:pPr>
              <w:ind w:left="60"/>
              <w:spacing w:after="0"/>
              <w:rPr>
                <w:sz w:val="20"/>
                <w:szCs w:val="20"/>
                <w:color w:val="auto"/>
              </w:rPr>
            </w:pPr>
            <w:r>
              <w:rPr>
                <w:rFonts w:ascii="Arial" w:cs="Arial" w:eastAsia="Arial" w:hAnsi="Arial"/>
                <w:sz w:val="18"/>
                <w:szCs w:val="18"/>
                <w:color w:val="auto"/>
              </w:rPr>
              <w:t>Walnut Creek</w:t>
            </w:r>
          </w:p>
        </w:tc>
        <w:tc>
          <w:tcPr>
            <w:tcW w:w="700" w:type="dxa"/>
            <w:vAlign w:val="bottom"/>
          </w:tcPr>
          <w:p>
            <w:pPr>
              <w:ind w:left="420"/>
              <w:spacing w:after="0"/>
              <w:rPr>
                <w:sz w:val="20"/>
                <w:szCs w:val="20"/>
                <w:color w:val="auto"/>
              </w:rPr>
            </w:pPr>
            <w:r>
              <w:rPr>
                <w:rFonts w:ascii="Arial" w:cs="Arial" w:eastAsia="Arial" w:hAnsi="Arial"/>
                <w:sz w:val="18"/>
                <w:szCs w:val="18"/>
                <w:color w:val="auto"/>
              </w:rPr>
              <w:t>CA</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740" w:type="dxa"/>
            <w:vAlign w:val="bottom"/>
          </w:tcPr>
          <w:p>
            <w:pPr>
              <w:ind w:left="240"/>
              <w:spacing w:after="0"/>
              <w:rPr>
                <w:sz w:val="20"/>
                <w:szCs w:val="20"/>
                <w:color w:val="auto"/>
              </w:rPr>
            </w:pPr>
            <w:r>
              <w:rPr>
                <w:rFonts w:ascii="Arial" w:cs="Arial" w:eastAsia="Arial" w:hAnsi="Arial"/>
                <w:sz w:val="18"/>
                <w:szCs w:val="18"/>
                <w:color w:val="auto"/>
              </w:rPr>
              <w:t>Kaiser - Morse</w:t>
            </w:r>
          </w:p>
        </w:tc>
        <w:tc>
          <w:tcPr>
            <w:tcW w:w="3440" w:type="dxa"/>
            <w:vAlign w:val="bottom"/>
          </w:tcPr>
          <w:p>
            <w:pPr>
              <w:ind w:left="2000"/>
              <w:spacing w:after="0"/>
              <w:rPr>
                <w:sz w:val="20"/>
                <w:szCs w:val="20"/>
                <w:color w:val="auto"/>
              </w:rPr>
            </w:pPr>
            <w:r>
              <w:rPr>
                <w:rFonts w:ascii="Arial" w:cs="Arial" w:eastAsia="Arial" w:hAnsi="Arial"/>
                <w:sz w:val="18"/>
                <w:szCs w:val="18"/>
                <w:color w:val="auto"/>
              </w:rPr>
              <w:t>Mary Shovelton</w:t>
            </w:r>
          </w:p>
        </w:tc>
        <w:tc>
          <w:tcPr>
            <w:tcW w:w="1560" w:type="dxa"/>
            <w:vAlign w:val="bottom"/>
          </w:tcPr>
          <w:p>
            <w:pPr>
              <w:ind w:left="60"/>
              <w:spacing w:after="0"/>
              <w:rPr>
                <w:sz w:val="20"/>
                <w:szCs w:val="20"/>
                <w:color w:val="auto"/>
              </w:rPr>
            </w:pPr>
            <w:r>
              <w:rPr>
                <w:rFonts w:ascii="Arial" w:cs="Arial" w:eastAsia="Arial" w:hAnsi="Arial"/>
                <w:sz w:val="18"/>
                <w:szCs w:val="18"/>
                <w:color w:val="auto"/>
              </w:rPr>
              <w:t>Sacramento</w:t>
            </w:r>
          </w:p>
        </w:tc>
        <w:tc>
          <w:tcPr>
            <w:tcW w:w="700" w:type="dxa"/>
            <w:vAlign w:val="bottom"/>
          </w:tcPr>
          <w:p>
            <w:pPr>
              <w:ind w:left="420"/>
              <w:spacing w:after="0"/>
              <w:rPr>
                <w:sz w:val="20"/>
                <w:szCs w:val="20"/>
                <w:color w:val="auto"/>
              </w:rPr>
            </w:pPr>
            <w:r>
              <w:rPr>
                <w:rFonts w:ascii="Arial" w:cs="Arial" w:eastAsia="Arial" w:hAnsi="Arial"/>
                <w:sz w:val="18"/>
                <w:szCs w:val="18"/>
                <w:color w:val="auto"/>
              </w:rPr>
              <w:t>CA</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740" w:type="dxa"/>
            <w:vAlign w:val="bottom"/>
          </w:tcPr>
          <w:p>
            <w:pPr>
              <w:ind w:left="240"/>
              <w:spacing w:after="0"/>
              <w:rPr>
                <w:sz w:val="20"/>
                <w:szCs w:val="20"/>
                <w:color w:val="auto"/>
              </w:rPr>
            </w:pPr>
            <w:r>
              <w:rPr>
                <w:rFonts w:ascii="Arial" w:cs="Arial" w:eastAsia="Arial" w:hAnsi="Arial"/>
                <w:sz w:val="18"/>
                <w:szCs w:val="18"/>
                <w:color w:val="auto"/>
              </w:rPr>
              <w:t>Kaiser Bellflower</w:t>
            </w:r>
          </w:p>
        </w:tc>
        <w:tc>
          <w:tcPr>
            <w:tcW w:w="3440" w:type="dxa"/>
            <w:vAlign w:val="bottom"/>
          </w:tcPr>
          <w:p>
            <w:pPr>
              <w:ind w:left="2000"/>
              <w:spacing w:after="0"/>
              <w:rPr>
                <w:sz w:val="20"/>
                <w:szCs w:val="20"/>
                <w:color w:val="auto"/>
              </w:rPr>
            </w:pPr>
            <w:r>
              <w:rPr>
                <w:rFonts w:ascii="Arial" w:cs="Arial" w:eastAsia="Arial" w:hAnsi="Arial"/>
                <w:sz w:val="18"/>
                <w:szCs w:val="18"/>
                <w:color w:val="auto"/>
              </w:rPr>
              <w:t>Linda Kawaguchi</w:t>
            </w:r>
          </w:p>
        </w:tc>
        <w:tc>
          <w:tcPr>
            <w:tcW w:w="1560" w:type="dxa"/>
            <w:vAlign w:val="bottom"/>
          </w:tcPr>
          <w:p>
            <w:pPr>
              <w:ind w:left="60"/>
              <w:spacing w:after="0"/>
              <w:rPr>
                <w:sz w:val="20"/>
                <w:szCs w:val="20"/>
                <w:color w:val="auto"/>
              </w:rPr>
            </w:pPr>
            <w:r>
              <w:rPr>
                <w:rFonts w:ascii="Arial" w:cs="Arial" w:eastAsia="Arial" w:hAnsi="Arial"/>
                <w:sz w:val="18"/>
                <w:szCs w:val="18"/>
                <w:color w:val="auto"/>
              </w:rPr>
              <w:t>Bellflower</w:t>
            </w:r>
          </w:p>
        </w:tc>
        <w:tc>
          <w:tcPr>
            <w:tcW w:w="700" w:type="dxa"/>
            <w:vAlign w:val="bottom"/>
          </w:tcPr>
          <w:p>
            <w:pPr>
              <w:ind w:left="420"/>
              <w:spacing w:after="0"/>
              <w:rPr>
                <w:sz w:val="20"/>
                <w:szCs w:val="20"/>
                <w:color w:val="auto"/>
              </w:rPr>
            </w:pPr>
            <w:r>
              <w:rPr>
                <w:rFonts w:ascii="Arial" w:cs="Arial" w:eastAsia="Arial" w:hAnsi="Arial"/>
                <w:sz w:val="18"/>
                <w:szCs w:val="18"/>
                <w:color w:val="auto"/>
              </w:rPr>
              <w:t>CA</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740" w:type="dxa"/>
            <w:vAlign w:val="bottom"/>
          </w:tcPr>
          <w:p>
            <w:pPr>
              <w:ind w:left="240"/>
              <w:spacing w:after="0"/>
              <w:rPr>
                <w:sz w:val="20"/>
                <w:szCs w:val="20"/>
                <w:color w:val="auto"/>
              </w:rPr>
            </w:pPr>
            <w:r>
              <w:rPr>
                <w:rFonts w:ascii="Arial" w:cs="Arial" w:eastAsia="Arial" w:hAnsi="Arial"/>
                <w:sz w:val="18"/>
                <w:szCs w:val="18"/>
                <w:color w:val="auto"/>
              </w:rPr>
              <w:t>Kaiser - Downey</w:t>
            </w:r>
          </w:p>
        </w:tc>
        <w:tc>
          <w:tcPr>
            <w:tcW w:w="3440" w:type="dxa"/>
            <w:vAlign w:val="bottom"/>
          </w:tcPr>
          <w:p>
            <w:pPr>
              <w:ind w:left="2000"/>
              <w:spacing w:after="0"/>
              <w:rPr>
                <w:sz w:val="20"/>
                <w:szCs w:val="20"/>
                <w:color w:val="auto"/>
              </w:rPr>
            </w:pPr>
            <w:r>
              <w:rPr>
                <w:rFonts w:ascii="Arial" w:cs="Arial" w:eastAsia="Arial" w:hAnsi="Arial"/>
                <w:sz w:val="18"/>
                <w:szCs w:val="18"/>
                <w:color w:val="auto"/>
              </w:rPr>
              <w:t>Kathy Ferguson</w:t>
            </w:r>
          </w:p>
        </w:tc>
        <w:tc>
          <w:tcPr>
            <w:tcW w:w="1560" w:type="dxa"/>
            <w:vAlign w:val="bottom"/>
          </w:tcPr>
          <w:p>
            <w:pPr>
              <w:ind w:left="60"/>
              <w:spacing w:after="0"/>
              <w:rPr>
                <w:sz w:val="20"/>
                <w:szCs w:val="20"/>
                <w:color w:val="auto"/>
              </w:rPr>
            </w:pPr>
            <w:r>
              <w:rPr>
                <w:rFonts w:ascii="Arial" w:cs="Arial" w:eastAsia="Arial" w:hAnsi="Arial"/>
                <w:sz w:val="18"/>
                <w:szCs w:val="18"/>
                <w:color w:val="auto"/>
              </w:rPr>
              <w:t>Downey</w:t>
            </w:r>
          </w:p>
        </w:tc>
        <w:tc>
          <w:tcPr>
            <w:tcW w:w="700" w:type="dxa"/>
            <w:vAlign w:val="bottom"/>
          </w:tcPr>
          <w:p>
            <w:pPr>
              <w:ind w:left="420"/>
              <w:spacing w:after="0"/>
              <w:rPr>
                <w:sz w:val="20"/>
                <w:szCs w:val="20"/>
                <w:color w:val="auto"/>
              </w:rPr>
            </w:pPr>
            <w:r>
              <w:rPr>
                <w:rFonts w:ascii="Arial" w:cs="Arial" w:eastAsia="Arial" w:hAnsi="Arial"/>
                <w:sz w:val="18"/>
                <w:szCs w:val="18"/>
                <w:color w:val="auto"/>
              </w:rPr>
              <w:t>CA</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740" w:type="dxa"/>
            <w:vAlign w:val="bottom"/>
          </w:tcPr>
          <w:p>
            <w:pPr>
              <w:ind w:left="240"/>
              <w:spacing w:after="0"/>
              <w:rPr>
                <w:sz w:val="20"/>
                <w:szCs w:val="20"/>
                <w:color w:val="auto"/>
              </w:rPr>
            </w:pPr>
            <w:r>
              <w:rPr>
                <w:rFonts w:ascii="Arial" w:cs="Arial" w:eastAsia="Arial" w:hAnsi="Arial"/>
                <w:sz w:val="18"/>
                <w:szCs w:val="18"/>
                <w:color w:val="auto"/>
              </w:rPr>
              <w:t>Kaiser Hospital-Harbor City</w:t>
            </w:r>
          </w:p>
        </w:tc>
        <w:tc>
          <w:tcPr>
            <w:tcW w:w="3440" w:type="dxa"/>
            <w:vAlign w:val="bottom"/>
          </w:tcPr>
          <w:p>
            <w:pPr>
              <w:ind w:left="2000"/>
              <w:spacing w:after="0"/>
              <w:rPr>
                <w:sz w:val="20"/>
                <w:szCs w:val="20"/>
                <w:color w:val="auto"/>
              </w:rPr>
            </w:pPr>
            <w:r>
              <w:rPr>
                <w:rFonts w:ascii="Arial" w:cs="Arial" w:eastAsia="Arial" w:hAnsi="Arial"/>
                <w:sz w:val="18"/>
                <w:szCs w:val="18"/>
                <w:color w:val="auto"/>
              </w:rPr>
              <w:t>Yeon Kim</w:t>
            </w:r>
          </w:p>
        </w:tc>
        <w:tc>
          <w:tcPr>
            <w:tcW w:w="1560" w:type="dxa"/>
            <w:vAlign w:val="bottom"/>
          </w:tcPr>
          <w:p>
            <w:pPr>
              <w:ind w:left="60"/>
              <w:spacing w:after="0"/>
              <w:rPr>
                <w:sz w:val="20"/>
                <w:szCs w:val="20"/>
                <w:color w:val="auto"/>
              </w:rPr>
            </w:pPr>
            <w:r>
              <w:rPr>
                <w:rFonts w:ascii="Arial" w:cs="Arial" w:eastAsia="Arial" w:hAnsi="Arial"/>
                <w:sz w:val="18"/>
                <w:szCs w:val="18"/>
                <w:color w:val="auto"/>
              </w:rPr>
              <w:t>Harbor City</w:t>
            </w:r>
          </w:p>
        </w:tc>
        <w:tc>
          <w:tcPr>
            <w:tcW w:w="700" w:type="dxa"/>
            <w:vAlign w:val="bottom"/>
          </w:tcPr>
          <w:p>
            <w:pPr>
              <w:ind w:left="420"/>
              <w:spacing w:after="0"/>
              <w:rPr>
                <w:sz w:val="20"/>
                <w:szCs w:val="20"/>
                <w:color w:val="auto"/>
              </w:rPr>
            </w:pPr>
            <w:r>
              <w:rPr>
                <w:rFonts w:ascii="Arial" w:cs="Arial" w:eastAsia="Arial" w:hAnsi="Arial"/>
                <w:sz w:val="18"/>
                <w:szCs w:val="18"/>
                <w:color w:val="auto"/>
              </w:rPr>
              <w:t>CA</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740" w:type="dxa"/>
            <w:vAlign w:val="bottom"/>
          </w:tcPr>
          <w:p>
            <w:pPr>
              <w:ind w:left="240"/>
              <w:spacing w:after="0"/>
              <w:rPr>
                <w:sz w:val="20"/>
                <w:szCs w:val="20"/>
                <w:color w:val="auto"/>
              </w:rPr>
            </w:pPr>
            <w:r>
              <w:rPr>
                <w:rFonts w:ascii="Arial" w:cs="Arial" w:eastAsia="Arial" w:hAnsi="Arial"/>
                <w:sz w:val="18"/>
                <w:szCs w:val="18"/>
                <w:color w:val="auto"/>
              </w:rPr>
              <w:t>Kaiser-Sand Canyon</w:t>
            </w:r>
          </w:p>
        </w:tc>
        <w:tc>
          <w:tcPr>
            <w:tcW w:w="3440" w:type="dxa"/>
            <w:vAlign w:val="bottom"/>
          </w:tcPr>
          <w:p>
            <w:pPr>
              <w:ind w:left="2000"/>
              <w:spacing w:after="0"/>
              <w:rPr>
                <w:sz w:val="20"/>
                <w:szCs w:val="20"/>
                <w:color w:val="auto"/>
              </w:rPr>
            </w:pPr>
            <w:r>
              <w:rPr>
                <w:rFonts w:ascii="Arial" w:cs="Arial" w:eastAsia="Arial" w:hAnsi="Arial"/>
                <w:sz w:val="18"/>
                <w:szCs w:val="18"/>
                <w:color w:val="auto"/>
              </w:rPr>
              <w:t>Harry or Delores</w:t>
            </w:r>
          </w:p>
        </w:tc>
        <w:tc>
          <w:tcPr>
            <w:tcW w:w="1560" w:type="dxa"/>
            <w:vAlign w:val="bottom"/>
          </w:tcPr>
          <w:p>
            <w:pPr>
              <w:ind w:left="60"/>
              <w:spacing w:after="0"/>
              <w:rPr>
                <w:sz w:val="20"/>
                <w:szCs w:val="20"/>
                <w:color w:val="auto"/>
              </w:rPr>
            </w:pPr>
            <w:r>
              <w:rPr>
                <w:rFonts w:ascii="Arial" w:cs="Arial" w:eastAsia="Arial" w:hAnsi="Arial"/>
                <w:sz w:val="18"/>
                <w:szCs w:val="18"/>
                <w:color w:val="auto"/>
              </w:rPr>
              <w:t>Irvine</w:t>
            </w:r>
          </w:p>
        </w:tc>
        <w:tc>
          <w:tcPr>
            <w:tcW w:w="700" w:type="dxa"/>
            <w:vAlign w:val="bottom"/>
          </w:tcPr>
          <w:p>
            <w:pPr>
              <w:ind w:left="420"/>
              <w:spacing w:after="0"/>
              <w:rPr>
                <w:sz w:val="20"/>
                <w:szCs w:val="20"/>
                <w:color w:val="auto"/>
              </w:rPr>
            </w:pPr>
            <w:r>
              <w:rPr>
                <w:rFonts w:ascii="Arial" w:cs="Arial" w:eastAsia="Arial" w:hAnsi="Arial"/>
                <w:sz w:val="18"/>
                <w:szCs w:val="18"/>
                <w:color w:val="auto"/>
              </w:rPr>
              <w:t>CA</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740" w:type="dxa"/>
            <w:vAlign w:val="bottom"/>
          </w:tcPr>
          <w:p>
            <w:pPr>
              <w:ind w:left="240"/>
              <w:spacing w:after="0"/>
              <w:rPr>
                <w:sz w:val="20"/>
                <w:szCs w:val="20"/>
                <w:color w:val="auto"/>
              </w:rPr>
            </w:pPr>
            <w:r>
              <w:rPr>
                <w:rFonts w:ascii="Arial" w:cs="Arial" w:eastAsia="Arial" w:hAnsi="Arial"/>
                <w:sz w:val="18"/>
                <w:szCs w:val="18"/>
                <w:color w:val="auto"/>
              </w:rPr>
              <w:t>Kalispell Regional Med Ctr</w:t>
            </w:r>
          </w:p>
        </w:tc>
        <w:tc>
          <w:tcPr>
            <w:tcW w:w="3440" w:type="dxa"/>
            <w:vAlign w:val="bottom"/>
          </w:tcPr>
          <w:p>
            <w:pPr>
              <w:ind w:left="2000"/>
              <w:spacing w:after="0"/>
              <w:rPr>
                <w:sz w:val="20"/>
                <w:szCs w:val="20"/>
                <w:color w:val="auto"/>
              </w:rPr>
            </w:pPr>
            <w:r>
              <w:rPr>
                <w:rFonts w:ascii="Arial" w:cs="Arial" w:eastAsia="Arial" w:hAnsi="Arial"/>
                <w:sz w:val="18"/>
                <w:szCs w:val="18"/>
                <w:color w:val="auto"/>
              </w:rPr>
              <w:t>Jayne Wangerin</w:t>
            </w:r>
          </w:p>
        </w:tc>
        <w:tc>
          <w:tcPr>
            <w:tcW w:w="1560" w:type="dxa"/>
            <w:vAlign w:val="bottom"/>
          </w:tcPr>
          <w:p>
            <w:pPr>
              <w:ind w:left="60"/>
              <w:spacing w:after="0"/>
              <w:rPr>
                <w:sz w:val="20"/>
                <w:szCs w:val="20"/>
                <w:color w:val="auto"/>
              </w:rPr>
            </w:pPr>
            <w:r>
              <w:rPr>
                <w:rFonts w:ascii="Arial" w:cs="Arial" w:eastAsia="Arial" w:hAnsi="Arial"/>
                <w:sz w:val="18"/>
                <w:szCs w:val="18"/>
                <w:color w:val="auto"/>
              </w:rPr>
              <w:t>Kalispell</w:t>
            </w:r>
          </w:p>
        </w:tc>
        <w:tc>
          <w:tcPr>
            <w:tcW w:w="700" w:type="dxa"/>
            <w:vAlign w:val="bottom"/>
          </w:tcPr>
          <w:p>
            <w:pPr>
              <w:ind w:left="420"/>
              <w:spacing w:after="0"/>
              <w:rPr>
                <w:sz w:val="20"/>
                <w:szCs w:val="20"/>
                <w:color w:val="auto"/>
              </w:rPr>
            </w:pPr>
            <w:r>
              <w:rPr>
                <w:rFonts w:ascii="Arial" w:cs="Arial" w:eastAsia="Arial" w:hAnsi="Arial"/>
                <w:sz w:val="18"/>
                <w:szCs w:val="18"/>
                <w:color w:val="auto"/>
                <w:w w:val="99"/>
              </w:rPr>
              <w:t>MT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740" w:type="dxa"/>
            <w:vAlign w:val="bottom"/>
          </w:tcPr>
          <w:p>
            <w:pPr>
              <w:ind w:left="240"/>
              <w:spacing w:after="0"/>
              <w:rPr>
                <w:sz w:val="20"/>
                <w:szCs w:val="20"/>
                <w:color w:val="auto"/>
              </w:rPr>
            </w:pPr>
            <w:r>
              <w:rPr>
                <w:rFonts w:ascii="Arial" w:cs="Arial" w:eastAsia="Arial" w:hAnsi="Arial"/>
                <w:sz w:val="18"/>
                <w:szCs w:val="18"/>
                <w:color w:val="auto"/>
              </w:rPr>
              <w:t>Kershaw County Medical Center</w:t>
            </w:r>
          </w:p>
        </w:tc>
        <w:tc>
          <w:tcPr>
            <w:tcW w:w="3440" w:type="dxa"/>
            <w:vAlign w:val="bottom"/>
          </w:tcPr>
          <w:p>
            <w:pPr>
              <w:ind w:left="2000"/>
              <w:spacing w:after="0"/>
              <w:rPr>
                <w:sz w:val="20"/>
                <w:szCs w:val="20"/>
                <w:color w:val="auto"/>
              </w:rPr>
            </w:pPr>
            <w:r>
              <w:rPr>
                <w:rFonts w:ascii="Arial" w:cs="Arial" w:eastAsia="Arial" w:hAnsi="Arial"/>
                <w:sz w:val="18"/>
                <w:szCs w:val="18"/>
                <w:color w:val="auto"/>
              </w:rPr>
              <w:t>Debra Kreis</w:t>
            </w:r>
          </w:p>
        </w:tc>
        <w:tc>
          <w:tcPr>
            <w:tcW w:w="1560" w:type="dxa"/>
            <w:vAlign w:val="bottom"/>
          </w:tcPr>
          <w:p>
            <w:pPr>
              <w:ind w:left="60"/>
              <w:spacing w:after="0"/>
              <w:rPr>
                <w:sz w:val="20"/>
                <w:szCs w:val="20"/>
                <w:color w:val="auto"/>
              </w:rPr>
            </w:pPr>
            <w:r>
              <w:rPr>
                <w:rFonts w:ascii="Arial" w:cs="Arial" w:eastAsia="Arial" w:hAnsi="Arial"/>
                <w:sz w:val="18"/>
                <w:szCs w:val="18"/>
                <w:color w:val="auto"/>
              </w:rPr>
              <w:t>Camden</w:t>
            </w:r>
          </w:p>
        </w:tc>
        <w:tc>
          <w:tcPr>
            <w:tcW w:w="700" w:type="dxa"/>
            <w:vAlign w:val="bottom"/>
          </w:tcPr>
          <w:p>
            <w:pPr>
              <w:ind w:left="420"/>
              <w:spacing w:after="0"/>
              <w:rPr>
                <w:sz w:val="20"/>
                <w:szCs w:val="20"/>
                <w:color w:val="auto"/>
              </w:rPr>
            </w:pPr>
            <w:r>
              <w:rPr>
                <w:rFonts w:ascii="Arial" w:cs="Arial" w:eastAsia="Arial" w:hAnsi="Arial"/>
                <w:sz w:val="18"/>
                <w:szCs w:val="18"/>
                <w:color w:val="auto"/>
              </w:rPr>
              <w:t>SC</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740" w:type="dxa"/>
            <w:vAlign w:val="bottom"/>
          </w:tcPr>
          <w:p>
            <w:pPr>
              <w:ind w:left="240"/>
              <w:spacing w:after="0"/>
              <w:rPr>
                <w:sz w:val="20"/>
                <w:szCs w:val="20"/>
                <w:color w:val="auto"/>
              </w:rPr>
            </w:pPr>
            <w:r>
              <w:rPr>
                <w:rFonts w:ascii="Arial" w:cs="Arial" w:eastAsia="Arial" w:hAnsi="Arial"/>
                <w:sz w:val="18"/>
                <w:szCs w:val="18"/>
                <w:color w:val="auto"/>
              </w:rPr>
              <w:t>KP Select - Vallejo</w:t>
            </w:r>
          </w:p>
        </w:tc>
        <w:tc>
          <w:tcPr>
            <w:tcW w:w="3440" w:type="dxa"/>
            <w:vAlign w:val="bottom"/>
          </w:tcPr>
          <w:p>
            <w:pPr>
              <w:ind w:left="2000"/>
              <w:spacing w:after="0"/>
              <w:rPr>
                <w:sz w:val="20"/>
                <w:szCs w:val="20"/>
                <w:color w:val="auto"/>
              </w:rPr>
            </w:pPr>
            <w:r>
              <w:rPr>
                <w:rFonts w:ascii="Arial" w:cs="Arial" w:eastAsia="Arial" w:hAnsi="Arial"/>
                <w:sz w:val="18"/>
                <w:szCs w:val="18"/>
                <w:color w:val="auto"/>
                <w:w w:val="99"/>
              </w:rPr>
              <w:t>Josephine Wasco</w:t>
            </w:r>
          </w:p>
        </w:tc>
        <w:tc>
          <w:tcPr>
            <w:tcW w:w="1560" w:type="dxa"/>
            <w:vAlign w:val="bottom"/>
          </w:tcPr>
          <w:p>
            <w:pPr>
              <w:ind w:left="60"/>
              <w:spacing w:after="0"/>
              <w:rPr>
                <w:sz w:val="20"/>
                <w:szCs w:val="20"/>
                <w:color w:val="auto"/>
              </w:rPr>
            </w:pPr>
            <w:r>
              <w:rPr>
                <w:rFonts w:ascii="Arial" w:cs="Arial" w:eastAsia="Arial" w:hAnsi="Arial"/>
                <w:sz w:val="18"/>
                <w:szCs w:val="18"/>
                <w:color w:val="auto"/>
              </w:rPr>
              <w:t>Vallejo</w:t>
            </w:r>
          </w:p>
        </w:tc>
        <w:tc>
          <w:tcPr>
            <w:tcW w:w="700" w:type="dxa"/>
            <w:vAlign w:val="bottom"/>
          </w:tcPr>
          <w:p>
            <w:pPr>
              <w:ind w:left="420"/>
              <w:spacing w:after="0"/>
              <w:rPr>
                <w:sz w:val="20"/>
                <w:szCs w:val="20"/>
                <w:color w:val="auto"/>
              </w:rPr>
            </w:pPr>
            <w:r>
              <w:rPr>
                <w:rFonts w:ascii="Arial" w:cs="Arial" w:eastAsia="Arial" w:hAnsi="Arial"/>
                <w:sz w:val="18"/>
                <w:szCs w:val="18"/>
                <w:color w:val="auto"/>
              </w:rPr>
              <w:t>CA</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740" w:type="dxa"/>
            <w:vAlign w:val="bottom"/>
          </w:tcPr>
          <w:p>
            <w:pPr>
              <w:ind w:left="240"/>
              <w:spacing w:after="0"/>
              <w:rPr>
                <w:sz w:val="20"/>
                <w:szCs w:val="20"/>
                <w:color w:val="auto"/>
              </w:rPr>
            </w:pPr>
            <w:r>
              <w:rPr>
                <w:rFonts w:ascii="Arial" w:cs="Arial" w:eastAsia="Arial" w:hAnsi="Arial"/>
                <w:sz w:val="18"/>
                <w:szCs w:val="18"/>
                <w:color w:val="auto"/>
              </w:rPr>
              <w:t>Kuakini Medical Center</w:t>
            </w:r>
          </w:p>
        </w:tc>
        <w:tc>
          <w:tcPr>
            <w:tcW w:w="3440" w:type="dxa"/>
            <w:vAlign w:val="bottom"/>
          </w:tcPr>
          <w:p>
            <w:pPr>
              <w:ind w:left="2000"/>
              <w:spacing w:after="0"/>
              <w:rPr>
                <w:sz w:val="20"/>
                <w:szCs w:val="20"/>
                <w:color w:val="auto"/>
              </w:rPr>
            </w:pPr>
            <w:r>
              <w:rPr>
                <w:rFonts w:ascii="Arial" w:cs="Arial" w:eastAsia="Arial" w:hAnsi="Arial"/>
                <w:sz w:val="18"/>
                <w:szCs w:val="18"/>
                <w:color w:val="auto"/>
              </w:rPr>
              <w:t>Elaine Moreno</w:t>
            </w:r>
          </w:p>
        </w:tc>
        <w:tc>
          <w:tcPr>
            <w:tcW w:w="1560" w:type="dxa"/>
            <w:vAlign w:val="bottom"/>
          </w:tcPr>
          <w:p>
            <w:pPr>
              <w:ind w:left="60"/>
              <w:spacing w:after="0"/>
              <w:rPr>
                <w:sz w:val="20"/>
                <w:szCs w:val="20"/>
                <w:color w:val="auto"/>
              </w:rPr>
            </w:pPr>
            <w:r>
              <w:rPr>
                <w:rFonts w:ascii="Arial" w:cs="Arial" w:eastAsia="Arial" w:hAnsi="Arial"/>
                <w:sz w:val="18"/>
                <w:szCs w:val="18"/>
                <w:color w:val="auto"/>
              </w:rPr>
              <w:t>Honolulu</w:t>
            </w:r>
          </w:p>
        </w:tc>
        <w:tc>
          <w:tcPr>
            <w:tcW w:w="700" w:type="dxa"/>
            <w:vAlign w:val="bottom"/>
          </w:tcPr>
          <w:p>
            <w:pPr>
              <w:ind w:left="420"/>
              <w:spacing w:after="0"/>
              <w:rPr>
                <w:sz w:val="20"/>
                <w:szCs w:val="20"/>
                <w:color w:val="auto"/>
              </w:rPr>
            </w:pPr>
            <w:r>
              <w:rPr>
                <w:rFonts w:ascii="Arial" w:cs="Arial" w:eastAsia="Arial" w:hAnsi="Arial"/>
                <w:sz w:val="18"/>
                <w:szCs w:val="18"/>
                <w:color w:val="auto"/>
              </w:rPr>
              <w:t>HI</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740" w:type="dxa"/>
            <w:vAlign w:val="bottom"/>
          </w:tcPr>
          <w:p>
            <w:pPr>
              <w:ind w:left="240"/>
              <w:spacing w:after="0"/>
              <w:rPr>
                <w:sz w:val="20"/>
                <w:szCs w:val="20"/>
                <w:color w:val="auto"/>
              </w:rPr>
            </w:pPr>
            <w:r>
              <w:rPr>
                <w:rFonts w:ascii="Arial" w:cs="Arial" w:eastAsia="Arial" w:hAnsi="Arial"/>
                <w:sz w:val="18"/>
                <w:szCs w:val="18"/>
                <w:color w:val="auto"/>
              </w:rPr>
              <w:t>Lahey Clinic</w:t>
            </w:r>
          </w:p>
        </w:tc>
        <w:tc>
          <w:tcPr>
            <w:tcW w:w="3440" w:type="dxa"/>
            <w:vAlign w:val="bottom"/>
          </w:tcPr>
          <w:p>
            <w:pPr>
              <w:spacing w:after="0"/>
              <w:rPr>
                <w:sz w:val="18"/>
                <w:szCs w:val="18"/>
                <w:color w:val="auto"/>
              </w:rPr>
            </w:pPr>
          </w:p>
        </w:tc>
        <w:tc>
          <w:tcPr>
            <w:tcW w:w="1560" w:type="dxa"/>
            <w:vAlign w:val="bottom"/>
          </w:tcPr>
          <w:p>
            <w:pPr>
              <w:ind w:left="60"/>
              <w:spacing w:after="0"/>
              <w:rPr>
                <w:sz w:val="20"/>
                <w:szCs w:val="20"/>
                <w:color w:val="auto"/>
              </w:rPr>
            </w:pPr>
            <w:r>
              <w:rPr>
                <w:rFonts w:ascii="Arial" w:cs="Arial" w:eastAsia="Arial" w:hAnsi="Arial"/>
                <w:sz w:val="18"/>
                <w:szCs w:val="18"/>
                <w:color w:val="auto"/>
              </w:rPr>
              <w:t>BuCJ SEington</w:t>
            </w:r>
          </w:p>
        </w:tc>
        <w:tc>
          <w:tcPr>
            <w:tcW w:w="700" w:type="dxa"/>
            <w:vAlign w:val="bottom"/>
          </w:tcPr>
          <w:p>
            <w:pPr>
              <w:ind w:left="420"/>
              <w:spacing w:after="0"/>
              <w:rPr>
                <w:sz w:val="20"/>
                <w:szCs w:val="20"/>
                <w:color w:val="auto"/>
              </w:rPr>
            </w:pPr>
            <w:r>
              <w:rPr>
                <w:rFonts w:ascii="Arial" w:cs="Arial" w:eastAsia="Arial" w:hAnsi="Arial"/>
                <w:sz w:val="18"/>
                <w:szCs w:val="18"/>
                <w:color w:val="auto"/>
                <w:w w:val="96"/>
              </w:rPr>
              <w:t>MA</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740" w:type="dxa"/>
            <w:vAlign w:val="bottom"/>
          </w:tcPr>
          <w:p>
            <w:pPr>
              <w:ind w:left="240"/>
              <w:spacing w:after="0"/>
              <w:rPr>
                <w:sz w:val="20"/>
                <w:szCs w:val="20"/>
                <w:color w:val="auto"/>
              </w:rPr>
            </w:pPr>
            <w:r>
              <w:rPr>
                <w:rFonts w:ascii="Arial" w:cs="Arial" w:eastAsia="Arial" w:hAnsi="Arial"/>
                <w:sz w:val="18"/>
                <w:szCs w:val="18"/>
                <w:color w:val="auto"/>
              </w:rPr>
              <w:t>Lake CuGBeRLand Regional</w:t>
            </w:r>
          </w:p>
        </w:tc>
        <w:tc>
          <w:tcPr>
            <w:tcW w:w="3440" w:type="dxa"/>
            <w:vAlign w:val="bottom"/>
          </w:tcPr>
          <w:p>
            <w:pPr>
              <w:ind w:left="2000"/>
              <w:spacing w:after="0"/>
              <w:rPr>
                <w:sz w:val="20"/>
                <w:szCs w:val="20"/>
                <w:color w:val="auto"/>
              </w:rPr>
            </w:pPr>
            <w:r>
              <w:rPr>
                <w:rFonts w:ascii="Arial" w:cs="Arial" w:eastAsia="Arial" w:hAnsi="Arial"/>
                <w:sz w:val="18"/>
                <w:szCs w:val="18"/>
                <w:color w:val="auto"/>
              </w:rPr>
              <w:t>Amy Garrison</w:t>
            </w:r>
          </w:p>
        </w:tc>
        <w:tc>
          <w:tcPr>
            <w:tcW w:w="1560" w:type="dxa"/>
            <w:vAlign w:val="bottom"/>
          </w:tcPr>
          <w:p>
            <w:pPr>
              <w:ind w:left="60"/>
              <w:spacing w:after="0"/>
              <w:rPr>
                <w:sz w:val="20"/>
                <w:szCs w:val="20"/>
                <w:color w:val="auto"/>
              </w:rPr>
            </w:pPr>
            <w:r>
              <w:rPr>
                <w:rFonts w:ascii="Arial" w:cs="Arial" w:eastAsia="Arial" w:hAnsi="Arial"/>
                <w:sz w:val="18"/>
                <w:szCs w:val="18"/>
                <w:color w:val="auto"/>
              </w:rPr>
              <w:t>Somerset</w:t>
            </w:r>
          </w:p>
        </w:tc>
        <w:tc>
          <w:tcPr>
            <w:tcW w:w="700" w:type="dxa"/>
            <w:vAlign w:val="bottom"/>
          </w:tcPr>
          <w:p>
            <w:pPr>
              <w:ind w:left="420"/>
              <w:spacing w:after="0"/>
              <w:rPr>
                <w:sz w:val="20"/>
                <w:szCs w:val="20"/>
                <w:color w:val="auto"/>
              </w:rPr>
            </w:pPr>
            <w:r>
              <w:rPr>
                <w:rFonts w:ascii="Arial" w:cs="Arial" w:eastAsia="Arial" w:hAnsi="Arial"/>
                <w:sz w:val="18"/>
                <w:szCs w:val="18"/>
                <w:color w:val="auto"/>
              </w:rPr>
              <w:t>KY</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740" w:type="dxa"/>
            <w:vAlign w:val="bottom"/>
          </w:tcPr>
          <w:p>
            <w:pPr>
              <w:ind w:left="240"/>
              <w:spacing w:after="0"/>
              <w:rPr>
                <w:sz w:val="20"/>
                <w:szCs w:val="20"/>
                <w:color w:val="auto"/>
              </w:rPr>
            </w:pPr>
            <w:r>
              <w:rPr>
                <w:rFonts w:ascii="Arial" w:cs="Arial" w:eastAsia="Arial" w:hAnsi="Arial"/>
                <w:sz w:val="18"/>
                <w:szCs w:val="18"/>
                <w:color w:val="auto"/>
              </w:rPr>
              <w:t>Lakeland Regional Med Center</w:t>
            </w:r>
          </w:p>
        </w:tc>
        <w:tc>
          <w:tcPr>
            <w:tcW w:w="3440" w:type="dxa"/>
            <w:vAlign w:val="bottom"/>
          </w:tcPr>
          <w:p>
            <w:pPr>
              <w:ind w:left="2000"/>
              <w:spacing w:after="0"/>
              <w:rPr>
                <w:sz w:val="20"/>
                <w:szCs w:val="20"/>
                <w:color w:val="auto"/>
              </w:rPr>
            </w:pPr>
            <w:r>
              <w:rPr>
                <w:rFonts w:ascii="Arial" w:cs="Arial" w:eastAsia="Arial" w:hAnsi="Arial"/>
                <w:sz w:val="18"/>
                <w:szCs w:val="18"/>
                <w:color w:val="auto"/>
              </w:rPr>
              <w:t>Jeffrey ReTGBke</w:t>
            </w:r>
          </w:p>
        </w:tc>
        <w:tc>
          <w:tcPr>
            <w:tcW w:w="1560" w:type="dxa"/>
            <w:vAlign w:val="bottom"/>
          </w:tcPr>
          <w:p>
            <w:pPr>
              <w:ind w:left="60"/>
              <w:spacing w:after="0"/>
              <w:rPr>
                <w:sz w:val="20"/>
                <w:szCs w:val="20"/>
                <w:color w:val="auto"/>
              </w:rPr>
            </w:pPr>
            <w:r>
              <w:rPr>
                <w:rFonts w:ascii="Arial" w:cs="Arial" w:eastAsia="Arial" w:hAnsi="Arial"/>
                <w:sz w:val="18"/>
                <w:szCs w:val="18"/>
                <w:color w:val="auto"/>
              </w:rPr>
              <w:t>Lakeland</w:t>
            </w:r>
          </w:p>
        </w:tc>
        <w:tc>
          <w:tcPr>
            <w:tcW w:w="700" w:type="dxa"/>
            <w:vAlign w:val="bottom"/>
          </w:tcPr>
          <w:p>
            <w:pPr>
              <w:ind w:left="420"/>
              <w:spacing w:after="0"/>
              <w:rPr>
                <w:sz w:val="20"/>
                <w:szCs w:val="20"/>
                <w:color w:val="auto"/>
              </w:rPr>
            </w:pPr>
            <w:r>
              <w:rPr>
                <w:rFonts w:ascii="Arial" w:cs="Arial" w:eastAsia="Arial" w:hAnsi="Arial"/>
                <w:sz w:val="18"/>
                <w:szCs w:val="18"/>
                <w:color w:val="auto"/>
              </w:rPr>
              <w:t>FL</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740" w:type="dxa"/>
            <w:vAlign w:val="bottom"/>
          </w:tcPr>
          <w:p>
            <w:pPr>
              <w:ind w:left="240"/>
              <w:spacing w:after="0"/>
              <w:rPr>
                <w:sz w:val="20"/>
                <w:szCs w:val="20"/>
                <w:color w:val="auto"/>
              </w:rPr>
            </w:pPr>
            <w:r>
              <w:rPr>
                <w:rFonts w:ascii="Arial" w:cs="Arial" w:eastAsia="Arial" w:hAnsi="Arial"/>
                <w:sz w:val="18"/>
                <w:szCs w:val="18"/>
                <w:color w:val="auto"/>
              </w:rPr>
              <w:t>Lakeside Hospital</w:t>
            </w:r>
          </w:p>
        </w:tc>
        <w:tc>
          <w:tcPr>
            <w:tcW w:w="3440" w:type="dxa"/>
            <w:vAlign w:val="bottom"/>
          </w:tcPr>
          <w:p>
            <w:pPr>
              <w:ind w:left="2000"/>
              <w:spacing w:after="0"/>
              <w:rPr>
                <w:sz w:val="20"/>
                <w:szCs w:val="20"/>
                <w:color w:val="auto"/>
              </w:rPr>
            </w:pPr>
            <w:r>
              <w:rPr>
                <w:rFonts w:ascii="Arial" w:cs="Arial" w:eastAsia="Arial" w:hAnsi="Arial"/>
                <w:sz w:val="18"/>
                <w:szCs w:val="18"/>
                <w:color w:val="auto"/>
              </w:rPr>
              <w:t>Paige Gerdes</w:t>
            </w:r>
          </w:p>
        </w:tc>
        <w:tc>
          <w:tcPr>
            <w:tcW w:w="1560" w:type="dxa"/>
            <w:vAlign w:val="bottom"/>
          </w:tcPr>
          <w:p>
            <w:pPr>
              <w:ind w:left="60"/>
              <w:spacing w:after="0"/>
              <w:rPr>
                <w:sz w:val="20"/>
                <w:szCs w:val="20"/>
                <w:color w:val="auto"/>
              </w:rPr>
            </w:pPr>
            <w:r>
              <w:rPr>
                <w:rFonts w:ascii="Arial" w:cs="Arial" w:eastAsia="Arial" w:hAnsi="Arial"/>
                <w:sz w:val="18"/>
                <w:szCs w:val="18"/>
                <w:color w:val="auto"/>
              </w:rPr>
              <w:t>Metairie</w:t>
            </w:r>
          </w:p>
        </w:tc>
        <w:tc>
          <w:tcPr>
            <w:tcW w:w="700" w:type="dxa"/>
            <w:vAlign w:val="bottom"/>
          </w:tcPr>
          <w:p>
            <w:pPr>
              <w:ind w:left="420"/>
              <w:spacing w:after="0"/>
              <w:rPr>
                <w:sz w:val="20"/>
                <w:szCs w:val="20"/>
                <w:color w:val="auto"/>
              </w:rPr>
            </w:pPr>
            <w:r>
              <w:rPr>
                <w:rFonts w:ascii="Arial" w:cs="Arial" w:eastAsia="Arial" w:hAnsi="Arial"/>
                <w:sz w:val="18"/>
                <w:szCs w:val="18"/>
                <w:color w:val="auto"/>
              </w:rPr>
              <w:t>LA</w:t>
            </w:r>
          </w:p>
        </w:tc>
      </w:t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740" w:type="dxa"/>
            <w:vAlign w:val="bottom"/>
          </w:tcPr>
          <w:p>
            <w:pPr>
              <w:ind w:left="240"/>
              <w:spacing w:after="0"/>
              <w:rPr>
                <w:sz w:val="20"/>
                <w:szCs w:val="20"/>
                <w:color w:val="auto"/>
              </w:rPr>
            </w:pPr>
            <w:r>
              <w:rPr>
                <w:rFonts w:ascii="Arial" w:cs="Arial" w:eastAsia="Arial" w:hAnsi="Arial"/>
                <w:sz w:val="18"/>
                <w:szCs w:val="18"/>
                <w:color w:val="auto"/>
              </w:rPr>
              <w:t>Leesburg Regional Medical Center</w:t>
            </w:r>
          </w:p>
        </w:tc>
        <w:tc>
          <w:tcPr>
            <w:tcW w:w="3440" w:type="dxa"/>
            <w:vAlign w:val="bottom"/>
          </w:tcPr>
          <w:p>
            <w:pPr>
              <w:ind w:left="2000"/>
              <w:spacing w:after="0"/>
              <w:rPr>
                <w:sz w:val="20"/>
                <w:szCs w:val="20"/>
                <w:color w:val="auto"/>
              </w:rPr>
            </w:pPr>
            <w:r>
              <w:rPr>
                <w:rFonts w:ascii="Arial" w:cs="Arial" w:eastAsia="Arial" w:hAnsi="Arial"/>
                <w:sz w:val="18"/>
                <w:szCs w:val="18"/>
                <w:color w:val="auto"/>
              </w:rPr>
              <w:t>Tom Banks</w:t>
            </w:r>
          </w:p>
        </w:tc>
        <w:tc>
          <w:tcPr>
            <w:tcW w:w="1560" w:type="dxa"/>
            <w:vAlign w:val="bottom"/>
          </w:tcPr>
          <w:p>
            <w:pPr>
              <w:ind w:left="60"/>
              <w:spacing w:after="0"/>
              <w:rPr>
                <w:sz w:val="20"/>
                <w:szCs w:val="20"/>
                <w:color w:val="auto"/>
              </w:rPr>
            </w:pPr>
            <w:r>
              <w:rPr>
                <w:rFonts w:ascii="Arial" w:cs="Arial" w:eastAsia="Arial" w:hAnsi="Arial"/>
                <w:sz w:val="18"/>
                <w:szCs w:val="18"/>
                <w:color w:val="auto"/>
              </w:rPr>
              <w:t>Leesburg</w:t>
            </w:r>
          </w:p>
        </w:tc>
        <w:tc>
          <w:tcPr>
            <w:tcW w:w="700" w:type="dxa"/>
            <w:vAlign w:val="bottom"/>
          </w:tcPr>
          <w:p>
            <w:pPr>
              <w:ind w:left="420"/>
              <w:spacing w:after="0"/>
              <w:rPr>
                <w:sz w:val="20"/>
                <w:szCs w:val="20"/>
                <w:color w:val="auto"/>
              </w:rPr>
            </w:pPr>
            <w:r>
              <w:rPr>
                <w:rFonts w:ascii="Arial" w:cs="Arial" w:eastAsia="Arial" w:hAnsi="Arial"/>
                <w:sz w:val="18"/>
                <w:szCs w:val="18"/>
                <w:color w:val="auto"/>
              </w:rPr>
              <w:t>FL</w:t>
            </w:r>
          </w:p>
        </w:tc>
      </w:tr>
    </w:tbl>
    <w:p>
      <w:pPr>
        <w:sectPr>
          <w:pgSz w:w="11900" w:h="16838" w:orient="portrait"/>
          <w:cols w:equalWidth="0" w:num="1">
            <w:col w:w="11360"/>
          </w:cols>
          <w:pgMar w:left="240" w:top="280" w:right="299" w:bottom="1440" w:gutter="0" w:footer="0" w:header="0"/>
        </w:sectPr>
      </w:pPr>
    </w:p>
    <w:bookmarkStart w:id="341" w:name="page342"/>
    <w:bookmarkEnd w:id="34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ILS Corp</w:t>
            </w:r>
          </w:p>
        </w:tc>
        <w:tc>
          <w:tcPr>
            <w:tcW w:w="4620" w:type="dxa"/>
            <w:vAlign w:val="bottom"/>
          </w:tcPr>
          <w:p>
            <w:pPr>
              <w:ind w:left="220"/>
              <w:spacing w:after="0"/>
              <w:rPr>
                <w:sz w:val="20"/>
                <w:szCs w:val="20"/>
                <w:color w:val="auto"/>
              </w:rPr>
            </w:pPr>
            <w:r>
              <w:rPr>
                <w:rFonts w:ascii="Arial" w:cs="Arial" w:eastAsia="Arial" w:hAnsi="Arial"/>
                <w:sz w:val="18"/>
                <w:szCs w:val="18"/>
                <w:color w:val="auto"/>
              </w:rPr>
              <w:t>Lexington MC</w:t>
            </w:r>
          </w:p>
        </w:tc>
        <w:tc>
          <w:tcPr>
            <w:tcW w:w="3580" w:type="dxa"/>
            <w:vAlign w:val="bottom"/>
          </w:tcPr>
          <w:p>
            <w:pPr>
              <w:ind w:left="1920"/>
              <w:spacing w:after="0"/>
              <w:rPr>
                <w:sz w:val="20"/>
                <w:szCs w:val="20"/>
                <w:color w:val="auto"/>
              </w:rPr>
            </w:pPr>
            <w:r>
              <w:rPr>
                <w:rFonts w:ascii="Arial" w:cs="Arial" w:eastAsia="Arial" w:hAnsi="Arial"/>
                <w:sz w:val="18"/>
                <w:szCs w:val="18"/>
                <w:color w:val="auto"/>
              </w:rPr>
              <w:t>Robert G</w:t>
            </w:r>
          </w:p>
        </w:tc>
        <w:tc>
          <w:tcPr>
            <w:tcW w:w="1560" w:type="dxa"/>
            <w:vAlign w:val="bottom"/>
          </w:tcPr>
          <w:p>
            <w:pPr>
              <w:ind w:left="60"/>
              <w:spacing w:after="0"/>
              <w:rPr>
                <w:sz w:val="20"/>
                <w:szCs w:val="20"/>
                <w:color w:val="auto"/>
              </w:rPr>
            </w:pPr>
            <w:r>
              <w:rPr>
                <w:rFonts w:ascii="Arial" w:cs="Arial" w:eastAsia="Arial" w:hAnsi="Arial"/>
                <w:sz w:val="18"/>
                <w:szCs w:val="18"/>
                <w:color w:val="auto"/>
              </w:rPr>
              <w:t>West Columbia</w:t>
            </w:r>
          </w:p>
        </w:tc>
        <w:tc>
          <w:tcPr>
            <w:tcW w:w="700" w:type="dxa"/>
            <w:vAlign w:val="bottom"/>
          </w:tcPr>
          <w:p>
            <w:pPr>
              <w:ind w:left="420"/>
              <w:spacing w:after="0"/>
              <w:rPr>
                <w:sz w:val="20"/>
                <w:szCs w:val="20"/>
                <w:color w:val="auto"/>
              </w:rPr>
            </w:pPr>
            <w:r>
              <w:rPr>
                <w:rFonts w:ascii="Arial" w:cs="Arial" w:eastAsia="Arial" w:hAnsi="Arial"/>
                <w:sz w:val="18"/>
                <w:szCs w:val="18"/>
                <w:color w:val="auto"/>
              </w:rPr>
              <w:t>SC</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ILS Corp</w:t>
            </w:r>
          </w:p>
        </w:tc>
        <w:tc>
          <w:tcPr>
            <w:tcW w:w="4620" w:type="dxa"/>
            <w:vAlign w:val="bottom"/>
          </w:tcPr>
          <w:p>
            <w:pPr>
              <w:ind w:left="220"/>
              <w:spacing w:after="0"/>
              <w:rPr>
                <w:sz w:val="20"/>
                <w:szCs w:val="20"/>
                <w:color w:val="auto"/>
              </w:rPr>
            </w:pPr>
            <w:r>
              <w:rPr>
                <w:rFonts w:ascii="Arial" w:cs="Arial" w:eastAsia="Arial" w:hAnsi="Arial"/>
                <w:sz w:val="18"/>
                <w:szCs w:val="18"/>
                <w:color w:val="auto"/>
              </w:rPr>
              <w:t>Little Company of Mary</w:t>
            </w:r>
          </w:p>
        </w:tc>
        <w:tc>
          <w:tcPr>
            <w:tcW w:w="3580" w:type="dxa"/>
            <w:vAlign w:val="bottom"/>
          </w:tcPr>
          <w:p>
            <w:pPr>
              <w:ind w:left="1920"/>
              <w:spacing w:after="0"/>
              <w:rPr>
                <w:sz w:val="20"/>
                <w:szCs w:val="20"/>
                <w:color w:val="auto"/>
              </w:rPr>
            </w:pPr>
            <w:r>
              <w:rPr>
                <w:rFonts w:ascii="Arial" w:cs="Arial" w:eastAsia="Arial" w:hAnsi="Arial"/>
                <w:sz w:val="18"/>
                <w:szCs w:val="18"/>
                <w:color w:val="auto"/>
              </w:rPr>
              <w:t>Carol Glover</w:t>
            </w:r>
          </w:p>
        </w:tc>
        <w:tc>
          <w:tcPr>
            <w:tcW w:w="1560" w:type="dxa"/>
            <w:vAlign w:val="bottom"/>
          </w:tcPr>
          <w:p>
            <w:pPr>
              <w:ind w:left="60"/>
              <w:spacing w:after="0"/>
              <w:rPr>
                <w:sz w:val="20"/>
                <w:szCs w:val="20"/>
                <w:color w:val="auto"/>
              </w:rPr>
            </w:pPr>
            <w:r>
              <w:rPr>
                <w:rFonts w:ascii="Arial" w:cs="Arial" w:eastAsia="Arial" w:hAnsi="Arial"/>
                <w:sz w:val="18"/>
                <w:szCs w:val="18"/>
                <w:color w:val="auto"/>
              </w:rPr>
              <w:t>Torrance</w:t>
            </w:r>
          </w:p>
        </w:tc>
        <w:tc>
          <w:tcPr>
            <w:tcW w:w="700" w:type="dxa"/>
            <w:vAlign w:val="bottom"/>
          </w:tcPr>
          <w:p>
            <w:pPr>
              <w:ind w:left="420"/>
              <w:spacing w:after="0"/>
              <w:rPr>
                <w:sz w:val="20"/>
                <w:szCs w:val="20"/>
                <w:color w:val="auto"/>
              </w:rPr>
            </w:pPr>
            <w:r>
              <w:rPr>
                <w:rFonts w:ascii="Arial" w:cs="Arial" w:eastAsia="Arial" w:hAnsi="Arial"/>
                <w:sz w:val="18"/>
                <w:szCs w:val="18"/>
                <w:color w:val="auto"/>
              </w:rPr>
              <w:t>CA</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ILS Corp</w:t>
            </w:r>
          </w:p>
        </w:tc>
        <w:tc>
          <w:tcPr>
            <w:tcW w:w="4620" w:type="dxa"/>
            <w:vAlign w:val="bottom"/>
          </w:tcPr>
          <w:p>
            <w:pPr>
              <w:ind w:left="220"/>
              <w:spacing w:after="0"/>
              <w:rPr>
                <w:sz w:val="20"/>
                <w:szCs w:val="20"/>
                <w:color w:val="auto"/>
              </w:rPr>
            </w:pPr>
            <w:r>
              <w:rPr>
                <w:rFonts w:ascii="Arial" w:cs="Arial" w:eastAsia="Arial" w:hAnsi="Arial"/>
                <w:sz w:val="18"/>
                <w:szCs w:val="18"/>
                <w:color w:val="auto"/>
              </w:rPr>
              <w:t>Littleton Regional Hospital</w:t>
            </w:r>
          </w:p>
        </w:tc>
        <w:tc>
          <w:tcPr>
            <w:tcW w:w="3580" w:type="dxa"/>
            <w:vAlign w:val="bottom"/>
          </w:tcPr>
          <w:p>
            <w:pPr>
              <w:ind w:left="1920"/>
              <w:spacing w:after="0"/>
              <w:rPr>
                <w:sz w:val="20"/>
                <w:szCs w:val="20"/>
                <w:color w:val="auto"/>
              </w:rPr>
            </w:pPr>
            <w:r>
              <w:rPr>
                <w:rFonts w:ascii="Arial" w:cs="Arial" w:eastAsia="Arial" w:hAnsi="Arial"/>
                <w:sz w:val="18"/>
                <w:szCs w:val="18"/>
                <w:color w:val="auto"/>
              </w:rPr>
              <w:t>Anne McLachlin</w:t>
            </w:r>
          </w:p>
        </w:tc>
        <w:tc>
          <w:tcPr>
            <w:tcW w:w="1560" w:type="dxa"/>
            <w:vAlign w:val="bottom"/>
          </w:tcPr>
          <w:p>
            <w:pPr>
              <w:ind w:left="60"/>
              <w:spacing w:after="0"/>
              <w:rPr>
                <w:sz w:val="20"/>
                <w:szCs w:val="20"/>
                <w:color w:val="auto"/>
              </w:rPr>
            </w:pPr>
            <w:r>
              <w:rPr>
                <w:rFonts w:ascii="Arial" w:cs="Arial" w:eastAsia="Arial" w:hAnsi="Arial"/>
                <w:sz w:val="18"/>
                <w:szCs w:val="18"/>
                <w:color w:val="auto"/>
              </w:rPr>
              <w:t>Littleton</w:t>
            </w:r>
          </w:p>
        </w:tc>
        <w:tc>
          <w:tcPr>
            <w:tcW w:w="700" w:type="dxa"/>
            <w:vAlign w:val="bottom"/>
          </w:tcPr>
          <w:p>
            <w:pPr>
              <w:ind w:left="420"/>
              <w:spacing w:after="0"/>
              <w:rPr>
                <w:sz w:val="20"/>
                <w:szCs w:val="20"/>
                <w:color w:val="auto"/>
              </w:rPr>
            </w:pPr>
            <w:r>
              <w:rPr>
                <w:rFonts w:ascii="Arial" w:cs="Arial" w:eastAsia="Arial" w:hAnsi="Arial"/>
                <w:sz w:val="18"/>
                <w:szCs w:val="18"/>
                <w:color w:val="auto"/>
                <w:w w:val="99"/>
              </w:rPr>
              <w:t>NH</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ILS Corp</w:t>
            </w:r>
          </w:p>
        </w:tc>
        <w:tc>
          <w:tcPr>
            <w:tcW w:w="4620" w:type="dxa"/>
            <w:vAlign w:val="bottom"/>
          </w:tcPr>
          <w:p>
            <w:pPr>
              <w:ind w:left="220"/>
              <w:spacing w:after="0"/>
              <w:rPr>
                <w:sz w:val="20"/>
                <w:szCs w:val="20"/>
                <w:color w:val="auto"/>
              </w:rPr>
            </w:pPr>
            <w:r>
              <w:rPr>
                <w:rFonts w:ascii="Arial" w:cs="Arial" w:eastAsia="Arial" w:hAnsi="Arial"/>
                <w:sz w:val="18"/>
                <w:szCs w:val="18"/>
                <w:color w:val="auto"/>
              </w:rPr>
              <w:t>Lodi Memorial Hosp</w:t>
            </w:r>
          </w:p>
        </w:tc>
        <w:tc>
          <w:tcPr>
            <w:tcW w:w="3580" w:type="dxa"/>
            <w:vAlign w:val="bottom"/>
          </w:tcPr>
          <w:p>
            <w:pPr>
              <w:ind w:left="1920"/>
              <w:spacing w:after="0"/>
              <w:rPr>
                <w:sz w:val="20"/>
                <w:szCs w:val="20"/>
                <w:color w:val="auto"/>
              </w:rPr>
            </w:pPr>
            <w:r>
              <w:rPr>
                <w:rFonts w:ascii="Arial" w:cs="Arial" w:eastAsia="Arial" w:hAnsi="Arial"/>
                <w:sz w:val="18"/>
                <w:szCs w:val="18"/>
                <w:color w:val="auto"/>
              </w:rPr>
              <w:t>William Wesley</w:t>
            </w:r>
          </w:p>
        </w:tc>
        <w:tc>
          <w:tcPr>
            <w:tcW w:w="1560" w:type="dxa"/>
            <w:vAlign w:val="bottom"/>
          </w:tcPr>
          <w:p>
            <w:pPr>
              <w:ind w:left="60"/>
              <w:spacing w:after="0"/>
              <w:rPr>
                <w:sz w:val="20"/>
                <w:szCs w:val="20"/>
                <w:color w:val="auto"/>
              </w:rPr>
            </w:pPr>
            <w:r>
              <w:rPr>
                <w:rFonts w:ascii="Arial" w:cs="Arial" w:eastAsia="Arial" w:hAnsi="Arial"/>
                <w:sz w:val="18"/>
                <w:szCs w:val="18"/>
                <w:color w:val="auto"/>
              </w:rPr>
              <w:t>Lodi</w:t>
            </w:r>
          </w:p>
        </w:tc>
        <w:tc>
          <w:tcPr>
            <w:tcW w:w="700" w:type="dxa"/>
            <w:vAlign w:val="bottom"/>
          </w:tcPr>
          <w:p>
            <w:pPr>
              <w:ind w:left="420"/>
              <w:spacing w:after="0"/>
              <w:rPr>
                <w:sz w:val="20"/>
                <w:szCs w:val="20"/>
                <w:color w:val="auto"/>
              </w:rPr>
            </w:pPr>
            <w:r>
              <w:rPr>
                <w:rFonts w:ascii="Arial" w:cs="Arial" w:eastAsia="Arial" w:hAnsi="Arial"/>
                <w:sz w:val="18"/>
                <w:szCs w:val="18"/>
                <w:color w:val="auto"/>
              </w:rPr>
              <w:t>CA</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ILS Corp</w:t>
            </w:r>
          </w:p>
        </w:tc>
        <w:tc>
          <w:tcPr>
            <w:tcW w:w="4620" w:type="dxa"/>
            <w:vAlign w:val="bottom"/>
          </w:tcPr>
          <w:p>
            <w:pPr>
              <w:ind w:left="220"/>
              <w:spacing w:after="0"/>
              <w:rPr>
                <w:sz w:val="20"/>
                <w:szCs w:val="20"/>
                <w:color w:val="auto"/>
              </w:rPr>
            </w:pPr>
            <w:r>
              <w:rPr>
                <w:rFonts w:ascii="Arial" w:cs="Arial" w:eastAsia="Arial" w:hAnsi="Arial"/>
                <w:sz w:val="18"/>
                <w:szCs w:val="18"/>
                <w:color w:val="auto"/>
              </w:rPr>
              <w:t>Los Alamitos Medical Center</w:t>
            </w:r>
          </w:p>
        </w:tc>
        <w:tc>
          <w:tcPr>
            <w:tcW w:w="3580" w:type="dxa"/>
            <w:vAlign w:val="bottom"/>
          </w:tcPr>
          <w:p>
            <w:pPr>
              <w:ind w:left="1920"/>
              <w:spacing w:after="0"/>
              <w:rPr>
                <w:sz w:val="20"/>
                <w:szCs w:val="20"/>
                <w:color w:val="auto"/>
              </w:rPr>
            </w:pPr>
            <w:r>
              <w:rPr>
                <w:rFonts w:ascii="Arial" w:cs="Arial" w:eastAsia="Arial" w:hAnsi="Arial"/>
                <w:sz w:val="18"/>
                <w:szCs w:val="18"/>
                <w:color w:val="auto"/>
              </w:rPr>
              <w:t>Tony Umazon</w:t>
            </w:r>
          </w:p>
        </w:tc>
        <w:tc>
          <w:tcPr>
            <w:tcW w:w="1560" w:type="dxa"/>
            <w:vAlign w:val="bottom"/>
          </w:tcPr>
          <w:p>
            <w:pPr>
              <w:ind w:left="60"/>
              <w:spacing w:after="0"/>
              <w:rPr>
                <w:sz w:val="20"/>
                <w:szCs w:val="20"/>
                <w:color w:val="auto"/>
              </w:rPr>
            </w:pPr>
            <w:r>
              <w:rPr>
                <w:rFonts w:ascii="Arial" w:cs="Arial" w:eastAsia="Arial" w:hAnsi="Arial"/>
                <w:sz w:val="18"/>
                <w:szCs w:val="18"/>
                <w:color w:val="auto"/>
              </w:rPr>
              <w:t>Los Alamitos</w:t>
            </w:r>
          </w:p>
        </w:tc>
        <w:tc>
          <w:tcPr>
            <w:tcW w:w="700" w:type="dxa"/>
            <w:vAlign w:val="bottom"/>
          </w:tcPr>
          <w:p>
            <w:pPr>
              <w:ind w:left="420"/>
              <w:spacing w:after="0"/>
              <w:rPr>
                <w:sz w:val="20"/>
                <w:szCs w:val="20"/>
                <w:color w:val="auto"/>
              </w:rPr>
            </w:pPr>
            <w:r>
              <w:rPr>
                <w:rFonts w:ascii="Arial" w:cs="Arial" w:eastAsia="Arial" w:hAnsi="Arial"/>
                <w:sz w:val="18"/>
                <w:szCs w:val="18"/>
                <w:color w:val="auto"/>
              </w:rPr>
              <w:t>CA</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ILS Corp</w:t>
            </w:r>
          </w:p>
        </w:tc>
        <w:tc>
          <w:tcPr>
            <w:tcW w:w="4620" w:type="dxa"/>
            <w:vAlign w:val="bottom"/>
          </w:tcPr>
          <w:p>
            <w:pPr>
              <w:ind w:left="220"/>
              <w:spacing w:after="0"/>
              <w:rPr>
                <w:sz w:val="20"/>
                <w:szCs w:val="20"/>
                <w:color w:val="auto"/>
              </w:rPr>
            </w:pPr>
            <w:r>
              <w:rPr>
                <w:rFonts w:ascii="Arial" w:cs="Arial" w:eastAsia="Arial" w:hAnsi="Arial"/>
                <w:sz w:val="18"/>
                <w:szCs w:val="18"/>
                <w:color w:val="auto"/>
              </w:rPr>
              <w:t>Los Alamitos Surgery Center</w:t>
            </w:r>
          </w:p>
        </w:tc>
        <w:tc>
          <w:tcPr>
            <w:tcW w:w="3580" w:type="dxa"/>
            <w:vAlign w:val="bottom"/>
          </w:tcPr>
          <w:p>
            <w:pPr>
              <w:ind w:left="1920"/>
              <w:spacing w:after="0"/>
              <w:rPr>
                <w:sz w:val="20"/>
                <w:szCs w:val="20"/>
                <w:color w:val="auto"/>
              </w:rPr>
            </w:pPr>
            <w:r>
              <w:rPr>
                <w:rFonts w:ascii="Arial" w:cs="Arial" w:eastAsia="Arial" w:hAnsi="Arial"/>
                <w:sz w:val="18"/>
                <w:szCs w:val="18"/>
                <w:color w:val="auto"/>
              </w:rPr>
              <w:t>Kevin Duong</w:t>
            </w:r>
          </w:p>
        </w:tc>
        <w:tc>
          <w:tcPr>
            <w:tcW w:w="1560" w:type="dxa"/>
            <w:vAlign w:val="bottom"/>
          </w:tcPr>
          <w:p>
            <w:pPr>
              <w:ind w:left="60"/>
              <w:spacing w:after="0"/>
              <w:rPr>
                <w:sz w:val="20"/>
                <w:szCs w:val="20"/>
                <w:color w:val="auto"/>
              </w:rPr>
            </w:pPr>
            <w:r>
              <w:rPr>
                <w:rFonts w:ascii="Arial" w:cs="Arial" w:eastAsia="Arial" w:hAnsi="Arial"/>
                <w:sz w:val="18"/>
                <w:szCs w:val="18"/>
                <w:color w:val="auto"/>
              </w:rPr>
              <w:t>Los Alamitos</w:t>
            </w:r>
          </w:p>
        </w:tc>
        <w:tc>
          <w:tcPr>
            <w:tcW w:w="700" w:type="dxa"/>
            <w:vAlign w:val="bottom"/>
          </w:tcPr>
          <w:p>
            <w:pPr>
              <w:ind w:left="420"/>
              <w:spacing w:after="0"/>
              <w:rPr>
                <w:sz w:val="20"/>
                <w:szCs w:val="20"/>
                <w:color w:val="auto"/>
              </w:rPr>
            </w:pPr>
            <w:r>
              <w:rPr>
                <w:rFonts w:ascii="Arial" w:cs="Arial" w:eastAsia="Arial" w:hAnsi="Arial"/>
                <w:sz w:val="18"/>
                <w:szCs w:val="18"/>
                <w:color w:val="auto"/>
              </w:rPr>
              <w:t>CA</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ILS Corp</w:t>
            </w:r>
          </w:p>
        </w:tc>
        <w:tc>
          <w:tcPr>
            <w:tcW w:w="4620" w:type="dxa"/>
            <w:vAlign w:val="bottom"/>
          </w:tcPr>
          <w:p>
            <w:pPr>
              <w:ind w:left="220"/>
              <w:spacing w:after="0"/>
              <w:rPr>
                <w:sz w:val="20"/>
                <w:szCs w:val="20"/>
                <w:color w:val="auto"/>
              </w:rPr>
            </w:pPr>
            <w:r>
              <w:rPr>
                <w:rFonts w:ascii="Arial" w:cs="Arial" w:eastAsia="Arial" w:hAnsi="Arial"/>
                <w:sz w:val="18"/>
                <w:szCs w:val="18"/>
                <w:color w:val="auto"/>
              </w:rPr>
              <w:t>Lovelace</w:t>
            </w:r>
          </w:p>
        </w:tc>
        <w:tc>
          <w:tcPr>
            <w:tcW w:w="3580" w:type="dxa"/>
            <w:vAlign w:val="bottom"/>
          </w:tcPr>
          <w:p>
            <w:pPr>
              <w:ind w:left="1920"/>
              <w:spacing w:after="0"/>
              <w:rPr>
                <w:sz w:val="20"/>
                <w:szCs w:val="20"/>
                <w:color w:val="auto"/>
              </w:rPr>
            </w:pPr>
            <w:r>
              <w:rPr>
                <w:rFonts w:ascii="Arial" w:cs="Arial" w:eastAsia="Arial" w:hAnsi="Arial"/>
                <w:sz w:val="18"/>
                <w:szCs w:val="18"/>
                <w:color w:val="auto"/>
              </w:rPr>
              <w:t>Deanna Monroe</w:t>
            </w:r>
          </w:p>
        </w:tc>
        <w:tc>
          <w:tcPr>
            <w:tcW w:w="1560" w:type="dxa"/>
            <w:vAlign w:val="bottom"/>
          </w:tcPr>
          <w:p>
            <w:pPr>
              <w:ind w:left="60"/>
              <w:spacing w:after="0"/>
              <w:rPr>
                <w:sz w:val="20"/>
                <w:szCs w:val="20"/>
                <w:color w:val="auto"/>
              </w:rPr>
            </w:pPr>
            <w:r>
              <w:rPr>
                <w:rFonts w:ascii="Arial" w:cs="Arial" w:eastAsia="Arial" w:hAnsi="Arial"/>
                <w:sz w:val="18"/>
                <w:szCs w:val="18"/>
                <w:color w:val="auto"/>
              </w:rPr>
              <w:t>Albuquerque</w:t>
            </w:r>
          </w:p>
        </w:tc>
        <w:tc>
          <w:tcPr>
            <w:tcW w:w="700" w:type="dxa"/>
            <w:vAlign w:val="bottom"/>
          </w:tcPr>
          <w:p>
            <w:pPr>
              <w:ind w:left="420"/>
              <w:spacing w:after="0"/>
              <w:rPr>
                <w:sz w:val="20"/>
                <w:szCs w:val="20"/>
                <w:color w:val="auto"/>
              </w:rPr>
            </w:pPr>
            <w:r>
              <w:rPr>
                <w:rFonts w:ascii="Arial" w:cs="Arial" w:eastAsia="Arial" w:hAnsi="Arial"/>
                <w:sz w:val="18"/>
                <w:szCs w:val="18"/>
                <w:color w:val="auto"/>
                <w:w w:val="92"/>
              </w:rPr>
              <w:t>NM</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ILS Corp</w:t>
            </w:r>
          </w:p>
        </w:tc>
        <w:tc>
          <w:tcPr>
            <w:tcW w:w="4620" w:type="dxa"/>
            <w:vAlign w:val="bottom"/>
          </w:tcPr>
          <w:p>
            <w:pPr>
              <w:ind w:left="220"/>
              <w:spacing w:after="0"/>
              <w:rPr>
                <w:sz w:val="20"/>
                <w:szCs w:val="20"/>
                <w:color w:val="auto"/>
              </w:rPr>
            </w:pPr>
            <w:r>
              <w:rPr>
                <w:rFonts w:ascii="Arial" w:cs="Arial" w:eastAsia="Arial" w:hAnsi="Arial"/>
                <w:sz w:val="18"/>
                <w:szCs w:val="18"/>
                <w:color w:val="auto"/>
              </w:rPr>
              <w:t>Lowry Surgery Center</w:t>
            </w:r>
          </w:p>
        </w:tc>
        <w:tc>
          <w:tcPr>
            <w:tcW w:w="3580" w:type="dxa"/>
            <w:vAlign w:val="bottom"/>
          </w:tcPr>
          <w:p>
            <w:pPr>
              <w:ind w:left="1920"/>
              <w:spacing w:after="0"/>
              <w:rPr>
                <w:sz w:val="20"/>
                <w:szCs w:val="20"/>
                <w:color w:val="auto"/>
              </w:rPr>
            </w:pPr>
            <w:r>
              <w:rPr>
                <w:rFonts w:ascii="Arial" w:cs="Arial" w:eastAsia="Arial" w:hAnsi="Arial"/>
                <w:sz w:val="18"/>
                <w:szCs w:val="18"/>
                <w:color w:val="auto"/>
              </w:rPr>
              <w:t>Authea Lovato</w:t>
            </w:r>
          </w:p>
        </w:tc>
        <w:tc>
          <w:tcPr>
            <w:tcW w:w="1560" w:type="dxa"/>
            <w:vAlign w:val="bottom"/>
          </w:tcPr>
          <w:p>
            <w:pPr>
              <w:ind w:left="60"/>
              <w:spacing w:after="0"/>
              <w:rPr>
                <w:sz w:val="20"/>
                <w:szCs w:val="20"/>
                <w:color w:val="auto"/>
              </w:rPr>
            </w:pPr>
            <w:r>
              <w:rPr>
                <w:rFonts w:ascii="Arial" w:cs="Arial" w:eastAsia="Arial" w:hAnsi="Arial"/>
                <w:sz w:val="18"/>
                <w:szCs w:val="18"/>
                <w:color w:val="auto"/>
              </w:rPr>
              <w:t>Denver</w:t>
            </w:r>
          </w:p>
        </w:tc>
        <w:tc>
          <w:tcPr>
            <w:tcW w:w="700" w:type="dxa"/>
            <w:vAlign w:val="bottom"/>
          </w:tcPr>
          <w:p>
            <w:pPr>
              <w:ind w:left="420"/>
              <w:spacing w:after="0"/>
              <w:rPr>
                <w:sz w:val="20"/>
                <w:szCs w:val="20"/>
                <w:color w:val="auto"/>
              </w:rPr>
            </w:pPr>
            <w:r>
              <w:rPr>
                <w:rFonts w:ascii="Arial" w:cs="Arial" w:eastAsia="Arial" w:hAnsi="Arial"/>
                <w:sz w:val="18"/>
                <w:szCs w:val="18"/>
                <w:color w:val="auto"/>
                <w:w w:val="96"/>
              </w:rPr>
              <w:t>CO</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ILS Corp</w:t>
            </w:r>
          </w:p>
        </w:tc>
        <w:tc>
          <w:tcPr>
            <w:tcW w:w="4620" w:type="dxa"/>
            <w:vAlign w:val="bottom"/>
          </w:tcPr>
          <w:p>
            <w:pPr>
              <w:ind w:left="220"/>
              <w:spacing w:after="0"/>
              <w:rPr>
                <w:sz w:val="20"/>
                <w:szCs w:val="20"/>
                <w:color w:val="auto"/>
              </w:rPr>
            </w:pPr>
            <w:r>
              <w:rPr>
                <w:rFonts w:ascii="Arial" w:cs="Arial" w:eastAsia="Arial" w:hAnsi="Arial"/>
                <w:sz w:val="18"/>
                <w:szCs w:val="18"/>
                <w:color w:val="auto"/>
              </w:rPr>
              <w:t>Lutheran Hospital</w:t>
            </w:r>
          </w:p>
        </w:tc>
        <w:tc>
          <w:tcPr>
            <w:tcW w:w="3580" w:type="dxa"/>
            <w:vAlign w:val="bottom"/>
          </w:tcPr>
          <w:p>
            <w:pPr>
              <w:ind w:left="1920"/>
              <w:spacing w:after="0"/>
              <w:rPr>
                <w:sz w:val="20"/>
                <w:szCs w:val="20"/>
                <w:color w:val="auto"/>
              </w:rPr>
            </w:pPr>
            <w:r>
              <w:rPr>
                <w:rFonts w:ascii="Arial" w:cs="Arial" w:eastAsia="Arial" w:hAnsi="Arial"/>
                <w:sz w:val="18"/>
                <w:szCs w:val="18"/>
                <w:color w:val="auto"/>
              </w:rPr>
              <w:t>Kris Waller</w:t>
            </w:r>
          </w:p>
        </w:tc>
        <w:tc>
          <w:tcPr>
            <w:tcW w:w="1560" w:type="dxa"/>
            <w:vAlign w:val="bottom"/>
          </w:tcPr>
          <w:p>
            <w:pPr>
              <w:ind w:left="60"/>
              <w:spacing w:after="0"/>
              <w:rPr>
                <w:sz w:val="20"/>
                <w:szCs w:val="20"/>
                <w:color w:val="auto"/>
              </w:rPr>
            </w:pPr>
            <w:r>
              <w:rPr>
                <w:rFonts w:ascii="Arial" w:cs="Arial" w:eastAsia="Arial" w:hAnsi="Arial"/>
                <w:sz w:val="18"/>
                <w:szCs w:val="18"/>
                <w:color w:val="auto"/>
              </w:rPr>
              <w:t>Wheat Ridge</w:t>
            </w:r>
          </w:p>
        </w:tc>
        <w:tc>
          <w:tcPr>
            <w:tcW w:w="700" w:type="dxa"/>
            <w:vAlign w:val="bottom"/>
          </w:tcPr>
          <w:p>
            <w:pPr>
              <w:ind w:left="420"/>
              <w:spacing w:after="0"/>
              <w:rPr>
                <w:sz w:val="20"/>
                <w:szCs w:val="20"/>
                <w:color w:val="auto"/>
              </w:rPr>
            </w:pPr>
            <w:r>
              <w:rPr>
                <w:rFonts w:ascii="Arial" w:cs="Arial" w:eastAsia="Arial" w:hAnsi="Arial"/>
                <w:sz w:val="18"/>
                <w:szCs w:val="18"/>
                <w:color w:val="auto"/>
                <w:w w:val="96"/>
              </w:rPr>
              <w:t>CO</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ILS Corp</w:t>
            </w:r>
          </w:p>
        </w:tc>
        <w:tc>
          <w:tcPr>
            <w:tcW w:w="4620" w:type="dxa"/>
            <w:vAlign w:val="bottom"/>
          </w:tcPr>
          <w:p>
            <w:pPr>
              <w:ind w:left="220"/>
              <w:spacing w:after="0"/>
              <w:rPr>
                <w:sz w:val="20"/>
                <w:szCs w:val="20"/>
                <w:color w:val="auto"/>
              </w:rPr>
            </w:pPr>
            <w:r>
              <w:rPr>
                <w:rFonts w:ascii="Arial" w:cs="Arial" w:eastAsia="Arial" w:hAnsi="Arial"/>
                <w:sz w:val="18"/>
                <w:szCs w:val="18"/>
                <w:color w:val="auto"/>
              </w:rPr>
              <w:t>Lutheran Hospital</w:t>
            </w:r>
          </w:p>
        </w:tc>
        <w:tc>
          <w:tcPr>
            <w:tcW w:w="3580" w:type="dxa"/>
            <w:vAlign w:val="bottom"/>
          </w:tcPr>
          <w:p>
            <w:pPr>
              <w:ind w:left="1920"/>
              <w:spacing w:after="0"/>
              <w:rPr>
                <w:sz w:val="20"/>
                <w:szCs w:val="20"/>
                <w:color w:val="auto"/>
              </w:rPr>
            </w:pPr>
            <w:r>
              <w:rPr>
                <w:rFonts w:ascii="Arial" w:cs="Arial" w:eastAsia="Arial" w:hAnsi="Arial"/>
                <w:sz w:val="18"/>
                <w:szCs w:val="18"/>
                <w:color w:val="auto"/>
              </w:rPr>
              <w:t>Donna Harris</w:t>
            </w:r>
          </w:p>
        </w:tc>
        <w:tc>
          <w:tcPr>
            <w:tcW w:w="1560" w:type="dxa"/>
            <w:vAlign w:val="bottom"/>
          </w:tcPr>
          <w:p>
            <w:pPr>
              <w:ind w:left="60"/>
              <w:spacing w:after="0"/>
              <w:rPr>
                <w:sz w:val="20"/>
                <w:szCs w:val="20"/>
                <w:color w:val="auto"/>
              </w:rPr>
            </w:pPr>
            <w:r>
              <w:rPr>
                <w:rFonts w:ascii="Arial" w:cs="Arial" w:eastAsia="Arial" w:hAnsi="Arial"/>
                <w:sz w:val="18"/>
                <w:szCs w:val="18"/>
                <w:color w:val="auto"/>
              </w:rPr>
              <w:t>Cleveland</w:t>
            </w:r>
          </w:p>
        </w:tc>
        <w:tc>
          <w:tcPr>
            <w:tcW w:w="700" w:type="dxa"/>
            <w:vAlign w:val="bottom"/>
          </w:tcPr>
          <w:p>
            <w:pPr>
              <w:ind w:left="420"/>
              <w:spacing w:after="0"/>
              <w:rPr>
                <w:sz w:val="20"/>
                <w:szCs w:val="20"/>
                <w:color w:val="auto"/>
              </w:rPr>
            </w:pPr>
            <w:r>
              <w:rPr>
                <w:rFonts w:ascii="Arial" w:cs="Arial" w:eastAsia="Arial" w:hAnsi="Arial"/>
                <w:sz w:val="18"/>
                <w:szCs w:val="18"/>
                <w:color w:val="auto"/>
                <w:w w:val="96"/>
              </w:rPr>
              <w:t>OH</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ILS Corp</w:t>
            </w:r>
          </w:p>
        </w:tc>
        <w:tc>
          <w:tcPr>
            <w:tcW w:w="4620" w:type="dxa"/>
            <w:vAlign w:val="bottom"/>
          </w:tcPr>
          <w:p>
            <w:pPr>
              <w:ind w:left="220"/>
              <w:spacing w:after="0"/>
              <w:rPr>
                <w:sz w:val="20"/>
                <w:szCs w:val="20"/>
                <w:color w:val="auto"/>
              </w:rPr>
            </w:pPr>
            <w:r>
              <w:rPr>
                <w:rFonts w:ascii="Arial" w:cs="Arial" w:eastAsia="Arial" w:hAnsi="Arial"/>
                <w:sz w:val="18"/>
                <w:szCs w:val="18"/>
                <w:color w:val="auto"/>
              </w:rPr>
              <w:t>MacNeal Hospital</w:t>
            </w:r>
          </w:p>
        </w:tc>
        <w:tc>
          <w:tcPr>
            <w:tcW w:w="3580" w:type="dxa"/>
            <w:vAlign w:val="bottom"/>
          </w:tcPr>
          <w:p>
            <w:pPr>
              <w:ind w:left="1920"/>
              <w:spacing w:after="0"/>
              <w:rPr>
                <w:sz w:val="20"/>
                <w:szCs w:val="20"/>
                <w:color w:val="auto"/>
              </w:rPr>
            </w:pPr>
            <w:r>
              <w:rPr>
                <w:rFonts w:ascii="Arial" w:cs="Arial" w:eastAsia="Arial" w:hAnsi="Arial"/>
                <w:sz w:val="18"/>
                <w:szCs w:val="18"/>
                <w:color w:val="auto"/>
              </w:rPr>
              <w:t>Kathy Lorenc</w:t>
            </w:r>
          </w:p>
        </w:tc>
        <w:tc>
          <w:tcPr>
            <w:tcW w:w="1560" w:type="dxa"/>
            <w:vAlign w:val="bottom"/>
          </w:tcPr>
          <w:p>
            <w:pPr>
              <w:ind w:left="60"/>
              <w:spacing w:after="0"/>
              <w:rPr>
                <w:sz w:val="20"/>
                <w:szCs w:val="20"/>
                <w:color w:val="auto"/>
              </w:rPr>
            </w:pPr>
            <w:r>
              <w:rPr>
                <w:rFonts w:ascii="Arial" w:cs="Arial" w:eastAsia="Arial" w:hAnsi="Arial"/>
                <w:sz w:val="18"/>
                <w:szCs w:val="18"/>
                <w:color w:val="auto"/>
              </w:rPr>
              <w:t>Berwyn</w:t>
            </w:r>
          </w:p>
        </w:tc>
        <w:tc>
          <w:tcPr>
            <w:tcW w:w="700" w:type="dxa"/>
            <w:vAlign w:val="bottom"/>
          </w:tcPr>
          <w:p>
            <w:pPr>
              <w:ind w:left="420"/>
              <w:spacing w:after="0"/>
              <w:rPr>
                <w:sz w:val="20"/>
                <w:szCs w:val="20"/>
                <w:color w:val="auto"/>
              </w:rPr>
            </w:pPr>
            <w:r>
              <w:rPr>
                <w:rFonts w:ascii="Arial" w:cs="Arial" w:eastAsia="Arial" w:hAnsi="Arial"/>
                <w:sz w:val="18"/>
                <w:szCs w:val="18"/>
                <w:color w:val="auto"/>
              </w:rPr>
              <w:t>IL</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ILS Corp</w:t>
            </w:r>
          </w:p>
        </w:tc>
        <w:tc>
          <w:tcPr>
            <w:tcW w:w="4620" w:type="dxa"/>
            <w:vAlign w:val="bottom"/>
          </w:tcPr>
          <w:p>
            <w:pPr>
              <w:ind w:left="220"/>
              <w:spacing w:after="0"/>
              <w:rPr>
                <w:sz w:val="20"/>
                <w:szCs w:val="20"/>
                <w:color w:val="auto"/>
              </w:rPr>
            </w:pPr>
            <w:r>
              <w:rPr>
                <w:rFonts w:ascii="Arial" w:cs="Arial" w:eastAsia="Arial" w:hAnsi="Arial"/>
                <w:sz w:val="18"/>
                <w:szCs w:val="18"/>
                <w:color w:val="auto"/>
              </w:rPr>
              <w:t>Marshall Hospital</w:t>
            </w:r>
          </w:p>
        </w:tc>
        <w:tc>
          <w:tcPr>
            <w:tcW w:w="3580" w:type="dxa"/>
            <w:vAlign w:val="bottom"/>
          </w:tcPr>
          <w:p>
            <w:pPr>
              <w:ind w:left="1920"/>
              <w:spacing w:after="0"/>
              <w:rPr>
                <w:sz w:val="20"/>
                <w:szCs w:val="20"/>
                <w:color w:val="auto"/>
              </w:rPr>
            </w:pPr>
            <w:r>
              <w:rPr>
                <w:rFonts w:ascii="Arial" w:cs="Arial" w:eastAsia="Arial" w:hAnsi="Arial"/>
                <w:sz w:val="18"/>
                <w:szCs w:val="18"/>
                <w:color w:val="auto"/>
              </w:rPr>
              <w:t>Whitney Ross</w:t>
            </w:r>
          </w:p>
        </w:tc>
        <w:tc>
          <w:tcPr>
            <w:tcW w:w="1560" w:type="dxa"/>
            <w:vAlign w:val="bottom"/>
          </w:tcPr>
          <w:p>
            <w:pPr>
              <w:ind w:left="60"/>
              <w:spacing w:after="0"/>
              <w:rPr>
                <w:sz w:val="20"/>
                <w:szCs w:val="20"/>
                <w:color w:val="auto"/>
              </w:rPr>
            </w:pPr>
            <w:r>
              <w:rPr>
                <w:rFonts w:ascii="Arial" w:cs="Arial" w:eastAsia="Arial" w:hAnsi="Arial"/>
                <w:sz w:val="18"/>
                <w:szCs w:val="18"/>
                <w:color w:val="auto"/>
              </w:rPr>
              <w:t>Placerville</w:t>
            </w:r>
          </w:p>
        </w:tc>
        <w:tc>
          <w:tcPr>
            <w:tcW w:w="700" w:type="dxa"/>
            <w:vAlign w:val="bottom"/>
          </w:tcPr>
          <w:p>
            <w:pPr>
              <w:ind w:left="420"/>
              <w:spacing w:after="0"/>
              <w:rPr>
                <w:sz w:val="20"/>
                <w:szCs w:val="20"/>
                <w:color w:val="auto"/>
              </w:rPr>
            </w:pPr>
            <w:r>
              <w:rPr>
                <w:rFonts w:ascii="Arial" w:cs="Arial" w:eastAsia="Arial" w:hAnsi="Arial"/>
                <w:sz w:val="18"/>
                <w:szCs w:val="18"/>
                <w:color w:val="auto"/>
              </w:rPr>
              <w:t>CA</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ILS Corp</w:t>
            </w:r>
          </w:p>
        </w:tc>
        <w:tc>
          <w:tcPr>
            <w:tcW w:w="4620" w:type="dxa"/>
            <w:vAlign w:val="bottom"/>
          </w:tcPr>
          <w:p>
            <w:pPr>
              <w:ind w:left="220"/>
              <w:spacing w:after="0"/>
              <w:rPr>
                <w:sz w:val="20"/>
                <w:szCs w:val="20"/>
                <w:color w:val="auto"/>
              </w:rPr>
            </w:pPr>
            <w:r>
              <w:rPr>
                <w:rFonts w:ascii="Arial" w:cs="Arial" w:eastAsia="Arial" w:hAnsi="Arial"/>
                <w:sz w:val="18"/>
                <w:szCs w:val="18"/>
                <w:color w:val="auto"/>
              </w:rPr>
              <w:t>Mason Ridge Surgery Center</w:t>
            </w:r>
          </w:p>
        </w:tc>
        <w:tc>
          <w:tcPr>
            <w:tcW w:w="3580" w:type="dxa"/>
            <w:vAlign w:val="bottom"/>
          </w:tcPr>
          <w:p>
            <w:pPr>
              <w:ind w:left="1920"/>
              <w:spacing w:after="0"/>
              <w:rPr>
                <w:sz w:val="20"/>
                <w:szCs w:val="20"/>
                <w:color w:val="auto"/>
              </w:rPr>
            </w:pPr>
            <w:r>
              <w:rPr>
                <w:rFonts w:ascii="Arial" w:cs="Arial" w:eastAsia="Arial" w:hAnsi="Arial"/>
                <w:sz w:val="18"/>
                <w:szCs w:val="18"/>
                <w:color w:val="auto"/>
              </w:rPr>
              <w:t>Shelia Zuranski</w:t>
            </w:r>
          </w:p>
        </w:tc>
        <w:tc>
          <w:tcPr>
            <w:tcW w:w="1560" w:type="dxa"/>
            <w:vAlign w:val="bottom"/>
          </w:tcPr>
          <w:p>
            <w:pPr>
              <w:ind w:left="60"/>
              <w:spacing w:after="0"/>
              <w:rPr>
                <w:sz w:val="20"/>
                <w:szCs w:val="20"/>
                <w:color w:val="auto"/>
              </w:rPr>
            </w:pPr>
            <w:r>
              <w:rPr>
                <w:rFonts w:ascii="Arial" w:cs="Arial" w:eastAsia="Arial" w:hAnsi="Arial"/>
                <w:sz w:val="18"/>
                <w:szCs w:val="18"/>
                <w:color w:val="auto"/>
              </w:rPr>
              <w:t>St. Louis</w:t>
            </w:r>
          </w:p>
        </w:tc>
        <w:tc>
          <w:tcPr>
            <w:tcW w:w="700" w:type="dxa"/>
            <w:vAlign w:val="bottom"/>
          </w:tcPr>
          <w:p>
            <w:pPr>
              <w:ind w:left="420"/>
              <w:spacing w:after="0"/>
              <w:rPr>
                <w:sz w:val="20"/>
                <w:szCs w:val="20"/>
                <w:color w:val="auto"/>
              </w:rPr>
            </w:pPr>
            <w:r>
              <w:rPr>
                <w:rFonts w:ascii="Arial" w:cs="Arial" w:eastAsia="Arial" w:hAnsi="Arial"/>
                <w:sz w:val="18"/>
                <w:szCs w:val="18"/>
                <w:color w:val="auto"/>
                <w:w w:val="89"/>
              </w:rPr>
              <w:t>MO</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ILS Corp</w:t>
            </w:r>
          </w:p>
        </w:tc>
        <w:tc>
          <w:tcPr>
            <w:tcW w:w="4620" w:type="dxa"/>
            <w:vAlign w:val="bottom"/>
          </w:tcPr>
          <w:p>
            <w:pPr>
              <w:ind w:left="220"/>
              <w:spacing w:after="0"/>
              <w:rPr>
                <w:sz w:val="20"/>
                <w:szCs w:val="20"/>
                <w:color w:val="auto"/>
              </w:rPr>
            </w:pPr>
            <w:r>
              <w:rPr>
                <w:rFonts w:ascii="Arial" w:cs="Arial" w:eastAsia="Arial" w:hAnsi="Arial"/>
                <w:sz w:val="18"/>
                <w:szCs w:val="18"/>
                <w:color w:val="auto"/>
              </w:rPr>
              <w:t>Mass Gen/Northshore</w:t>
            </w:r>
          </w:p>
        </w:tc>
        <w:tc>
          <w:tcPr>
            <w:tcW w:w="3580" w:type="dxa"/>
            <w:vAlign w:val="bottom"/>
          </w:tcPr>
          <w:p>
            <w:pPr>
              <w:ind w:left="1920"/>
              <w:spacing w:after="0"/>
              <w:rPr>
                <w:sz w:val="20"/>
                <w:szCs w:val="20"/>
                <w:color w:val="auto"/>
              </w:rPr>
            </w:pPr>
            <w:r>
              <w:rPr>
                <w:rFonts w:ascii="Arial" w:cs="Arial" w:eastAsia="Arial" w:hAnsi="Arial"/>
                <w:sz w:val="18"/>
                <w:szCs w:val="18"/>
                <w:color w:val="auto"/>
              </w:rPr>
              <w:t>Ivonne Ehrlich</w:t>
            </w:r>
          </w:p>
        </w:tc>
        <w:tc>
          <w:tcPr>
            <w:tcW w:w="1560" w:type="dxa"/>
            <w:vAlign w:val="bottom"/>
          </w:tcPr>
          <w:p>
            <w:pPr>
              <w:ind w:left="60"/>
              <w:spacing w:after="0"/>
              <w:rPr>
                <w:sz w:val="20"/>
                <w:szCs w:val="20"/>
                <w:color w:val="auto"/>
              </w:rPr>
            </w:pPr>
            <w:r>
              <w:rPr>
                <w:rFonts w:ascii="Arial" w:cs="Arial" w:eastAsia="Arial" w:hAnsi="Arial"/>
                <w:sz w:val="18"/>
                <w:szCs w:val="18"/>
                <w:color w:val="auto"/>
              </w:rPr>
              <w:t>Danvers</w:t>
            </w:r>
          </w:p>
        </w:tc>
        <w:tc>
          <w:tcPr>
            <w:tcW w:w="700" w:type="dxa"/>
            <w:vAlign w:val="bottom"/>
          </w:tcPr>
          <w:p>
            <w:pPr>
              <w:ind w:left="420"/>
              <w:spacing w:after="0"/>
              <w:rPr>
                <w:sz w:val="20"/>
                <w:szCs w:val="20"/>
                <w:color w:val="auto"/>
              </w:rPr>
            </w:pPr>
            <w:r>
              <w:rPr>
                <w:rFonts w:ascii="Arial" w:cs="Arial" w:eastAsia="Arial" w:hAnsi="Arial"/>
                <w:sz w:val="18"/>
                <w:szCs w:val="18"/>
                <w:color w:val="auto"/>
                <w:w w:val="96"/>
              </w:rPr>
              <w:t>MA</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ILS Corp</w:t>
            </w:r>
          </w:p>
        </w:tc>
        <w:tc>
          <w:tcPr>
            <w:tcW w:w="4620" w:type="dxa"/>
            <w:vAlign w:val="bottom"/>
          </w:tcPr>
          <w:p>
            <w:pPr>
              <w:ind w:left="220"/>
              <w:spacing w:after="0"/>
              <w:rPr>
                <w:sz w:val="20"/>
                <w:szCs w:val="20"/>
                <w:color w:val="auto"/>
              </w:rPr>
            </w:pPr>
            <w:r>
              <w:rPr>
                <w:rFonts w:ascii="Arial" w:cs="Arial" w:eastAsia="Arial" w:hAnsi="Arial"/>
                <w:sz w:val="18"/>
                <w:szCs w:val="18"/>
                <w:color w:val="auto"/>
              </w:rPr>
              <w:t>McBride Clinic</w:t>
            </w:r>
          </w:p>
        </w:tc>
        <w:tc>
          <w:tcPr>
            <w:tcW w:w="3580" w:type="dxa"/>
            <w:vAlign w:val="bottom"/>
          </w:tcPr>
          <w:p>
            <w:pPr>
              <w:ind w:left="1920"/>
              <w:spacing w:after="0"/>
              <w:rPr>
                <w:sz w:val="20"/>
                <w:szCs w:val="20"/>
                <w:color w:val="auto"/>
              </w:rPr>
            </w:pPr>
            <w:r>
              <w:rPr>
                <w:rFonts w:ascii="Arial" w:cs="Arial" w:eastAsia="Arial" w:hAnsi="Arial"/>
                <w:sz w:val="18"/>
                <w:szCs w:val="18"/>
                <w:color w:val="auto"/>
              </w:rPr>
              <w:t>Ryan Kohs</w:t>
            </w:r>
          </w:p>
        </w:tc>
        <w:tc>
          <w:tcPr>
            <w:tcW w:w="1560" w:type="dxa"/>
            <w:vAlign w:val="bottom"/>
          </w:tcPr>
          <w:p>
            <w:pPr>
              <w:ind w:left="60"/>
              <w:spacing w:after="0"/>
              <w:rPr>
                <w:sz w:val="20"/>
                <w:szCs w:val="20"/>
                <w:color w:val="auto"/>
              </w:rPr>
            </w:pPr>
            <w:r>
              <w:rPr>
                <w:rFonts w:ascii="Arial" w:cs="Arial" w:eastAsia="Arial" w:hAnsi="Arial"/>
                <w:sz w:val="18"/>
                <w:szCs w:val="18"/>
                <w:color w:val="auto"/>
              </w:rPr>
              <w:t>Oklahoma City</w:t>
            </w:r>
          </w:p>
        </w:tc>
        <w:tc>
          <w:tcPr>
            <w:tcW w:w="700" w:type="dxa"/>
            <w:vAlign w:val="bottom"/>
          </w:tcPr>
          <w:p>
            <w:pPr>
              <w:ind w:left="420"/>
              <w:spacing w:after="0"/>
              <w:rPr>
                <w:sz w:val="20"/>
                <w:szCs w:val="20"/>
                <w:color w:val="auto"/>
              </w:rPr>
            </w:pPr>
            <w:r>
              <w:rPr>
                <w:rFonts w:ascii="Arial" w:cs="Arial" w:eastAsia="Arial" w:hAnsi="Arial"/>
                <w:sz w:val="18"/>
                <w:szCs w:val="18"/>
                <w:color w:val="auto"/>
                <w:w w:val="99"/>
              </w:rPr>
              <w:t>OK</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ILS Corp</w:t>
            </w:r>
          </w:p>
        </w:tc>
        <w:tc>
          <w:tcPr>
            <w:tcW w:w="4620" w:type="dxa"/>
            <w:vAlign w:val="bottom"/>
          </w:tcPr>
          <w:p>
            <w:pPr>
              <w:ind w:left="220"/>
              <w:spacing w:after="0"/>
              <w:rPr>
                <w:sz w:val="20"/>
                <w:szCs w:val="20"/>
                <w:color w:val="auto"/>
              </w:rPr>
            </w:pPr>
            <w:r>
              <w:rPr>
                <w:rFonts w:ascii="Arial" w:cs="Arial" w:eastAsia="Arial" w:hAnsi="Arial"/>
                <w:sz w:val="18"/>
                <w:szCs w:val="18"/>
                <w:color w:val="auto"/>
              </w:rPr>
              <w:t>McHenry Surgery Center</w:t>
            </w:r>
          </w:p>
        </w:tc>
        <w:tc>
          <w:tcPr>
            <w:tcW w:w="3580" w:type="dxa"/>
            <w:vAlign w:val="bottom"/>
          </w:tcPr>
          <w:p>
            <w:pPr>
              <w:ind w:left="1920"/>
              <w:spacing w:after="0"/>
              <w:rPr>
                <w:sz w:val="20"/>
                <w:szCs w:val="20"/>
                <w:color w:val="auto"/>
              </w:rPr>
            </w:pPr>
            <w:r>
              <w:rPr>
                <w:rFonts w:ascii="Arial" w:cs="Arial" w:eastAsia="Arial" w:hAnsi="Arial"/>
                <w:sz w:val="18"/>
                <w:szCs w:val="18"/>
                <w:color w:val="auto"/>
              </w:rPr>
              <w:t>Coleen DeLeon</w:t>
            </w:r>
          </w:p>
        </w:tc>
        <w:tc>
          <w:tcPr>
            <w:tcW w:w="1560" w:type="dxa"/>
            <w:vAlign w:val="bottom"/>
          </w:tcPr>
          <w:p>
            <w:pPr>
              <w:ind w:left="60"/>
              <w:spacing w:after="0"/>
              <w:rPr>
                <w:sz w:val="20"/>
                <w:szCs w:val="20"/>
                <w:color w:val="auto"/>
              </w:rPr>
            </w:pPr>
            <w:r>
              <w:rPr>
                <w:rFonts w:ascii="Arial" w:cs="Arial" w:eastAsia="Arial" w:hAnsi="Arial"/>
                <w:sz w:val="18"/>
                <w:szCs w:val="18"/>
                <w:color w:val="auto"/>
              </w:rPr>
              <w:t>Modesto</w:t>
            </w:r>
          </w:p>
        </w:tc>
        <w:tc>
          <w:tcPr>
            <w:tcW w:w="700" w:type="dxa"/>
            <w:vAlign w:val="bottom"/>
          </w:tcPr>
          <w:p>
            <w:pPr>
              <w:ind w:left="420"/>
              <w:spacing w:after="0"/>
              <w:rPr>
                <w:sz w:val="20"/>
                <w:szCs w:val="20"/>
                <w:color w:val="auto"/>
              </w:rPr>
            </w:pPr>
            <w:r>
              <w:rPr>
                <w:rFonts w:ascii="Arial" w:cs="Arial" w:eastAsia="Arial" w:hAnsi="Arial"/>
                <w:sz w:val="18"/>
                <w:szCs w:val="18"/>
                <w:color w:val="auto"/>
              </w:rPr>
              <w:t>CA</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ILS Corp</w:t>
            </w:r>
          </w:p>
        </w:tc>
        <w:tc>
          <w:tcPr>
            <w:tcW w:w="4620" w:type="dxa"/>
            <w:vAlign w:val="bottom"/>
          </w:tcPr>
          <w:p>
            <w:pPr>
              <w:ind w:left="220"/>
              <w:spacing w:after="0"/>
              <w:rPr>
                <w:sz w:val="20"/>
                <w:szCs w:val="20"/>
                <w:color w:val="auto"/>
              </w:rPr>
            </w:pPr>
            <w:r>
              <w:rPr>
                <w:rFonts w:ascii="Arial" w:cs="Arial" w:eastAsia="Arial" w:hAnsi="Arial"/>
                <w:sz w:val="18"/>
                <w:szCs w:val="18"/>
                <w:color w:val="auto"/>
              </w:rPr>
              <w:t>McLaren Regional Medical Center</w:t>
            </w:r>
          </w:p>
        </w:tc>
        <w:tc>
          <w:tcPr>
            <w:tcW w:w="3580" w:type="dxa"/>
            <w:vAlign w:val="bottom"/>
          </w:tcPr>
          <w:p>
            <w:pPr>
              <w:ind w:left="1920"/>
              <w:spacing w:after="0"/>
              <w:rPr>
                <w:sz w:val="20"/>
                <w:szCs w:val="20"/>
                <w:color w:val="auto"/>
              </w:rPr>
            </w:pPr>
            <w:r>
              <w:rPr>
                <w:rFonts w:ascii="Arial" w:cs="Arial" w:eastAsia="Arial" w:hAnsi="Arial"/>
                <w:sz w:val="18"/>
                <w:szCs w:val="18"/>
                <w:color w:val="auto"/>
              </w:rPr>
              <w:t>David Bueby</w:t>
            </w:r>
          </w:p>
        </w:tc>
        <w:tc>
          <w:tcPr>
            <w:tcW w:w="1560" w:type="dxa"/>
            <w:vAlign w:val="bottom"/>
          </w:tcPr>
          <w:p>
            <w:pPr>
              <w:ind w:left="60"/>
              <w:spacing w:after="0"/>
              <w:rPr>
                <w:sz w:val="20"/>
                <w:szCs w:val="20"/>
                <w:color w:val="auto"/>
              </w:rPr>
            </w:pPr>
            <w:r>
              <w:rPr>
                <w:rFonts w:ascii="Arial" w:cs="Arial" w:eastAsia="Arial" w:hAnsi="Arial"/>
                <w:sz w:val="18"/>
                <w:szCs w:val="18"/>
                <w:color w:val="auto"/>
              </w:rPr>
              <w:t>Flint</w:t>
            </w:r>
          </w:p>
        </w:tc>
        <w:tc>
          <w:tcPr>
            <w:tcW w:w="700" w:type="dxa"/>
            <w:vAlign w:val="bottom"/>
          </w:tcPr>
          <w:p>
            <w:pPr>
              <w:ind w:left="420"/>
              <w:spacing w:after="0"/>
              <w:rPr>
                <w:sz w:val="20"/>
                <w:szCs w:val="20"/>
                <w:color w:val="auto"/>
              </w:rPr>
            </w:pPr>
            <w:r>
              <w:rPr>
                <w:rFonts w:ascii="Arial" w:cs="Arial" w:eastAsia="Arial" w:hAnsi="Arial"/>
                <w:sz w:val="18"/>
                <w:szCs w:val="18"/>
                <w:color w:val="auto"/>
              </w:rPr>
              <w:t>MI</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ILS Corp</w:t>
            </w:r>
          </w:p>
        </w:tc>
        <w:tc>
          <w:tcPr>
            <w:tcW w:w="4620" w:type="dxa"/>
            <w:vAlign w:val="bottom"/>
          </w:tcPr>
          <w:p>
            <w:pPr>
              <w:ind w:left="220"/>
              <w:spacing w:after="0"/>
              <w:rPr>
                <w:sz w:val="20"/>
                <w:szCs w:val="20"/>
                <w:color w:val="auto"/>
              </w:rPr>
            </w:pPr>
            <w:r>
              <w:rPr>
                <w:rFonts w:ascii="Arial" w:cs="Arial" w:eastAsia="Arial" w:hAnsi="Arial"/>
                <w:sz w:val="18"/>
                <w:szCs w:val="18"/>
                <w:color w:val="auto"/>
              </w:rPr>
              <w:t>Meadows Regional Medical Center</w:t>
            </w:r>
          </w:p>
        </w:tc>
        <w:tc>
          <w:tcPr>
            <w:tcW w:w="3580" w:type="dxa"/>
            <w:vAlign w:val="bottom"/>
          </w:tcPr>
          <w:p>
            <w:pPr>
              <w:ind w:left="1920"/>
              <w:spacing w:after="0"/>
              <w:rPr>
                <w:sz w:val="20"/>
                <w:szCs w:val="20"/>
                <w:color w:val="auto"/>
              </w:rPr>
            </w:pPr>
            <w:r>
              <w:rPr>
                <w:rFonts w:ascii="Arial" w:cs="Arial" w:eastAsia="Arial" w:hAnsi="Arial"/>
                <w:sz w:val="18"/>
                <w:szCs w:val="18"/>
                <w:color w:val="auto"/>
              </w:rPr>
              <w:t>John Ross</w:t>
            </w:r>
          </w:p>
        </w:tc>
        <w:tc>
          <w:tcPr>
            <w:tcW w:w="1560" w:type="dxa"/>
            <w:vAlign w:val="bottom"/>
          </w:tcPr>
          <w:p>
            <w:pPr>
              <w:ind w:left="60"/>
              <w:spacing w:after="0"/>
              <w:rPr>
                <w:sz w:val="20"/>
                <w:szCs w:val="20"/>
                <w:color w:val="auto"/>
              </w:rPr>
            </w:pPr>
            <w:r>
              <w:rPr>
                <w:rFonts w:ascii="Arial" w:cs="Arial" w:eastAsia="Arial" w:hAnsi="Arial"/>
                <w:sz w:val="18"/>
                <w:szCs w:val="18"/>
                <w:color w:val="auto"/>
              </w:rPr>
              <w:t>Vidalia</w:t>
            </w:r>
          </w:p>
        </w:tc>
        <w:tc>
          <w:tcPr>
            <w:tcW w:w="700" w:type="dxa"/>
            <w:vAlign w:val="bottom"/>
          </w:tcPr>
          <w:p>
            <w:pPr>
              <w:ind w:left="420"/>
              <w:spacing w:after="0"/>
              <w:rPr>
                <w:sz w:val="20"/>
                <w:szCs w:val="20"/>
                <w:color w:val="auto"/>
              </w:rPr>
            </w:pPr>
            <w:r>
              <w:rPr>
                <w:rFonts w:ascii="Arial" w:cs="Arial" w:eastAsia="Arial" w:hAnsi="Arial"/>
                <w:sz w:val="18"/>
                <w:szCs w:val="18"/>
                <w:color w:val="auto"/>
                <w:w w:val="99"/>
              </w:rPr>
              <w:t>GA</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ILS Corp</w:t>
            </w:r>
          </w:p>
        </w:tc>
        <w:tc>
          <w:tcPr>
            <w:tcW w:w="4620" w:type="dxa"/>
            <w:vAlign w:val="bottom"/>
          </w:tcPr>
          <w:p>
            <w:pPr>
              <w:ind w:left="220"/>
              <w:spacing w:after="0"/>
              <w:rPr>
                <w:sz w:val="20"/>
                <w:szCs w:val="20"/>
                <w:color w:val="auto"/>
              </w:rPr>
            </w:pPr>
            <w:r>
              <w:rPr>
                <w:rFonts w:ascii="Arial" w:cs="Arial" w:eastAsia="Arial" w:hAnsi="Arial"/>
                <w:sz w:val="18"/>
                <w:szCs w:val="18"/>
                <w:color w:val="auto"/>
              </w:rPr>
              <w:t>MedCenter One Health</w:t>
            </w:r>
          </w:p>
        </w:tc>
        <w:tc>
          <w:tcPr>
            <w:tcW w:w="3580" w:type="dxa"/>
            <w:vAlign w:val="bottom"/>
          </w:tcPr>
          <w:p>
            <w:pPr>
              <w:ind w:left="1920"/>
              <w:spacing w:after="0"/>
              <w:rPr>
                <w:sz w:val="20"/>
                <w:szCs w:val="20"/>
                <w:color w:val="auto"/>
              </w:rPr>
            </w:pPr>
            <w:r>
              <w:rPr>
                <w:rFonts w:ascii="Arial" w:cs="Arial" w:eastAsia="Arial" w:hAnsi="Arial"/>
                <w:sz w:val="18"/>
                <w:szCs w:val="18"/>
                <w:color w:val="auto"/>
              </w:rPr>
              <w:t>Dawn Bauer</w:t>
            </w:r>
          </w:p>
        </w:tc>
        <w:tc>
          <w:tcPr>
            <w:tcW w:w="1560" w:type="dxa"/>
            <w:vAlign w:val="bottom"/>
          </w:tcPr>
          <w:p>
            <w:pPr>
              <w:ind w:left="60"/>
              <w:spacing w:after="0"/>
              <w:rPr>
                <w:sz w:val="20"/>
                <w:szCs w:val="20"/>
                <w:color w:val="auto"/>
              </w:rPr>
            </w:pPr>
            <w:r>
              <w:rPr>
                <w:rFonts w:ascii="Arial" w:cs="Arial" w:eastAsia="Arial" w:hAnsi="Arial"/>
                <w:sz w:val="18"/>
                <w:szCs w:val="18"/>
                <w:color w:val="auto"/>
              </w:rPr>
              <w:t>Bismark</w:t>
            </w:r>
          </w:p>
        </w:tc>
        <w:tc>
          <w:tcPr>
            <w:tcW w:w="700" w:type="dxa"/>
            <w:vAlign w:val="bottom"/>
          </w:tcPr>
          <w:p>
            <w:pPr>
              <w:ind w:left="420"/>
              <w:spacing w:after="0"/>
              <w:rPr>
                <w:sz w:val="20"/>
                <w:szCs w:val="20"/>
                <w:color w:val="auto"/>
              </w:rPr>
            </w:pPr>
            <w:r>
              <w:rPr>
                <w:rFonts w:ascii="Arial" w:cs="Arial" w:eastAsia="Arial" w:hAnsi="Arial"/>
                <w:sz w:val="18"/>
                <w:szCs w:val="18"/>
                <w:color w:val="auto"/>
                <w:w w:val="99"/>
              </w:rPr>
              <w:t>ND</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ILS Corp</w:t>
            </w:r>
          </w:p>
        </w:tc>
        <w:tc>
          <w:tcPr>
            <w:tcW w:w="4620" w:type="dxa"/>
            <w:vAlign w:val="bottom"/>
          </w:tcPr>
          <w:p>
            <w:pPr>
              <w:ind w:left="220"/>
              <w:spacing w:after="0"/>
              <w:rPr>
                <w:sz w:val="20"/>
                <w:szCs w:val="20"/>
                <w:color w:val="auto"/>
              </w:rPr>
            </w:pPr>
            <w:r>
              <w:rPr>
                <w:rFonts w:ascii="Arial" w:cs="Arial" w:eastAsia="Arial" w:hAnsi="Arial"/>
                <w:sz w:val="18"/>
                <w:szCs w:val="18"/>
                <w:color w:val="auto"/>
              </w:rPr>
              <w:t>Memorial Hosp - Medford</w:t>
            </w:r>
          </w:p>
        </w:tc>
        <w:tc>
          <w:tcPr>
            <w:tcW w:w="3580" w:type="dxa"/>
            <w:vAlign w:val="bottom"/>
          </w:tcPr>
          <w:p>
            <w:pPr>
              <w:ind w:left="1920"/>
              <w:spacing w:after="0"/>
              <w:rPr>
                <w:sz w:val="20"/>
                <w:szCs w:val="20"/>
                <w:color w:val="auto"/>
              </w:rPr>
            </w:pPr>
            <w:r>
              <w:rPr>
                <w:rFonts w:ascii="Arial" w:cs="Arial" w:eastAsia="Arial" w:hAnsi="Arial"/>
                <w:sz w:val="18"/>
                <w:szCs w:val="18"/>
                <w:color w:val="auto"/>
              </w:rPr>
              <w:t>Kate Metz</w:t>
            </w:r>
          </w:p>
        </w:tc>
        <w:tc>
          <w:tcPr>
            <w:tcW w:w="1560" w:type="dxa"/>
            <w:vAlign w:val="bottom"/>
          </w:tcPr>
          <w:p>
            <w:pPr>
              <w:ind w:left="60"/>
              <w:spacing w:after="0"/>
              <w:rPr>
                <w:sz w:val="20"/>
                <w:szCs w:val="20"/>
                <w:color w:val="auto"/>
              </w:rPr>
            </w:pPr>
            <w:r>
              <w:rPr>
                <w:rFonts w:ascii="Arial" w:cs="Arial" w:eastAsia="Arial" w:hAnsi="Arial"/>
                <w:sz w:val="18"/>
                <w:szCs w:val="18"/>
                <w:color w:val="auto"/>
              </w:rPr>
              <w:t>Medford</w:t>
            </w:r>
          </w:p>
        </w:tc>
        <w:tc>
          <w:tcPr>
            <w:tcW w:w="700" w:type="dxa"/>
            <w:vAlign w:val="bottom"/>
          </w:tcPr>
          <w:p>
            <w:pPr>
              <w:ind w:left="420"/>
              <w:spacing w:after="0"/>
              <w:rPr>
                <w:sz w:val="20"/>
                <w:szCs w:val="20"/>
                <w:color w:val="auto"/>
              </w:rPr>
            </w:pPr>
            <w:r>
              <w:rPr>
                <w:rFonts w:ascii="Arial" w:cs="Arial" w:eastAsia="Arial" w:hAnsi="Arial"/>
                <w:sz w:val="18"/>
                <w:szCs w:val="18"/>
                <w:color w:val="auto"/>
              </w:rPr>
              <w:t>WI</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ILS Corp</w:t>
            </w:r>
          </w:p>
        </w:tc>
        <w:tc>
          <w:tcPr>
            <w:tcW w:w="4620" w:type="dxa"/>
            <w:vAlign w:val="bottom"/>
          </w:tcPr>
          <w:p>
            <w:pPr>
              <w:ind w:left="220"/>
              <w:spacing w:after="0"/>
              <w:rPr>
                <w:sz w:val="20"/>
                <w:szCs w:val="20"/>
                <w:color w:val="auto"/>
              </w:rPr>
            </w:pPr>
            <w:r>
              <w:rPr>
                <w:rFonts w:ascii="Arial" w:cs="Arial" w:eastAsia="Arial" w:hAnsi="Arial"/>
                <w:sz w:val="18"/>
                <w:szCs w:val="18"/>
                <w:color w:val="auto"/>
              </w:rPr>
              <w:t>Memorial Hosp-Carbondale</w:t>
            </w:r>
          </w:p>
        </w:tc>
        <w:tc>
          <w:tcPr>
            <w:tcW w:w="3580" w:type="dxa"/>
            <w:vAlign w:val="bottom"/>
          </w:tcPr>
          <w:p>
            <w:pPr>
              <w:ind w:left="1920"/>
              <w:spacing w:after="0"/>
              <w:rPr>
                <w:sz w:val="20"/>
                <w:szCs w:val="20"/>
                <w:color w:val="auto"/>
              </w:rPr>
            </w:pPr>
            <w:r>
              <w:rPr>
                <w:rFonts w:ascii="Arial" w:cs="Arial" w:eastAsia="Arial" w:hAnsi="Arial"/>
                <w:sz w:val="18"/>
                <w:szCs w:val="18"/>
                <w:color w:val="auto"/>
                <w:w w:val="96"/>
              </w:rPr>
              <w:t>Shawn Davis x65889</w:t>
            </w:r>
          </w:p>
        </w:tc>
        <w:tc>
          <w:tcPr>
            <w:tcW w:w="1560" w:type="dxa"/>
            <w:vAlign w:val="bottom"/>
          </w:tcPr>
          <w:p>
            <w:pPr>
              <w:ind w:left="60"/>
              <w:spacing w:after="0"/>
              <w:rPr>
                <w:sz w:val="20"/>
                <w:szCs w:val="20"/>
                <w:color w:val="auto"/>
              </w:rPr>
            </w:pPr>
            <w:r>
              <w:rPr>
                <w:rFonts w:ascii="Arial" w:cs="Arial" w:eastAsia="Arial" w:hAnsi="Arial"/>
                <w:sz w:val="18"/>
                <w:szCs w:val="18"/>
                <w:color w:val="auto"/>
              </w:rPr>
              <w:t>Carbondale</w:t>
            </w:r>
          </w:p>
        </w:tc>
        <w:tc>
          <w:tcPr>
            <w:tcW w:w="700" w:type="dxa"/>
            <w:vAlign w:val="bottom"/>
          </w:tcPr>
          <w:p>
            <w:pPr>
              <w:ind w:left="420"/>
              <w:spacing w:after="0"/>
              <w:rPr>
                <w:sz w:val="20"/>
                <w:szCs w:val="20"/>
                <w:color w:val="auto"/>
              </w:rPr>
            </w:pPr>
            <w:r>
              <w:rPr>
                <w:rFonts w:ascii="Arial" w:cs="Arial" w:eastAsia="Arial" w:hAnsi="Arial"/>
                <w:sz w:val="18"/>
                <w:szCs w:val="18"/>
                <w:color w:val="auto"/>
              </w:rPr>
              <w:t>IL</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ILS Corp</w:t>
            </w:r>
          </w:p>
        </w:tc>
        <w:tc>
          <w:tcPr>
            <w:tcW w:w="4620" w:type="dxa"/>
            <w:vAlign w:val="bottom"/>
          </w:tcPr>
          <w:p>
            <w:pPr>
              <w:ind w:left="220"/>
              <w:spacing w:after="0"/>
              <w:rPr>
                <w:sz w:val="20"/>
                <w:szCs w:val="20"/>
                <w:color w:val="auto"/>
              </w:rPr>
            </w:pPr>
            <w:r>
              <w:rPr>
                <w:rFonts w:ascii="Arial" w:cs="Arial" w:eastAsia="Arial" w:hAnsi="Arial"/>
                <w:sz w:val="18"/>
                <w:szCs w:val="18"/>
                <w:color w:val="auto"/>
              </w:rPr>
              <w:t>Memorial Hospital Ormond Beach</w:t>
            </w:r>
          </w:p>
        </w:tc>
        <w:tc>
          <w:tcPr>
            <w:tcW w:w="3580" w:type="dxa"/>
            <w:vAlign w:val="bottom"/>
          </w:tcPr>
          <w:p>
            <w:pPr>
              <w:ind w:left="1920"/>
              <w:spacing w:after="0"/>
              <w:rPr>
                <w:sz w:val="20"/>
                <w:szCs w:val="20"/>
                <w:color w:val="auto"/>
              </w:rPr>
            </w:pPr>
            <w:r>
              <w:rPr>
                <w:rFonts w:ascii="Arial" w:cs="Arial" w:eastAsia="Arial" w:hAnsi="Arial"/>
                <w:sz w:val="18"/>
                <w:szCs w:val="18"/>
                <w:color w:val="auto"/>
              </w:rPr>
              <w:t>Gary Carter</w:t>
            </w:r>
          </w:p>
        </w:tc>
        <w:tc>
          <w:tcPr>
            <w:tcW w:w="1560" w:type="dxa"/>
            <w:vAlign w:val="bottom"/>
          </w:tcPr>
          <w:p>
            <w:pPr>
              <w:ind w:left="60"/>
              <w:spacing w:after="0"/>
              <w:rPr>
                <w:sz w:val="20"/>
                <w:szCs w:val="20"/>
                <w:color w:val="auto"/>
              </w:rPr>
            </w:pPr>
            <w:r>
              <w:rPr>
                <w:rFonts w:ascii="Arial" w:cs="Arial" w:eastAsia="Arial" w:hAnsi="Arial"/>
                <w:sz w:val="18"/>
                <w:szCs w:val="18"/>
                <w:color w:val="auto"/>
              </w:rPr>
              <w:t>Ormond Beach</w:t>
            </w:r>
          </w:p>
        </w:tc>
        <w:tc>
          <w:tcPr>
            <w:tcW w:w="700" w:type="dxa"/>
            <w:vAlign w:val="bottom"/>
          </w:tcPr>
          <w:p>
            <w:pPr>
              <w:ind w:left="420"/>
              <w:spacing w:after="0"/>
              <w:rPr>
                <w:sz w:val="20"/>
                <w:szCs w:val="20"/>
                <w:color w:val="auto"/>
              </w:rPr>
            </w:pPr>
            <w:r>
              <w:rPr>
                <w:rFonts w:ascii="Arial" w:cs="Arial" w:eastAsia="Arial" w:hAnsi="Arial"/>
                <w:sz w:val="18"/>
                <w:szCs w:val="18"/>
                <w:color w:val="auto"/>
              </w:rPr>
              <w:t>FL</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ILS Corp</w:t>
            </w:r>
          </w:p>
        </w:tc>
        <w:tc>
          <w:tcPr>
            <w:tcW w:w="4620" w:type="dxa"/>
            <w:vAlign w:val="bottom"/>
          </w:tcPr>
          <w:p>
            <w:pPr>
              <w:ind w:left="220"/>
              <w:spacing w:after="0"/>
              <w:rPr>
                <w:sz w:val="20"/>
                <w:szCs w:val="20"/>
                <w:color w:val="auto"/>
              </w:rPr>
            </w:pPr>
            <w:r>
              <w:rPr>
                <w:rFonts w:ascii="Arial" w:cs="Arial" w:eastAsia="Arial" w:hAnsi="Arial"/>
                <w:sz w:val="18"/>
                <w:szCs w:val="18"/>
                <w:color w:val="auto"/>
              </w:rPr>
              <w:t>Menifee Valley Medical Ctr</w:t>
            </w:r>
          </w:p>
        </w:tc>
        <w:tc>
          <w:tcPr>
            <w:tcW w:w="3580" w:type="dxa"/>
            <w:vAlign w:val="bottom"/>
          </w:tcPr>
          <w:p>
            <w:pPr>
              <w:spacing w:after="0"/>
              <w:rPr>
                <w:sz w:val="18"/>
                <w:szCs w:val="18"/>
                <w:color w:val="auto"/>
              </w:rPr>
            </w:pPr>
          </w:p>
        </w:tc>
        <w:tc>
          <w:tcPr>
            <w:tcW w:w="1560" w:type="dxa"/>
            <w:vAlign w:val="bottom"/>
          </w:tcPr>
          <w:p>
            <w:pPr>
              <w:ind w:left="60"/>
              <w:spacing w:after="0"/>
              <w:rPr>
                <w:sz w:val="20"/>
                <w:szCs w:val="20"/>
                <w:color w:val="auto"/>
              </w:rPr>
            </w:pPr>
            <w:r>
              <w:rPr>
                <w:rFonts w:ascii="Arial" w:cs="Arial" w:eastAsia="Arial" w:hAnsi="Arial"/>
                <w:sz w:val="18"/>
                <w:szCs w:val="18"/>
                <w:color w:val="auto"/>
              </w:rPr>
              <w:t>Sun City</w:t>
            </w:r>
          </w:p>
        </w:tc>
        <w:tc>
          <w:tcPr>
            <w:tcW w:w="700" w:type="dxa"/>
            <w:vAlign w:val="bottom"/>
          </w:tcPr>
          <w:p>
            <w:pPr>
              <w:ind w:left="420"/>
              <w:spacing w:after="0"/>
              <w:rPr>
                <w:sz w:val="20"/>
                <w:szCs w:val="20"/>
                <w:color w:val="auto"/>
              </w:rPr>
            </w:pPr>
            <w:r>
              <w:rPr>
                <w:rFonts w:ascii="Arial" w:cs="Arial" w:eastAsia="Arial" w:hAnsi="Arial"/>
                <w:sz w:val="18"/>
                <w:szCs w:val="18"/>
                <w:color w:val="auto"/>
              </w:rPr>
              <w:t>CA</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ILS Corp</w:t>
            </w:r>
          </w:p>
        </w:tc>
        <w:tc>
          <w:tcPr>
            <w:tcW w:w="4620" w:type="dxa"/>
            <w:vAlign w:val="bottom"/>
          </w:tcPr>
          <w:p>
            <w:pPr>
              <w:ind w:left="220"/>
              <w:spacing w:after="0"/>
              <w:rPr>
                <w:sz w:val="20"/>
                <w:szCs w:val="20"/>
                <w:color w:val="auto"/>
              </w:rPr>
            </w:pPr>
            <w:r>
              <w:rPr>
                <w:rFonts w:ascii="Arial" w:cs="Arial" w:eastAsia="Arial" w:hAnsi="Arial"/>
                <w:sz w:val="18"/>
                <w:szCs w:val="18"/>
                <w:color w:val="auto"/>
              </w:rPr>
              <w:t>Methodist AGBulatory</w:t>
            </w:r>
          </w:p>
        </w:tc>
        <w:tc>
          <w:tcPr>
            <w:tcW w:w="3580" w:type="dxa"/>
            <w:vAlign w:val="bottom"/>
          </w:tcPr>
          <w:p>
            <w:pPr>
              <w:ind w:left="1920"/>
              <w:spacing w:after="0"/>
              <w:rPr>
                <w:sz w:val="20"/>
                <w:szCs w:val="20"/>
                <w:color w:val="auto"/>
              </w:rPr>
            </w:pPr>
            <w:r>
              <w:rPr>
                <w:rFonts w:ascii="Arial" w:cs="Arial" w:eastAsia="Arial" w:hAnsi="Arial"/>
                <w:sz w:val="18"/>
                <w:szCs w:val="18"/>
                <w:color w:val="auto"/>
              </w:rPr>
              <w:t>Mary Lou Montoya</w:t>
            </w:r>
          </w:p>
        </w:tc>
        <w:tc>
          <w:tcPr>
            <w:tcW w:w="1560" w:type="dxa"/>
            <w:vAlign w:val="bottom"/>
          </w:tcPr>
          <w:p>
            <w:pPr>
              <w:ind w:left="60"/>
              <w:spacing w:after="0"/>
              <w:rPr>
                <w:sz w:val="20"/>
                <w:szCs w:val="20"/>
                <w:color w:val="auto"/>
              </w:rPr>
            </w:pPr>
            <w:r>
              <w:rPr>
                <w:rFonts w:ascii="Arial" w:cs="Arial" w:eastAsia="Arial" w:hAnsi="Arial"/>
                <w:sz w:val="18"/>
                <w:szCs w:val="18"/>
                <w:color w:val="auto"/>
              </w:rPr>
              <w:t>San Antonio</w:t>
            </w:r>
          </w:p>
        </w:tc>
        <w:tc>
          <w:tcPr>
            <w:tcW w:w="700" w:type="dxa"/>
            <w:vAlign w:val="bottom"/>
          </w:tcPr>
          <w:p>
            <w:pPr>
              <w:ind w:left="420"/>
              <w:spacing w:after="0"/>
              <w:rPr>
                <w:sz w:val="20"/>
                <w:szCs w:val="20"/>
                <w:color w:val="auto"/>
              </w:rPr>
            </w:pPr>
            <w:r>
              <w:rPr>
                <w:rFonts w:ascii="Arial" w:cs="Arial" w:eastAsia="Arial" w:hAnsi="Arial"/>
                <w:sz w:val="18"/>
                <w:szCs w:val="18"/>
                <w:color w:val="auto"/>
              </w:rPr>
              <w:t>TX</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ILS Corp</w:t>
            </w:r>
          </w:p>
        </w:tc>
        <w:tc>
          <w:tcPr>
            <w:tcW w:w="4620" w:type="dxa"/>
            <w:vAlign w:val="bottom"/>
          </w:tcPr>
          <w:p>
            <w:pPr>
              <w:ind w:left="220"/>
              <w:spacing w:after="0"/>
              <w:rPr>
                <w:sz w:val="20"/>
                <w:szCs w:val="20"/>
                <w:color w:val="auto"/>
              </w:rPr>
            </w:pPr>
            <w:r>
              <w:rPr>
                <w:rFonts w:ascii="Arial" w:cs="Arial" w:eastAsia="Arial" w:hAnsi="Arial"/>
                <w:sz w:val="18"/>
                <w:szCs w:val="18"/>
                <w:color w:val="auto"/>
              </w:rPr>
              <w:t>Metropolitan Surgery Center</w:t>
            </w:r>
          </w:p>
        </w:tc>
        <w:tc>
          <w:tcPr>
            <w:tcW w:w="3580" w:type="dxa"/>
            <w:vAlign w:val="bottom"/>
          </w:tcPr>
          <w:p>
            <w:pPr>
              <w:ind w:left="1920"/>
              <w:spacing w:after="0"/>
              <w:rPr>
                <w:sz w:val="20"/>
                <w:szCs w:val="20"/>
                <w:color w:val="auto"/>
              </w:rPr>
            </w:pPr>
            <w:r>
              <w:rPr>
                <w:rFonts w:ascii="Arial" w:cs="Arial" w:eastAsia="Arial" w:hAnsi="Arial"/>
                <w:sz w:val="18"/>
                <w:szCs w:val="18"/>
                <w:color w:val="auto"/>
                <w:w w:val="91"/>
              </w:rPr>
              <w:t>Sue Rowan/MaryAnne</w:t>
            </w:r>
          </w:p>
        </w:tc>
        <w:tc>
          <w:tcPr>
            <w:tcW w:w="1560" w:type="dxa"/>
            <w:vAlign w:val="bottom"/>
          </w:tcPr>
          <w:p>
            <w:pPr>
              <w:ind w:left="60"/>
              <w:spacing w:after="0"/>
              <w:rPr>
                <w:sz w:val="20"/>
                <w:szCs w:val="20"/>
                <w:color w:val="auto"/>
              </w:rPr>
            </w:pPr>
            <w:r>
              <w:rPr>
                <w:rFonts w:ascii="Arial" w:cs="Arial" w:eastAsia="Arial" w:hAnsi="Arial"/>
                <w:sz w:val="18"/>
                <w:szCs w:val="18"/>
                <w:color w:val="auto"/>
              </w:rPr>
              <w:t>Hackensack</w:t>
            </w:r>
          </w:p>
        </w:tc>
        <w:tc>
          <w:tcPr>
            <w:tcW w:w="700" w:type="dxa"/>
            <w:vAlign w:val="bottom"/>
          </w:tcPr>
          <w:p>
            <w:pPr>
              <w:ind w:left="420"/>
              <w:spacing w:after="0"/>
              <w:rPr>
                <w:sz w:val="20"/>
                <w:szCs w:val="20"/>
                <w:color w:val="auto"/>
              </w:rPr>
            </w:pPr>
            <w:r>
              <w:rPr>
                <w:rFonts w:ascii="Arial" w:cs="Arial" w:eastAsia="Arial" w:hAnsi="Arial"/>
                <w:sz w:val="18"/>
                <w:szCs w:val="18"/>
                <w:color w:val="auto"/>
              </w:rPr>
              <w:t>NJ</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ILS Corp</w:t>
            </w:r>
          </w:p>
        </w:tc>
        <w:tc>
          <w:tcPr>
            <w:tcW w:w="4620" w:type="dxa"/>
            <w:vAlign w:val="bottom"/>
          </w:tcPr>
          <w:p>
            <w:pPr>
              <w:ind w:left="220"/>
              <w:spacing w:after="0"/>
              <w:rPr>
                <w:sz w:val="20"/>
                <w:szCs w:val="20"/>
                <w:color w:val="auto"/>
              </w:rPr>
            </w:pPr>
            <w:r>
              <w:rPr>
                <w:rFonts w:ascii="Arial" w:cs="Arial" w:eastAsia="Arial" w:hAnsi="Arial"/>
                <w:sz w:val="18"/>
                <w:szCs w:val="18"/>
                <w:color w:val="auto"/>
              </w:rPr>
              <w:t>MetroWest Medical Center</w:t>
            </w:r>
          </w:p>
        </w:tc>
        <w:tc>
          <w:tcPr>
            <w:tcW w:w="3580" w:type="dxa"/>
            <w:vAlign w:val="bottom"/>
          </w:tcPr>
          <w:p>
            <w:pPr>
              <w:ind w:left="1920"/>
              <w:spacing w:after="0"/>
              <w:rPr>
                <w:sz w:val="20"/>
                <w:szCs w:val="20"/>
                <w:color w:val="auto"/>
              </w:rPr>
            </w:pPr>
            <w:r>
              <w:rPr>
                <w:rFonts w:ascii="Arial" w:cs="Arial" w:eastAsia="Arial" w:hAnsi="Arial"/>
                <w:sz w:val="18"/>
                <w:szCs w:val="18"/>
                <w:color w:val="auto"/>
              </w:rPr>
              <w:t>Paul A</w:t>
            </w:r>
          </w:p>
        </w:tc>
        <w:tc>
          <w:tcPr>
            <w:tcW w:w="1560" w:type="dxa"/>
            <w:vAlign w:val="bottom"/>
          </w:tcPr>
          <w:p>
            <w:pPr>
              <w:ind w:left="60"/>
              <w:spacing w:after="0"/>
              <w:rPr>
                <w:sz w:val="20"/>
                <w:szCs w:val="20"/>
                <w:color w:val="auto"/>
              </w:rPr>
            </w:pPr>
            <w:r>
              <w:rPr>
                <w:rFonts w:ascii="Arial" w:cs="Arial" w:eastAsia="Arial" w:hAnsi="Arial"/>
                <w:sz w:val="18"/>
                <w:szCs w:val="18"/>
                <w:color w:val="auto"/>
              </w:rPr>
              <w:t>Natick</w:t>
            </w:r>
          </w:p>
        </w:tc>
        <w:tc>
          <w:tcPr>
            <w:tcW w:w="700" w:type="dxa"/>
            <w:vAlign w:val="bottom"/>
          </w:tcPr>
          <w:p>
            <w:pPr>
              <w:ind w:left="420"/>
              <w:spacing w:after="0"/>
              <w:rPr>
                <w:sz w:val="20"/>
                <w:szCs w:val="20"/>
                <w:color w:val="auto"/>
              </w:rPr>
            </w:pPr>
            <w:r>
              <w:rPr>
                <w:rFonts w:ascii="Arial" w:cs="Arial" w:eastAsia="Arial" w:hAnsi="Arial"/>
                <w:sz w:val="18"/>
                <w:szCs w:val="18"/>
                <w:color w:val="auto"/>
                <w:w w:val="96"/>
              </w:rPr>
              <w:t>MA</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ILS Corp</w:t>
            </w:r>
          </w:p>
        </w:tc>
        <w:tc>
          <w:tcPr>
            <w:tcW w:w="4620" w:type="dxa"/>
            <w:vAlign w:val="bottom"/>
          </w:tcPr>
          <w:p>
            <w:pPr>
              <w:ind w:left="220"/>
              <w:spacing w:after="0"/>
              <w:rPr>
                <w:sz w:val="20"/>
                <w:szCs w:val="20"/>
                <w:color w:val="auto"/>
              </w:rPr>
            </w:pPr>
            <w:r>
              <w:rPr>
                <w:rFonts w:ascii="Arial" w:cs="Arial" w:eastAsia="Arial" w:hAnsi="Arial"/>
                <w:sz w:val="18"/>
                <w:szCs w:val="18"/>
                <w:color w:val="auto"/>
              </w:rPr>
              <w:t>Mid Rivers Surgery Center</w:t>
            </w:r>
          </w:p>
        </w:tc>
        <w:tc>
          <w:tcPr>
            <w:tcW w:w="3580" w:type="dxa"/>
            <w:vAlign w:val="bottom"/>
          </w:tcPr>
          <w:p>
            <w:pPr>
              <w:ind w:left="1920"/>
              <w:spacing w:after="0"/>
              <w:rPr>
                <w:sz w:val="20"/>
                <w:szCs w:val="20"/>
                <w:color w:val="auto"/>
              </w:rPr>
            </w:pPr>
            <w:r>
              <w:rPr>
                <w:rFonts w:ascii="Arial" w:cs="Arial" w:eastAsia="Arial" w:hAnsi="Arial"/>
                <w:sz w:val="18"/>
                <w:szCs w:val="18"/>
                <w:color w:val="auto"/>
              </w:rPr>
              <w:t>Julie Subbert</w:t>
            </w:r>
          </w:p>
        </w:tc>
        <w:tc>
          <w:tcPr>
            <w:tcW w:w="1560" w:type="dxa"/>
            <w:vAlign w:val="bottom"/>
          </w:tcPr>
          <w:p>
            <w:pPr>
              <w:ind w:left="60"/>
              <w:spacing w:after="0"/>
              <w:rPr>
                <w:sz w:val="20"/>
                <w:szCs w:val="20"/>
                <w:color w:val="auto"/>
              </w:rPr>
            </w:pPr>
            <w:r>
              <w:rPr>
                <w:rFonts w:ascii="Arial" w:cs="Arial" w:eastAsia="Arial" w:hAnsi="Arial"/>
                <w:sz w:val="18"/>
                <w:szCs w:val="18"/>
                <w:color w:val="auto"/>
              </w:rPr>
              <w:t>St. Peters</w:t>
            </w:r>
          </w:p>
        </w:tc>
        <w:tc>
          <w:tcPr>
            <w:tcW w:w="700" w:type="dxa"/>
            <w:vAlign w:val="bottom"/>
          </w:tcPr>
          <w:p>
            <w:pPr>
              <w:ind w:left="420"/>
              <w:spacing w:after="0"/>
              <w:rPr>
                <w:sz w:val="20"/>
                <w:szCs w:val="20"/>
                <w:color w:val="auto"/>
              </w:rPr>
            </w:pPr>
            <w:r>
              <w:rPr>
                <w:rFonts w:ascii="Arial" w:cs="Arial" w:eastAsia="Arial" w:hAnsi="Arial"/>
                <w:sz w:val="18"/>
                <w:szCs w:val="18"/>
                <w:color w:val="auto"/>
                <w:w w:val="89"/>
              </w:rPr>
              <w:t>MO</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ILS Corp</w:t>
            </w:r>
          </w:p>
        </w:tc>
        <w:tc>
          <w:tcPr>
            <w:tcW w:w="4620" w:type="dxa"/>
            <w:vAlign w:val="bottom"/>
          </w:tcPr>
          <w:p>
            <w:pPr>
              <w:ind w:left="220"/>
              <w:spacing w:after="0"/>
              <w:rPr>
                <w:sz w:val="20"/>
                <w:szCs w:val="20"/>
                <w:color w:val="auto"/>
              </w:rPr>
            </w:pPr>
            <w:r>
              <w:rPr>
                <w:rFonts w:ascii="Arial" w:cs="Arial" w:eastAsia="Arial" w:hAnsi="Arial"/>
                <w:sz w:val="18"/>
                <w:szCs w:val="18"/>
                <w:color w:val="auto"/>
              </w:rPr>
              <w:t>Middle Tennessee Med Ctr</w:t>
            </w:r>
          </w:p>
        </w:tc>
        <w:tc>
          <w:tcPr>
            <w:tcW w:w="3580" w:type="dxa"/>
            <w:vAlign w:val="bottom"/>
          </w:tcPr>
          <w:p>
            <w:pPr>
              <w:ind w:left="1920"/>
              <w:spacing w:after="0"/>
              <w:rPr>
                <w:sz w:val="20"/>
                <w:szCs w:val="20"/>
                <w:color w:val="auto"/>
              </w:rPr>
            </w:pPr>
            <w:r>
              <w:rPr>
                <w:rFonts w:ascii="Arial" w:cs="Arial" w:eastAsia="Arial" w:hAnsi="Arial"/>
                <w:sz w:val="18"/>
                <w:szCs w:val="18"/>
                <w:color w:val="auto"/>
              </w:rPr>
              <w:t>Angie Reagan</w:t>
            </w:r>
          </w:p>
        </w:tc>
        <w:tc>
          <w:tcPr>
            <w:tcW w:w="1560" w:type="dxa"/>
            <w:vAlign w:val="bottom"/>
          </w:tcPr>
          <w:p>
            <w:pPr>
              <w:ind w:left="60"/>
              <w:spacing w:after="0"/>
              <w:rPr>
                <w:sz w:val="20"/>
                <w:szCs w:val="20"/>
                <w:color w:val="auto"/>
              </w:rPr>
            </w:pPr>
            <w:r>
              <w:rPr>
                <w:rFonts w:ascii="Arial" w:cs="Arial" w:eastAsia="Arial" w:hAnsi="Arial"/>
                <w:sz w:val="18"/>
                <w:szCs w:val="18"/>
                <w:color w:val="auto"/>
              </w:rPr>
              <w:t>Murfreesboro</w:t>
            </w:r>
          </w:p>
        </w:tc>
        <w:tc>
          <w:tcPr>
            <w:tcW w:w="700" w:type="dxa"/>
            <w:vAlign w:val="bottom"/>
          </w:tcPr>
          <w:p>
            <w:pPr>
              <w:ind w:left="420"/>
              <w:spacing w:after="0"/>
              <w:rPr>
                <w:sz w:val="20"/>
                <w:szCs w:val="20"/>
                <w:color w:val="auto"/>
              </w:rPr>
            </w:pPr>
            <w:r>
              <w:rPr>
                <w:rFonts w:ascii="Arial" w:cs="Arial" w:eastAsia="Arial" w:hAnsi="Arial"/>
                <w:sz w:val="18"/>
                <w:szCs w:val="18"/>
                <w:color w:val="auto"/>
              </w:rPr>
              <w:t>TN</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ILS Corp</w:t>
            </w:r>
          </w:p>
        </w:tc>
        <w:tc>
          <w:tcPr>
            <w:tcW w:w="4620" w:type="dxa"/>
            <w:vAlign w:val="bottom"/>
          </w:tcPr>
          <w:p>
            <w:pPr>
              <w:ind w:left="220"/>
              <w:spacing w:after="0"/>
              <w:rPr>
                <w:sz w:val="20"/>
                <w:szCs w:val="20"/>
                <w:color w:val="auto"/>
              </w:rPr>
            </w:pPr>
            <w:r>
              <w:rPr>
                <w:rFonts w:ascii="Arial" w:cs="Arial" w:eastAsia="Arial" w:hAnsi="Arial"/>
                <w:sz w:val="18"/>
                <w:szCs w:val="18"/>
                <w:color w:val="auto"/>
              </w:rPr>
              <w:t>Midlands Orthopaedics Surg Cntr</w:t>
            </w:r>
          </w:p>
        </w:tc>
        <w:tc>
          <w:tcPr>
            <w:tcW w:w="3580" w:type="dxa"/>
            <w:vAlign w:val="bottom"/>
          </w:tcPr>
          <w:p>
            <w:pPr>
              <w:ind w:left="1920"/>
              <w:spacing w:after="0"/>
              <w:rPr>
                <w:sz w:val="20"/>
                <w:szCs w:val="20"/>
                <w:color w:val="auto"/>
              </w:rPr>
            </w:pPr>
            <w:r>
              <w:rPr>
                <w:rFonts w:ascii="Arial" w:cs="Arial" w:eastAsia="Arial" w:hAnsi="Arial"/>
                <w:sz w:val="18"/>
                <w:szCs w:val="18"/>
                <w:color w:val="auto"/>
              </w:rPr>
              <w:t>Cheryl Leaphart</w:t>
            </w:r>
          </w:p>
        </w:tc>
        <w:tc>
          <w:tcPr>
            <w:tcW w:w="1560" w:type="dxa"/>
            <w:vAlign w:val="bottom"/>
          </w:tcPr>
          <w:p>
            <w:pPr>
              <w:ind w:left="60"/>
              <w:spacing w:after="0"/>
              <w:rPr>
                <w:sz w:val="20"/>
                <w:szCs w:val="20"/>
                <w:color w:val="auto"/>
              </w:rPr>
            </w:pPr>
            <w:r>
              <w:rPr>
                <w:rFonts w:ascii="Arial" w:cs="Arial" w:eastAsia="Arial" w:hAnsi="Arial"/>
                <w:sz w:val="18"/>
                <w:szCs w:val="18"/>
                <w:color w:val="auto"/>
              </w:rPr>
              <w:t>Columbia</w:t>
            </w:r>
          </w:p>
        </w:tc>
        <w:tc>
          <w:tcPr>
            <w:tcW w:w="700" w:type="dxa"/>
            <w:vAlign w:val="bottom"/>
          </w:tcPr>
          <w:p>
            <w:pPr>
              <w:ind w:left="420"/>
              <w:spacing w:after="0"/>
              <w:rPr>
                <w:sz w:val="20"/>
                <w:szCs w:val="20"/>
                <w:color w:val="auto"/>
              </w:rPr>
            </w:pPr>
            <w:r>
              <w:rPr>
                <w:rFonts w:ascii="Arial" w:cs="Arial" w:eastAsia="Arial" w:hAnsi="Arial"/>
                <w:sz w:val="18"/>
                <w:szCs w:val="18"/>
                <w:color w:val="auto"/>
              </w:rPr>
              <w:t>SC</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ILS Corp</w:t>
            </w:r>
          </w:p>
        </w:tc>
        <w:tc>
          <w:tcPr>
            <w:tcW w:w="4620" w:type="dxa"/>
            <w:vAlign w:val="bottom"/>
          </w:tcPr>
          <w:p>
            <w:pPr>
              <w:ind w:left="220"/>
              <w:spacing w:after="0"/>
              <w:rPr>
                <w:sz w:val="20"/>
                <w:szCs w:val="20"/>
                <w:color w:val="auto"/>
              </w:rPr>
            </w:pPr>
            <w:r>
              <w:rPr>
                <w:rFonts w:ascii="Arial" w:cs="Arial" w:eastAsia="Arial" w:hAnsi="Arial"/>
                <w:sz w:val="18"/>
                <w:szCs w:val="18"/>
                <w:color w:val="auto"/>
              </w:rPr>
              <w:t>Midwest Regional Hospital</w:t>
            </w:r>
          </w:p>
        </w:tc>
        <w:tc>
          <w:tcPr>
            <w:tcW w:w="3580" w:type="dxa"/>
            <w:vAlign w:val="bottom"/>
          </w:tcPr>
          <w:p>
            <w:pPr>
              <w:ind w:left="1920"/>
              <w:spacing w:after="0"/>
              <w:rPr>
                <w:sz w:val="20"/>
                <w:szCs w:val="20"/>
                <w:color w:val="auto"/>
              </w:rPr>
            </w:pPr>
            <w:r>
              <w:rPr>
                <w:rFonts w:ascii="Arial" w:cs="Arial" w:eastAsia="Arial" w:hAnsi="Arial"/>
                <w:sz w:val="18"/>
                <w:szCs w:val="18"/>
                <w:color w:val="auto"/>
              </w:rPr>
              <w:t>Doug Ferman</w:t>
            </w:r>
          </w:p>
        </w:tc>
        <w:tc>
          <w:tcPr>
            <w:tcW w:w="1560" w:type="dxa"/>
            <w:vAlign w:val="bottom"/>
          </w:tcPr>
          <w:p>
            <w:pPr>
              <w:ind w:left="60"/>
              <w:spacing w:after="0"/>
              <w:rPr>
                <w:sz w:val="20"/>
                <w:szCs w:val="20"/>
                <w:color w:val="auto"/>
              </w:rPr>
            </w:pPr>
            <w:r>
              <w:rPr>
                <w:rFonts w:ascii="Arial" w:cs="Arial" w:eastAsia="Arial" w:hAnsi="Arial"/>
                <w:sz w:val="18"/>
                <w:szCs w:val="18"/>
                <w:color w:val="auto"/>
              </w:rPr>
              <w:t>Midwest City</w:t>
            </w:r>
          </w:p>
        </w:tc>
        <w:tc>
          <w:tcPr>
            <w:tcW w:w="700" w:type="dxa"/>
            <w:vAlign w:val="bottom"/>
          </w:tcPr>
          <w:p>
            <w:pPr>
              <w:ind w:left="420"/>
              <w:spacing w:after="0"/>
              <w:rPr>
                <w:sz w:val="20"/>
                <w:szCs w:val="20"/>
                <w:color w:val="auto"/>
              </w:rPr>
            </w:pPr>
            <w:r>
              <w:rPr>
                <w:rFonts w:ascii="Arial" w:cs="Arial" w:eastAsia="Arial" w:hAnsi="Arial"/>
                <w:sz w:val="18"/>
                <w:szCs w:val="18"/>
                <w:color w:val="auto"/>
                <w:w w:val="99"/>
              </w:rPr>
              <w:t>OK</w:t>
            </w:r>
          </w:p>
        </w:tc>
      </w:tr>
      <w:tr>
        <w:trPr>
          <w:trHeight w:val="222"/>
        </w:trPr>
        <w:tc>
          <w:tcPr>
            <w:tcW w:w="900" w:type="dxa"/>
            <w:vAlign w:val="bottom"/>
          </w:tcPr>
          <w:p>
            <w:pPr>
              <w:spacing w:after="0"/>
              <w:rPr>
                <w:sz w:val="20"/>
                <w:szCs w:val="20"/>
                <w:color w:val="auto"/>
              </w:rPr>
            </w:pPr>
            <w:r>
              <w:rPr>
                <w:rFonts w:ascii="Arial" w:cs="Arial" w:eastAsia="Arial" w:hAnsi="Arial"/>
                <w:sz w:val="18"/>
                <w:szCs w:val="18"/>
                <w:color w:val="auto"/>
              </w:rPr>
              <w:t>ILS Corp</w:t>
            </w:r>
          </w:p>
        </w:tc>
        <w:tc>
          <w:tcPr>
            <w:tcW w:w="4620" w:type="dxa"/>
            <w:vAlign w:val="bottom"/>
          </w:tcPr>
          <w:p>
            <w:pPr>
              <w:ind w:left="220"/>
              <w:spacing w:after="0"/>
              <w:rPr>
                <w:sz w:val="20"/>
                <w:szCs w:val="20"/>
                <w:color w:val="auto"/>
              </w:rPr>
            </w:pPr>
            <w:r>
              <w:rPr>
                <w:rFonts w:ascii="Arial" w:cs="Arial" w:eastAsia="Arial" w:hAnsi="Arial"/>
                <w:sz w:val="18"/>
                <w:szCs w:val="18"/>
                <w:color w:val="auto"/>
              </w:rPr>
              <w:t>Milford Rr Med Ctr</w:t>
            </w:r>
          </w:p>
        </w:tc>
        <w:tc>
          <w:tcPr>
            <w:tcW w:w="3580" w:type="dxa"/>
            <w:vAlign w:val="bottom"/>
          </w:tcPr>
          <w:p>
            <w:pPr>
              <w:ind w:left="1920"/>
              <w:spacing w:after="0"/>
              <w:rPr>
                <w:sz w:val="20"/>
                <w:szCs w:val="20"/>
                <w:color w:val="auto"/>
              </w:rPr>
            </w:pPr>
            <w:r>
              <w:rPr>
                <w:rFonts w:ascii="Arial" w:cs="Arial" w:eastAsia="Arial" w:hAnsi="Arial"/>
                <w:sz w:val="18"/>
                <w:szCs w:val="18"/>
                <w:color w:val="auto"/>
              </w:rPr>
              <w:t>Gary F</w:t>
            </w:r>
          </w:p>
        </w:tc>
        <w:tc>
          <w:tcPr>
            <w:tcW w:w="1560" w:type="dxa"/>
            <w:vAlign w:val="bottom"/>
          </w:tcPr>
          <w:p>
            <w:pPr>
              <w:ind w:left="60"/>
              <w:spacing w:after="0"/>
              <w:rPr>
                <w:sz w:val="20"/>
                <w:szCs w:val="20"/>
                <w:color w:val="auto"/>
              </w:rPr>
            </w:pPr>
            <w:r>
              <w:rPr>
                <w:rFonts w:ascii="Arial" w:cs="Arial" w:eastAsia="Arial" w:hAnsi="Arial"/>
                <w:sz w:val="18"/>
                <w:szCs w:val="18"/>
                <w:color w:val="auto"/>
              </w:rPr>
              <w:t>Milford</w:t>
            </w:r>
          </w:p>
        </w:tc>
        <w:tc>
          <w:tcPr>
            <w:tcW w:w="700" w:type="dxa"/>
            <w:vAlign w:val="bottom"/>
          </w:tcPr>
          <w:p>
            <w:pPr>
              <w:ind w:left="420"/>
              <w:spacing w:after="0"/>
              <w:rPr>
                <w:sz w:val="20"/>
                <w:szCs w:val="20"/>
                <w:color w:val="auto"/>
              </w:rPr>
            </w:pPr>
            <w:r>
              <w:rPr>
                <w:rFonts w:ascii="Arial" w:cs="Arial" w:eastAsia="Arial" w:hAnsi="Arial"/>
                <w:sz w:val="18"/>
                <w:szCs w:val="18"/>
                <w:color w:val="auto"/>
                <w:w w:val="96"/>
              </w:rPr>
              <w:t>MA</w:t>
            </w:r>
          </w:p>
        </w:tc>
      </w:tr>
    </w:tbl>
    <w:p>
      <w:pPr>
        <w:sectPr>
          <w:pgSz w:w="11900" w:h="16838" w:orient="portrait"/>
          <w:cols w:equalWidth="0" w:num="1">
            <w:col w:w="11360"/>
          </w:cols>
          <w:pgMar w:left="240" w:top="280" w:right="299" w:bottom="1440" w:gutter="0" w:footer="0" w:header="0"/>
        </w:sectPr>
      </w:pPr>
    </w:p>
    <w:bookmarkStart w:id="342" w:name="page343"/>
    <w:bookmarkEnd w:id="34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780" w:type="dxa"/>
            <w:vAlign w:val="bottom"/>
          </w:tcPr>
          <w:p>
            <w:pPr>
              <w:ind w:left="240"/>
              <w:spacing w:after="0"/>
              <w:rPr>
                <w:sz w:val="20"/>
                <w:szCs w:val="20"/>
                <w:color w:val="auto"/>
              </w:rPr>
            </w:pPr>
            <w:r>
              <w:rPr>
                <w:rFonts w:ascii="Arial" w:cs="Arial" w:eastAsia="Arial" w:hAnsi="Arial"/>
                <w:sz w:val="18"/>
                <w:szCs w:val="18"/>
                <w:color w:val="auto"/>
              </w:rPr>
              <w:t>MIS</w:t>
            </w:r>
          </w:p>
        </w:tc>
        <w:tc>
          <w:tcPr>
            <w:tcW w:w="3340" w:type="dxa"/>
            <w:vAlign w:val="bottom"/>
          </w:tcPr>
          <w:p>
            <w:pPr>
              <w:ind w:left="1980"/>
              <w:spacing w:after="0"/>
              <w:rPr>
                <w:sz w:val="20"/>
                <w:szCs w:val="20"/>
                <w:color w:val="auto"/>
              </w:rPr>
            </w:pPr>
            <w:r>
              <w:rPr>
                <w:rFonts w:ascii="Arial" w:cs="Arial" w:eastAsia="Arial" w:hAnsi="Arial"/>
                <w:sz w:val="18"/>
                <w:szCs w:val="18"/>
                <w:color w:val="auto"/>
              </w:rPr>
              <w:t>Lynette</w:t>
            </w:r>
          </w:p>
        </w:tc>
        <w:tc>
          <w:tcPr>
            <w:tcW w:w="1680" w:type="dxa"/>
            <w:vAlign w:val="bottom"/>
          </w:tcPr>
          <w:p>
            <w:pPr>
              <w:ind w:left="120"/>
              <w:spacing w:after="0"/>
              <w:rPr>
                <w:sz w:val="20"/>
                <w:szCs w:val="20"/>
                <w:color w:val="auto"/>
              </w:rPr>
            </w:pPr>
            <w:r>
              <w:rPr>
                <w:rFonts w:ascii="Arial" w:cs="Arial" w:eastAsia="Arial" w:hAnsi="Arial"/>
                <w:sz w:val="18"/>
                <w:szCs w:val="18"/>
                <w:color w:val="auto"/>
              </w:rPr>
              <w:t>Lafayette</w:t>
            </w:r>
          </w:p>
        </w:tc>
        <w:tc>
          <w:tcPr>
            <w:tcW w:w="640" w:type="dxa"/>
            <w:vAlign w:val="bottom"/>
          </w:tcPr>
          <w:p>
            <w:pPr>
              <w:ind w:left="360"/>
              <w:spacing w:after="0"/>
              <w:rPr>
                <w:sz w:val="20"/>
                <w:szCs w:val="20"/>
                <w:color w:val="auto"/>
              </w:rPr>
            </w:pPr>
            <w:r>
              <w:rPr>
                <w:rFonts w:ascii="Arial" w:cs="Arial" w:eastAsia="Arial" w:hAnsi="Arial"/>
                <w:sz w:val="18"/>
                <w:szCs w:val="18"/>
                <w:color w:val="auto"/>
                <w:w w:val="96"/>
              </w:rPr>
              <w:t>CO</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780" w:type="dxa"/>
            <w:vAlign w:val="bottom"/>
          </w:tcPr>
          <w:p>
            <w:pPr>
              <w:ind w:left="240"/>
              <w:spacing w:after="0"/>
              <w:rPr>
                <w:sz w:val="20"/>
                <w:szCs w:val="20"/>
                <w:color w:val="auto"/>
              </w:rPr>
            </w:pPr>
            <w:r>
              <w:rPr>
                <w:rFonts w:ascii="Arial" w:cs="Arial" w:eastAsia="Arial" w:hAnsi="Arial"/>
                <w:sz w:val="18"/>
                <w:szCs w:val="18"/>
                <w:color w:val="auto"/>
              </w:rPr>
              <w:t>Mission Hospital</w:t>
            </w:r>
          </w:p>
        </w:tc>
        <w:tc>
          <w:tcPr>
            <w:tcW w:w="3340" w:type="dxa"/>
            <w:vAlign w:val="bottom"/>
          </w:tcPr>
          <w:p>
            <w:pPr>
              <w:spacing w:after="0"/>
              <w:rPr>
                <w:sz w:val="18"/>
                <w:szCs w:val="18"/>
                <w:color w:val="auto"/>
              </w:rPr>
            </w:pPr>
          </w:p>
        </w:tc>
        <w:tc>
          <w:tcPr>
            <w:tcW w:w="1680" w:type="dxa"/>
            <w:vAlign w:val="bottom"/>
          </w:tcPr>
          <w:p>
            <w:pPr>
              <w:ind w:left="120"/>
              <w:spacing w:after="0"/>
              <w:rPr>
                <w:sz w:val="20"/>
                <w:szCs w:val="20"/>
                <w:color w:val="auto"/>
              </w:rPr>
            </w:pPr>
            <w:r>
              <w:rPr>
                <w:rFonts w:ascii="Arial" w:cs="Arial" w:eastAsia="Arial" w:hAnsi="Arial"/>
                <w:sz w:val="18"/>
                <w:szCs w:val="18"/>
                <w:color w:val="auto"/>
              </w:rPr>
              <w:t>Mission</w:t>
            </w:r>
          </w:p>
        </w:tc>
        <w:tc>
          <w:tcPr>
            <w:tcW w:w="640" w:type="dxa"/>
            <w:vAlign w:val="bottom"/>
          </w:tcPr>
          <w:p>
            <w:pPr>
              <w:ind w:left="360"/>
              <w:spacing w:after="0"/>
              <w:rPr>
                <w:sz w:val="20"/>
                <w:szCs w:val="20"/>
                <w:color w:val="auto"/>
              </w:rPr>
            </w:pPr>
            <w:r>
              <w:rPr>
                <w:rFonts w:ascii="Arial" w:cs="Arial" w:eastAsia="Arial" w:hAnsi="Arial"/>
                <w:sz w:val="18"/>
                <w:szCs w:val="18"/>
                <w:color w:val="auto"/>
              </w:rPr>
              <w:t>TX</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780" w:type="dxa"/>
            <w:vAlign w:val="bottom"/>
          </w:tcPr>
          <w:p>
            <w:pPr>
              <w:ind w:left="240"/>
              <w:spacing w:after="0"/>
              <w:rPr>
                <w:sz w:val="20"/>
                <w:szCs w:val="20"/>
                <w:color w:val="auto"/>
              </w:rPr>
            </w:pPr>
            <w:r>
              <w:rPr>
                <w:rFonts w:ascii="Arial" w:cs="Arial" w:eastAsia="Arial" w:hAnsi="Arial"/>
                <w:sz w:val="18"/>
                <w:szCs w:val="18"/>
                <w:color w:val="auto"/>
              </w:rPr>
              <w:t>Mission Valley Surgery Ctr</w:t>
            </w:r>
          </w:p>
        </w:tc>
        <w:tc>
          <w:tcPr>
            <w:tcW w:w="3340" w:type="dxa"/>
            <w:vAlign w:val="bottom"/>
          </w:tcPr>
          <w:p>
            <w:pPr>
              <w:ind w:left="1980"/>
              <w:spacing w:after="0"/>
              <w:rPr>
                <w:sz w:val="20"/>
                <w:szCs w:val="20"/>
                <w:color w:val="auto"/>
              </w:rPr>
            </w:pPr>
            <w:r>
              <w:rPr>
                <w:rFonts w:ascii="Arial" w:cs="Arial" w:eastAsia="Arial" w:hAnsi="Arial"/>
                <w:sz w:val="18"/>
                <w:szCs w:val="18"/>
                <w:color w:val="auto"/>
              </w:rPr>
              <w:t>Vicki Wiesner</w:t>
            </w:r>
          </w:p>
        </w:tc>
        <w:tc>
          <w:tcPr>
            <w:tcW w:w="1680" w:type="dxa"/>
            <w:vAlign w:val="bottom"/>
          </w:tcPr>
          <w:p>
            <w:pPr>
              <w:ind w:left="120"/>
              <w:spacing w:after="0"/>
              <w:rPr>
                <w:sz w:val="20"/>
                <w:szCs w:val="20"/>
                <w:color w:val="auto"/>
              </w:rPr>
            </w:pPr>
            <w:r>
              <w:rPr>
                <w:rFonts w:ascii="Arial" w:cs="Arial" w:eastAsia="Arial" w:hAnsi="Arial"/>
                <w:sz w:val="18"/>
                <w:szCs w:val="18"/>
                <w:color w:val="auto"/>
              </w:rPr>
              <w:t>San Diego</w:t>
            </w:r>
          </w:p>
        </w:tc>
        <w:tc>
          <w:tcPr>
            <w:tcW w:w="640" w:type="dxa"/>
            <w:vAlign w:val="bottom"/>
          </w:tcPr>
          <w:p>
            <w:pPr>
              <w:ind w:left="360"/>
              <w:spacing w:after="0"/>
              <w:rPr>
                <w:sz w:val="20"/>
                <w:szCs w:val="20"/>
                <w:color w:val="auto"/>
              </w:rPr>
            </w:pPr>
            <w:r>
              <w:rPr>
                <w:rFonts w:ascii="Arial" w:cs="Arial" w:eastAsia="Arial" w:hAnsi="Arial"/>
                <w:sz w:val="18"/>
                <w:szCs w:val="18"/>
                <w:color w:val="auto"/>
              </w:rPr>
              <w:t>CA</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780" w:type="dxa"/>
            <w:vAlign w:val="bottom"/>
          </w:tcPr>
          <w:p>
            <w:pPr>
              <w:ind w:left="240"/>
              <w:spacing w:after="0"/>
              <w:rPr>
                <w:sz w:val="20"/>
                <w:szCs w:val="20"/>
                <w:color w:val="auto"/>
              </w:rPr>
            </w:pPr>
            <w:r>
              <w:rPr>
                <w:rFonts w:ascii="Arial" w:cs="Arial" w:eastAsia="Arial" w:hAnsi="Arial"/>
                <w:sz w:val="18"/>
                <w:szCs w:val="18"/>
                <w:color w:val="auto"/>
              </w:rPr>
              <w:t>Mississippi Surgery Center</w:t>
            </w:r>
          </w:p>
        </w:tc>
        <w:tc>
          <w:tcPr>
            <w:tcW w:w="3340" w:type="dxa"/>
            <w:vAlign w:val="bottom"/>
          </w:tcPr>
          <w:p>
            <w:pPr>
              <w:ind w:left="1980"/>
              <w:spacing w:after="0"/>
              <w:rPr>
                <w:sz w:val="20"/>
                <w:szCs w:val="20"/>
                <w:color w:val="auto"/>
              </w:rPr>
            </w:pPr>
            <w:r>
              <w:rPr>
                <w:rFonts w:ascii="Arial" w:cs="Arial" w:eastAsia="Arial" w:hAnsi="Arial"/>
                <w:sz w:val="18"/>
                <w:szCs w:val="18"/>
                <w:color w:val="auto"/>
              </w:rPr>
              <w:t>Angel Davis</w:t>
            </w:r>
          </w:p>
        </w:tc>
        <w:tc>
          <w:tcPr>
            <w:tcW w:w="1680" w:type="dxa"/>
            <w:vAlign w:val="bottom"/>
          </w:tcPr>
          <w:p>
            <w:pPr>
              <w:ind w:left="120"/>
              <w:spacing w:after="0"/>
              <w:rPr>
                <w:sz w:val="20"/>
                <w:szCs w:val="20"/>
                <w:color w:val="auto"/>
              </w:rPr>
            </w:pPr>
            <w:r>
              <w:rPr>
                <w:rFonts w:ascii="Arial" w:cs="Arial" w:eastAsia="Arial" w:hAnsi="Arial"/>
                <w:sz w:val="18"/>
                <w:szCs w:val="18"/>
                <w:color w:val="auto"/>
              </w:rPr>
              <w:t>Jackson</w:t>
            </w:r>
          </w:p>
        </w:tc>
        <w:tc>
          <w:tcPr>
            <w:tcW w:w="640" w:type="dxa"/>
            <w:vAlign w:val="bottom"/>
          </w:tcPr>
          <w:p>
            <w:pPr>
              <w:ind w:left="360"/>
              <w:spacing w:after="0"/>
              <w:rPr>
                <w:sz w:val="20"/>
                <w:szCs w:val="20"/>
                <w:color w:val="auto"/>
              </w:rPr>
            </w:pPr>
            <w:r>
              <w:rPr>
                <w:rFonts w:ascii="Arial" w:cs="Arial" w:eastAsia="Arial" w:hAnsi="Arial"/>
                <w:sz w:val="18"/>
                <w:szCs w:val="18"/>
                <w:color w:val="auto"/>
                <w:w w:val="96"/>
              </w:rPr>
              <w:t>MS</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780" w:type="dxa"/>
            <w:vAlign w:val="bottom"/>
          </w:tcPr>
          <w:p>
            <w:pPr>
              <w:ind w:left="240"/>
              <w:spacing w:after="0"/>
              <w:rPr>
                <w:sz w:val="20"/>
                <w:szCs w:val="20"/>
                <w:color w:val="auto"/>
              </w:rPr>
            </w:pPr>
            <w:r>
              <w:rPr>
                <w:rFonts w:ascii="Arial" w:cs="Arial" w:eastAsia="Arial" w:hAnsi="Arial"/>
                <w:sz w:val="18"/>
                <w:szCs w:val="18"/>
                <w:color w:val="auto"/>
              </w:rPr>
              <w:t>Missouri Baptist Hospital</w:t>
            </w:r>
          </w:p>
        </w:tc>
        <w:tc>
          <w:tcPr>
            <w:tcW w:w="3340" w:type="dxa"/>
            <w:vAlign w:val="bottom"/>
          </w:tcPr>
          <w:p>
            <w:pPr>
              <w:ind w:left="1980"/>
              <w:spacing w:after="0"/>
              <w:rPr>
                <w:sz w:val="20"/>
                <w:szCs w:val="20"/>
                <w:color w:val="auto"/>
              </w:rPr>
            </w:pPr>
            <w:r>
              <w:rPr>
                <w:rFonts w:ascii="Arial" w:cs="Arial" w:eastAsia="Arial" w:hAnsi="Arial"/>
                <w:sz w:val="18"/>
                <w:szCs w:val="18"/>
                <w:color w:val="auto"/>
              </w:rPr>
              <w:t>Pete Peters</w:t>
            </w:r>
          </w:p>
        </w:tc>
        <w:tc>
          <w:tcPr>
            <w:tcW w:w="1680" w:type="dxa"/>
            <w:vAlign w:val="bottom"/>
          </w:tcPr>
          <w:p>
            <w:pPr>
              <w:ind w:left="120"/>
              <w:spacing w:after="0"/>
              <w:rPr>
                <w:sz w:val="20"/>
                <w:szCs w:val="20"/>
                <w:color w:val="auto"/>
              </w:rPr>
            </w:pPr>
            <w:r>
              <w:rPr>
                <w:rFonts w:ascii="Arial" w:cs="Arial" w:eastAsia="Arial" w:hAnsi="Arial"/>
                <w:sz w:val="18"/>
                <w:szCs w:val="18"/>
                <w:color w:val="auto"/>
              </w:rPr>
              <w:t>St. Louis</w:t>
            </w:r>
          </w:p>
        </w:tc>
        <w:tc>
          <w:tcPr>
            <w:tcW w:w="640" w:type="dxa"/>
            <w:vAlign w:val="bottom"/>
          </w:tcPr>
          <w:p>
            <w:pPr>
              <w:ind w:left="360"/>
              <w:spacing w:after="0"/>
              <w:rPr>
                <w:sz w:val="20"/>
                <w:szCs w:val="20"/>
                <w:color w:val="auto"/>
              </w:rPr>
            </w:pPr>
            <w:r>
              <w:rPr>
                <w:rFonts w:ascii="Arial" w:cs="Arial" w:eastAsia="Arial" w:hAnsi="Arial"/>
                <w:sz w:val="18"/>
                <w:szCs w:val="18"/>
                <w:color w:val="auto"/>
                <w:w w:val="89"/>
              </w:rPr>
              <w:t>MO</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780" w:type="dxa"/>
            <w:vAlign w:val="bottom"/>
          </w:tcPr>
          <w:p>
            <w:pPr>
              <w:ind w:left="240"/>
              <w:spacing w:after="0"/>
              <w:rPr>
                <w:sz w:val="20"/>
                <w:szCs w:val="20"/>
                <w:color w:val="auto"/>
              </w:rPr>
            </w:pPr>
            <w:r>
              <w:rPr>
                <w:rFonts w:ascii="Arial" w:cs="Arial" w:eastAsia="Arial" w:hAnsi="Arial"/>
                <w:sz w:val="18"/>
                <w:szCs w:val="18"/>
                <w:color w:val="auto"/>
              </w:rPr>
              <w:t>Monmouth Med Ctr</w:t>
            </w:r>
          </w:p>
        </w:tc>
        <w:tc>
          <w:tcPr>
            <w:tcW w:w="3340" w:type="dxa"/>
            <w:vAlign w:val="bottom"/>
          </w:tcPr>
          <w:p>
            <w:pPr>
              <w:ind w:left="1980"/>
              <w:spacing w:after="0"/>
              <w:rPr>
                <w:sz w:val="20"/>
                <w:szCs w:val="20"/>
                <w:color w:val="auto"/>
              </w:rPr>
            </w:pPr>
            <w:r>
              <w:rPr>
                <w:rFonts w:ascii="Arial" w:cs="Arial" w:eastAsia="Arial" w:hAnsi="Arial"/>
                <w:sz w:val="18"/>
                <w:szCs w:val="18"/>
                <w:color w:val="auto"/>
              </w:rPr>
              <w:t>Dawn Singleton</w:t>
            </w:r>
          </w:p>
        </w:tc>
        <w:tc>
          <w:tcPr>
            <w:tcW w:w="1680" w:type="dxa"/>
            <w:vAlign w:val="bottom"/>
          </w:tcPr>
          <w:p>
            <w:pPr>
              <w:ind w:left="120"/>
              <w:spacing w:after="0"/>
              <w:rPr>
                <w:sz w:val="20"/>
                <w:szCs w:val="20"/>
                <w:color w:val="auto"/>
              </w:rPr>
            </w:pPr>
            <w:r>
              <w:rPr>
                <w:rFonts w:ascii="Arial" w:cs="Arial" w:eastAsia="Arial" w:hAnsi="Arial"/>
                <w:sz w:val="18"/>
                <w:szCs w:val="18"/>
                <w:color w:val="auto"/>
              </w:rPr>
              <w:t>Long Branch</w:t>
            </w:r>
          </w:p>
        </w:tc>
        <w:tc>
          <w:tcPr>
            <w:tcW w:w="640" w:type="dxa"/>
            <w:vAlign w:val="bottom"/>
          </w:tcPr>
          <w:p>
            <w:pPr>
              <w:ind w:left="360"/>
              <w:spacing w:after="0"/>
              <w:rPr>
                <w:sz w:val="20"/>
                <w:szCs w:val="20"/>
                <w:color w:val="auto"/>
              </w:rPr>
            </w:pPr>
            <w:r>
              <w:rPr>
                <w:rFonts w:ascii="Arial" w:cs="Arial" w:eastAsia="Arial" w:hAnsi="Arial"/>
                <w:sz w:val="18"/>
                <w:szCs w:val="18"/>
                <w:color w:val="auto"/>
              </w:rPr>
              <w:t>NJ</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780" w:type="dxa"/>
            <w:vAlign w:val="bottom"/>
          </w:tcPr>
          <w:p>
            <w:pPr>
              <w:ind w:left="240"/>
              <w:spacing w:after="0"/>
              <w:rPr>
                <w:sz w:val="20"/>
                <w:szCs w:val="20"/>
                <w:color w:val="auto"/>
              </w:rPr>
            </w:pPr>
            <w:r>
              <w:rPr>
                <w:rFonts w:ascii="Arial" w:cs="Arial" w:eastAsia="Arial" w:hAnsi="Arial"/>
                <w:sz w:val="18"/>
                <w:szCs w:val="18"/>
                <w:color w:val="auto"/>
              </w:rPr>
              <w:t>Morton Plant Mease Health</w:t>
            </w:r>
          </w:p>
        </w:tc>
        <w:tc>
          <w:tcPr>
            <w:tcW w:w="3340" w:type="dxa"/>
            <w:vAlign w:val="bottom"/>
          </w:tcPr>
          <w:p>
            <w:pPr>
              <w:ind w:left="1980"/>
              <w:spacing w:after="0"/>
              <w:rPr>
                <w:sz w:val="20"/>
                <w:szCs w:val="20"/>
                <w:color w:val="auto"/>
              </w:rPr>
            </w:pPr>
            <w:r>
              <w:rPr>
                <w:rFonts w:ascii="Arial" w:cs="Arial" w:eastAsia="Arial" w:hAnsi="Arial"/>
                <w:sz w:val="18"/>
                <w:szCs w:val="18"/>
                <w:color w:val="auto"/>
              </w:rPr>
              <w:t>Melissa Monreal</w:t>
            </w:r>
          </w:p>
        </w:tc>
        <w:tc>
          <w:tcPr>
            <w:tcW w:w="1680" w:type="dxa"/>
            <w:vAlign w:val="bottom"/>
          </w:tcPr>
          <w:p>
            <w:pPr>
              <w:ind w:left="120"/>
              <w:spacing w:after="0"/>
              <w:rPr>
                <w:sz w:val="20"/>
                <w:szCs w:val="20"/>
                <w:color w:val="auto"/>
              </w:rPr>
            </w:pPr>
            <w:r>
              <w:rPr>
                <w:rFonts w:ascii="Arial" w:cs="Arial" w:eastAsia="Arial" w:hAnsi="Arial"/>
                <w:sz w:val="18"/>
                <w:szCs w:val="18"/>
                <w:color w:val="auto"/>
              </w:rPr>
              <w:t>Clearwater</w:t>
            </w:r>
          </w:p>
        </w:tc>
        <w:tc>
          <w:tcPr>
            <w:tcW w:w="640" w:type="dxa"/>
            <w:vAlign w:val="bottom"/>
          </w:tcPr>
          <w:p>
            <w:pPr>
              <w:ind w:left="360"/>
              <w:spacing w:after="0"/>
              <w:rPr>
                <w:sz w:val="20"/>
                <w:szCs w:val="20"/>
                <w:color w:val="auto"/>
              </w:rPr>
            </w:pPr>
            <w:r>
              <w:rPr>
                <w:rFonts w:ascii="Arial" w:cs="Arial" w:eastAsia="Arial" w:hAnsi="Arial"/>
                <w:sz w:val="18"/>
                <w:szCs w:val="18"/>
                <w:color w:val="auto"/>
              </w:rPr>
              <w:t>FL</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780" w:type="dxa"/>
            <w:vAlign w:val="bottom"/>
          </w:tcPr>
          <w:p>
            <w:pPr>
              <w:ind w:left="240"/>
              <w:spacing w:after="0"/>
              <w:rPr>
                <w:sz w:val="20"/>
                <w:szCs w:val="20"/>
                <w:color w:val="auto"/>
              </w:rPr>
            </w:pPr>
            <w:r>
              <w:rPr>
                <w:rFonts w:ascii="Arial" w:cs="Arial" w:eastAsia="Arial" w:hAnsi="Arial"/>
                <w:sz w:val="18"/>
                <w:szCs w:val="18"/>
                <w:color w:val="auto"/>
              </w:rPr>
              <w:t>Moses Cone Hospital</w:t>
            </w:r>
          </w:p>
        </w:tc>
        <w:tc>
          <w:tcPr>
            <w:tcW w:w="3340" w:type="dxa"/>
            <w:vAlign w:val="bottom"/>
          </w:tcPr>
          <w:p>
            <w:pPr>
              <w:ind w:left="1980"/>
              <w:spacing w:after="0"/>
              <w:rPr>
                <w:sz w:val="20"/>
                <w:szCs w:val="20"/>
                <w:color w:val="auto"/>
              </w:rPr>
            </w:pPr>
            <w:r>
              <w:rPr>
                <w:rFonts w:ascii="Arial" w:cs="Arial" w:eastAsia="Arial" w:hAnsi="Arial"/>
                <w:sz w:val="18"/>
                <w:szCs w:val="18"/>
                <w:color w:val="auto"/>
              </w:rPr>
              <w:t>Kenneth Boggs</w:t>
            </w:r>
          </w:p>
        </w:tc>
        <w:tc>
          <w:tcPr>
            <w:tcW w:w="1680" w:type="dxa"/>
            <w:vAlign w:val="bottom"/>
          </w:tcPr>
          <w:p>
            <w:pPr>
              <w:ind w:left="120"/>
              <w:spacing w:after="0"/>
              <w:rPr>
                <w:sz w:val="20"/>
                <w:szCs w:val="20"/>
                <w:color w:val="auto"/>
              </w:rPr>
            </w:pPr>
            <w:r>
              <w:rPr>
                <w:rFonts w:ascii="Arial" w:cs="Arial" w:eastAsia="Arial" w:hAnsi="Arial"/>
                <w:sz w:val="18"/>
                <w:szCs w:val="18"/>
                <w:color w:val="auto"/>
              </w:rPr>
              <w:t>Greensboro</w:t>
            </w:r>
          </w:p>
        </w:tc>
        <w:tc>
          <w:tcPr>
            <w:tcW w:w="640" w:type="dxa"/>
            <w:vAlign w:val="bottom"/>
          </w:tcPr>
          <w:p>
            <w:pPr>
              <w:ind w:left="360"/>
              <w:spacing w:after="0"/>
              <w:rPr>
                <w:sz w:val="20"/>
                <w:szCs w:val="20"/>
                <w:color w:val="auto"/>
              </w:rPr>
            </w:pPr>
            <w:r>
              <w:rPr>
                <w:rFonts w:ascii="Arial" w:cs="Arial" w:eastAsia="Arial" w:hAnsi="Arial"/>
                <w:sz w:val="18"/>
                <w:szCs w:val="18"/>
                <w:color w:val="auto"/>
                <w:w w:val="99"/>
              </w:rPr>
              <w:t>NC</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780" w:type="dxa"/>
            <w:vAlign w:val="bottom"/>
          </w:tcPr>
          <w:p>
            <w:pPr>
              <w:ind w:left="240"/>
              <w:spacing w:after="0"/>
              <w:rPr>
                <w:sz w:val="20"/>
                <w:szCs w:val="20"/>
                <w:color w:val="auto"/>
              </w:rPr>
            </w:pPr>
            <w:r>
              <w:rPr>
                <w:rFonts w:ascii="Arial" w:cs="Arial" w:eastAsia="Arial" w:hAnsi="Arial"/>
                <w:sz w:val="18"/>
                <w:szCs w:val="18"/>
                <w:color w:val="auto"/>
              </w:rPr>
              <w:t>Munster Same Day Surgery Center</w:t>
            </w:r>
          </w:p>
        </w:tc>
        <w:tc>
          <w:tcPr>
            <w:tcW w:w="3340" w:type="dxa"/>
            <w:vAlign w:val="bottom"/>
          </w:tcPr>
          <w:p>
            <w:pPr>
              <w:spacing w:after="0"/>
              <w:rPr>
                <w:sz w:val="18"/>
                <w:szCs w:val="18"/>
                <w:color w:val="auto"/>
              </w:rPr>
            </w:pPr>
          </w:p>
        </w:tc>
        <w:tc>
          <w:tcPr>
            <w:tcW w:w="1680" w:type="dxa"/>
            <w:vAlign w:val="bottom"/>
          </w:tcPr>
          <w:p>
            <w:pPr>
              <w:ind w:left="120"/>
              <w:spacing w:after="0"/>
              <w:rPr>
                <w:sz w:val="20"/>
                <w:szCs w:val="20"/>
                <w:color w:val="auto"/>
              </w:rPr>
            </w:pPr>
            <w:r>
              <w:rPr>
                <w:rFonts w:ascii="Arial" w:cs="Arial" w:eastAsia="Arial" w:hAnsi="Arial"/>
                <w:sz w:val="18"/>
                <w:szCs w:val="18"/>
                <w:color w:val="auto"/>
              </w:rPr>
              <w:t>Munster</w:t>
            </w:r>
          </w:p>
        </w:tc>
        <w:tc>
          <w:tcPr>
            <w:tcW w:w="640" w:type="dxa"/>
            <w:vAlign w:val="bottom"/>
          </w:tcPr>
          <w:p>
            <w:pPr>
              <w:ind w:left="360"/>
              <w:spacing w:after="0"/>
              <w:rPr>
                <w:sz w:val="20"/>
                <w:szCs w:val="20"/>
                <w:color w:val="auto"/>
              </w:rPr>
            </w:pPr>
            <w:r>
              <w:rPr>
                <w:rFonts w:ascii="Arial" w:cs="Arial" w:eastAsia="Arial" w:hAnsi="Arial"/>
                <w:sz w:val="18"/>
                <w:szCs w:val="18"/>
                <w:color w:val="auto"/>
              </w:rPr>
              <w:t>IN</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780" w:type="dxa"/>
            <w:vAlign w:val="bottom"/>
          </w:tcPr>
          <w:p>
            <w:pPr>
              <w:ind w:left="240"/>
              <w:spacing w:after="0"/>
              <w:rPr>
                <w:sz w:val="20"/>
                <w:szCs w:val="20"/>
                <w:color w:val="auto"/>
              </w:rPr>
            </w:pPr>
            <w:r>
              <w:rPr>
                <w:rFonts w:ascii="Arial" w:cs="Arial" w:eastAsia="Arial" w:hAnsi="Arial"/>
                <w:sz w:val="18"/>
                <w:szCs w:val="18"/>
                <w:color w:val="auto"/>
              </w:rPr>
              <w:t>Naples Community Hospital (NCH)</w:t>
            </w:r>
          </w:p>
        </w:tc>
        <w:tc>
          <w:tcPr>
            <w:tcW w:w="3340" w:type="dxa"/>
            <w:vAlign w:val="bottom"/>
          </w:tcPr>
          <w:p>
            <w:pPr>
              <w:ind w:left="1980"/>
              <w:spacing w:after="0"/>
              <w:rPr>
                <w:sz w:val="20"/>
                <w:szCs w:val="20"/>
                <w:color w:val="auto"/>
              </w:rPr>
            </w:pPr>
            <w:r>
              <w:rPr>
                <w:rFonts w:ascii="Arial" w:cs="Arial" w:eastAsia="Arial" w:hAnsi="Arial"/>
                <w:sz w:val="18"/>
                <w:szCs w:val="18"/>
                <w:color w:val="auto"/>
              </w:rPr>
              <w:t>David Mobley</w:t>
            </w:r>
          </w:p>
        </w:tc>
        <w:tc>
          <w:tcPr>
            <w:tcW w:w="1680" w:type="dxa"/>
            <w:vAlign w:val="bottom"/>
          </w:tcPr>
          <w:p>
            <w:pPr>
              <w:ind w:left="120"/>
              <w:spacing w:after="0"/>
              <w:rPr>
                <w:sz w:val="20"/>
                <w:szCs w:val="20"/>
                <w:color w:val="auto"/>
              </w:rPr>
            </w:pPr>
            <w:r>
              <w:rPr>
                <w:rFonts w:ascii="Arial" w:cs="Arial" w:eastAsia="Arial" w:hAnsi="Arial"/>
                <w:sz w:val="18"/>
                <w:szCs w:val="18"/>
                <w:color w:val="auto"/>
              </w:rPr>
              <w:t>Naples</w:t>
            </w:r>
          </w:p>
        </w:tc>
        <w:tc>
          <w:tcPr>
            <w:tcW w:w="640" w:type="dxa"/>
            <w:vAlign w:val="bottom"/>
          </w:tcPr>
          <w:p>
            <w:pPr>
              <w:ind w:left="360"/>
              <w:spacing w:after="0"/>
              <w:rPr>
                <w:sz w:val="20"/>
                <w:szCs w:val="20"/>
                <w:color w:val="auto"/>
              </w:rPr>
            </w:pPr>
            <w:r>
              <w:rPr>
                <w:rFonts w:ascii="Arial" w:cs="Arial" w:eastAsia="Arial" w:hAnsi="Arial"/>
                <w:sz w:val="18"/>
                <w:szCs w:val="18"/>
                <w:color w:val="auto"/>
              </w:rPr>
              <w:t>FL</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780" w:type="dxa"/>
            <w:vAlign w:val="bottom"/>
          </w:tcPr>
          <w:p>
            <w:pPr>
              <w:ind w:left="240"/>
              <w:spacing w:after="0"/>
              <w:rPr>
                <w:sz w:val="20"/>
                <w:szCs w:val="20"/>
                <w:color w:val="auto"/>
              </w:rPr>
            </w:pPr>
            <w:r>
              <w:rPr>
                <w:rFonts w:ascii="Arial" w:cs="Arial" w:eastAsia="Arial" w:hAnsi="Arial"/>
                <w:sz w:val="18"/>
                <w:szCs w:val="18"/>
                <w:color w:val="auto"/>
              </w:rPr>
              <w:t>Nashville Surgery Center</w:t>
            </w:r>
          </w:p>
        </w:tc>
        <w:tc>
          <w:tcPr>
            <w:tcW w:w="3340" w:type="dxa"/>
            <w:vAlign w:val="bottom"/>
          </w:tcPr>
          <w:p>
            <w:pPr>
              <w:ind w:left="1980"/>
              <w:spacing w:after="0"/>
              <w:rPr>
                <w:sz w:val="20"/>
                <w:szCs w:val="20"/>
                <w:color w:val="auto"/>
              </w:rPr>
            </w:pPr>
            <w:r>
              <w:rPr>
                <w:rFonts w:ascii="Arial" w:cs="Arial" w:eastAsia="Arial" w:hAnsi="Arial"/>
                <w:sz w:val="18"/>
                <w:szCs w:val="18"/>
                <w:color w:val="auto"/>
              </w:rPr>
              <w:t>Paula Bennett</w:t>
            </w:r>
          </w:p>
        </w:tc>
        <w:tc>
          <w:tcPr>
            <w:tcW w:w="1680" w:type="dxa"/>
            <w:vAlign w:val="bottom"/>
          </w:tcPr>
          <w:p>
            <w:pPr>
              <w:ind w:left="120"/>
              <w:spacing w:after="0"/>
              <w:rPr>
                <w:sz w:val="20"/>
                <w:szCs w:val="20"/>
                <w:color w:val="auto"/>
              </w:rPr>
            </w:pPr>
            <w:r>
              <w:rPr>
                <w:rFonts w:ascii="Arial" w:cs="Arial" w:eastAsia="Arial" w:hAnsi="Arial"/>
                <w:sz w:val="18"/>
                <w:szCs w:val="18"/>
                <w:color w:val="auto"/>
              </w:rPr>
              <w:t>Nashville</w:t>
            </w:r>
          </w:p>
        </w:tc>
        <w:tc>
          <w:tcPr>
            <w:tcW w:w="640" w:type="dxa"/>
            <w:vAlign w:val="bottom"/>
          </w:tcPr>
          <w:p>
            <w:pPr>
              <w:ind w:left="360"/>
              <w:spacing w:after="0"/>
              <w:rPr>
                <w:sz w:val="20"/>
                <w:szCs w:val="20"/>
                <w:color w:val="auto"/>
              </w:rPr>
            </w:pPr>
            <w:r>
              <w:rPr>
                <w:rFonts w:ascii="Arial" w:cs="Arial" w:eastAsia="Arial" w:hAnsi="Arial"/>
                <w:sz w:val="18"/>
                <w:szCs w:val="18"/>
                <w:color w:val="auto"/>
              </w:rPr>
              <w:t>TN</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780" w:type="dxa"/>
            <w:vAlign w:val="bottom"/>
          </w:tcPr>
          <w:p>
            <w:pPr>
              <w:ind w:left="240"/>
              <w:spacing w:after="0"/>
              <w:rPr>
                <w:sz w:val="20"/>
                <w:szCs w:val="20"/>
                <w:color w:val="auto"/>
              </w:rPr>
            </w:pPr>
            <w:r>
              <w:rPr>
                <w:rFonts w:ascii="Arial" w:cs="Arial" w:eastAsia="Arial" w:hAnsi="Arial"/>
                <w:sz w:val="18"/>
                <w:szCs w:val="18"/>
                <w:color w:val="auto"/>
              </w:rPr>
              <w:t>Nathan Littaeur Hospital</w:t>
            </w:r>
          </w:p>
        </w:tc>
        <w:tc>
          <w:tcPr>
            <w:tcW w:w="3340" w:type="dxa"/>
            <w:vAlign w:val="bottom"/>
          </w:tcPr>
          <w:p>
            <w:pPr>
              <w:ind w:left="1980"/>
              <w:spacing w:after="0"/>
              <w:rPr>
                <w:sz w:val="20"/>
                <w:szCs w:val="20"/>
                <w:color w:val="auto"/>
              </w:rPr>
            </w:pPr>
            <w:r>
              <w:rPr>
                <w:rFonts w:ascii="Arial" w:cs="Arial" w:eastAsia="Arial" w:hAnsi="Arial"/>
                <w:sz w:val="18"/>
                <w:szCs w:val="18"/>
                <w:color w:val="auto"/>
              </w:rPr>
              <w:t>Nancy Travis</w:t>
            </w:r>
          </w:p>
        </w:tc>
        <w:tc>
          <w:tcPr>
            <w:tcW w:w="1680" w:type="dxa"/>
            <w:vAlign w:val="bottom"/>
          </w:tcPr>
          <w:p>
            <w:pPr>
              <w:ind w:left="120"/>
              <w:spacing w:after="0"/>
              <w:rPr>
                <w:sz w:val="20"/>
                <w:szCs w:val="20"/>
                <w:color w:val="auto"/>
              </w:rPr>
            </w:pPr>
            <w:r>
              <w:rPr>
                <w:rFonts w:ascii="Arial" w:cs="Arial" w:eastAsia="Arial" w:hAnsi="Arial"/>
                <w:sz w:val="18"/>
                <w:szCs w:val="18"/>
                <w:color w:val="auto"/>
              </w:rPr>
              <w:t>Gloversville</w:t>
            </w:r>
          </w:p>
        </w:tc>
        <w:tc>
          <w:tcPr>
            <w:tcW w:w="640" w:type="dxa"/>
            <w:vAlign w:val="bottom"/>
          </w:tcPr>
          <w:p>
            <w:pPr>
              <w:ind w:left="360"/>
              <w:spacing w:after="0"/>
              <w:rPr>
                <w:sz w:val="20"/>
                <w:szCs w:val="20"/>
                <w:color w:val="auto"/>
              </w:rPr>
            </w:pPr>
            <w:r>
              <w:rPr>
                <w:rFonts w:ascii="Arial" w:cs="Arial" w:eastAsia="Arial" w:hAnsi="Arial"/>
                <w:sz w:val="18"/>
                <w:szCs w:val="18"/>
                <w:color w:val="auto"/>
              </w:rPr>
              <w:t>NY</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780" w:type="dxa"/>
            <w:vAlign w:val="bottom"/>
          </w:tcPr>
          <w:p>
            <w:pPr>
              <w:ind w:left="240"/>
              <w:spacing w:after="0"/>
              <w:rPr>
                <w:sz w:val="20"/>
                <w:szCs w:val="20"/>
                <w:color w:val="auto"/>
              </w:rPr>
            </w:pPr>
            <w:r>
              <w:rPr>
                <w:rFonts w:ascii="Arial" w:cs="Arial" w:eastAsia="Arial" w:hAnsi="Arial"/>
                <w:sz w:val="18"/>
                <w:szCs w:val="18"/>
                <w:color w:val="auto"/>
              </w:rPr>
              <w:t>Neuro Med Ctr Hosp</w:t>
            </w:r>
          </w:p>
        </w:tc>
        <w:tc>
          <w:tcPr>
            <w:tcW w:w="3340" w:type="dxa"/>
            <w:vAlign w:val="bottom"/>
          </w:tcPr>
          <w:p>
            <w:pPr>
              <w:ind w:left="1980"/>
              <w:spacing w:after="0"/>
              <w:rPr>
                <w:sz w:val="20"/>
                <w:szCs w:val="20"/>
                <w:color w:val="auto"/>
              </w:rPr>
            </w:pPr>
            <w:r>
              <w:rPr>
                <w:rFonts w:ascii="Arial" w:cs="Arial" w:eastAsia="Arial" w:hAnsi="Arial"/>
                <w:sz w:val="18"/>
                <w:szCs w:val="18"/>
                <w:color w:val="auto"/>
              </w:rPr>
              <w:t>Patti Clement</w:t>
            </w:r>
          </w:p>
        </w:tc>
        <w:tc>
          <w:tcPr>
            <w:tcW w:w="1680" w:type="dxa"/>
            <w:vAlign w:val="bottom"/>
          </w:tcPr>
          <w:p>
            <w:pPr>
              <w:ind w:left="120"/>
              <w:spacing w:after="0"/>
              <w:rPr>
                <w:sz w:val="20"/>
                <w:szCs w:val="20"/>
                <w:color w:val="auto"/>
              </w:rPr>
            </w:pPr>
            <w:r>
              <w:rPr>
                <w:rFonts w:ascii="Arial" w:cs="Arial" w:eastAsia="Arial" w:hAnsi="Arial"/>
                <w:sz w:val="18"/>
                <w:szCs w:val="18"/>
                <w:color w:val="auto"/>
              </w:rPr>
              <w:t>Baton Rouge</w:t>
            </w:r>
          </w:p>
        </w:tc>
        <w:tc>
          <w:tcPr>
            <w:tcW w:w="640" w:type="dxa"/>
            <w:vAlign w:val="bottom"/>
          </w:tcPr>
          <w:p>
            <w:pPr>
              <w:ind w:left="360"/>
              <w:spacing w:after="0"/>
              <w:rPr>
                <w:sz w:val="20"/>
                <w:szCs w:val="20"/>
                <w:color w:val="auto"/>
              </w:rPr>
            </w:pPr>
            <w:r>
              <w:rPr>
                <w:rFonts w:ascii="Arial" w:cs="Arial" w:eastAsia="Arial" w:hAnsi="Arial"/>
                <w:sz w:val="18"/>
                <w:szCs w:val="18"/>
                <w:color w:val="auto"/>
              </w:rPr>
              <w:t>LA</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780" w:type="dxa"/>
            <w:vAlign w:val="bottom"/>
          </w:tcPr>
          <w:p>
            <w:pPr>
              <w:ind w:left="240"/>
              <w:spacing w:after="0"/>
              <w:rPr>
                <w:sz w:val="20"/>
                <w:szCs w:val="20"/>
                <w:color w:val="auto"/>
              </w:rPr>
            </w:pPr>
            <w:r>
              <w:rPr>
                <w:rFonts w:ascii="Arial" w:cs="Arial" w:eastAsia="Arial" w:hAnsi="Arial"/>
                <w:sz w:val="18"/>
                <w:szCs w:val="18"/>
                <w:color w:val="auto"/>
              </w:rPr>
              <w:t>New Iberia Surgery Center</w:t>
            </w:r>
          </w:p>
        </w:tc>
        <w:tc>
          <w:tcPr>
            <w:tcW w:w="3340" w:type="dxa"/>
            <w:vAlign w:val="bottom"/>
          </w:tcPr>
          <w:p>
            <w:pPr>
              <w:ind w:left="1980"/>
              <w:spacing w:after="0"/>
              <w:rPr>
                <w:sz w:val="20"/>
                <w:szCs w:val="20"/>
                <w:color w:val="auto"/>
              </w:rPr>
            </w:pPr>
            <w:r>
              <w:rPr>
                <w:rFonts w:ascii="Arial" w:cs="Arial" w:eastAsia="Arial" w:hAnsi="Arial"/>
                <w:sz w:val="18"/>
                <w:szCs w:val="18"/>
                <w:color w:val="auto"/>
                <w:w w:val="98"/>
              </w:rPr>
              <w:t>Michael Bertrand</w:t>
            </w:r>
          </w:p>
        </w:tc>
        <w:tc>
          <w:tcPr>
            <w:tcW w:w="1680" w:type="dxa"/>
            <w:vAlign w:val="bottom"/>
          </w:tcPr>
          <w:p>
            <w:pPr>
              <w:ind w:left="120"/>
              <w:spacing w:after="0"/>
              <w:rPr>
                <w:sz w:val="20"/>
                <w:szCs w:val="20"/>
                <w:color w:val="auto"/>
              </w:rPr>
            </w:pPr>
            <w:r>
              <w:rPr>
                <w:rFonts w:ascii="Arial" w:cs="Arial" w:eastAsia="Arial" w:hAnsi="Arial"/>
                <w:sz w:val="18"/>
                <w:szCs w:val="18"/>
                <w:color w:val="auto"/>
              </w:rPr>
              <w:t>New Iberia</w:t>
            </w:r>
          </w:p>
        </w:tc>
        <w:tc>
          <w:tcPr>
            <w:tcW w:w="640" w:type="dxa"/>
            <w:vAlign w:val="bottom"/>
          </w:tcPr>
          <w:p>
            <w:pPr>
              <w:ind w:left="360"/>
              <w:spacing w:after="0"/>
              <w:rPr>
                <w:sz w:val="20"/>
                <w:szCs w:val="20"/>
                <w:color w:val="auto"/>
              </w:rPr>
            </w:pPr>
            <w:r>
              <w:rPr>
                <w:rFonts w:ascii="Arial" w:cs="Arial" w:eastAsia="Arial" w:hAnsi="Arial"/>
                <w:sz w:val="18"/>
                <w:szCs w:val="18"/>
                <w:color w:val="auto"/>
              </w:rPr>
              <w:t>LA</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780" w:type="dxa"/>
            <w:vAlign w:val="bottom"/>
          </w:tcPr>
          <w:p>
            <w:pPr>
              <w:ind w:left="240"/>
              <w:spacing w:after="0"/>
              <w:rPr>
                <w:sz w:val="20"/>
                <w:szCs w:val="20"/>
                <w:color w:val="auto"/>
              </w:rPr>
            </w:pPr>
            <w:r>
              <w:rPr>
                <w:rFonts w:ascii="Arial" w:cs="Arial" w:eastAsia="Arial" w:hAnsi="Arial"/>
                <w:sz w:val="18"/>
                <w:szCs w:val="18"/>
                <w:color w:val="auto"/>
              </w:rPr>
              <w:t>New Milford Hospital</w:t>
            </w:r>
          </w:p>
        </w:tc>
        <w:tc>
          <w:tcPr>
            <w:tcW w:w="3340" w:type="dxa"/>
            <w:vAlign w:val="bottom"/>
          </w:tcPr>
          <w:p>
            <w:pPr>
              <w:ind w:left="1980"/>
              <w:spacing w:after="0"/>
              <w:rPr>
                <w:sz w:val="20"/>
                <w:szCs w:val="20"/>
                <w:color w:val="auto"/>
              </w:rPr>
            </w:pPr>
            <w:r>
              <w:rPr>
                <w:rFonts w:ascii="Arial" w:cs="Arial" w:eastAsia="Arial" w:hAnsi="Arial"/>
                <w:sz w:val="18"/>
                <w:szCs w:val="18"/>
                <w:color w:val="auto"/>
              </w:rPr>
              <w:t>Barbara Webb</w:t>
            </w:r>
          </w:p>
        </w:tc>
        <w:tc>
          <w:tcPr>
            <w:tcW w:w="1680" w:type="dxa"/>
            <w:vAlign w:val="bottom"/>
          </w:tcPr>
          <w:p>
            <w:pPr>
              <w:ind w:left="120"/>
              <w:spacing w:after="0"/>
              <w:rPr>
                <w:sz w:val="20"/>
                <w:szCs w:val="20"/>
                <w:color w:val="auto"/>
              </w:rPr>
            </w:pPr>
            <w:r>
              <w:rPr>
                <w:rFonts w:ascii="Arial" w:cs="Arial" w:eastAsia="Arial" w:hAnsi="Arial"/>
                <w:sz w:val="18"/>
                <w:szCs w:val="18"/>
                <w:color w:val="auto"/>
              </w:rPr>
              <w:t>New Milford</w:t>
            </w:r>
          </w:p>
        </w:tc>
        <w:tc>
          <w:tcPr>
            <w:tcW w:w="640" w:type="dxa"/>
            <w:vAlign w:val="bottom"/>
          </w:tcPr>
          <w:p>
            <w:pPr>
              <w:ind w:left="360"/>
              <w:spacing w:after="0"/>
              <w:rPr>
                <w:sz w:val="20"/>
                <w:szCs w:val="20"/>
                <w:color w:val="auto"/>
              </w:rPr>
            </w:pPr>
            <w:r>
              <w:rPr>
                <w:rFonts w:ascii="Arial" w:cs="Arial" w:eastAsia="Arial" w:hAnsi="Arial"/>
                <w:sz w:val="18"/>
                <w:szCs w:val="18"/>
                <w:color w:val="auto"/>
              </w:rPr>
              <w:t>CT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780" w:type="dxa"/>
            <w:vAlign w:val="bottom"/>
          </w:tcPr>
          <w:p>
            <w:pPr>
              <w:ind w:left="240"/>
              <w:spacing w:after="0"/>
              <w:rPr>
                <w:sz w:val="20"/>
                <w:szCs w:val="20"/>
                <w:color w:val="auto"/>
              </w:rPr>
            </w:pPr>
            <w:r>
              <w:rPr>
                <w:rFonts w:ascii="Arial" w:cs="Arial" w:eastAsia="Arial" w:hAnsi="Arial"/>
                <w:sz w:val="18"/>
                <w:szCs w:val="18"/>
                <w:color w:val="auto"/>
              </w:rPr>
              <w:t>New Port Richey Hospital</w:t>
            </w:r>
          </w:p>
        </w:tc>
        <w:tc>
          <w:tcPr>
            <w:tcW w:w="3340" w:type="dxa"/>
            <w:vAlign w:val="bottom"/>
          </w:tcPr>
          <w:p>
            <w:pPr>
              <w:ind w:left="1980"/>
              <w:spacing w:after="0"/>
              <w:rPr>
                <w:sz w:val="20"/>
                <w:szCs w:val="20"/>
                <w:color w:val="auto"/>
              </w:rPr>
            </w:pPr>
            <w:r>
              <w:rPr>
                <w:rFonts w:ascii="Arial" w:cs="Arial" w:eastAsia="Arial" w:hAnsi="Arial"/>
                <w:sz w:val="18"/>
                <w:szCs w:val="18"/>
                <w:color w:val="auto"/>
              </w:rPr>
              <w:t>Glenn R.</w:t>
            </w:r>
          </w:p>
        </w:tc>
        <w:tc>
          <w:tcPr>
            <w:tcW w:w="1680" w:type="dxa"/>
            <w:vAlign w:val="bottom"/>
          </w:tcPr>
          <w:p>
            <w:pPr>
              <w:ind w:left="120"/>
              <w:spacing w:after="0"/>
              <w:rPr>
                <w:sz w:val="20"/>
                <w:szCs w:val="20"/>
                <w:color w:val="auto"/>
              </w:rPr>
            </w:pPr>
            <w:r>
              <w:rPr>
                <w:rFonts w:ascii="Arial" w:cs="Arial" w:eastAsia="Arial" w:hAnsi="Arial"/>
                <w:sz w:val="18"/>
                <w:szCs w:val="18"/>
                <w:color w:val="auto"/>
              </w:rPr>
              <w:t>New Port Richey</w:t>
            </w:r>
          </w:p>
        </w:tc>
        <w:tc>
          <w:tcPr>
            <w:tcW w:w="640" w:type="dxa"/>
            <w:vAlign w:val="bottom"/>
          </w:tcPr>
          <w:p>
            <w:pPr>
              <w:ind w:left="360"/>
              <w:spacing w:after="0"/>
              <w:rPr>
                <w:sz w:val="20"/>
                <w:szCs w:val="20"/>
                <w:color w:val="auto"/>
              </w:rPr>
            </w:pPr>
            <w:r>
              <w:rPr>
                <w:rFonts w:ascii="Arial" w:cs="Arial" w:eastAsia="Arial" w:hAnsi="Arial"/>
                <w:sz w:val="18"/>
                <w:szCs w:val="18"/>
                <w:color w:val="auto"/>
              </w:rPr>
              <w:t>FL</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780" w:type="dxa"/>
            <w:vAlign w:val="bottom"/>
          </w:tcPr>
          <w:p>
            <w:pPr>
              <w:ind w:left="240"/>
              <w:spacing w:after="0"/>
              <w:rPr>
                <w:sz w:val="20"/>
                <w:szCs w:val="20"/>
                <w:color w:val="auto"/>
              </w:rPr>
            </w:pPr>
            <w:r>
              <w:rPr>
                <w:rFonts w:ascii="Arial" w:cs="Arial" w:eastAsia="Arial" w:hAnsi="Arial"/>
                <w:sz w:val="18"/>
                <w:szCs w:val="18"/>
                <w:color w:val="auto"/>
              </w:rPr>
              <w:t>Norman Regional Hospital</w:t>
            </w:r>
          </w:p>
        </w:tc>
        <w:tc>
          <w:tcPr>
            <w:tcW w:w="3340" w:type="dxa"/>
            <w:vAlign w:val="bottom"/>
          </w:tcPr>
          <w:p>
            <w:pPr>
              <w:ind w:left="1980"/>
              <w:spacing w:after="0"/>
              <w:rPr>
                <w:sz w:val="20"/>
                <w:szCs w:val="20"/>
                <w:color w:val="auto"/>
              </w:rPr>
            </w:pPr>
            <w:r>
              <w:rPr>
                <w:rFonts w:ascii="Arial" w:cs="Arial" w:eastAsia="Arial" w:hAnsi="Arial"/>
                <w:sz w:val="18"/>
                <w:szCs w:val="18"/>
                <w:color w:val="auto"/>
              </w:rPr>
              <w:t>Greg Watt</w:t>
            </w:r>
          </w:p>
        </w:tc>
        <w:tc>
          <w:tcPr>
            <w:tcW w:w="1680" w:type="dxa"/>
            <w:vAlign w:val="bottom"/>
          </w:tcPr>
          <w:p>
            <w:pPr>
              <w:ind w:left="120"/>
              <w:spacing w:after="0"/>
              <w:rPr>
                <w:sz w:val="20"/>
                <w:szCs w:val="20"/>
                <w:color w:val="auto"/>
              </w:rPr>
            </w:pPr>
            <w:r>
              <w:rPr>
                <w:rFonts w:ascii="Arial" w:cs="Arial" w:eastAsia="Arial" w:hAnsi="Arial"/>
                <w:sz w:val="18"/>
                <w:szCs w:val="18"/>
                <w:color w:val="auto"/>
              </w:rPr>
              <w:t>Norman</w:t>
            </w:r>
          </w:p>
        </w:tc>
        <w:tc>
          <w:tcPr>
            <w:tcW w:w="640" w:type="dxa"/>
            <w:vAlign w:val="bottom"/>
          </w:tcPr>
          <w:p>
            <w:pPr>
              <w:ind w:left="360"/>
              <w:spacing w:after="0"/>
              <w:rPr>
                <w:sz w:val="20"/>
                <w:szCs w:val="20"/>
                <w:color w:val="auto"/>
              </w:rPr>
            </w:pPr>
            <w:r>
              <w:rPr>
                <w:rFonts w:ascii="Arial" w:cs="Arial" w:eastAsia="Arial" w:hAnsi="Arial"/>
                <w:sz w:val="18"/>
                <w:szCs w:val="18"/>
                <w:color w:val="auto"/>
                <w:w w:val="99"/>
              </w:rPr>
              <w:t>OK</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780" w:type="dxa"/>
            <w:vAlign w:val="bottom"/>
          </w:tcPr>
          <w:p>
            <w:pPr>
              <w:ind w:left="240"/>
              <w:spacing w:after="0"/>
              <w:rPr>
                <w:sz w:val="20"/>
                <w:szCs w:val="20"/>
                <w:color w:val="auto"/>
              </w:rPr>
            </w:pPr>
            <w:r>
              <w:rPr>
                <w:rFonts w:ascii="Arial" w:cs="Arial" w:eastAsia="Arial" w:hAnsi="Arial"/>
                <w:sz w:val="18"/>
                <w:szCs w:val="18"/>
                <w:color w:val="auto"/>
              </w:rPr>
              <w:t>Northeast Alabama Regional</w:t>
            </w:r>
          </w:p>
        </w:tc>
        <w:tc>
          <w:tcPr>
            <w:tcW w:w="3340" w:type="dxa"/>
            <w:vAlign w:val="bottom"/>
          </w:tcPr>
          <w:p>
            <w:pPr>
              <w:ind w:left="1980"/>
              <w:spacing w:after="0"/>
              <w:rPr>
                <w:sz w:val="20"/>
                <w:szCs w:val="20"/>
                <w:color w:val="auto"/>
              </w:rPr>
            </w:pPr>
            <w:r>
              <w:rPr>
                <w:rFonts w:ascii="Arial" w:cs="Arial" w:eastAsia="Arial" w:hAnsi="Arial"/>
                <w:sz w:val="18"/>
                <w:szCs w:val="18"/>
                <w:color w:val="auto"/>
              </w:rPr>
              <w:t>Cecelia Martin</w:t>
            </w:r>
          </w:p>
        </w:tc>
        <w:tc>
          <w:tcPr>
            <w:tcW w:w="1680" w:type="dxa"/>
            <w:vAlign w:val="bottom"/>
          </w:tcPr>
          <w:p>
            <w:pPr>
              <w:ind w:left="120"/>
              <w:spacing w:after="0"/>
              <w:rPr>
                <w:sz w:val="20"/>
                <w:szCs w:val="20"/>
                <w:color w:val="auto"/>
              </w:rPr>
            </w:pPr>
            <w:r>
              <w:rPr>
                <w:rFonts w:ascii="Arial" w:cs="Arial" w:eastAsia="Arial" w:hAnsi="Arial"/>
                <w:sz w:val="18"/>
                <w:szCs w:val="18"/>
                <w:color w:val="auto"/>
              </w:rPr>
              <w:t>Annisto</w:t>
            </w:r>
          </w:p>
        </w:tc>
        <w:tc>
          <w:tcPr>
            <w:tcW w:w="640" w:type="dxa"/>
            <w:vAlign w:val="bottom"/>
          </w:tcPr>
          <w:p>
            <w:pPr>
              <w:ind w:left="360"/>
              <w:spacing w:after="0"/>
              <w:rPr>
                <w:sz w:val="20"/>
                <w:szCs w:val="20"/>
                <w:color w:val="auto"/>
              </w:rPr>
            </w:pPr>
            <w:r>
              <w:rPr>
                <w:rFonts w:ascii="Arial" w:cs="Arial" w:eastAsia="Arial" w:hAnsi="Arial"/>
                <w:sz w:val="18"/>
                <w:szCs w:val="18"/>
                <w:color w:val="auto"/>
              </w:rPr>
              <w:t>AL</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780" w:type="dxa"/>
            <w:vAlign w:val="bottom"/>
          </w:tcPr>
          <w:p>
            <w:pPr>
              <w:ind w:left="240"/>
              <w:spacing w:after="0"/>
              <w:rPr>
                <w:sz w:val="20"/>
                <w:szCs w:val="20"/>
                <w:color w:val="auto"/>
              </w:rPr>
            </w:pPr>
            <w:r>
              <w:rPr>
                <w:rFonts w:ascii="Arial" w:cs="Arial" w:eastAsia="Arial" w:hAnsi="Arial"/>
                <w:sz w:val="18"/>
                <w:szCs w:val="18"/>
                <w:color w:val="auto"/>
              </w:rPr>
              <w:t>Northport Medical Center</w:t>
            </w:r>
          </w:p>
        </w:tc>
        <w:tc>
          <w:tcPr>
            <w:tcW w:w="3340" w:type="dxa"/>
            <w:vAlign w:val="bottom"/>
          </w:tcPr>
          <w:p>
            <w:pPr>
              <w:ind w:left="1980"/>
              <w:spacing w:after="0"/>
              <w:rPr>
                <w:sz w:val="20"/>
                <w:szCs w:val="20"/>
                <w:color w:val="auto"/>
              </w:rPr>
            </w:pPr>
            <w:r>
              <w:rPr>
                <w:rFonts w:ascii="Arial" w:cs="Arial" w:eastAsia="Arial" w:hAnsi="Arial"/>
                <w:sz w:val="18"/>
                <w:szCs w:val="18"/>
                <w:color w:val="auto"/>
              </w:rPr>
              <w:t>Ron Algiere</w:t>
            </w:r>
          </w:p>
        </w:tc>
        <w:tc>
          <w:tcPr>
            <w:tcW w:w="1680" w:type="dxa"/>
            <w:vAlign w:val="bottom"/>
          </w:tcPr>
          <w:p>
            <w:pPr>
              <w:ind w:left="120"/>
              <w:spacing w:after="0"/>
              <w:rPr>
                <w:sz w:val="20"/>
                <w:szCs w:val="20"/>
                <w:color w:val="auto"/>
              </w:rPr>
            </w:pPr>
            <w:r>
              <w:rPr>
                <w:rFonts w:ascii="Arial" w:cs="Arial" w:eastAsia="Arial" w:hAnsi="Arial"/>
                <w:sz w:val="18"/>
                <w:szCs w:val="18"/>
                <w:color w:val="auto"/>
              </w:rPr>
              <w:t>Northport</w:t>
            </w:r>
          </w:p>
        </w:tc>
        <w:tc>
          <w:tcPr>
            <w:tcW w:w="640" w:type="dxa"/>
            <w:vAlign w:val="bottom"/>
          </w:tcPr>
          <w:p>
            <w:pPr>
              <w:ind w:left="360"/>
              <w:spacing w:after="0"/>
              <w:rPr>
                <w:sz w:val="20"/>
                <w:szCs w:val="20"/>
                <w:color w:val="auto"/>
              </w:rPr>
            </w:pPr>
            <w:r>
              <w:rPr>
                <w:rFonts w:ascii="Arial" w:cs="Arial" w:eastAsia="Arial" w:hAnsi="Arial"/>
                <w:sz w:val="18"/>
                <w:szCs w:val="18"/>
                <w:color w:val="auto"/>
              </w:rPr>
              <w:t>AL</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780" w:type="dxa"/>
            <w:vAlign w:val="bottom"/>
          </w:tcPr>
          <w:p>
            <w:pPr>
              <w:ind w:left="240"/>
              <w:spacing w:after="0"/>
              <w:rPr>
                <w:sz w:val="20"/>
                <w:szCs w:val="20"/>
                <w:color w:val="auto"/>
              </w:rPr>
            </w:pPr>
            <w:r>
              <w:rPr>
                <w:rFonts w:ascii="Arial" w:cs="Arial" w:eastAsia="Arial" w:hAnsi="Arial"/>
                <w:sz w:val="18"/>
                <w:szCs w:val="18"/>
                <w:color w:val="auto"/>
              </w:rPr>
              <w:t>Northshore Univ. Hosp. Plainview</w:t>
            </w:r>
          </w:p>
        </w:tc>
        <w:tc>
          <w:tcPr>
            <w:tcW w:w="3340" w:type="dxa"/>
            <w:vAlign w:val="bottom"/>
          </w:tcPr>
          <w:p>
            <w:pPr>
              <w:ind w:left="1980"/>
              <w:spacing w:after="0"/>
              <w:rPr>
                <w:sz w:val="20"/>
                <w:szCs w:val="20"/>
                <w:color w:val="auto"/>
              </w:rPr>
            </w:pPr>
            <w:r>
              <w:rPr>
                <w:rFonts w:ascii="Arial" w:cs="Arial" w:eastAsia="Arial" w:hAnsi="Arial"/>
                <w:sz w:val="18"/>
                <w:szCs w:val="18"/>
                <w:color w:val="auto"/>
              </w:rPr>
              <w:t>Gaye Sardalis</w:t>
            </w:r>
          </w:p>
        </w:tc>
        <w:tc>
          <w:tcPr>
            <w:tcW w:w="1680" w:type="dxa"/>
            <w:vAlign w:val="bottom"/>
          </w:tcPr>
          <w:p>
            <w:pPr>
              <w:ind w:left="120"/>
              <w:spacing w:after="0"/>
              <w:rPr>
                <w:sz w:val="20"/>
                <w:szCs w:val="20"/>
                <w:color w:val="auto"/>
              </w:rPr>
            </w:pPr>
            <w:r>
              <w:rPr>
                <w:rFonts w:ascii="Arial" w:cs="Arial" w:eastAsia="Arial" w:hAnsi="Arial"/>
                <w:sz w:val="18"/>
                <w:szCs w:val="18"/>
                <w:color w:val="auto"/>
              </w:rPr>
              <w:t>Plainview</w:t>
            </w:r>
          </w:p>
        </w:tc>
        <w:tc>
          <w:tcPr>
            <w:tcW w:w="640" w:type="dxa"/>
            <w:vAlign w:val="bottom"/>
          </w:tcPr>
          <w:p>
            <w:pPr>
              <w:ind w:left="360"/>
              <w:spacing w:after="0"/>
              <w:rPr>
                <w:sz w:val="20"/>
                <w:szCs w:val="20"/>
                <w:color w:val="auto"/>
              </w:rPr>
            </w:pPr>
            <w:r>
              <w:rPr>
                <w:rFonts w:ascii="Arial" w:cs="Arial" w:eastAsia="Arial" w:hAnsi="Arial"/>
                <w:sz w:val="18"/>
                <w:szCs w:val="18"/>
                <w:color w:val="auto"/>
              </w:rPr>
              <w:t>NY</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780" w:type="dxa"/>
            <w:vAlign w:val="bottom"/>
          </w:tcPr>
          <w:p>
            <w:pPr>
              <w:ind w:left="240"/>
              <w:spacing w:after="0"/>
              <w:rPr>
                <w:sz w:val="20"/>
                <w:szCs w:val="20"/>
                <w:color w:val="auto"/>
              </w:rPr>
            </w:pPr>
            <w:r>
              <w:rPr>
                <w:rFonts w:ascii="Arial" w:cs="Arial" w:eastAsia="Arial" w:hAnsi="Arial"/>
                <w:sz w:val="18"/>
                <w:szCs w:val="18"/>
                <w:color w:val="auto"/>
              </w:rPr>
              <w:t>Northside Hospital</w:t>
            </w:r>
          </w:p>
        </w:tc>
        <w:tc>
          <w:tcPr>
            <w:tcW w:w="3340" w:type="dxa"/>
            <w:vAlign w:val="bottom"/>
          </w:tcPr>
          <w:p>
            <w:pPr>
              <w:ind w:left="1980"/>
              <w:spacing w:after="0"/>
              <w:rPr>
                <w:sz w:val="20"/>
                <w:szCs w:val="20"/>
                <w:color w:val="auto"/>
              </w:rPr>
            </w:pPr>
            <w:r>
              <w:rPr>
                <w:rFonts w:ascii="Arial" w:cs="Arial" w:eastAsia="Arial" w:hAnsi="Arial"/>
                <w:sz w:val="18"/>
                <w:szCs w:val="18"/>
                <w:color w:val="auto"/>
              </w:rPr>
              <w:t>Judy Esserwein</w:t>
            </w:r>
          </w:p>
        </w:tc>
        <w:tc>
          <w:tcPr>
            <w:tcW w:w="1680" w:type="dxa"/>
            <w:vAlign w:val="bottom"/>
          </w:tcPr>
          <w:p>
            <w:pPr>
              <w:ind w:left="120"/>
              <w:spacing w:after="0"/>
              <w:rPr>
                <w:sz w:val="20"/>
                <w:szCs w:val="20"/>
                <w:color w:val="auto"/>
              </w:rPr>
            </w:pPr>
            <w:r>
              <w:rPr>
                <w:rFonts w:ascii="Arial" w:cs="Arial" w:eastAsia="Arial" w:hAnsi="Arial"/>
                <w:sz w:val="18"/>
                <w:szCs w:val="18"/>
                <w:color w:val="auto"/>
              </w:rPr>
              <w:t>Atlanta</w:t>
            </w:r>
          </w:p>
        </w:tc>
        <w:tc>
          <w:tcPr>
            <w:tcW w:w="640" w:type="dxa"/>
            <w:vAlign w:val="bottom"/>
          </w:tcPr>
          <w:p>
            <w:pPr>
              <w:ind w:left="360"/>
              <w:spacing w:after="0"/>
              <w:rPr>
                <w:sz w:val="20"/>
                <w:szCs w:val="20"/>
                <w:color w:val="auto"/>
              </w:rPr>
            </w:pPr>
            <w:r>
              <w:rPr>
                <w:rFonts w:ascii="Arial" w:cs="Arial" w:eastAsia="Arial" w:hAnsi="Arial"/>
                <w:sz w:val="18"/>
                <w:szCs w:val="18"/>
                <w:color w:val="auto"/>
                <w:w w:val="99"/>
              </w:rPr>
              <w:t>GA</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780" w:type="dxa"/>
            <w:vAlign w:val="bottom"/>
          </w:tcPr>
          <w:p>
            <w:pPr>
              <w:ind w:left="240"/>
              <w:spacing w:after="0"/>
              <w:rPr>
                <w:sz w:val="20"/>
                <w:szCs w:val="20"/>
                <w:color w:val="auto"/>
              </w:rPr>
            </w:pPr>
            <w:r>
              <w:rPr>
                <w:rFonts w:ascii="Arial" w:cs="Arial" w:eastAsia="Arial" w:hAnsi="Arial"/>
                <w:sz w:val="18"/>
                <w:szCs w:val="18"/>
                <w:color w:val="auto"/>
              </w:rPr>
              <w:t>Novato Comm Hospital</w:t>
            </w:r>
          </w:p>
        </w:tc>
        <w:tc>
          <w:tcPr>
            <w:tcW w:w="3340" w:type="dxa"/>
            <w:vAlign w:val="bottom"/>
          </w:tcPr>
          <w:p>
            <w:pPr>
              <w:ind w:left="1980"/>
              <w:spacing w:after="0"/>
              <w:rPr>
                <w:sz w:val="20"/>
                <w:szCs w:val="20"/>
                <w:color w:val="auto"/>
              </w:rPr>
            </w:pPr>
            <w:r>
              <w:rPr>
                <w:rFonts w:ascii="Arial" w:cs="Arial" w:eastAsia="Arial" w:hAnsi="Arial"/>
                <w:sz w:val="18"/>
                <w:szCs w:val="18"/>
                <w:color w:val="auto"/>
              </w:rPr>
              <w:t>Devin Russell</w:t>
            </w:r>
          </w:p>
        </w:tc>
        <w:tc>
          <w:tcPr>
            <w:tcW w:w="1680" w:type="dxa"/>
            <w:vAlign w:val="bottom"/>
          </w:tcPr>
          <w:p>
            <w:pPr>
              <w:ind w:left="120"/>
              <w:spacing w:after="0"/>
              <w:rPr>
                <w:sz w:val="20"/>
                <w:szCs w:val="20"/>
                <w:color w:val="auto"/>
              </w:rPr>
            </w:pPr>
            <w:r>
              <w:rPr>
                <w:rFonts w:ascii="Arial" w:cs="Arial" w:eastAsia="Arial" w:hAnsi="Arial"/>
                <w:sz w:val="18"/>
                <w:szCs w:val="18"/>
                <w:color w:val="auto"/>
              </w:rPr>
              <w:t>Novato</w:t>
            </w:r>
          </w:p>
        </w:tc>
        <w:tc>
          <w:tcPr>
            <w:tcW w:w="640" w:type="dxa"/>
            <w:vAlign w:val="bottom"/>
          </w:tcPr>
          <w:p>
            <w:pPr>
              <w:ind w:left="360"/>
              <w:spacing w:after="0"/>
              <w:rPr>
                <w:sz w:val="20"/>
                <w:szCs w:val="20"/>
                <w:color w:val="auto"/>
              </w:rPr>
            </w:pPr>
            <w:r>
              <w:rPr>
                <w:rFonts w:ascii="Arial" w:cs="Arial" w:eastAsia="Arial" w:hAnsi="Arial"/>
                <w:sz w:val="18"/>
                <w:szCs w:val="18"/>
                <w:color w:val="auto"/>
              </w:rPr>
              <w:t>CA</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780" w:type="dxa"/>
            <w:vAlign w:val="bottom"/>
          </w:tcPr>
          <w:p>
            <w:pPr>
              <w:ind w:left="240"/>
              <w:spacing w:after="0"/>
              <w:rPr>
                <w:sz w:val="20"/>
                <w:szCs w:val="20"/>
                <w:color w:val="auto"/>
              </w:rPr>
            </w:pPr>
            <w:r>
              <w:rPr>
                <w:rFonts w:ascii="Arial" w:cs="Arial" w:eastAsia="Arial" w:hAnsi="Arial"/>
                <w:sz w:val="18"/>
                <w:szCs w:val="18"/>
                <w:color w:val="auto"/>
              </w:rPr>
              <w:t>Oakleaf Hospital</w:t>
            </w:r>
          </w:p>
        </w:tc>
        <w:tc>
          <w:tcPr>
            <w:tcW w:w="3340" w:type="dxa"/>
            <w:vAlign w:val="bottom"/>
          </w:tcPr>
          <w:p>
            <w:pPr>
              <w:ind w:left="1980"/>
              <w:spacing w:after="0"/>
              <w:rPr>
                <w:sz w:val="20"/>
                <w:szCs w:val="20"/>
                <w:color w:val="auto"/>
              </w:rPr>
            </w:pPr>
            <w:r>
              <w:rPr>
                <w:rFonts w:ascii="Arial" w:cs="Arial" w:eastAsia="Arial" w:hAnsi="Arial"/>
                <w:sz w:val="18"/>
                <w:szCs w:val="18"/>
                <w:color w:val="auto"/>
              </w:rPr>
              <w:t>Denise Freid</w:t>
            </w:r>
          </w:p>
        </w:tc>
        <w:tc>
          <w:tcPr>
            <w:tcW w:w="1680" w:type="dxa"/>
            <w:vAlign w:val="bottom"/>
          </w:tcPr>
          <w:p>
            <w:pPr>
              <w:ind w:left="120"/>
              <w:spacing w:after="0"/>
              <w:rPr>
                <w:sz w:val="20"/>
                <w:szCs w:val="20"/>
                <w:color w:val="auto"/>
              </w:rPr>
            </w:pPr>
            <w:r>
              <w:rPr>
                <w:rFonts w:ascii="Arial" w:cs="Arial" w:eastAsia="Arial" w:hAnsi="Arial"/>
                <w:sz w:val="18"/>
                <w:szCs w:val="18"/>
                <w:color w:val="auto"/>
              </w:rPr>
              <w:t>Eau Claire</w:t>
            </w:r>
          </w:p>
        </w:tc>
        <w:tc>
          <w:tcPr>
            <w:tcW w:w="640" w:type="dxa"/>
            <w:vAlign w:val="bottom"/>
          </w:tcPr>
          <w:p>
            <w:pPr>
              <w:ind w:left="360"/>
              <w:spacing w:after="0"/>
              <w:rPr>
                <w:sz w:val="20"/>
                <w:szCs w:val="20"/>
                <w:color w:val="auto"/>
              </w:rPr>
            </w:pPr>
            <w:r>
              <w:rPr>
                <w:rFonts w:ascii="Arial" w:cs="Arial" w:eastAsia="Arial" w:hAnsi="Arial"/>
                <w:sz w:val="18"/>
                <w:szCs w:val="18"/>
                <w:color w:val="auto"/>
              </w:rPr>
              <w:t>WI</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780" w:type="dxa"/>
            <w:vAlign w:val="bottom"/>
          </w:tcPr>
          <w:p>
            <w:pPr>
              <w:ind w:left="240"/>
              <w:spacing w:after="0"/>
              <w:rPr>
                <w:sz w:val="20"/>
                <w:szCs w:val="20"/>
                <w:color w:val="auto"/>
              </w:rPr>
            </w:pPr>
            <w:r>
              <w:rPr>
                <w:rFonts w:ascii="Arial" w:cs="Arial" w:eastAsia="Arial" w:hAnsi="Arial"/>
                <w:sz w:val="18"/>
                <w:szCs w:val="18"/>
                <w:color w:val="auto"/>
              </w:rPr>
              <w:t>Oakwood Annapolis Hospital</w:t>
            </w:r>
          </w:p>
        </w:tc>
        <w:tc>
          <w:tcPr>
            <w:tcW w:w="3340" w:type="dxa"/>
            <w:vAlign w:val="bottom"/>
          </w:tcPr>
          <w:p>
            <w:pPr>
              <w:ind w:left="1980"/>
              <w:spacing w:after="0"/>
              <w:rPr>
                <w:sz w:val="20"/>
                <w:szCs w:val="20"/>
                <w:color w:val="auto"/>
              </w:rPr>
            </w:pPr>
            <w:r>
              <w:rPr>
                <w:rFonts w:ascii="Arial" w:cs="Arial" w:eastAsia="Arial" w:hAnsi="Arial"/>
                <w:sz w:val="18"/>
                <w:szCs w:val="18"/>
                <w:color w:val="auto"/>
              </w:rPr>
              <w:t>Bev Handelman</w:t>
            </w:r>
          </w:p>
        </w:tc>
        <w:tc>
          <w:tcPr>
            <w:tcW w:w="1680" w:type="dxa"/>
            <w:vAlign w:val="bottom"/>
          </w:tcPr>
          <w:p>
            <w:pPr>
              <w:ind w:left="120"/>
              <w:spacing w:after="0"/>
              <w:rPr>
                <w:sz w:val="20"/>
                <w:szCs w:val="20"/>
                <w:color w:val="auto"/>
              </w:rPr>
            </w:pPr>
            <w:r>
              <w:rPr>
                <w:rFonts w:ascii="Arial" w:cs="Arial" w:eastAsia="Arial" w:hAnsi="Arial"/>
                <w:sz w:val="18"/>
                <w:szCs w:val="18"/>
                <w:color w:val="auto"/>
              </w:rPr>
              <w:t>Wayne</w:t>
            </w:r>
          </w:p>
        </w:tc>
        <w:tc>
          <w:tcPr>
            <w:tcW w:w="640" w:type="dxa"/>
            <w:vAlign w:val="bottom"/>
          </w:tcPr>
          <w:p>
            <w:pPr>
              <w:ind w:left="360"/>
              <w:spacing w:after="0"/>
              <w:rPr>
                <w:sz w:val="20"/>
                <w:szCs w:val="20"/>
                <w:color w:val="auto"/>
              </w:rPr>
            </w:pPr>
            <w:r>
              <w:rPr>
                <w:rFonts w:ascii="Arial" w:cs="Arial" w:eastAsia="Arial" w:hAnsi="Arial"/>
                <w:sz w:val="18"/>
                <w:szCs w:val="18"/>
                <w:color w:val="auto"/>
              </w:rPr>
              <w:t>MI</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780" w:type="dxa"/>
            <w:vAlign w:val="bottom"/>
          </w:tcPr>
          <w:p>
            <w:pPr>
              <w:ind w:left="240"/>
              <w:spacing w:after="0"/>
              <w:rPr>
                <w:sz w:val="20"/>
                <w:szCs w:val="20"/>
                <w:color w:val="auto"/>
              </w:rPr>
            </w:pPr>
            <w:r>
              <w:rPr>
                <w:rFonts w:ascii="Arial" w:cs="Arial" w:eastAsia="Arial" w:hAnsi="Arial"/>
                <w:sz w:val="18"/>
                <w:szCs w:val="18"/>
                <w:color w:val="auto"/>
              </w:rPr>
              <w:t>Oakwood Hospital</w:t>
            </w:r>
          </w:p>
        </w:tc>
        <w:tc>
          <w:tcPr>
            <w:tcW w:w="3340" w:type="dxa"/>
            <w:vAlign w:val="bottom"/>
          </w:tcPr>
          <w:p>
            <w:pPr>
              <w:ind w:left="1980"/>
              <w:spacing w:after="0"/>
              <w:rPr>
                <w:sz w:val="20"/>
                <w:szCs w:val="20"/>
                <w:color w:val="auto"/>
              </w:rPr>
            </w:pPr>
            <w:r>
              <w:rPr>
                <w:rFonts w:ascii="Arial" w:cs="Arial" w:eastAsia="Arial" w:hAnsi="Arial"/>
                <w:sz w:val="18"/>
                <w:szCs w:val="18"/>
                <w:color w:val="auto"/>
              </w:rPr>
              <w:t>Pamela Stevens</w:t>
            </w:r>
          </w:p>
        </w:tc>
        <w:tc>
          <w:tcPr>
            <w:tcW w:w="1680" w:type="dxa"/>
            <w:vAlign w:val="bottom"/>
          </w:tcPr>
          <w:p>
            <w:pPr>
              <w:ind w:left="120"/>
              <w:spacing w:after="0"/>
              <w:rPr>
                <w:sz w:val="20"/>
                <w:szCs w:val="20"/>
                <w:color w:val="auto"/>
              </w:rPr>
            </w:pPr>
            <w:r>
              <w:rPr>
                <w:rFonts w:ascii="Arial" w:cs="Arial" w:eastAsia="Arial" w:hAnsi="Arial"/>
                <w:sz w:val="18"/>
                <w:szCs w:val="18"/>
                <w:color w:val="auto"/>
              </w:rPr>
              <w:t>Dearborn</w:t>
            </w:r>
          </w:p>
        </w:tc>
        <w:tc>
          <w:tcPr>
            <w:tcW w:w="640" w:type="dxa"/>
            <w:vAlign w:val="bottom"/>
          </w:tcPr>
          <w:p>
            <w:pPr>
              <w:ind w:left="360"/>
              <w:spacing w:after="0"/>
              <w:rPr>
                <w:sz w:val="20"/>
                <w:szCs w:val="20"/>
                <w:color w:val="auto"/>
              </w:rPr>
            </w:pPr>
            <w:r>
              <w:rPr>
                <w:rFonts w:ascii="Arial" w:cs="Arial" w:eastAsia="Arial" w:hAnsi="Arial"/>
                <w:sz w:val="18"/>
                <w:szCs w:val="18"/>
                <w:color w:val="auto"/>
              </w:rPr>
              <w:t>MI</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780" w:type="dxa"/>
            <w:vAlign w:val="bottom"/>
          </w:tcPr>
          <w:p>
            <w:pPr>
              <w:ind w:left="240"/>
              <w:spacing w:after="0"/>
              <w:rPr>
                <w:sz w:val="20"/>
                <w:szCs w:val="20"/>
                <w:color w:val="auto"/>
              </w:rPr>
            </w:pPr>
            <w:r>
              <w:rPr>
                <w:rFonts w:ascii="Arial" w:cs="Arial" w:eastAsia="Arial" w:hAnsi="Arial"/>
                <w:sz w:val="18"/>
                <w:szCs w:val="18"/>
                <w:color w:val="auto"/>
              </w:rPr>
              <w:t>Oakwood Southshore</w:t>
            </w:r>
          </w:p>
        </w:tc>
        <w:tc>
          <w:tcPr>
            <w:tcW w:w="3340" w:type="dxa"/>
            <w:vAlign w:val="bottom"/>
          </w:tcPr>
          <w:p>
            <w:pPr>
              <w:ind w:left="1980"/>
              <w:spacing w:after="0"/>
              <w:rPr>
                <w:sz w:val="20"/>
                <w:szCs w:val="20"/>
                <w:color w:val="auto"/>
              </w:rPr>
            </w:pPr>
            <w:r>
              <w:rPr>
                <w:rFonts w:ascii="Arial" w:cs="Arial" w:eastAsia="Arial" w:hAnsi="Arial"/>
                <w:sz w:val="18"/>
                <w:szCs w:val="18"/>
                <w:color w:val="auto"/>
                <w:w w:val="99"/>
              </w:rPr>
              <w:t>Cindy Masserant</w:t>
            </w:r>
          </w:p>
        </w:tc>
        <w:tc>
          <w:tcPr>
            <w:tcW w:w="1680" w:type="dxa"/>
            <w:vAlign w:val="bottom"/>
          </w:tcPr>
          <w:p>
            <w:pPr>
              <w:ind w:left="120"/>
              <w:spacing w:after="0"/>
              <w:rPr>
                <w:sz w:val="20"/>
                <w:szCs w:val="20"/>
                <w:color w:val="auto"/>
              </w:rPr>
            </w:pPr>
            <w:r>
              <w:rPr>
                <w:rFonts w:ascii="Arial" w:cs="Arial" w:eastAsia="Arial" w:hAnsi="Arial"/>
                <w:sz w:val="18"/>
                <w:szCs w:val="18"/>
                <w:color w:val="auto"/>
              </w:rPr>
              <w:t>Trenton</w:t>
            </w:r>
          </w:p>
        </w:tc>
        <w:tc>
          <w:tcPr>
            <w:tcW w:w="640" w:type="dxa"/>
            <w:vAlign w:val="bottom"/>
          </w:tcPr>
          <w:p>
            <w:pPr>
              <w:ind w:left="360"/>
              <w:spacing w:after="0"/>
              <w:rPr>
                <w:sz w:val="20"/>
                <w:szCs w:val="20"/>
                <w:color w:val="auto"/>
              </w:rPr>
            </w:pPr>
            <w:r>
              <w:rPr>
                <w:rFonts w:ascii="Arial" w:cs="Arial" w:eastAsia="Arial" w:hAnsi="Arial"/>
                <w:sz w:val="18"/>
                <w:szCs w:val="18"/>
                <w:color w:val="auto"/>
              </w:rPr>
              <w:t>MI</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780" w:type="dxa"/>
            <w:vAlign w:val="bottom"/>
          </w:tcPr>
          <w:p>
            <w:pPr>
              <w:ind w:left="240"/>
              <w:spacing w:after="0"/>
              <w:rPr>
                <w:sz w:val="20"/>
                <w:szCs w:val="20"/>
                <w:color w:val="auto"/>
              </w:rPr>
            </w:pPr>
            <w:r>
              <w:rPr>
                <w:rFonts w:ascii="Arial" w:cs="Arial" w:eastAsia="Arial" w:hAnsi="Arial"/>
                <w:sz w:val="18"/>
                <w:szCs w:val="18"/>
                <w:color w:val="auto"/>
              </w:rPr>
              <w:t>Ocean Medical Center</w:t>
            </w:r>
          </w:p>
        </w:tc>
        <w:tc>
          <w:tcPr>
            <w:tcW w:w="3340" w:type="dxa"/>
            <w:vAlign w:val="bottom"/>
          </w:tcPr>
          <w:p>
            <w:pPr>
              <w:ind w:left="1980"/>
              <w:spacing w:after="0"/>
              <w:rPr>
                <w:sz w:val="20"/>
                <w:szCs w:val="20"/>
                <w:color w:val="auto"/>
              </w:rPr>
            </w:pPr>
            <w:r>
              <w:rPr>
                <w:rFonts w:ascii="Arial" w:cs="Arial" w:eastAsia="Arial" w:hAnsi="Arial"/>
                <w:sz w:val="18"/>
                <w:szCs w:val="18"/>
                <w:color w:val="auto"/>
              </w:rPr>
              <w:t>Denise Irizarray</w:t>
            </w:r>
          </w:p>
        </w:tc>
        <w:tc>
          <w:tcPr>
            <w:tcW w:w="1680" w:type="dxa"/>
            <w:vAlign w:val="bottom"/>
          </w:tcPr>
          <w:p>
            <w:pPr>
              <w:ind w:left="120"/>
              <w:spacing w:after="0"/>
              <w:rPr>
                <w:sz w:val="20"/>
                <w:szCs w:val="20"/>
                <w:color w:val="auto"/>
              </w:rPr>
            </w:pPr>
            <w:r>
              <w:rPr>
                <w:rFonts w:ascii="Arial" w:cs="Arial" w:eastAsia="Arial" w:hAnsi="Arial"/>
                <w:sz w:val="18"/>
                <w:szCs w:val="18"/>
                <w:color w:val="auto"/>
              </w:rPr>
              <w:t>Brick</w:t>
            </w:r>
          </w:p>
        </w:tc>
        <w:tc>
          <w:tcPr>
            <w:tcW w:w="640" w:type="dxa"/>
            <w:vAlign w:val="bottom"/>
          </w:tcPr>
          <w:p>
            <w:pPr>
              <w:ind w:left="360"/>
              <w:spacing w:after="0"/>
              <w:rPr>
                <w:sz w:val="20"/>
                <w:szCs w:val="20"/>
                <w:color w:val="auto"/>
              </w:rPr>
            </w:pPr>
            <w:r>
              <w:rPr>
                <w:rFonts w:ascii="Arial" w:cs="Arial" w:eastAsia="Arial" w:hAnsi="Arial"/>
                <w:sz w:val="18"/>
                <w:szCs w:val="18"/>
                <w:color w:val="auto"/>
              </w:rPr>
              <w:t>NJ</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780" w:type="dxa"/>
            <w:vAlign w:val="bottom"/>
          </w:tcPr>
          <w:p>
            <w:pPr>
              <w:ind w:left="240"/>
              <w:spacing w:after="0"/>
              <w:rPr>
                <w:sz w:val="20"/>
                <w:szCs w:val="20"/>
                <w:color w:val="auto"/>
              </w:rPr>
            </w:pPr>
            <w:r>
              <w:rPr>
                <w:rFonts w:ascii="Arial" w:cs="Arial" w:eastAsia="Arial" w:hAnsi="Arial"/>
                <w:sz w:val="18"/>
                <w:szCs w:val="18"/>
                <w:color w:val="auto"/>
              </w:rPr>
              <w:t>Ocean Springs Hospital</w:t>
            </w:r>
          </w:p>
        </w:tc>
        <w:tc>
          <w:tcPr>
            <w:tcW w:w="3340" w:type="dxa"/>
            <w:vAlign w:val="bottom"/>
          </w:tcPr>
          <w:p>
            <w:pPr>
              <w:ind w:left="1980"/>
              <w:spacing w:after="0"/>
              <w:rPr>
                <w:sz w:val="20"/>
                <w:szCs w:val="20"/>
                <w:color w:val="auto"/>
              </w:rPr>
            </w:pPr>
            <w:r>
              <w:rPr>
                <w:rFonts w:ascii="Arial" w:cs="Arial" w:eastAsia="Arial" w:hAnsi="Arial"/>
                <w:sz w:val="18"/>
                <w:szCs w:val="18"/>
                <w:color w:val="auto"/>
                <w:w w:val="95"/>
              </w:rPr>
              <w:t>Cherie Borgstede</w:t>
            </w:r>
          </w:p>
        </w:tc>
        <w:tc>
          <w:tcPr>
            <w:tcW w:w="1680" w:type="dxa"/>
            <w:vAlign w:val="bottom"/>
          </w:tcPr>
          <w:p>
            <w:pPr>
              <w:ind w:left="120"/>
              <w:spacing w:after="0"/>
              <w:rPr>
                <w:sz w:val="20"/>
                <w:szCs w:val="20"/>
                <w:color w:val="auto"/>
              </w:rPr>
            </w:pPr>
            <w:r>
              <w:rPr>
                <w:rFonts w:ascii="Arial" w:cs="Arial" w:eastAsia="Arial" w:hAnsi="Arial"/>
                <w:sz w:val="18"/>
                <w:szCs w:val="18"/>
                <w:color w:val="auto"/>
              </w:rPr>
              <w:t>Ocean Sprngs</w:t>
            </w:r>
          </w:p>
        </w:tc>
        <w:tc>
          <w:tcPr>
            <w:tcW w:w="640" w:type="dxa"/>
            <w:vAlign w:val="bottom"/>
          </w:tcPr>
          <w:p>
            <w:pPr>
              <w:ind w:left="360"/>
              <w:spacing w:after="0"/>
              <w:rPr>
                <w:sz w:val="20"/>
                <w:szCs w:val="20"/>
                <w:color w:val="auto"/>
              </w:rPr>
            </w:pPr>
            <w:r>
              <w:rPr>
                <w:rFonts w:ascii="Arial" w:cs="Arial" w:eastAsia="Arial" w:hAnsi="Arial"/>
                <w:sz w:val="18"/>
                <w:szCs w:val="18"/>
                <w:color w:val="auto"/>
                <w:w w:val="96"/>
              </w:rPr>
              <w:t>MS</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780" w:type="dxa"/>
            <w:vAlign w:val="bottom"/>
          </w:tcPr>
          <w:p>
            <w:pPr>
              <w:ind w:left="240"/>
              <w:spacing w:after="0"/>
              <w:rPr>
                <w:sz w:val="20"/>
                <w:szCs w:val="20"/>
                <w:color w:val="auto"/>
              </w:rPr>
            </w:pPr>
            <w:r>
              <w:rPr>
                <w:rFonts w:ascii="Arial" w:cs="Arial" w:eastAsia="Arial" w:hAnsi="Arial"/>
                <w:sz w:val="18"/>
                <w:szCs w:val="18"/>
                <w:color w:val="auto"/>
              </w:rPr>
              <w:t>Okla Ctr for Ortho &amp; Multi Spec</w:t>
            </w:r>
          </w:p>
        </w:tc>
        <w:tc>
          <w:tcPr>
            <w:tcW w:w="3340" w:type="dxa"/>
            <w:vAlign w:val="bottom"/>
          </w:tcPr>
          <w:p>
            <w:pPr>
              <w:ind w:left="1980"/>
              <w:spacing w:after="0"/>
              <w:rPr>
                <w:sz w:val="20"/>
                <w:szCs w:val="20"/>
                <w:color w:val="auto"/>
              </w:rPr>
            </w:pPr>
            <w:r>
              <w:rPr>
                <w:rFonts w:ascii="Arial" w:cs="Arial" w:eastAsia="Arial" w:hAnsi="Arial"/>
                <w:sz w:val="18"/>
                <w:szCs w:val="18"/>
                <w:color w:val="auto"/>
              </w:rPr>
              <w:t>Jeff Bibb</w:t>
            </w:r>
          </w:p>
        </w:tc>
        <w:tc>
          <w:tcPr>
            <w:tcW w:w="1680" w:type="dxa"/>
            <w:vAlign w:val="bottom"/>
          </w:tcPr>
          <w:p>
            <w:pPr>
              <w:ind w:left="120"/>
              <w:spacing w:after="0"/>
              <w:rPr>
                <w:sz w:val="20"/>
                <w:szCs w:val="20"/>
                <w:color w:val="auto"/>
              </w:rPr>
            </w:pPr>
            <w:r>
              <w:rPr>
                <w:rFonts w:ascii="Arial" w:cs="Arial" w:eastAsia="Arial" w:hAnsi="Arial"/>
                <w:sz w:val="18"/>
                <w:szCs w:val="18"/>
                <w:color w:val="auto"/>
              </w:rPr>
              <w:t>Okla City</w:t>
            </w:r>
          </w:p>
        </w:tc>
        <w:tc>
          <w:tcPr>
            <w:tcW w:w="640" w:type="dxa"/>
            <w:vAlign w:val="bottom"/>
          </w:tcPr>
          <w:p>
            <w:pPr>
              <w:ind w:left="360"/>
              <w:spacing w:after="0"/>
              <w:rPr>
                <w:sz w:val="20"/>
                <w:szCs w:val="20"/>
                <w:color w:val="auto"/>
              </w:rPr>
            </w:pPr>
            <w:r>
              <w:rPr>
                <w:rFonts w:ascii="Arial" w:cs="Arial" w:eastAsia="Arial" w:hAnsi="Arial"/>
                <w:sz w:val="18"/>
                <w:szCs w:val="18"/>
                <w:color w:val="auto"/>
                <w:w w:val="99"/>
              </w:rPr>
              <w:t>OK</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780" w:type="dxa"/>
            <w:vAlign w:val="bottom"/>
          </w:tcPr>
          <w:p>
            <w:pPr>
              <w:ind w:left="240"/>
              <w:spacing w:after="0"/>
              <w:rPr>
                <w:sz w:val="20"/>
                <w:szCs w:val="20"/>
                <w:color w:val="auto"/>
              </w:rPr>
            </w:pPr>
            <w:r>
              <w:rPr>
                <w:rFonts w:ascii="Arial" w:cs="Arial" w:eastAsia="Arial" w:hAnsi="Arial"/>
                <w:sz w:val="18"/>
                <w:szCs w:val="18"/>
                <w:color w:val="auto"/>
              </w:rPr>
              <w:t>Olive Surgery Ctr</w:t>
            </w:r>
          </w:p>
        </w:tc>
        <w:tc>
          <w:tcPr>
            <w:tcW w:w="3340" w:type="dxa"/>
            <w:vAlign w:val="bottom"/>
          </w:tcPr>
          <w:p>
            <w:pPr>
              <w:ind w:left="1980"/>
              <w:spacing w:after="0"/>
              <w:rPr>
                <w:sz w:val="20"/>
                <w:szCs w:val="20"/>
                <w:color w:val="auto"/>
              </w:rPr>
            </w:pPr>
            <w:r>
              <w:rPr>
                <w:rFonts w:ascii="Arial" w:cs="Arial" w:eastAsia="Arial" w:hAnsi="Arial"/>
                <w:sz w:val="18"/>
                <w:szCs w:val="18"/>
                <w:color w:val="auto"/>
              </w:rPr>
              <w:t>Judy Hunter</w:t>
            </w:r>
          </w:p>
        </w:tc>
        <w:tc>
          <w:tcPr>
            <w:tcW w:w="1680" w:type="dxa"/>
            <w:vAlign w:val="bottom"/>
          </w:tcPr>
          <w:p>
            <w:pPr>
              <w:ind w:left="120"/>
              <w:spacing w:after="0"/>
              <w:rPr>
                <w:sz w:val="20"/>
                <w:szCs w:val="20"/>
                <w:color w:val="auto"/>
              </w:rPr>
            </w:pPr>
            <w:r>
              <w:rPr>
                <w:rFonts w:ascii="Arial" w:cs="Arial" w:eastAsia="Arial" w:hAnsi="Arial"/>
                <w:sz w:val="18"/>
                <w:szCs w:val="18"/>
                <w:color w:val="auto"/>
              </w:rPr>
              <w:t>St. Louis</w:t>
            </w:r>
          </w:p>
        </w:tc>
        <w:tc>
          <w:tcPr>
            <w:tcW w:w="640" w:type="dxa"/>
            <w:vAlign w:val="bottom"/>
          </w:tcPr>
          <w:p>
            <w:pPr>
              <w:ind w:left="360"/>
              <w:spacing w:after="0"/>
              <w:rPr>
                <w:sz w:val="20"/>
                <w:szCs w:val="20"/>
                <w:color w:val="auto"/>
              </w:rPr>
            </w:pPr>
            <w:r>
              <w:rPr>
                <w:rFonts w:ascii="Arial" w:cs="Arial" w:eastAsia="Arial" w:hAnsi="Arial"/>
                <w:sz w:val="18"/>
                <w:szCs w:val="18"/>
                <w:color w:val="auto"/>
                <w:w w:val="89"/>
              </w:rPr>
              <w:t>MO</w:t>
            </w:r>
          </w:p>
        </w:tc>
      </w:t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780" w:type="dxa"/>
            <w:vAlign w:val="bottom"/>
          </w:tcPr>
          <w:p>
            <w:pPr>
              <w:ind w:left="240"/>
              <w:spacing w:after="0"/>
              <w:rPr>
                <w:sz w:val="20"/>
                <w:szCs w:val="20"/>
                <w:color w:val="auto"/>
              </w:rPr>
            </w:pPr>
            <w:r>
              <w:rPr>
                <w:rFonts w:ascii="Arial" w:cs="Arial" w:eastAsia="Arial" w:hAnsi="Arial"/>
                <w:sz w:val="18"/>
                <w:szCs w:val="18"/>
                <w:color w:val="auto"/>
              </w:rPr>
              <w:t>Orlando Regional Med Ctr</w:t>
            </w:r>
          </w:p>
        </w:tc>
        <w:tc>
          <w:tcPr>
            <w:tcW w:w="3340" w:type="dxa"/>
            <w:vAlign w:val="bottom"/>
          </w:tcPr>
          <w:p>
            <w:pPr>
              <w:ind w:left="1980"/>
              <w:spacing w:after="0"/>
              <w:rPr>
                <w:sz w:val="20"/>
                <w:szCs w:val="20"/>
                <w:color w:val="auto"/>
              </w:rPr>
            </w:pPr>
            <w:r>
              <w:rPr>
                <w:rFonts w:ascii="Arial" w:cs="Arial" w:eastAsia="Arial" w:hAnsi="Arial"/>
                <w:sz w:val="18"/>
                <w:szCs w:val="18"/>
                <w:color w:val="auto"/>
              </w:rPr>
              <w:t>Dario Vasquez</w:t>
            </w:r>
          </w:p>
        </w:tc>
        <w:tc>
          <w:tcPr>
            <w:tcW w:w="1680" w:type="dxa"/>
            <w:vAlign w:val="bottom"/>
          </w:tcPr>
          <w:p>
            <w:pPr>
              <w:ind w:left="120"/>
              <w:spacing w:after="0"/>
              <w:rPr>
                <w:sz w:val="20"/>
                <w:szCs w:val="20"/>
                <w:color w:val="auto"/>
              </w:rPr>
            </w:pPr>
            <w:r>
              <w:rPr>
                <w:rFonts w:ascii="Arial" w:cs="Arial" w:eastAsia="Arial" w:hAnsi="Arial"/>
                <w:sz w:val="18"/>
                <w:szCs w:val="18"/>
                <w:color w:val="auto"/>
              </w:rPr>
              <w:t>OCJ SEando</w:t>
            </w:r>
          </w:p>
        </w:tc>
        <w:tc>
          <w:tcPr>
            <w:tcW w:w="640" w:type="dxa"/>
            <w:vAlign w:val="bottom"/>
          </w:tcPr>
          <w:p>
            <w:pPr>
              <w:ind w:left="360"/>
              <w:spacing w:after="0"/>
              <w:rPr>
                <w:sz w:val="20"/>
                <w:szCs w:val="20"/>
                <w:color w:val="auto"/>
              </w:rPr>
            </w:pPr>
            <w:r>
              <w:rPr>
                <w:rFonts w:ascii="Arial" w:cs="Arial" w:eastAsia="Arial" w:hAnsi="Arial"/>
                <w:sz w:val="18"/>
                <w:szCs w:val="18"/>
                <w:color w:val="auto"/>
              </w:rPr>
              <w:t>FL</w:t>
            </w:r>
          </w:p>
        </w:tc>
      </w:tr>
    </w:tbl>
    <w:p>
      <w:pPr>
        <w:sectPr>
          <w:pgSz w:w="11900" w:h="16838" w:orient="portrait"/>
          <w:cols w:equalWidth="0" w:num="1">
            <w:col w:w="11360"/>
          </w:cols>
          <w:pgMar w:left="240" w:top="279" w:right="299" w:bottom="1440" w:gutter="0" w:footer="0" w:header="0"/>
        </w:sectPr>
      </w:pPr>
    </w:p>
    <w:bookmarkStart w:id="343" w:name="page344"/>
    <w:bookmarkEnd w:id="34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ILS Corp</w:t>
            </w:r>
          </w:p>
        </w:tc>
        <w:tc>
          <w:tcPr>
            <w:tcW w:w="4500" w:type="dxa"/>
            <w:vAlign w:val="bottom"/>
          </w:tcPr>
          <w:p>
            <w:pPr>
              <w:ind w:left="220"/>
              <w:spacing w:after="0"/>
              <w:rPr>
                <w:sz w:val="20"/>
                <w:szCs w:val="20"/>
                <w:color w:val="auto"/>
              </w:rPr>
            </w:pPr>
            <w:r>
              <w:rPr>
                <w:rFonts w:ascii="Arial" w:cs="Arial" w:eastAsia="Arial" w:hAnsi="Arial"/>
                <w:sz w:val="18"/>
                <w:szCs w:val="18"/>
                <w:color w:val="auto"/>
              </w:rPr>
              <w:t>Oro Valley Hospital</w:t>
            </w:r>
          </w:p>
        </w:tc>
        <w:tc>
          <w:tcPr>
            <w:tcW w:w="3740" w:type="dxa"/>
            <w:vAlign w:val="bottom"/>
          </w:tcPr>
          <w:p>
            <w:pPr>
              <w:ind w:left="1980"/>
              <w:spacing w:after="0"/>
              <w:rPr>
                <w:sz w:val="20"/>
                <w:szCs w:val="20"/>
                <w:color w:val="auto"/>
              </w:rPr>
            </w:pPr>
            <w:r>
              <w:rPr>
                <w:rFonts w:ascii="Arial" w:cs="Arial" w:eastAsia="Arial" w:hAnsi="Arial"/>
                <w:sz w:val="18"/>
                <w:szCs w:val="18"/>
                <w:color w:val="auto"/>
              </w:rPr>
              <w:t>Tim Lorenzen</w:t>
            </w:r>
          </w:p>
        </w:tc>
        <w:tc>
          <w:tcPr>
            <w:tcW w:w="1680" w:type="dxa"/>
            <w:vAlign w:val="bottom"/>
          </w:tcPr>
          <w:p>
            <w:pPr>
              <w:ind w:left="60"/>
              <w:spacing w:after="0"/>
              <w:rPr>
                <w:sz w:val="20"/>
                <w:szCs w:val="20"/>
                <w:color w:val="auto"/>
              </w:rPr>
            </w:pPr>
            <w:r>
              <w:rPr>
                <w:rFonts w:ascii="Arial" w:cs="Arial" w:eastAsia="Arial" w:hAnsi="Arial"/>
                <w:sz w:val="18"/>
                <w:szCs w:val="18"/>
                <w:color w:val="auto"/>
              </w:rPr>
              <w:t>Tucson</w:t>
            </w:r>
          </w:p>
        </w:tc>
        <w:tc>
          <w:tcPr>
            <w:tcW w:w="560" w:type="dxa"/>
            <w:vAlign w:val="bottom"/>
          </w:tcPr>
          <w:p>
            <w:pPr>
              <w:ind w:left="280"/>
              <w:spacing w:after="0"/>
              <w:rPr>
                <w:sz w:val="20"/>
                <w:szCs w:val="20"/>
                <w:color w:val="auto"/>
              </w:rPr>
            </w:pPr>
            <w:r>
              <w:rPr>
                <w:rFonts w:ascii="Arial" w:cs="Arial" w:eastAsia="Arial" w:hAnsi="Arial"/>
                <w:sz w:val="18"/>
                <w:szCs w:val="18"/>
                <w:color w:val="auto"/>
              </w:rPr>
              <w:t>AZ</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ILS Corp</w:t>
            </w:r>
          </w:p>
        </w:tc>
        <w:tc>
          <w:tcPr>
            <w:tcW w:w="4500" w:type="dxa"/>
            <w:vAlign w:val="bottom"/>
          </w:tcPr>
          <w:p>
            <w:pPr>
              <w:ind w:left="220"/>
              <w:spacing w:after="0"/>
              <w:rPr>
                <w:sz w:val="20"/>
                <w:szCs w:val="20"/>
                <w:color w:val="auto"/>
              </w:rPr>
            </w:pPr>
            <w:r>
              <w:rPr>
                <w:rFonts w:ascii="Arial" w:cs="Arial" w:eastAsia="Arial" w:hAnsi="Arial"/>
                <w:sz w:val="18"/>
                <w:szCs w:val="18"/>
                <w:color w:val="auto"/>
              </w:rPr>
              <w:t>Orthopedic Center at Springhill</w:t>
            </w:r>
          </w:p>
        </w:tc>
        <w:tc>
          <w:tcPr>
            <w:tcW w:w="3740" w:type="dxa"/>
            <w:vAlign w:val="bottom"/>
          </w:tcPr>
          <w:p>
            <w:pPr>
              <w:ind w:left="1980"/>
              <w:spacing w:after="0"/>
              <w:rPr>
                <w:sz w:val="20"/>
                <w:szCs w:val="20"/>
                <w:color w:val="auto"/>
              </w:rPr>
            </w:pPr>
            <w:r>
              <w:rPr>
                <w:rFonts w:ascii="Arial" w:cs="Arial" w:eastAsia="Arial" w:hAnsi="Arial"/>
                <w:sz w:val="18"/>
                <w:szCs w:val="18"/>
                <w:color w:val="auto"/>
              </w:rPr>
              <w:t>James Robson</w:t>
            </w:r>
          </w:p>
        </w:tc>
        <w:tc>
          <w:tcPr>
            <w:tcW w:w="1680" w:type="dxa"/>
            <w:vAlign w:val="bottom"/>
          </w:tcPr>
          <w:p>
            <w:pPr>
              <w:ind w:left="60"/>
              <w:spacing w:after="0"/>
              <w:rPr>
                <w:sz w:val="20"/>
                <w:szCs w:val="20"/>
                <w:color w:val="auto"/>
              </w:rPr>
            </w:pPr>
            <w:r>
              <w:rPr>
                <w:rFonts w:ascii="Arial" w:cs="Arial" w:eastAsia="Arial" w:hAnsi="Arial"/>
                <w:sz w:val="18"/>
                <w:szCs w:val="18"/>
                <w:color w:val="auto"/>
              </w:rPr>
              <w:t>Mobile</w:t>
            </w:r>
          </w:p>
        </w:tc>
        <w:tc>
          <w:tcPr>
            <w:tcW w:w="560" w:type="dxa"/>
            <w:vAlign w:val="bottom"/>
          </w:tcPr>
          <w:p>
            <w:pPr>
              <w:ind w:left="280"/>
              <w:spacing w:after="0"/>
              <w:rPr>
                <w:sz w:val="20"/>
                <w:szCs w:val="20"/>
                <w:color w:val="auto"/>
              </w:rPr>
            </w:pPr>
            <w:r>
              <w:rPr>
                <w:rFonts w:ascii="Arial" w:cs="Arial" w:eastAsia="Arial" w:hAnsi="Arial"/>
                <w:sz w:val="18"/>
                <w:szCs w:val="18"/>
                <w:color w:val="auto"/>
              </w:rPr>
              <w:t>AL</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ILS Corp</w:t>
            </w:r>
          </w:p>
        </w:tc>
        <w:tc>
          <w:tcPr>
            <w:tcW w:w="4500" w:type="dxa"/>
            <w:vAlign w:val="bottom"/>
          </w:tcPr>
          <w:p>
            <w:pPr>
              <w:ind w:left="220"/>
              <w:spacing w:after="0"/>
              <w:rPr>
                <w:sz w:val="20"/>
                <w:szCs w:val="20"/>
                <w:color w:val="auto"/>
              </w:rPr>
            </w:pPr>
            <w:r>
              <w:rPr>
                <w:rFonts w:ascii="Arial" w:cs="Arial" w:eastAsia="Arial" w:hAnsi="Arial"/>
                <w:sz w:val="18"/>
                <w:szCs w:val="18"/>
                <w:color w:val="auto"/>
              </w:rPr>
              <w:t>Orthopedic Surgical Ctr NC</w:t>
            </w:r>
          </w:p>
        </w:tc>
        <w:tc>
          <w:tcPr>
            <w:tcW w:w="3740" w:type="dxa"/>
            <w:vAlign w:val="bottom"/>
          </w:tcPr>
          <w:p>
            <w:pPr>
              <w:ind w:left="1980"/>
              <w:spacing w:after="0"/>
              <w:rPr>
                <w:sz w:val="20"/>
                <w:szCs w:val="20"/>
                <w:color w:val="auto"/>
              </w:rPr>
            </w:pPr>
            <w:r>
              <w:rPr>
                <w:rFonts w:ascii="Arial" w:cs="Arial" w:eastAsia="Arial" w:hAnsi="Arial"/>
                <w:sz w:val="18"/>
                <w:szCs w:val="18"/>
                <w:color w:val="auto"/>
              </w:rPr>
              <w:t>Jennifer Graham</w:t>
            </w:r>
          </w:p>
        </w:tc>
        <w:tc>
          <w:tcPr>
            <w:tcW w:w="1680" w:type="dxa"/>
            <w:vAlign w:val="bottom"/>
          </w:tcPr>
          <w:p>
            <w:pPr>
              <w:ind w:left="60"/>
              <w:spacing w:after="0"/>
              <w:rPr>
                <w:sz w:val="20"/>
                <w:szCs w:val="20"/>
                <w:color w:val="auto"/>
              </w:rPr>
            </w:pPr>
            <w:r>
              <w:rPr>
                <w:rFonts w:ascii="Arial" w:cs="Arial" w:eastAsia="Arial" w:hAnsi="Arial"/>
                <w:sz w:val="18"/>
                <w:szCs w:val="18"/>
                <w:color w:val="auto"/>
              </w:rPr>
              <w:t>Greensboro</w:t>
            </w:r>
          </w:p>
        </w:tc>
        <w:tc>
          <w:tcPr>
            <w:tcW w:w="560" w:type="dxa"/>
            <w:vAlign w:val="bottom"/>
          </w:tcPr>
          <w:p>
            <w:pPr>
              <w:ind w:left="280"/>
              <w:spacing w:after="0"/>
              <w:rPr>
                <w:sz w:val="20"/>
                <w:szCs w:val="20"/>
                <w:color w:val="auto"/>
              </w:rPr>
            </w:pPr>
            <w:r>
              <w:rPr>
                <w:rFonts w:ascii="Arial" w:cs="Arial" w:eastAsia="Arial" w:hAnsi="Arial"/>
                <w:sz w:val="18"/>
                <w:szCs w:val="18"/>
                <w:color w:val="auto"/>
                <w:w w:val="99"/>
              </w:rPr>
              <w:t>NC</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ILS Corp</w:t>
            </w:r>
          </w:p>
        </w:tc>
        <w:tc>
          <w:tcPr>
            <w:tcW w:w="4500" w:type="dxa"/>
            <w:vAlign w:val="bottom"/>
          </w:tcPr>
          <w:p>
            <w:pPr>
              <w:ind w:left="220"/>
              <w:spacing w:after="0"/>
              <w:rPr>
                <w:sz w:val="20"/>
                <w:szCs w:val="20"/>
                <w:color w:val="auto"/>
              </w:rPr>
            </w:pPr>
            <w:r>
              <w:rPr>
                <w:rFonts w:ascii="Arial" w:cs="Arial" w:eastAsia="Arial" w:hAnsi="Arial"/>
                <w:sz w:val="18"/>
                <w:szCs w:val="18"/>
                <w:color w:val="auto"/>
              </w:rPr>
              <w:t>Osceola Regional Hospital</w:t>
            </w:r>
          </w:p>
        </w:tc>
        <w:tc>
          <w:tcPr>
            <w:tcW w:w="3740" w:type="dxa"/>
            <w:vAlign w:val="bottom"/>
          </w:tcPr>
          <w:p>
            <w:pPr>
              <w:ind w:left="1980"/>
              <w:spacing w:after="0"/>
              <w:rPr>
                <w:sz w:val="20"/>
                <w:szCs w:val="20"/>
                <w:color w:val="auto"/>
              </w:rPr>
            </w:pPr>
            <w:r>
              <w:rPr>
                <w:rFonts w:ascii="Arial" w:cs="Arial" w:eastAsia="Arial" w:hAnsi="Arial"/>
                <w:sz w:val="18"/>
                <w:szCs w:val="18"/>
                <w:color w:val="auto"/>
              </w:rPr>
              <w:t>Martha Bennett</w:t>
            </w:r>
          </w:p>
        </w:tc>
        <w:tc>
          <w:tcPr>
            <w:tcW w:w="1680" w:type="dxa"/>
            <w:vAlign w:val="bottom"/>
          </w:tcPr>
          <w:p>
            <w:pPr>
              <w:ind w:left="60"/>
              <w:spacing w:after="0"/>
              <w:rPr>
                <w:sz w:val="20"/>
                <w:szCs w:val="20"/>
                <w:color w:val="auto"/>
              </w:rPr>
            </w:pPr>
            <w:r>
              <w:rPr>
                <w:rFonts w:ascii="Arial" w:cs="Arial" w:eastAsia="Arial" w:hAnsi="Arial"/>
                <w:sz w:val="18"/>
                <w:szCs w:val="18"/>
                <w:color w:val="auto"/>
              </w:rPr>
              <w:t>Kissimmee</w:t>
            </w:r>
          </w:p>
        </w:tc>
        <w:tc>
          <w:tcPr>
            <w:tcW w:w="560" w:type="dxa"/>
            <w:vAlign w:val="bottom"/>
          </w:tcPr>
          <w:p>
            <w:pPr>
              <w:ind w:left="280"/>
              <w:spacing w:after="0"/>
              <w:rPr>
                <w:sz w:val="20"/>
                <w:szCs w:val="20"/>
                <w:color w:val="auto"/>
              </w:rPr>
            </w:pPr>
            <w:r>
              <w:rPr>
                <w:rFonts w:ascii="Arial" w:cs="Arial" w:eastAsia="Arial" w:hAnsi="Arial"/>
                <w:sz w:val="18"/>
                <w:szCs w:val="18"/>
                <w:color w:val="auto"/>
              </w:rPr>
              <w:t>FL</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ILS Corp</w:t>
            </w:r>
          </w:p>
        </w:tc>
        <w:tc>
          <w:tcPr>
            <w:tcW w:w="4500" w:type="dxa"/>
            <w:vAlign w:val="bottom"/>
          </w:tcPr>
          <w:p>
            <w:pPr>
              <w:ind w:left="220"/>
              <w:spacing w:after="0"/>
              <w:rPr>
                <w:sz w:val="20"/>
                <w:szCs w:val="20"/>
                <w:color w:val="auto"/>
              </w:rPr>
            </w:pPr>
            <w:r>
              <w:rPr>
                <w:rFonts w:ascii="Arial" w:cs="Arial" w:eastAsia="Arial" w:hAnsi="Arial"/>
                <w:sz w:val="18"/>
                <w:szCs w:val="18"/>
                <w:color w:val="auto"/>
              </w:rPr>
              <w:t>OveRLand Park Reg. Med. Ctr.</w:t>
            </w:r>
          </w:p>
        </w:tc>
        <w:tc>
          <w:tcPr>
            <w:tcW w:w="3740" w:type="dxa"/>
            <w:vAlign w:val="bottom"/>
          </w:tcPr>
          <w:p>
            <w:pPr>
              <w:ind w:left="1980"/>
              <w:spacing w:after="0"/>
              <w:rPr>
                <w:sz w:val="20"/>
                <w:szCs w:val="20"/>
                <w:color w:val="auto"/>
              </w:rPr>
            </w:pPr>
            <w:r>
              <w:rPr>
                <w:rFonts w:ascii="Arial" w:cs="Arial" w:eastAsia="Arial" w:hAnsi="Arial"/>
                <w:sz w:val="18"/>
                <w:szCs w:val="18"/>
                <w:color w:val="auto"/>
              </w:rPr>
              <w:t>Jane Gillespie</w:t>
            </w:r>
          </w:p>
        </w:tc>
        <w:tc>
          <w:tcPr>
            <w:tcW w:w="1680" w:type="dxa"/>
            <w:vAlign w:val="bottom"/>
          </w:tcPr>
          <w:p>
            <w:pPr>
              <w:ind w:left="60"/>
              <w:spacing w:after="0"/>
              <w:rPr>
                <w:sz w:val="20"/>
                <w:szCs w:val="20"/>
                <w:color w:val="auto"/>
              </w:rPr>
            </w:pPr>
            <w:r>
              <w:rPr>
                <w:rFonts w:ascii="Arial" w:cs="Arial" w:eastAsia="Arial" w:hAnsi="Arial"/>
                <w:sz w:val="18"/>
                <w:szCs w:val="18"/>
                <w:color w:val="auto"/>
              </w:rPr>
              <w:t>OveCJ SEand Park</w:t>
            </w:r>
          </w:p>
        </w:tc>
        <w:tc>
          <w:tcPr>
            <w:tcW w:w="560" w:type="dxa"/>
            <w:vAlign w:val="bottom"/>
          </w:tcPr>
          <w:p>
            <w:pPr>
              <w:ind w:left="280"/>
              <w:spacing w:after="0"/>
              <w:rPr>
                <w:sz w:val="20"/>
                <w:szCs w:val="20"/>
                <w:color w:val="auto"/>
              </w:rPr>
            </w:pPr>
            <w:r>
              <w:rPr>
                <w:rFonts w:ascii="Arial" w:cs="Arial" w:eastAsia="Arial" w:hAnsi="Arial"/>
                <w:sz w:val="18"/>
                <w:szCs w:val="18"/>
                <w:color w:val="auto"/>
              </w:rPr>
              <w:t>KS</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ILS Corp</w:t>
            </w:r>
          </w:p>
        </w:tc>
        <w:tc>
          <w:tcPr>
            <w:tcW w:w="4500" w:type="dxa"/>
            <w:vAlign w:val="bottom"/>
          </w:tcPr>
          <w:p>
            <w:pPr>
              <w:ind w:left="220"/>
              <w:spacing w:after="0"/>
              <w:rPr>
                <w:sz w:val="20"/>
                <w:szCs w:val="20"/>
                <w:color w:val="auto"/>
              </w:rPr>
            </w:pPr>
            <w:r>
              <w:rPr>
                <w:rFonts w:ascii="Arial" w:cs="Arial" w:eastAsia="Arial" w:hAnsi="Arial"/>
                <w:sz w:val="18"/>
                <w:szCs w:val="18"/>
                <w:color w:val="auto"/>
              </w:rPr>
              <w:t>Pacific Rim</w:t>
            </w:r>
          </w:p>
        </w:tc>
        <w:tc>
          <w:tcPr>
            <w:tcW w:w="3740" w:type="dxa"/>
            <w:vAlign w:val="bottom"/>
          </w:tcPr>
          <w:p>
            <w:pPr>
              <w:ind w:left="1980"/>
              <w:spacing w:after="0"/>
              <w:rPr>
                <w:sz w:val="20"/>
                <w:szCs w:val="20"/>
                <w:color w:val="auto"/>
              </w:rPr>
            </w:pPr>
            <w:r>
              <w:rPr>
                <w:rFonts w:ascii="Arial" w:cs="Arial" w:eastAsia="Arial" w:hAnsi="Arial"/>
                <w:sz w:val="18"/>
                <w:szCs w:val="18"/>
                <w:color w:val="auto"/>
              </w:rPr>
              <w:t>Margie Hildre</w:t>
            </w:r>
          </w:p>
        </w:tc>
        <w:tc>
          <w:tcPr>
            <w:tcW w:w="1680" w:type="dxa"/>
            <w:vAlign w:val="bottom"/>
          </w:tcPr>
          <w:p>
            <w:pPr>
              <w:ind w:left="60"/>
              <w:spacing w:after="0"/>
              <w:rPr>
                <w:sz w:val="20"/>
                <w:szCs w:val="20"/>
                <w:color w:val="auto"/>
              </w:rPr>
            </w:pPr>
            <w:r>
              <w:rPr>
                <w:rFonts w:ascii="Arial" w:cs="Arial" w:eastAsia="Arial" w:hAnsi="Arial"/>
                <w:sz w:val="18"/>
                <w:szCs w:val="18"/>
                <w:color w:val="auto"/>
              </w:rPr>
              <w:t>Bellingham</w:t>
            </w:r>
          </w:p>
        </w:tc>
        <w:tc>
          <w:tcPr>
            <w:tcW w:w="560" w:type="dxa"/>
            <w:vAlign w:val="bottom"/>
          </w:tcPr>
          <w:p>
            <w:pPr>
              <w:ind w:left="280"/>
              <w:spacing w:after="0"/>
              <w:rPr>
                <w:sz w:val="20"/>
                <w:szCs w:val="20"/>
                <w:color w:val="auto"/>
              </w:rPr>
            </w:pPr>
            <w:r>
              <w:rPr>
                <w:rFonts w:ascii="Arial" w:cs="Arial" w:eastAsia="Arial" w:hAnsi="Arial"/>
                <w:sz w:val="18"/>
                <w:szCs w:val="18"/>
                <w:color w:val="auto"/>
                <w:w w:val="89"/>
              </w:rPr>
              <w:t>WA</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ILS Corp</w:t>
            </w:r>
          </w:p>
        </w:tc>
        <w:tc>
          <w:tcPr>
            <w:tcW w:w="4500" w:type="dxa"/>
            <w:vAlign w:val="bottom"/>
          </w:tcPr>
          <w:p>
            <w:pPr>
              <w:ind w:left="220"/>
              <w:spacing w:after="0"/>
              <w:rPr>
                <w:sz w:val="20"/>
                <w:szCs w:val="20"/>
                <w:color w:val="auto"/>
              </w:rPr>
            </w:pPr>
            <w:r>
              <w:rPr>
                <w:rFonts w:ascii="Arial" w:cs="Arial" w:eastAsia="Arial" w:hAnsi="Arial"/>
                <w:sz w:val="18"/>
                <w:szCs w:val="18"/>
                <w:color w:val="auto"/>
              </w:rPr>
              <w:t>Palm Bay Community Hospital</w:t>
            </w:r>
          </w:p>
        </w:tc>
        <w:tc>
          <w:tcPr>
            <w:tcW w:w="3740" w:type="dxa"/>
            <w:vAlign w:val="bottom"/>
          </w:tcPr>
          <w:p>
            <w:pPr>
              <w:ind w:left="1980"/>
              <w:spacing w:after="0"/>
              <w:rPr>
                <w:sz w:val="20"/>
                <w:szCs w:val="20"/>
                <w:color w:val="auto"/>
              </w:rPr>
            </w:pPr>
            <w:r>
              <w:rPr>
                <w:rFonts w:ascii="Arial" w:cs="Arial" w:eastAsia="Arial" w:hAnsi="Arial"/>
                <w:sz w:val="18"/>
                <w:szCs w:val="18"/>
                <w:color w:val="auto"/>
              </w:rPr>
              <w:t>Crystal Wilson</w:t>
            </w:r>
          </w:p>
        </w:tc>
        <w:tc>
          <w:tcPr>
            <w:tcW w:w="1680" w:type="dxa"/>
            <w:vAlign w:val="bottom"/>
          </w:tcPr>
          <w:p>
            <w:pPr>
              <w:ind w:left="60"/>
              <w:spacing w:after="0"/>
              <w:rPr>
                <w:sz w:val="20"/>
                <w:szCs w:val="20"/>
                <w:color w:val="auto"/>
              </w:rPr>
            </w:pPr>
            <w:r>
              <w:rPr>
                <w:rFonts w:ascii="Arial" w:cs="Arial" w:eastAsia="Arial" w:hAnsi="Arial"/>
                <w:sz w:val="18"/>
                <w:szCs w:val="18"/>
                <w:color w:val="auto"/>
              </w:rPr>
              <w:t>Palm Bay</w:t>
            </w:r>
          </w:p>
        </w:tc>
        <w:tc>
          <w:tcPr>
            <w:tcW w:w="560" w:type="dxa"/>
            <w:vAlign w:val="bottom"/>
          </w:tcPr>
          <w:p>
            <w:pPr>
              <w:ind w:left="280"/>
              <w:spacing w:after="0"/>
              <w:rPr>
                <w:sz w:val="20"/>
                <w:szCs w:val="20"/>
                <w:color w:val="auto"/>
              </w:rPr>
            </w:pPr>
            <w:r>
              <w:rPr>
                <w:rFonts w:ascii="Arial" w:cs="Arial" w:eastAsia="Arial" w:hAnsi="Arial"/>
                <w:sz w:val="18"/>
                <w:szCs w:val="18"/>
                <w:color w:val="auto"/>
              </w:rPr>
              <w:t>FL</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ILS Corp</w:t>
            </w:r>
          </w:p>
        </w:tc>
        <w:tc>
          <w:tcPr>
            <w:tcW w:w="4500" w:type="dxa"/>
            <w:vAlign w:val="bottom"/>
          </w:tcPr>
          <w:p>
            <w:pPr>
              <w:ind w:left="220"/>
              <w:spacing w:after="0"/>
              <w:rPr>
                <w:sz w:val="20"/>
                <w:szCs w:val="20"/>
                <w:color w:val="auto"/>
              </w:rPr>
            </w:pPr>
            <w:r>
              <w:rPr>
                <w:rFonts w:ascii="Arial" w:cs="Arial" w:eastAsia="Arial" w:hAnsi="Arial"/>
                <w:sz w:val="18"/>
                <w:szCs w:val="18"/>
                <w:color w:val="auto"/>
              </w:rPr>
              <w:t>Palm Beach Garden Med Ctr</w:t>
            </w:r>
          </w:p>
        </w:tc>
        <w:tc>
          <w:tcPr>
            <w:tcW w:w="3740" w:type="dxa"/>
            <w:vAlign w:val="bottom"/>
          </w:tcPr>
          <w:p>
            <w:pPr>
              <w:spacing w:after="0"/>
              <w:rPr>
                <w:sz w:val="18"/>
                <w:szCs w:val="18"/>
                <w:color w:val="auto"/>
              </w:rPr>
            </w:pPr>
          </w:p>
        </w:tc>
        <w:tc>
          <w:tcPr>
            <w:tcW w:w="1680" w:type="dxa"/>
            <w:vAlign w:val="bottom"/>
          </w:tcPr>
          <w:p>
            <w:pPr>
              <w:ind w:left="60"/>
              <w:spacing w:after="0"/>
              <w:rPr>
                <w:sz w:val="20"/>
                <w:szCs w:val="20"/>
                <w:color w:val="auto"/>
              </w:rPr>
            </w:pPr>
            <w:r>
              <w:rPr>
                <w:rFonts w:ascii="Arial" w:cs="Arial" w:eastAsia="Arial" w:hAnsi="Arial"/>
                <w:sz w:val="18"/>
                <w:szCs w:val="18"/>
                <w:color w:val="auto"/>
              </w:rPr>
              <w:t>Palm Beach Gard</w:t>
            </w:r>
          </w:p>
        </w:tc>
        <w:tc>
          <w:tcPr>
            <w:tcW w:w="560" w:type="dxa"/>
            <w:vAlign w:val="bottom"/>
          </w:tcPr>
          <w:p>
            <w:pPr>
              <w:ind w:left="280"/>
              <w:spacing w:after="0"/>
              <w:rPr>
                <w:sz w:val="20"/>
                <w:szCs w:val="20"/>
                <w:color w:val="auto"/>
              </w:rPr>
            </w:pPr>
            <w:r>
              <w:rPr>
                <w:rFonts w:ascii="Arial" w:cs="Arial" w:eastAsia="Arial" w:hAnsi="Arial"/>
                <w:sz w:val="18"/>
                <w:szCs w:val="18"/>
                <w:color w:val="auto"/>
              </w:rPr>
              <w:t>FL</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ILS Corp</w:t>
            </w:r>
          </w:p>
        </w:tc>
        <w:tc>
          <w:tcPr>
            <w:tcW w:w="4500" w:type="dxa"/>
            <w:vAlign w:val="bottom"/>
          </w:tcPr>
          <w:p>
            <w:pPr>
              <w:ind w:left="220"/>
              <w:spacing w:after="0"/>
              <w:rPr>
                <w:sz w:val="20"/>
                <w:szCs w:val="20"/>
                <w:color w:val="auto"/>
              </w:rPr>
            </w:pPr>
            <w:r>
              <w:rPr>
                <w:rFonts w:ascii="Arial" w:cs="Arial" w:eastAsia="Arial" w:hAnsi="Arial"/>
                <w:sz w:val="18"/>
                <w:szCs w:val="18"/>
                <w:color w:val="auto"/>
              </w:rPr>
              <w:t>Palmetto Baptist Medical Center</w:t>
            </w:r>
          </w:p>
        </w:tc>
        <w:tc>
          <w:tcPr>
            <w:tcW w:w="3740" w:type="dxa"/>
            <w:vAlign w:val="bottom"/>
          </w:tcPr>
          <w:p>
            <w:pPr>
              <w:spacing w:after="0"/>
              <w:rPr>
                <w:sz w:val="18"/>
                <w:szCs w:val="18"/>
                <w:color w:val="auto"/>
              </w:rPr>
            </w:pPr>
          </w:p>
        </w:tc>
        <w:tc>
          <w:tcPr>
            <w:tcW w:w="1680" w:type="dxa"/>
            <w:vAlign w:val="bottom"/>
          </w:tcPr>
          <w:p>
            <w:pPr>
              <w:ind w:left="60"/>
              <w:spacing w:after="0"/>
              <w:rPr>
                <w:sz w:val="20"/>
                <w:szCs w:val="20"/>
                <w:color w:val="auto"/>
              </w:rPr>
            </w:pPr>
            <w:r>
              <w:rPr>
                <w:rFonts w:ascii="Arial" w:cs="Arial" w:eastAsia="Arial" w:hAnsi="Arial"/>
                <w:sz w:val="18"/>
                <w:szCs w:val="18"/>
                <w:color w:val="auto"/>
              </w:rPr>
              <w:t>ColuGBia</w:t>
            </w:r>
          </w:p>
        </w:tc>
        <w:tc>
          <w:tcPr>
            <w:tcW w:w="560" w:type="dxa"/>
            <w:vAlign w:val="bottom"/>
          </w:tcPr>
          <w:p>
            <w:pPr>
              <w:ind w:left="280"/>
              <w:spacing w:after="0"/>
              <w:rPr>
                <w:sz w:val="20"/>
                <w:szCs w:val="20"/>
                <w:color w:val="auto"/>
              </w:rPr>
            </w:pPr>
            <w:r>
              <w:rPr>
                <w:rFonts w:ascii="Arial" w:cs="Arial" w:eastAsia="Arial" w:hAnsi="Arial"/>
                <w:sz w:val="18"/>
                <w:szCs w:val="18"/>
                <w:color w:val="auto"/>
              </w:rPr>
              <w:t>SC</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ILS Corp</w:t>
            </w:r>
          </w:p>
        </w:tc>
        <w:tc>
          <w:tcPr>
            <w:tcW w:w="4500" w:type="dxa"/>
            <w:vAlign w:val="bottom"/>
          </w:tcPr>
          <w:p>
            <w:pPr>
              <w:ind w:left="220"/>
              <w:spacing w:after="0"/>
              <w:rPr>
                <w:sz w:val="20"/>
                <w:szCs w:val="20"/>
                <w:color w:val="auto"/>
              </w:rPr>
            </w:pPr>
            <w:r>
              <w:rPr>
                <w:rFonts w:ascii="Arial" w:cs="Arial" w:eastAsia="Arial" w:hAnsi="Arial"/>
                <w:sz w:val="18"/>
                <w:szCs w:val="18"/>
                <w:color w:val="auto"/>
              </w:rPr>
              <w:t>Palms West</w:t>
            </w:r>
          </w:p>
        </w:tc>
        <w:tc>
          <w:tcPr>
            <w:tcW w:w="3740" w:type="dxa"/>
            <w:vAlign w:val="bottom"/>
          </w:tcPr>
          <w:p>
            <w:pPr>
              <w:ind w:left="1980"/>
              <w:spacing w:after="0"/>
              <w:rPr>
                <w:sz w:val="20"/>
                <w:szCs w:val="20"/>
                <w:color w:val="auto"/>
              </w:rPr>
            </w:pPr>
            <w:r>
              <w:rPr>
                <w:rFonts w:ascii="Arial" w:cs="Arial" w:eastAsia="Arial" w:hAnsi="Arial"/>
                <w:sz w:val="18"/>
                <w:szCs w:val="18"/>
                <w:color w:val="auto"/>
              </w:rPr>
              <w:t>Pete Richter</w:t>
            </w:r>
          </w:p>
        </w:tc>
        <w:tc>
          <w:tcPr>
            <w:tcW w:w="1680" w:type="dxa"/>
            <w:vAlign w:val="bottom"/>
          </w:tcPr>
          <w:p>
            <w:pPr>
              <w:ind w:left="60"/>
              <w:spacing w:after="0"/>
              <w:rPr>
                <w:sz w:val="20"/>
                <w:szCs w:val="20"/>
                <w:color w:val="auto"/>
              </w:rPr>
            </w:pPr>
            <w:r>
              <w:rPr>
                <w:rFonts w:ascii="Arial" w:cs="Arial" w:eastAsia="Arial" w:hAnsi="Arial"/>
                <w:sz w:val="18"/>
                <w:szCs w:val="18"/>
                <w:color w:val="auto"/>
              </w:rPr>
              <w:t>Loxahatchee</w:t>
            </w:r>
          </w:p>
        </w:tc>
        <w:tc>
          <w:tcPr>
            <w:tcW w:w="560" w:type="dxa"/>
            <w:vAlign w:val="bottom"/>
          </w:tcPr>
          <w:p>
            <w:pPr>
              <w:ind w:left="280"/>
              <w:spacing w:after="0"/>
              <w:rPr>
                <w:sz w:val="20"/>
                <w:szCs w:val="20"/>
                <w:color w:val="auto"/>
              </w:rPr>
            </w:pPr>
            <w:r>
              <w:rPr>
                <w:rFonts w:ascii="Arial" w:cs="Arial" w:eastAsia="Arial" w:hAnsi="Arial"/>
                <w:sz w:val="18"/>
                <w:szCs w:val="18"/>
                <w:color w:val="auto"/>
              </w:rPr>
              <w:t>FL</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ILS Corp</w:t>
            </w:r>
          </w:p>
        </w:tc>
        <w:tc>
          <w:tcPr>
            <w:tcW w:w="4500" w:type="dxa"/>
            <w:vAlign w:val="bottom"/>
          </w:tcPr>
          <w:p>
            <w:pPr>
              <w:ind w:left="220"/>
              <w:spacing w:after="0"/>
              <w:rPr>
                <w:sz w:val="20"/>
                <w:szCs w:val="20"/>
                <w:color w:val="auto"/>
              </w:rPr>
            </w:pPr>
            <w:r>
              <w:rPr>
                <w:rFonts w:ascii="Arial" w:cs="Arial" w:eastAsia="Arial" w:hAnsi="Arial"/>
                <w:sz w:val="18"/>
                <w:szCs w:val="18"/>
                <w:color w:val="auto"/>
              </w:rPr>
              <w:t>Palmyra Medical Center</w:t>
            </w:r>
          </w:p>
        </w:tc>
        <w:tc>
          <w:tcPr>
            <w:tcW w:w="3740" w:type="dxa"/>
            <w:vAlign w:val="bottom"/>
          </w:tcPr>
          <w:p>
            <w:pPr>
              <w:spacing w:after="0"/>
              <w:rPr>
                <w:sz w:val="18"/>
                <w:szCs w:val="18"/>
                <w:color w:val="auto"/>
              </w:rPr>
            </w:pPr>
          </w:p>
        </w:tc>
        <w:tc>
          <w:tcPr>
            <w:tcW w:w="1680" w:type="dxa"/>
            <w:vAlign w:val="bottom"/>
          </w:tcPr>
          <w:p>
            <w:pPr>
              <w:ind w:left="60"/>
              <w:spacing w:after="0"/>
              <w:rPr>
                <w:sz w:val="20"/>
                <w:szCs w:val="20"/>
                <w:color w:val="auto"/>
              </w:rPr>
            </w:pPr>
            <w:r>
              <w:rPr>
                <w:rFonts w:ascii="Arial" w:cs="Arial" w:eastAsia="Arial" w:hAnsi="Arial"/>
                <w:sz w:val="18"/>
                <w:szCs w:val="18"/>
                <w:color w:val="auto"/>
              </w:rPr>
              <w:t>Albany</w:t>
            </w:r>
          </w:p>
        </w:tc>
        <w:tc>
          <w:tcPr>
            <w:tcW w:w="560" w:type="dxa"/>
            <w:vAlign w:val="bottom"/>
          </w:tcPr>
          <w:p>
            <w:pPr>
              <w:ind w:left="280"/>
              <w:spacing w:after="0"/>
              <w:rPr>
                <w:sz w:val="20"/>
                <w:szCs w:val="20"/>
                <w:color w:val="auto"/>
              </w:rPr>
            </w:pPr>
            <w:r>
              <w:rPr>
                <w:rFonts w:ascii="Arial" w:cs="Arial" w:eastAsia="Arial" w:hAnsi="Arial"/>
                <w:sz w:val="18"/>
                <w:szCs w:val="18"/>
                <w:color w:val="auto"/>
                <w:w w:val="99"/>
              </w:rPr>
              <w:t>GA</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ILS Corp</w:t>
            </w:r>
          </w:p>
        </w:tc>
        <w:tc>
          <w:tcPr>
            <w:tcW w:w="4500" w:type="dxa"/>
            <w:vAlign w:val="bottom"/>
          </w:tcPr>
          <w:p>
            <w:pPr>
              <w:ind w:left="220"/>
              <w:spacing w:after="0"/>
              <w:rPr>
                <w:sz w:val="20"/>
                <w:szCs w:val="20"/>
                <w:color w:val="auto"/>
              </w:rPr>
            </w:pPr>
            <w:r>
              <w:rPr>
                <w:rFonts w:ascii="Arial" w:cs="Arial" w:eastAsia="Arial" w:hAnsi="Arial"/>
                <w:sz w:val="18"/>
                <w:szCs w:val="18"/>
                <w:color w:val="auto"/>
              </w:rPr>
              <w:t>Panama City Surgery Center</w:t>
            </w:r>
          </w:p>
        </w:tc>
        <w:tc>
          <w:tcPr>
            <w:tcW w:w="3740" w:type="dxa"/>
            <w:vAlign w:val="bottom"/>
          </w:tcPr>
          <w:p>
            <w:pPr>
              <w:ind w:left="1980"/>
              <w:spacing w:after="0"/>
              <w:rPr>
                <w:sz w:val="20"/>
                <w:szCs w:val="20"/>
                <w:color w:val="auto"/>
              </w:rPr>
            </w:pPr>
            <w:r>
              <w:rPr>
                <w:rFonts w:ascii="Arial" w:cs="Arial" w:eastAsia="Arial" w:hAnsi="Arial"/>
                <w:sz w:val="18"/>
                <w:szCs w:val="18"/>
                <w:color w:val="auto"/>
              </w:rPr>
              <w:t>Dacon BuGBanan</w:t>
            </w:r>
          </w:p>
        </w:tc>
        <w:tc>
          <w:tcPr>
            <w:tcW w:w="1680" w:type="dxa"/>
            <w:vAlign w:val="bottom"/>
          </w:tcPr>
          <w:p>
            <w:pPr>
              <w:ind w:left="60"/>
              <w:spacing w:after="0"/>
              <w:rPr>
                <w:sz w:val="20"/>
                <w:szCs w:val="20"/>
                <w:color w:val="auto"/>
              </w:rPr>
            </w:pPr>
            <w:r>
              <w:rPr>
                <w:rFonts w:ascii="Arial" w:cs="Arial" w:eastAsia="Arial" w:hAnsi="Arial"/>
                <w:sz w:val="18"/>
                <w:szCs w:val="18"/>
                <w:color w:val="auto"/>
              </w:rPr>
              <w:t>Panama City</w:t>
            </w:r>
          </w:p>
        </w:tc>
        <w:tc>
          <w:tcPr>
            <w:tcW w:w="560" w:type="dxa"/>
            <w:vAlign w:val="bottom"/>
          </w:tcPr>
          <w:p>
            <w:pPr>
              <w:ind w:left="280"/>
              <w:spacing w:after="0"/>
              <w:rPr>
                <w:sz w:val="20"/>
                <w:szCs w:val="20"/>
                <w:color w:val="auto"/>
              </w:rPr>
            </w:pPr>
            <w:r>
              <w:rPr>
                <w:rFonts w:ascii="Arial" w:cs="Arial" w:eastAsia="Arial" w:hAnsi="Arial"/>
                <w:sz w:val="18"/>
                <w:szCs w:val="18"/>
                <w:color w:val="auto"/>
              </w:rPr>
              <w:t>FL</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ILS Corp</w:t>
            </w:r>
          </w:p>
        </w:tc>
        <w:tc>
          <w:tcPr>
            <w:tcW w:w="4500" w:type="dxa"/>
            <w:vAlign w:val="bottom"/>
          </w:tcPr>
          <w:p>
            <w:pPr>
              <w:ind w:left="220"/>
              <w:spacing w:after="0"/>
              <w:rPr>
                <w:sz w:val="20"/>
                <w:szCs w:val="20"/>
                <w:color w:val="auto"/>
              </w:rPr>
            </w:pPr>
            <w:r>
              <w:rPr>
                <w:rFonts w:ascii="Arial" w:cs="Arial" w:eastAsia="Arial" w:hAnsi="Arial"/>
                <w:sz w:val="18"/>
                <w:szCs w:val="18"/>
                <w:color w:val="auto"/>
              </w:rPr>
              <w:t>Park Plaza</w:t>
            </w:r>
          </w:p>
        </w:tc>
        <w:tc>
          <w:tcPr>
            <w:tcW w:w="3740" w:type="dxa"/>
            <w:vAlign w:val="bottom"/>
          </w:tcPr>
          <w:p>
            <w:pPr>
              <w:spacing w:after="0"/>
              <w:rPr>
                <w:sz w:val="18"/>
                <w:szCs w:val="18"/>
                <w:color w:val="auto"/>
              </w:rPr>
            </w:pPr>
          </w:p>
        </w:tc>
        <w:tc>
          <w:tcPr>
            <w:tcW w:w="1680" w:type="dxa"/>
            <w:vAlign w:val="bottom"/>
          </w:tcPr>
          <w:p>
            <w:pPr>
              <w:ind w:left="60"/>
              <w:spacing w:after="0"/>
              <w:rPr>
                <w:sz w:val="20"/>
                <w:szCs w:val="20"/>
                <w:color w:val="auto"/>
              </w:rPr>
            </w:pPr>
            <w:r>
              <w:rPr>
                <w:rFonts w:ascii="Arial" w:cs="Arial" w:eastAsia="Arial" w:hAnsi="Arial"/>
                <w:sz w:val="18"/>
                <w:szCs w:val="18"/>
                <w:color w:val="auto"/>
              </w:rPr>
              <w:t>Houston</w:t>
            </w:r>
          </w:p>
        </w:tc>
        <w:tc>
          <w:tcPr>
            <w:tcW w:w="560" w:type="dxa"/>
            <w:vAlign w:val="bottom"/>
          </w:tcPr>
          <w:p>
            <w:pPr>
              <w:ind w:left="280"/>
              <w:spacing w:after="0"/>
              <w:rPr>
                <w:sz w:val="20"/>
                <w:szCs w:val="20"/>
                <w:color w:val="auto"/>
              </w:rPr>
            </w:pPr>
            <w:r>
              <w:rPr>
                <w:rFonts w:ascii="Arial" w:cs="Arial" w:eastAsia="Arial" w:hAnsi="Arial"/>
                <w:sz w:val="18"/>
                <w:szCs w:val="18"/>
                <w:color w:val="auto"/>
              </w:rPr>
              <w:t>TX</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ILS Corp</w:t>
            </w:r>
          </w:p>
        </w:tc>
        <w:tc>
          <w:tcPr>
            <w:tcW w:w="4500" w:type="dxa"/>
            <w:vAlign w:val="bottom"/>
          </w:tcPr>
          <w:p>
            <w:pPr>
              <w:ind w:left="220"/>
              <w:spacing w:after="0"/>
              <w:rPr>
                <w:sz w:val="20"/>
                <w:szCs w:val="20"/>
                <w:color w:val="auto"/>
              </w:rPr>
            </w:pPr>
            <w:r>
              <w:rPr>
                <w:rFonts w:ascii="Arial" w:cs="Arial" w:eastAsia="Arial" w:hAnsi="Arial"/>
                <w:sz w:val="18"/>
                <w:szCs w:val="18"/>
                <w:color w:val="auto"/>
              </w:rPr>
              <w:t>Parkway Medical Center</w:t>
            </w:r>
          </w:p>
        </w:tc>
        <w:tc>
          <w:tcPr>
            <w:tcW w:w="3740" w:type="dxa"/>
            <w:vAlign w:val="bottom"/>
          </w:tcPr>
          <w:p>
            <w:pPr>
              <w:ind w:left="1980"/>
              <w:spacing w:after="0"/>
              <w:rPr>
                <w:sz w:val="20"/>
                <w:szCs w:val="20"/>
                <w:color w:val="auto"/>
              </w:rPr>
            </w:pPr>
            <w:r>
              <w:rPr>
                <w:rFonts w:ascii="Arial" w:cs="Arial" w:eastAsia="Arial" w:hAnsi="Arial"/>
                <w:sz w:val="18"/>
                <w:szCs w:val="18"/>
                <w:color w:val="auto"/>
              </w:rPr>
              <w:t>Gary Moody</w:t>
            </w:r>
          </w:p>
        </w:tc>
        <w:tc>
          <w:tcPr>
            <w:tcW w:w="1680" w:type="dxa"/>
            <w:vAlign w:val="bottom"/>
          </w:tcPr>
          <w:p>
            <w:pPr>
              <w:ind w:left="60"/>
              <w:spacing w:after="0"/>
              <w:rPr>
                <w:sz w:val="20"/>
                <w:szCs w:val="20"/>
                <w:color w:val="auto"/>
              </w:rPr>
            </w:pPr>
            <w:r>
              <w:rPr>
                <w:rFonts w:ascii="Arial" w:cs="Arial" w:eastAsia="Arial" w:hAnsi="Arial"/>
                <w:sz w:val="18"/>
                <w:szCs w:val="18"/>
                <w:color w:val="auto"/>
              </w:rPr>
              <w:t>Decatur</w:t>
            </w:r>
          </w:p>
        </w:tc>
        <w:tc>
          <w:tcPr>
            <w:tcW w:w="560" w:type="dxa"/>
            <w:vAlign w:val="bottom"/>
          </w:tcPr>
          <w:p>
            <w:pPr>
              <w:ind w:left="280"/>
              <w:spacing w:after="0"/>
              <w:rPr>
                <w:sz w:val="20"/>
                <w:szCs w:val="20"/>
                <w:color w:val="auto"/>
              </w:rPr>
            </w:pPr>
            <w:r>
              <w:rPr>
                <w:rFonts w:ascii="Arial" w:cs="Arial" w:eastAsia="Arial" w:hAnsi="Arial"/>
                <w:sz w:val="18"/>
                <w:szCs w:val="18"/>
                <w:color w:val="auto"/>
              </w:rPr>
              <w:t>AL</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ILS Corp</w:t>
            </w:r>
          </w:p>
        </w:tc>
        <w:tc>
          <w:tcPr>
            <w:tcW w:w="4500" w:type="dxa"/>
            <w:vAlign w:val="bottom"/>
          </w:tcPr>
          <w:p>
            <w:pPr>
              <w:ind w:left="220"/>
              <w:spacing w:after="0"/>
              <w:rPr>
                <w:sz w:val="20"/>
                <w:szCs w:val="20"/>
                <w:color w:val="auto"/>
              </w:rPr>
            </w:pPr>
            <w:r>
              <w:rPr>
                <w:rFonts w:ascii="Arial" w:cs="Arial" w:eastAsia="Arial" w:hAnsi="Arial"/>
                <w:sz w:val="18"/>
                <w:szCs w:val="18"/>
                <w:color w:val="auto"/>
              </w:rPr>
              <w:t>Petaluma Valley Hospital</w:t>
            </w:r>
          </w:p>
        </w:tc>
        <w:tc>
          <w:tcPr>
            <w:tcW w:w="3740" w:type="dxa"/>
            <w:vAlign w:val="bottom"/>
          </w:tcPr>
          <w:p>
            <w:pPr>
              <w:ind w:left="1980"/>
              <w:spacing w:after="0"/>
              <w:rPr>
                <w:sz w:val="20"/>
                <w:szCs w:val="20"/>
                <w:color w:val="auto"/>
              </w:rPr>
            </w:pPr>
            <w:r>
              <w:rPr>
                <w:rFonts w:ascii="Arial" w:cs="Arial" w:eastAsia="Arial" w:hAnsi="Arial"/>
                <w:sz w:val="18"/>
                <w:szCs w:val="18"/>
                <w:color w:val="auto"/>
              </w:rPr>
              <w:t>Arkadi</w:t>
            </w:r>
          </w:p>
        </w:tc>
        <w:tc>
          <w:tcPr>
            <w:tcW w:w="1680" w:type="dxa"/>
            <w:vAlign w:val="bottom"/>
          </w:tcPr>
          <w:p>
            <w:pPr>
              <w:ind w:left="60"/>
              <w:spacing w:after="0"/>
              <w:rPr>
                <w:sz w:val="20"/>
                <w:szCs w:val="20"/>
                <w:color w:val="auto"/>
              </w:rPr>
            </w:pPr>
            <w:r>
              <w:rPr>
                <w:rFonts w:ascii="Arial" w:cs="Arial" w:eastAsia="Arial" w:hAnsi="Arial"/>
                <w:sz w:val="18"/>
                <w:szCs w:val="18"/>
                <w:color w:val="auto"/>
              </w:rPr>
              <w:t>Petaluma</w:t>
            </w:r>
          </w:p>
        </w:tc>
        <w:tc>
          <w:tcPr>
            <w:tcW w:w="560" w:type="dxa"/>
            <w:vAlign w:val="bottom"/>
          </w:tcPr>
          <w:p>
            <w:pPr>
              <w:ind w:left="280"/>
              <w:spacing w:after="0"/>
              <w:rPr>
                <w:sz w:val="20"/>
                <w:szCs w:val="20"/>
                <w:color w:val="auto"/>
              </w:rPr>
            </w:pPr>
            <w:r>
              <w:rPr>
                <w:rFonts w:ascii="Arial" w:cs="Arial" w:eastAsia="Arial" w:hAnsi="Arial"/>
                <w:sz w:val="18"/>
                <w:szCs w:val="18"/>
                <w:color w:val="auto"/>
              </w:rPr>
              <w:t>CA</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ILS Corp</w:t>
            </w:r>
          </w:p>
        </w:tc>
        <w:tc>
          <w:tcPr>
            <w:tcW w:w="4500" w:type="dxa"/>
            <w:vAlign w:val="bottom"/>
          </w:tcPr>
          <w:p>
            <w:pPr>
              <w:ind w:left="220"/>
              <w:spacing w:after="0"/>
              <w:rPr>
                <w:sz w:val="20"/>
                <w:szCs w:val="20"/>
                <w:color w:val="auto"/>
              </w:rPr>
            </w:pPr>
            <w:r>
              <w:rPr>
                <w:rFonts w:ascii="Arial" w:cs="Arial" w:eastAsia="Arial" w:hAnsi="Arial"/>
                <w:sz w:val="18"/>
                <w:szCs w:val="18"/>
                <w:color w:val="auto"/>
              </w:rPr>
              <w:t>Placentia Linda Hospital</w:t>
            </w:r>
          </w:p>
        </w:tc>
        <w:tc>
          <w:tcPr>
            <w:tcW w:w="3740" w:type="dxa"/>
            <w:vAlign w:val="bottom"/>
          </w:tcPr>
          <w:p>
            <w:pPr>
              <w:ind w:left="1980"/>
              <w:spacing w:after="0"/>
              <w:rPr>
                <w:sz w:val="20"/>
                <w:szCs w:val="20"/>
                <w:color w:val="auto"/>
              </w:rPr>
            </w:pPr>
            <w:r>
              <w:rPr>
                <w:rFonts w:ascii="Arial" w:cs="Arial" w:eastAsia="Arial" w:hAnsi="Arial"/>
                <w:sz w:val="18"/>
                <w:szCs w:val="18"/>
                <w:color w:val="auto"/>
              </w:rPr>
              <w:t>Joyce Titus</w:t>
            </w:r>
          </w:p>
        </w:tc>
        <w:tc>
          <w:tcPr>
            <w:tcW w:w="1680" w:type="dxa"/>
            <w:vAlign w:val="bottom"/>
          </w:tcPr>
          <w:p>
            <w:pPr>
              <w:ind w:left="60"/>
              <w:spacing w:after="0"/>
              <w:rPr>
                <w:sz w:val="20"/>
                <w:szCs w:val="20"/>
                <w:color w:val="auto"/>
              </w:rPr>
            </w:pPr>
            <w:r>
              <w:rPr>
                <w:rFonts w:ascii="Arial" w:cs="Arial" w:eastAsia="Arial" w:hAnsi="Arial"/>
                <w:sz w:val="18"/>
                <w:szCs w:val="18"/>
                <w:color w:val="auto"/>
              </w:rPr>
              <w:t>Placentia</w:t>
            </w:r>
          </w:p>
        </w:tc>
        <w:tc>
          <w:tcPr>
            <w:tcW w:w="560" w:type="dxa"/>
            <w:vAlign w:val="bottom"/>
          </w:tcPr>
          <w:p>
            <w:pPr>
              <w:ind w:left="280"/>
              <w:spacing w:after="0"/>
              <w:rPr>
                <w:sz w:val="20"/>
                <w:szCs w:val="20"/>
                <w:color w:val="auto"/>
              </w:rPr>
            </w:pPr>
            <w:r>
              <w:rPr>
                <w:rFonts w:ascii="Arial" w:cs="Arial" w:eastAsia="Arial" w:hAnsi="Arial"/>
                <w:sz w:val="18"/>
                <w:szCs w:val="18"/>
                <w:color w:val="auto"/>
              </w:rPr>
              <w:t>CA</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ILS Corp</w:t>
            </w:r>
          </w:p>
        </w:tc>
        <w:tc>
          <w:tcPr>
            <w:tcW w:w="4500" w:type="dxa"/>
            <w:vAlign w:val="bottom"/>
          </w:tcPr>
          <w:p>
            <w:pPr>
              <w:ind w:left="220"/>
              <w:spacing w:after="0"/>
              <w:rPr>
                <w:sz w:val="20"/>
                <w:szCs w:val="20"/>
                <w:color w:val="auto"/>
              </w:rPr>
            </w:pPr>
            <w:r>
              <w:rPr>
                <w:rFonts w:ascii="Arial" w:cs="Arial" w:eastAsia="Arial" w:hAnsi="Arial"/>
                <w:sz w:val="18"/>
                <w:szCs w:val="18"/>
                <w:color w:val="auto"/>
              </w:rPr>
              <w:t>Plaza Surgery Center</w:t>
            </w:r>
          </w:p>
        </w:tc>
        <w:tc>
          <w:tcPr>
            <w:tcW w:w="3740" w:type="dxa"/>
            <w:vAlign w:val="bottom"/>
          </w:tcPr>
          <w:p>
            <w:pPr>
              <w:ind w:left="1980"/>
              <w:spacing w:after="0"/>
              <w:rPr>
                <w:sz w:val="20"/>
                <w:szCs w:val="20"/>
                <w:color w:val="auto"/>
              </w:rPr>
            </w:pPr>
            <w:r>
              <w:rPr>
                <w:rFonts w:ascii="Arial" w:cs="Arial" w:eastAsia="Arial" w:hAnsi="Arial"/>
                <w:sz w:val="18"/>
                <w:szCs w:val="18"/>
                <w:color w:val="auto"/>
                <w:w w:val="97"/>
              </w:rPr>
              <w:t>KimbeCJ SEy Brooker</w:t>
            </w:r>
          </w:p>
        </w:tc>
        <w:tc>
          <w:tcPr>
            <w:tcW w:w="1680" w:type="dxa"/>
            <w:vAlign w:val="bottom"/>
          </w:tcPr>
          <w:p>
            <w:pPr>
              <w:ind w:left="60"/>
              <w:spacing w:after="0"/>
              <w:rPr>
                <w:sz w:val="20"/>
                <w:szCs w:val="20"/>
                <w:color w:val="auto"/>
              </w:rPr>
            </w:pPr>
            <w:r>
              <w:rPr>
                <w:rFonts w:ascii="Arial" w:cs="Arial" w:eastAsia="Arial" w:hAnsi="Arial"/>
                <w:sz w:val="18"/>
                <w:szCs w:val="18"/>
                <w:color w:val="auto"/>
              </w:rPr>
              <w:t>Jacksonville</w:t>
            </w:r>
          </w:p>
        </w:tc>
        <w:tc>
          <w:tcPr>
            <w:tcW w:w="560" w:type="dxa"/>
            <w:vAlign w:val="bottom"/>
          </w:tcPr>
          <w:p>
            <w:pPr>
              <w:ind w:left="280"/>
              <w:spacing w:after="0"/>
              <w:rPr>
                <w:sz w:val="20"/>
                <w:szCs w:val="20"/>
                <w:color w:val="auto"/>
              </w:rPr>
            </w:pPr>
            <w:r>
              <w:rPr>
                <w:rFonts w:ascii="Arial" w:cs="Arial" w:eastAsia="Arial" w:hAnsi="Arial"/>
                <w:sz w:val="18"/>
                <w:szCs w:val="18"/>
                <w:color w:val="auto"/>
              </w:rPr>
              <w:t>FL</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ILS Corp</w:t>
            </w:r>
          </w:p>
        </w:tc>
        <w:tc>
          <w:tcPr>
            <w:tcW w:w="4500" w:type="dxa"/>
            <w:vAlign w:val="bottom"/>
          </w:tcPr>
          <w:p>
            <w:pPr>
              <w:ind w:left="220"/>
              <w:spacing w:after="0"/>
              <w:rPr>
                <w:sz w:val="20"/>
                <w:szCs w:val="20"/>
                <w:color w:val="auto"/>
              </w:rPr>
            </w:pPr>
            <w:r>
              <w:rPr>
                <w:rFonts w:ascii="Arial" w:cs="Arial" w:eastAsia="Arial" w:hAnsi="Arial"/>
                <w:sz w:val="18"/>
                <w:szCs w:val="18"/>
                <w:color w:val="auto"/>
              </w:rPr>
              <w:t>Porter Memorial Hosp</w:t>
            </w:r>
          </w:p>
        </w:tc>
        <w:tc>
          <w:tcPr>
            <w:tcW w:w="3740" w:type="dxa"/>
            <w:vAlign w:val="bottom"/>
          </w:tcPr>
          <w:p>
            <w:pPr>
              <w:ind w:left="1980"/>
              <w:spacing w:after="0"/>
              <w:rPr>
                <w:sz w:val="20"/>
                <w:szCs w:val="20"/>
                <w:color w:val="auto"/>
              </w:rPr>
            </w:pPr>
            <w:r>
              <w:rPr>
                <w:rFonts w:ascii="Arial" w:cs="Arial" w:eastAsia="Arial" w:hAnsi="Arial"/>
                <w:sz w:val="18"/>
                <w:szCs w:val="18"/>
                <w:color w:val="auto"/>
              </w:rPr>
              <w:t>Susan Greene</w:t>
            </w:r>
          </w:p>
        </w:tc>
        <w:tc>
          <w:tcPr>
            <w:tcW w:w="1680" w:type="dxa"/>
            <w:vAlign w:val="bottom"/>
          </w:tcPr>
          <w:p>
            <w:pPr>
              <w:ind w:left="60"/>
              <w:spacing w:after="0"/>
              <w:rPr>
                <w:sz w:val="20"/>
                <w:szCs w:val="20"/>
                <w:color w:val="auto"/>
              </w:rPr>
            </w:pPr>
            <w:r>
              <w:rPr>
                <w:rFonts w:ascii="Arial" w:cs="Arial" w:eastAsia="Arial" w:hAnsi="Arial"/>
                <w:sz w:val="18"/>
                <w:szCs w:val="18"/>
                <w:color w:val="auto"/>
              </w:rPr>
              <w:t>Denver</w:t>
            </w:r>
          </w:p>
        </w:tc>
        <w:tc>
          <w:tcPr>
            <w:tcW w:w="560" w:type="dxa"/>
            <w:vAlign w:val="bottom"/>
          </w:tcPr>
          <w:p>
            <w:pPr>
              <w:ind w:left="280"/>
              <w:spacing w:after="0"/>
              <w:rPr>
                <w:sz w:val="20"/>
                <w:szCs w:val="20"/>
                <w:color w:val="auto"/>
              </w:rPr>
            </w:pPr>
            <w:r>
              <w:rPr>
                <w:rFonts w:ascii="Arial" w:cs="Arial" w:eastAsia="Arial" w:hAnsi="Arial"/>
                <w:sz w:val="18"/>
                <w:szCs w:val="18"/>
                <w:color w:val="auto"/>
                <w:w w:val="96"/>
              </w:rPr>
              <w:t>CO</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ILS Corp</w:t>
            </w:r>
          </w:p>
        </w:tc>
        <w:tc>
          <w:tcPr>
            <w:tcW w:w="4500" w:type="dxa"/>
            <w:vAlign w:val="bottom"/>
          </w:tcPr>
          <w:p>
            <w:pPr>
              <w:ind w:left="220"/>
              <w:spacing w:after="0"/>
              <w:rPr>
                <w:sz w:val="20"/>
                <w:szCs w:val="20"/>
                <w:color w:val="auto"/>
              </w:rPr>
            </w:pPr>
            <w:r>
              <w:rPr>
                <w:rFonts w:ascii="Arial" w:cs="Arial" w:eastAsia="Arial" w:hAnsi="Arial"/>
                <w:sz w:val="18"/>
                <w:szCs w:val="18"/>
                <w:color w:val="auto"/>
              </w:rPr>
              <w:t>Presbyterian Hosp of Dallas</w:t>
            </w:r>
          </w:p>
        </w:tc>
        <w:tc>
          <w:tcPr>
            <w:tcW w:w="3740" w:type="dxa"/>
            <w:vAlign w:val="bottom"/>
          </w:tcPr>
          <w:p>
            <w:pPr>
              <w:ind w:left="1980"/>
              <w:spacing w:after="0"/>
              <w:rPr>
                <w:sz w:val="20"/>
                <w:szCs w:val="20"/>
                <w:color w:val="auto"/>
              </w:rPr>
            </w:pPr>
            <w:r>
              <w:rPr>
                <w:rFonts w:ascii="Arial" w:cs="Arial" w:eastAsia="Arial" w:hAnsi="Arial"/>
                <w:sz w:val="18"/>
                <w:szCs w:val="18"/>
                <w:color w:val="auto"/>
                <w:w w:val="90"/>
              </w:rPr>
              <w:t>Mary Josephine Jiminez</w:t>
            </w:r>
          </w:p>
        </w:tc>
        <w:tc>
          <w:tcPr>
            <w:tcW w:w="1680" w:type="dxa"/>
            <w:vAlign w:val="bottom"/>
          </w:tcPr>
          <w:p>
            <w:pPr>
              <w:ind w:left="60"/>
              <w:spacing w:after="0"/>
              <w:rPr>
                <w:sz w:val="20"/>
                <w:szCs w:val="20"/>
                <w:color w:val="auto"/>
              </w:rPr>
            </w:pPr>
            <w:r>
              <w:rPr>
                <w:rFonts w:ascii="Arial" w:cs="Arial" w:eastAsia="Arial" w:hAnsi="Arial"/>
                <w:sz w:val="18"/>
                <w:szCs w:val="18"/>
                <w:color w:val="auto"/>
              </w:rPr>
              <w:t>Dallas</w:t>
            </w:r>
          </w:p>
        </w:tc>
        <w:tc>
          <w:tcPr>
            <w:tcW w:w="560" w:type="dxa"/>
            <w:vAlign w:val="bottom"/>
          </w:tcPr>
          <w:p>
            <w:pPr>
              <w:ind w:left="280"/>
              <w:spacing w:after="0"/>
              <w:rPr>
                <w:sz w:val="20"/>
                <w:szCs w:val="20"/>
                <w:color w:val="auto"/>
              </w:rPr>
            </w:pPr>
            <w:r>
              <w:rPr>
                <w:rFonts w:ascii="Arial" w:cs="Arial" w:eastAsia="Arial" w:hAnsi="Arial"/>
                <w:sz w:val="18"/>
                <w:szCs w:val="18"/>
                <w:color w:val="auto"/>
              </w:rPr>
              <w:t>TX</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ILS Corp</w:t>
            </w:r>
          </w:p>
        </w:tc>
        <w:tc>
          <w:tcPr>
            <w:tcW w:w="4500" w:type="dxa"/>
            <w:vAlign w:val="bottom"/>
          </w:tcPr>
          <w:p>
            <w:pPr>
              <w:ind w:left="220"/>
              <w:spacing w:after="0"/>
              <w:rPr>
                <w:sz w:val="20"/>
                <w:szCs w:val="20"/>
                <w:color w:val="auto"/>
              </w:rPr>
            </w:pPr>
            <w:r>
              <w:rPr>
                <w:rFonts w:ascii="Arial" w:cs="Arial" w:eastAsia="Arial" w:hAnsi="Arial"/>
                <w:sz w:val="18"/>
                <w:szCs w:val="18"/>
                <w:color w:val="auto"/>
              </w:rPr>
              <w:t>Progress West Hlthcare Ctr</w:t>
            </w:r>
          </w:p>
        </w:tc>
        <w:tc>
          <w:tcPr>
            <w:tcW w:w="3740" w:type="dxa"/>
            <w:vAlign w:val="bottom"/>
          </w:tcPr>
          <w:p>
            <w:pPr>
              <w:ind w:left="1980"/>
              <w:spacing w:after="0"/>
              <w:rPr>
                <w:sz w:val="20"/>
                <w:szCs w:val="20"/>
                <w:color w:val="auto"/>
              </w:rPr>
            </w:pPr>
            <w:r>
              <w:rPr>
                <w:rFonts w:ascii="Arial" w:cs="Arial" w:eastAsia="Arial" w:hAnsi="Arial"/>
                <w:sz w:val="18"/>
                <w:szCs w:val="18"/>
                <w:color w:val="auto"/>
              </w:rPr>
              <w:t>Lisa Wenndel</w:t>
            </w:r>
          </w:p>
        </w:tc>
        <w:tc>
          <w:tcPr>
            <w:tcW w:w="1680" w:type="dxa"/>
            <w:vAlign w:val="bottom"/>
          </w:tcPr>
          <w:p>
            <w:pPr>
              <w:ind w:left="60"/>
              <w:spacing w:after="0"/>
              <w:rPr>
                <w:sz w:val="20"/>
                <w:szCs w:val="20"/>
                <w:color w:val="auto"/>
              </w:rPr>
            </w:pPr>
            <w:r>
              <w:rPr>
                <w:rFonts w:ascii="Arial" w:cs="Arial" w:eastAsia="Arial" w:hAnsi="Arial"/>
                <w:sz w:val="18"/>
                <w:szCs w:val="18"/>
                <w:color w:val="auto"/>
              </w:rPr>
              <w:t>O’Fallon</w:t>
            </w:r>
          </w:p>
        </w:tc>
        <w:tc>
          <w:tcPr>
            <w:tcW w:w="560" w:type="dxa"/>
            <w:vAlign w:val="bottom"/>
          </w:tcPr>
          <w:p>
            <w:pPr>
              <w:ind w:left="280"/>
              <w:spacing w:after="0"/>
              <w:rPr>
                <w:sz w:val="20"/>
                <w:szCs w:val="20"/>
                <w:color w:val="auto"/>
              </w:rPr>
            </w:pPr>
            <w:r>
              <w:rPr>
                <w:rFonts w:ascii="Arial" w:cs="Arial" w:eastAsia="Arial" w:hAnsi="Arial"/>
                <w:sz w:val="18"/>
                <w:szCs w:val="18"/>
                <w:color w:val="auto"/>
                <w:w w:val="89"/>
              </w:rPr>
              <w:t>MO</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ILS Corp</w:t>
            </w:r>
          </w:p>
        </w:tc>
        <w:tc>
          <w:tcPr>
            <w:tcW w:w="4500" w:type="dxa"/>
            <w:vAlign w:val="bottom"/>
          </w:tcPr>
          <w:p>
            <w:pPr>
              <w:ind w:left="220"/>
              <w:spacing w:after="0"/>
              <w:rPr>
                <w:sz w:val="20"/>
                <w:szCs w:val="20"/>
                <w:color w:val="auto"/>
              </w:rPr>
            </w:pPr>
            <w:r>
              <w:rPr>
                <w:rFonts w:ascii="Arial" w:cs="Arial" w:eastAsia="Arial" w:hAnsi="Arial"/>
                <w:sz w:val="18"/>
                <w:szCs w:val="18"/>
                <w:color w:val="auto"/>
              </w:rPr>
              <w:t>Providence Hospital</w:t>
            </w:r>
          </w:p>
        </w:tc>
        <w:tc>
          <w:tcPr>
            <w:tcW w:w="3740" w:type="dxa"/>
            <w:vAlign w:val="bottom"/>
          </w:tcPr>
          <w:p>
            <w:pPr>
              <w:ind w:left="1980"/>
              <w:spacing w:after="0"/>
              <w:rPr>
                <w:sz w:val="20"/>
                <w:szCs w:val="20"/>
                <w:color w:val="auto"/>
              </w:rPr>
            </w:pPr>
            <w:r>
              <w:rPr>
                <w:rFonts w:ascii="Arial" w:cs="Arial" w:eastAsia="Arial" w:hAnsi="Arial"/>
                <w:sz w:val="18"/>
                <w:szCs w:val="18"/>
                <w:color w:val="auto"/>
              </w:rPr>
              <w:t>GBeryl Thompson</w:t>
            </w:r>
          </w:p>
        </w:tc>
        <w:tc>
          <w:tcPr>
            <w:tcW w:w="1680" w:type="dxa"/>
            <w:vAlign w:val="bottom"/>
          </w:tcPr>
          <w:p>
            <w:pPr>
              <w:ind w:left="60"/>
              <w:spacing w:after="0"/>
              <w:rPr>
                <w:sz w:val="20"/>
                <w:szCs w:val="20"/>
                <w:color w:val="auto"/>
              </w:rPr>
            </w:pPr>
            <w:r>
              <w:rPr>
                <w:rFonts w:ascii="Arial" w:cs="Arial" w:eastAsia="Arial" w:hAnsi="Arial"/>
                <w:sz w:val="18"/>
                <w:szCs w:val="18"/>
                <w:color w:val="auto"/>
              </w:rPr>
              <w:t>Mobile</w:t>
            </w:r>
          </w:p>
        </w:tc>
        <w:tc>
          <w:tcPr>
            <w:tcW w:w="560" w:type="dxa"/>
            <w:vAlign w:val="bottom"/>
          </w:tcPr>
          <w:p>
            <w:pPr>
              <w:ind w:left="280"/>
              <w:spacing w:after="0"/>
              <w:rPr>
                <w:sz w:val="20"/>
                <w:szCs w:val="20"/>
                <w:color w:val="auto"/>
              </w:rPr>
            </w:pPr>
            <w:r>
              <w:rPr>
                <w:rFonts w:ascii="Arial" w:cs="Arial" w:eastAsia="Arial" w:hAnsi="Arial"/>
                <w:sz w:val="18"/>
                <w:szCs w:val="18"/>
                <w:color w:val="auto"/>
              </w:rPr>
              <w:t>AL</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ILS Corp</w:t>
            </w:r>
          </w:p>
        </w:tc>
        <w:tc>
          <w:tcPr>
            <w:tcW w:w="4500" w:type="dxa"/>
            <w:vAlign w:val="bottom"/>
          </w:tcPr>
          <w:p>
            <w:pPr>
              <w:ind w:left="220"/>
              <w:spacing w:after="0"/>
              <w:rPr>
                <w:sz w:val="20"/>
                <w:szCs w:val="20"/>
                <w:color w:val="auto"/>
              </w:rPr>
            </w:pPr>
            <w:r>
              <w:rPr>
                <w:rFonts w:ascii="Arial" w:cs="Arial" w:eastAsia="Arial" w:hAnsi="Arial"/>
                <w:sz w:val="18"/>
                <w:szCs w:val="18"/>
                <w:color w:val="auto"/>
              </w:rPr>
              <w:t>Pueblo SC</w:t>
            </w:r>
          </w:p>
        </w:tc>
        <w:tc>
          <w:tcPr>
            <w:tcW w:w="3740" w:type="dxa"/>
            <w:vAlign w:val="bottom"/>
          </w:tcPr>
          <w:p>
            <w:pPr>
              <w:ind w:left="1980"/>
              <w:spacing w:after="0"/>
              <w:rPr>
                <w:sz w:val="20"/>
                <w:szCs w:val="20"/>
                <w:color w:val="auto"/>
              </w:rPr>
            </w:pPr>
            <w:r>
              <w:rPr>
                <w:rFonts w:ascii="Arial" w:cs="Arial" w:eastAsia="Arial" w:hAnsi="Arial"/>
                <w:sz w:val="18"/>
                <w:szCs w:val="18"/>
                <w:color w:val="auto"/>
              </w:rPr>
              <w:t>Kelly Schmidt</w:t>
            </w:r>
          </w:p>
        </w:tc>
        <w:tc>
          <w:tcPr>
            <w:tcW w:w="1680" w:type="dxa"/>
            <w:vAlign w:val="bottom"/>
          </w:tcPr>
          <w:p>
            <w:pPr>
              <w:ind w:left="60"/>
              <w:spacing w:after="0"/>
              <w:rPr>
                <w:sz w:val="20"/>
                <w:szCs w:val="20"/>
                <w:color w:val="auto"/>
              </w:rPr>
            </w:pPr>
            <w:r>
              <w:rPr>
                <w:rFonts w:ascii="Arial" w:cs="Arial" w:eastAsia="Arial" w:hAnsi="Arial"/>
                <w:sz w:val="18"/>
                <w:szCs w:val="18"/>
                <w:color w:val="auto"/>
              </w:rPr>
              <w:t>Pueblo</w:t>
            </w:r>
          </w:p>
        </w:tc>
        <w:tc>
          <w:tcPr>
            <w:tcW w:w="560" w:type="dxa"/>
            <w:vAlign w:val="bottom"/>
          </w:tcPr>
          <w:p>
            <w:pPr>
              <w:ind w:left="280"/>
              <w:spacing w:after="0"/>
              <w:rPr>
                <w:sz w:val="20"/>
                <w:szCs w:val="20"/>
                <w:color w:val="auto"/>
              </w:rPr>
            </w:pPr>
            <w:r>
              <w:rPr>
                <w:rFonts w:ascii="Arial" w:cs="Arial" w:eastAsia="Arial" w:hAnsi="Arial"/>
                <w:sz w:val="18"/>
                <w:szCs w:val="18"/>
                <w:color w:val="auto"/>
                <w:w w:val="96"/>
              </w:rPr>
              <w:t>CO</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ILS Corp</w:t>
            </w:r>
          </w:p>
        </w:tc>
        <w:tc>
          <w:tcPr>
            <w:tcW w:w="4500" w:type="dxa"/>
            <w:vAlign w:val="bottom"/>
          </w:tcPr>
          <w:p>
            <w:pPr>
              <w:ind w:left="220"/>
              <w:spacing w:after="0"/>
              <w:rPr>
                <w:sz w:val="20"/>
                <w:szCs w:val="20"/>
                <w:color w:val="auto"/>
              </w:rPr>
            </w:pPr>
            <w:r>
              <w:rPr>
                <w:rFonts w:ascii="Arial" w:cs="Arial" w:eastAsia="Arial" w:hAnsi="Arial"/>
                <w:sz w:val="18"/>
                <w:szCs w:val="18"/>
                <w:color w:val="auto"/>
              </w:rPr>
              <w:t>Queen of the Valley</w:t>
            </w:r>
          </w:p>
        </w:tc>
        <w:tc>
          <w:tcPr>
            <w:tcW w:w="3740" w:type="dxa"/>
            <w:vAlign w:val="bottom"/>
          </w:tcPr>
          <w:p>
            <w:pPr>
              <w:ind w:left="1980"/>
              <w:spacing w:after="0"/>
              <w:rPr>
                <w:sz w:val="20"/>
                <w:szCs w:val="20"/>
                <w:color w:val="auto"/>
              </w:rPr>
            </w:pPr>
            <w:r>
              <w:rPr>
                <w:rFonts w:ascii="Arial" w:cs="Arial" w:eastAsia="Arial" w:hAnsi="Arial"/>
                <w:sz w:val="18"/>
                <w:szCs w:val="18"/>
                <w:color w:val="auto"/>
              </w:rPr>
              <w:t>Sandy Kelly</w:t>
            </w:r>
          </w:p>
        </w:tc>
        <w:tc>
          <w:tcPr>
            <w:tcW w:w="1680" w:type="dxa"/>
            <w:vAlign w:val="bottom"/>
          </w:tcPr>
          <w:p>
            <w:pPr>
              <w:ind w:left="60"/>
              <w:spacing w:after="0"/>
              <w:rPr>
                <w:sz w:val="20"/>
                <w:szCs w:val="20"/>
                <w:color w:val="auto"/>
              </w:rPr>
            </w:pPr>
            <w:r>
              <w:rPr>
                <w:rFonts w:ascii="Arial" w:cs="Arial" w:eastAsia="Arial" w:hAnsi="Arial"/>
                <w:sz w:val="18"/>
                <w:szCs w:val="18"/>
                <w:color w:val="auto"/>
              </w:rPr>
              <w:t>West Covina</w:t>
            </w:r>
          </w:p>
        </w:tc>
        <w:tc>
          <w:tcPr>
            <w:tcW w:w="560" w:type="dxa"/>
            <w:vAlign w:val="bottom"/>
          </w:tcPr>
          <w:p>
            <w:pPr>
              <w:ind w:left="280"/>
              <w:spacing w:after="0"/>
              <w:rPr>
                <w:sz w:val="20"/>
                <w:szCs w:val="20"/>
                <w:color w:val="auto"/>
              </w:rPr>
            </w:pPr>
            <w:r>
              <w:rPr>
                <w:rFonts w:ascii="Arial" w:cs="Arial" w:eastAsia="Arial" w:hAnsi="Arial"/>
                <w:sz w:val="18"/>
                <w:szCs w:val="18"/>
                <w:color w:val="auto"/>
              </w:rPr>
              <w:t>CA</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ILS Corp</w:t>
            </w:r>
          </w:p>
        </w:tc>
        <w:tc>
          <w:tcPr>
            <w:tcW w:w="4500" w:type="dxa"/>
            <w:vAlign w:val="bottom"/>
          </w:tcPr>
          <w:p>
            <w:pPr>
              <w:ind w:left="220"/>
              <w:spacing w:after="0"/>
              <w:rPr>
                <w:sz w:val="20"/>
                <w:szCs w:val="20"/>
                <w:color w:val="auto"/>
              </w:rPr>
            </w:pPr>
            <w:r>
              <w:rPr>
                <w:rFonts w:ascii="Arial" w:cs="Arial" w:eastAsia="Arial" w:hAnsi="Arial"/>
                <w:sz w:val="18"/>
                <w:szCs w:val="18"/>
                <w:color w:val="auto"/>
              </w:rPr>
              <w:t>Quincy Hospital</w:t>
            </w:r>
          </w:p>
        </w:tc>
        <w:tc>
          <w:tcPr>
            <w:tcW w:w="3740" w:type="dxa"/>
            <w:vAlign w:val="bottom"/>
          </w:tcPr>
          <w:p>
            <w:pPr>
              <w:ind w:left="1980"/>
              <w:spacing w:after="0"/>
              <w:rPr>
                <w:sz w:val="20"/>
                <w:szCs w:val="20"/>
                <w:color w:val="auto"/>
              </w:rPr>
            </w:pPr>
            <w:r>
              <w:rPr>
                <w:rFonts w:ascii="Arial" w:cs="Arial" w:eastAsia="Arial" w:hAnsi="Arial"/>
                <w:sz w:val="18"/>
                <w:szCs w:val="18"/>
                <w:color w:val="auto"/>
              </w:rPr>
              <w:t>James Martell</w:t>
            </w:r>
          </w:p>
        </w:tc>
        <w:tc>
          <w:tcPr>
            <w:tcW w:w="1680" w:type="dxa"/>
            <w:vAlign w:val="bottom"/>
          </w:tcPr>
          <w:p>
            <w:pPr>
              <w:ind w:left="60"/>
              <w:spacing w:after="0"/>
              <w:rPr>
                <w:sz w:val="20"/>
                <w:szCs w:val="20"/>
                <w:color w:val="auto"/>
              </w:rPr>
            </w:pPr>
            <w:r>
              <w:rPr>
                <w:rFonts w:ascii="Arial" w:cs="Arial" w:eastAsia="Arial" w:hAnsi="Arial"/>
                <w:sz w:val="18"/>
                <w:szCs w:val="18"/>
                <w:color w:val="auto"/>
              </w:rPr>
              <w:t>Quincy</w:t>
            </w:r>
          </w:p>
        </w:tc>
        <w:tc>
          <w:tcPr>
            <w:tcW w:w="560" w:type="dxa"/>
            <w:vAlign w:val="bottom"/>
          </w:tcPr>
          <w:p>
            <w:pPr>
              <w:ind w:left="280"/>
              <w:spacing w:after="0"/>
              <w:rPr>
                <w:sz w:val="20"/>
                <w:szCs w:val="20"/>
                <w:color w:val="auto"/>
              </w:rPr>
            </w:pPr>
            <w:r>
              <w:rPr>
                <w:rFonts w:ascii="Arial" w:cs="Arial" w:eastAsia="Arial" w:hAnsi="Arial"/>
                <w:sz w:val="18"/>
                <w:szCs w:val="18"/>
                <w:color w:val="auto"/>
                <w:w w:val="96"/>
              </w:rPr>
              <w:t>MA</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ILS Corp</w:t>
            </w:r>
          </w:p>
        </w:tc>
        <w:tc>
          <w:tcPr>
            <w:tcW w:w="4500" w:type="dxa"/>
            <w:vAlign w:val="bottom"/>
          </w:tcPr>
          <w:p>
            <w:pPr>
              <w:ind w:left="220"/>
              <w:spacing w:after="0"/>
              <w:rPr>
                <w:sz w:val="20"/>
                <w:szCs w:val="20"/>
                <w:color w:val="auto"/>
              </w:rPr>
            </w:pPr>
            <w:r>
              <w:rPr>
                <w:rFonts w:ascii="Arial" w:cs="Arial" w:eastAsia="Arial" w:hAnsi="Arial"/>
                <w:sz w:val="18"/>
                <w:szCs w:val="18"/>
                <w:color w:val="auto"/>
              </w:rPr>
              <w:t>Reading Hospital</w:t>
            </w:r>
          </w:p>
        </w:tc>
        <w:tc>
          <w:tcPr>
            <w:tcW w:w="3740" w:type="dxa"/>
            <w:vAlign w:val="bottom"/>
          </w:tcPr>
          <w:p>
            <w:pPr>
              <w:ind w:left="1980"/>
              <w:spacing w:after="0"/>
              <w:rPr>
                <w:sz w:val="20"/>
                <w:szCs w:val="20"/>
                <w:color w:val="auto"/>
              </w:rPr>
            </w:pPr>
            <w:r>
              <w:rPr>
                <w:rFonts w:ascii="Arial" w:cs="Arial" w:eastAsia="Arial" w:hAnsi="Arial"/>
                <w:sz w:val="18"/>
                <w:szCs w:val="18"/>
                <w:color w:val="auto"/>
              </w:rPr>
              <w:t>Jan Graham</w:t>
            </w:r>
          </w:p>
        </w:tc>
        <w:tc>
          <w:tcPr>
            <w:tcW w:w="1680" w:type="dxa"/>
            <w:vAlign w:val="bottom"/>
          </w:tcPr>
          <w:p>
            <w:pPr>
              <w:ind w:left="60"/>
              <w:spacing w:after="0"/>
              <w:rPr>
                <w:sz w:val="20"/>
                <w:szCs w:val="20"/>
                <w:color w:val="auto"/>
              </w:rPr>
            </w:pPr>
            <w:r>
              <w:rPr>
                <w:rFonts w:ascii="Arial" w:cs="Arial" w:eastAsia="Arial" w:hAnsi="Arial"/>
                <w:sz w:val="18"/>
                <w:szCs w:val="18"/>
                <w:color w:val="auto"/>
              </w:rPr>
              <w:t>Wyomissing</w:t>
            </w:r>
          </w:p>
        </w:tc>
        <w:tc>
          <w:tcPr>
            <w:tcW w:w="560" w:type="dxa"/>
            <w:vAlign w:val="bottom"/>
          </w:tcPr>
          <w:p>
            <w:pPr>
              <w:ind w:left="280"/>
              <w:spacing w:after="0"/>
              <w:rPr>
                <w:sz w:val="20"/>
                <w:szCs w:val="20"/>
                <w:color w:val="auto"/>
              </w:rPr>
            </w:pPr>
            <w:r>
              <w:rPr>
                <w:rFonts w:ascii="Arial" w:cs="Arial" w:eastAsia="Arial" w:hAnsi="Arial"/>
                <w:sz w:val="18"/>
                <w:szCs w:val="18"/>
                <w:color w:val="auto"/>
              </w:rPr>
              <w:t>PA</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ILS Corp</w:t>
            </w:r>
          </w:p>
        </w:tc>
        <w:tc>
          <w:tcPr>
            <w:tcW w:w="4500" w:type="dxa"/>
            <w:vAlign w:val="bottom"/>
          </w:tcPr>
          <w:p>
            <w:pPr>
              <w:ind w:left="220"/>
              <w:spacing w:after="0"/>
              <w:rPr>
                <w:sz w:val="20"/>
                <w:szCs w:val="20"/>
                <w:color w:val="auto"/>
              </w:rPr>
            </w:pPr>
            <w:r>
              <w:rPr>
                <w:rFonts w:ascii="Arial" w:cs="Arial" w:eastAsia="Arial" w:hAnsi="Arial"/>
                <w:sz w:val="18"/>
                <w:szCs w:val="18"/>
                <w:color w:val="auto"/>
              </w:rPr>
              <w:t>Regional MC - Bayonet Point</w:t>
            </w:r>
          </w:p>
        </w:tc>
        <w:tc>
          <w:tcPr>
            <w:tcW w:w="3740" w:type="dxa"/>
            <w:vAlign w:val="bottom"/>
          </w:tcPr>
          <w:p>
            <w:pPr>
              <w:ind w:left="1980"/>
              <w:spacing w:after="0"/>
              <w:rPr>
                <w:sz w:val="20"/>
                <w:szCs w:val="20"/>
                <w:color w:val="auto"/>
              </w:rPr>
            </w:pPr>
            <w:r>
              <w:rPr>
                <w:rFonts w:ascii="Arial" w:cs="Arial" w:eastAsia="Arial" w:hAnsi="Arial"/>
                <w:sz w:val="18"/>
                <w:szCs w:val="18"/>
                <w:color w:val="auto"/>
              </w:rPr>
              <w:t>GBristina Katamay</w:t>
            </w:r>
          </w:p>
        </w:tc>
        <w:tc>
          <w:tcPr>
            <w:tcW w:w="1680" w:type="dxa"/>
            <w:vAlign w:val="bottom"/>
          </w:tcPr>
          <w:p>
            <w:pPr>
              <w:ind w:left="60"/>
              <w:spacing w:after="0"/>
              <w:rPr>
                <w:sz w:val="20"/>
                <w:szCs w:val="20"/>
                <w:color w:val="auto"/>
              </w:rPr>
            </w:pPr>
            <w:r>
              <w:rPr>
                <w:rFonts w:ascii="Arial" w:cs="Arial" w:eastAsia="Arial" w:hAnsi="Arial"/>
                <w:sz w:val="18"/>
                <w:szCs w:val="18"/>
                <w:color w:val="auto"/>
              </w:rPr>
              <w:t>Hudson</w:t>
            </w:r>
          </w:p>
        </w:tc>
        <w:tc>
          <w:tcPr>
            <w:tcW w:w="560" w:type="dxa"/>
            <w:vAlign w:val="bottom"/>
          </w:tcPr>
          <w:p>
            <w:pPr>
              <w:ind w:left="280"/>
              <w:spacing w:after="0"/>
              <w:rPr>
                <w:sz w:val="20"/>
                <w:szCs w:val="20"/>
                <w:color w:val="auto"/>
              </w:rPr>
            </w:pPr>
            <w:r>
              <w:rPr>
                <w:rFonts w:ascii="Arial" w:cs="Arial" w:eastAsia="Arial" w:hAnsi="Arial"/>
                <w:sz w:val="18"/>
                <w:szCs w:val="18"/>
                <w:color w:val="auto"/>
              </w:rPr>
              <w:t>FL</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ILS Corp</w:t>
            </w:r>
          </w:p>
        </w:tc>
        <w:tc>
          <w:tcPr>
            <w:tcW w:w="4500" w:type="dxa"/>
            <w:vAlign w:val="bottom"/>
          </w:tcPr>
          <w:p>
            <w:pPr>
              <w:ind w:left="220"/>
              <w:spacing w:after="0"/>
              <w:rPr>
                <w:sz w:val="20"/>
                <w:szCs w:val="20"/>
                <w:color w:val="auto"/>
              </w:rPr>
            </w:pPr>
            <w:r>
              <w:rPr>
                <w:rFonts w:ascii="Arial" w:cs="Arial" w:eastAsia="Arial" w:hAnsi="Arial"/>
                <w:sz w:val="18"/>
                <w:szCs w:val="18"/>
                <w:color w:val="auto"/>
              </w:rPr>
              <w:t>Regional Medical Center</w:t>
            </w:r>
          </w:p>
        </w:tc>
        <w:tc>
          <w:tcPr>
            <w:tcW w:w="3740" w:type="dxa"/>
            <w:vAlign w:val="bottom"/>
          </w:tcPr>
          <w:p>
            <w:pPr>
              <w:ind w:left="1980"/>
              <w:spacing w:after="0"/>
              <w:rPr>
                <w:sz w:val="20"/>
                <w:szCs w:val="20"/>
                <w:color w:val="auto"/>
              </w:rPr>
            </w:pPr>
            <w:r>
              <w:rPr>
                <w:rFonts w:ascii="Arial" w:cs="Arial" w:eastAsia="Arial" w:hAnsi="Arial"/>
                <w:sz w:val="18"/>
                <w:szCs w:val="18"/>
                <w:color w:val="auto"/>
              </w:rPr>
              <w:t>Sheri Moody</w:t>
            </w:r>
          </w:p>
        </w:tc>
        <w:tc>
          <w:tcPr>
            <w:tcW w:w="1680" w:type="dxa"/>
            <w:vAlign w:val="bottom"/>
          </w:tcPr>
          <w:p>
            <w:pPr>
              <w:ind w:left="60"/>
              <w:spacing w:after="0"/>
              <w:rPr>
                <w:sz w:val="20"/>
                <w:szCs w:val="20"/>
                <w:color w:val="auto"/>
              </w:rPr>
            </w:pPr>
            <w:r>
              <w:rPr>
                <w:rFonts w:ascii="Arial" w:cs="Arial" w:eastAsia="Arial" w:hAnsi="Arial"/>
                <w:sz w:val="18"/>
                <w:szCs w:val="18"/>
                <w:color w:val="auto"/>
              </w:rPr>
              <w:t>Orangeburg</w:t>
            </w:r>
          </w:p>
        </w:tc>
        <w:tc>
          <w:tcPr>
            <w:tcW w:w="560" w:type="dxa"/>
            <w:vAlign w:val="bottom"/>
          </w:tcPr>
          <w:p>
            <w:pPr>
              <w:ind w:left="280"/>
              <w:spacing w:after="0"/>
              <w:rPr>
                <w:sz w:val="20"/>
                <w:szCs w:val="20"/>
                <w:color w:val="auto"/>
              </w:rPr>
            </w:pPr>
            <w:r>
              <w:rPr>
                <w:rFonts w:ascii="Arial" w:cs="Arial" w:eastAsia="Arial" w:hAnsi="Arial"/>
                <w:sz w:val="18"/>
                <w:szCs w:val="18"/>
                <w:color w:val="auto"/>
              </w:rPr>
              <w:t>SC</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ILS Corp</w:t>
            </w:r>
          </w:p>
        </w:tc>
        <w:tc>
          <w:tcPr>
            <w:tcW w:w="4500" w:type="dxa"/>
            <w:vAlign w:val="bottom"/>
          </w:tcPr>
          <w:p>
            <w:pPr>
              <w:ind w:left="220"/>
              <w:spacing w:after="0"/>
              <w:rPr>
                <w:sz w:val="20"/>
                <w:szCs w:val="20"/>
                <w:color w:val="auto"/>
              </w:rPr>
            </w:pPr>
            <w:r>
              <w:rPr>
                <w:rFonts w:ascii="Arial" w:cs="Arial" w:eastAsia="Arial" w:hAnsi="Arial"/>
                <w:sz w:val="18"/>
                <w:szCs w:val="18"/>
                <w:color w:val="auto"/>
              </w:rPr>
              <w:t>Riverside Community Hospital</w:t>
            </w:r>
          </w:p>
        </w:tc>
        <w:tc>
          <w:tcPr>
            <w:tcW w:w="3740" w:type="dxa"/>
            <w:vAlign w:val="bottom"/>
          </w:tcPr>
          <w:p>
            <w:pPr>
              <w:ind w:left="1980"/>
              <w:spacing w:after="0"/>
              <w:rPr>
                <w:sz w:val="20"/>
                <w:szCs w:val="20"/>
                <w:color w:val="auto"/>
              </w:rPr>
            </w:pPr>
            <w:r>
              <w:rPr>
                <w:rFonts w:ascii="Arial" w:cs="Arial" w:eastAsia="Arial" w:hAnsi="Arial"/>
                <w:sz w:val="18"/>
                <w:szCs w:val="18"/>
                <w:color w:val="auto"/>
              </w:rPr>
              <w:t>Anita Cox</w:t>
            </w:r>
          </w:p>
        </w:tc>
        <w:tc>
          <w:tcPr>
            <w:tcW w:w="1680" w:type="dxa"/>
            <w:vAlign w:val="bottom"/>
          </w:tcPr>
          <w:p>
            <w:pPr>
              <w:ind w:left="60"/>
              <w:spacing w:after="0"/>
              <w:rPr>
                <w:sz w:val="20"/>
                <w:szCs w:val="20"/>
                <w:color w:val="auto"/>
              </w:rPr>
            </w:pPr>
            <w:r>
              <w:rPr>
                <w:rFonts w:ascii="Arial" w:cs="Arial" w:eastAsia="Arial" w:hAnsi="Arial"/>
                <w:sz w:val="18"/>
                <w:szCs w:val="18"/>
                <w:color w:val="auto"/>
              </w:rPr>
              <w:t>Riverside</w:t>
            </w:r>
          </w:p>
        </w:tc>
        <w:tc>
          <w:tcPr>
            <w:tcW w:w="560" w:type="dxa"/>
            <w:vAlign w:val="bottom"/>
          </w:tcPr>
          <w:p>
            <w:pPr>
              <w:ind w:left="280"/>
              <w:spacing w:after="0"/>
              <w:rPr>
                <w:sz w:val="20"/>
                <w:szCs w:val="20"/>
                <w:color w:val="auto"/>
              </w:rPr>
            </w:pPr>
            <w:r>
              <w:rPr>
                <w:rFonts w:ascii="Arial" w:cs="Arial" w:eastAsia="Arial" w:hAnsi="Arial"/>
                <w:sz w:val="18"/>
                <w:szCs w:val="18"/>
                <w:color w:val="auto"/>
              </w:rPr>
              <w:t>CA</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ILS Corp</w:t>
            </w:r>
          </w:p>
        </w:tc>
        <w:tc>
          <w:tcPr>
            <w:tcW w:w="4500" w:type="dxa"/>
            <w:vAlign w:val="bottom"/>
          </w:tcPr>
          <w:p>
            <w:pPr>
              <w:ind w:left="220"/>
              <w:spacing w:after="0"/>
              <w:rPr>
                <w:sz w:val="20"/>
                <w:szCs w:val="20"/>
                <w:color w:val="auto"/>
              </w:rPr>
            </w:pPr>
            <w:r>
              <w:rPr>
                <w:rFonts w:ascii="Arial" w:cs="Arial" w:eastAsia="Arial" w:hAnsi="Arial"/>
                <w:sz w:val="18"/>
                <w:szCs w:val="18"/>
                <w:color w:val="auto"/>
              </w:rPr>
              <w:t>Riverside Methodist Hospital</w:t>
            </w:r>
          </w:p>
        </w:tc>
        <w:tc>
          <w:tcPr>
            <w:tcW w:w="3740" w:type="dxa"/>
            <w:vAlign w:val="bottom"/>
          </w:tcPr>
          <w:p>
            <w:pPr>
              <w:ind w:left="1980"/>
              <w:spacing w:after="0"/>
              <w:rPr>
                <w:sz w:val="20"/>
                <w:szCs w:val="20"/>
                <w:color w:val="auto"/>
              </w:rPr>
            </w:pPr>
            <w:r>
              <w:rPr>
                <w:rFonts w:ascii="Arial" w:cs="Arial" w:eastAsia="Arial" w:hAnsi="Arial"/>
                <w:sz w:val="18"/>
                <w:szCs w:val="18"/>
                <w:color w:val="auto"/>
              </w:rPr>
              <w:t>Nancy Skaggs</w:t>
            </w:r>
          </w:p>
        </w:tc>
        <w:tc>
          <w:tcPr>
            <w:tcW w:w="1680" w:type="dxa"/>
            <w:vAlign w:val="bottom"/>
          </w:tcPr>
          <w:p>
            <w:pPr>
              <w:ind w:left="60"/>
              <w:spacing w:after="0"/>
              <w:rPr>
                <w:sz w:val="20"/>
                <w:szCs w:val="20"/>
                <w:color w:val="auto"/>
              </w:rPr>
            </w:pPr>
            <w:r>
              <w:rPr>
                <w:rFonts w:ascii="Arial" w:cs="Arial" w:eastAsia="Arial" w:hAnsi="Arial"/>
                <w:sz w:val="18"/>
                <w:szCs w:val="18"/>
                <w:color w:val="auto"/>
              </w:rPr>
              <w:t>Columbus</w:t>
            </w:r>
          </w:p>
        </w:tc>
        <w:tc>
          <w:tcPr>
            <w:tcW w:w="560" w:type="dxa"/>
            <w:vAlign w:val="bottom"/>
          </w:tcPr>
          <w:p>
            <w:pPr>
              <w:ind w:left="280"/>
              <w:spacing w:after="0"/>
              <w:rPr>
                <w:sz w:val="20"/>
                <w:szCs w:val="20"/>
                <w:color w:val="auto"/>
              </w:rPr>
            </w:pPr>
            <w:r>
              <w:rPr>
                <w:rFonts w:ascii="Arial" w:cs="Arial" w:eastAsia="Arial" w:hAnsi="Arial"/>
                <w:sz w:val="18"/>
                <w:szCs w:val="18"/>
                <w:color w:val="auto"/>
                <w:w w:val="96"/>
              </w:rPr>
              <w:t>OH</w:t>
            </w:r>
          </w:p>
        </w:tc>
      </w:t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ILS Corp</w:t>
            </w:r>
          </w:p>
        </w:tc>
        <w:tc>
          <w:tcPr>
            <w:tcW w:w="4500" w:type="dxa"/>
            <w:vAlign w:val="bottom"/>
          </w:tcPr>
          <w:p>
            <w:pPr>
              <w:ind w:left="220"/>
              <w:spacing w:after="0"/>
              <w:rPr>
                <w:sz w:val="20"/>
                <w:szCs w:val="20"/>
                <w:color w:val="auto"/>
              </w:rPr>
            </w:pPr>
            <w:r>
              <w:rPr>
                <w:rFonts w:ascii="Arial" w:cs="Arial" w:eastAsia="Arial" w:hAnsi="Arial"/>
                <w:sz w:val="18"/>
                <w:szCs w:val="18"/>
                <w:color w:val="auto"/>
              </w:rPr>
              <w:t>Riverview Hospital</w:t>
            </w:r>
          </w:p>
        </w:tc>
        <w:tc>
          <w:tcPr>
            <w:tcW w:w="3740" w:type="dxa"/>
            <w:vAlign w:val="bottom"/>
          </w:tcPr>
          <w:p>
            <w:pPr>
              <w:ind w:left="1980"/>
              <w:spacing w:after="0"/>
              <w:rPr>
                <w:sz w:val="20"/>
                <w:szCs w:val="20"/>
                <w:color w:val="auto"/>
              </w:rPr>
            </w:pPr>
            <w:r>
              <w:rPr>
                <w:rFonts w:ascii="Arial" w:cs="Arial" w:eastAsia="Arial" w:hAnsi="Arial"/>
                <w:sz w:val="18"/>
                <w:szCs w:val="18"/>
                <w:color w:val="auto"/>
              </w:rPr>
              <w:t>Carole Haferman</w:t>
            </w:r>
          </w:p>
        </w:tc>
        <w:tc>
          <w:tcPr>
            <w:tcW w:w="1680" w:type="dxa"/>
            <w:vAlign w:val="bottom"/>
          </w:tcPr>
          <w:p>
            <w:pPr>
              <w:ind w:left="60"/>
              <w:spacing w:after="0"/>
              <w:rPr>
                <w:sz w:val="20"/>
                <w:szCs w:val="20"/>
                <w:color w:val="auto"/>
              </w:rPr>
            </w:pPr>
            <w:r>
              <w:rPr>
                <w:rFonts w:ascii="Arial" w:cs="Arial" w:eastAsia="Arial" w:hAnsi="Arial"/>
                <w:sz w:val="18"/>
                <w:szCs w:val="18"/>
                <w:color w:val="auto"/>
              </w:rPr>
              <w:t>Wisconsin Rapids</w:t>
            </w:r>
          </w:p>
        </w:tc>
        <w:tc>
          <w:tcPr>
            <w:tcW w:w="560" w:type="dxa"/>
            <w:vAlign w:val="bottom"/>
          </w:tcPr>
          <w:p>
            <w:pPr>
              <w:ind w:left="280"/>
              <w:spacing w:after="0"/>
              <w:rPr>
                <w:sz w:val="20"/>
                <w:szCs w:val="20"/>
                <w:color w:val="auto"/>
              </w:rPr>
            </w:pPr>
            <w:r>
              <w:rPr>
                <w:rFonts w:ascii="Arial" w:cs="Arial" w:eastAsia="Arial" w:hAnsi="Arial"/>
                <w:sz w:val="18"/>
                <w:szCs w:val="18"/>
                <w:color w:val="auto"/>
              </w:rPr>
              <w:t>WI</w:t>
            </w:r>
          </w:p>
        </w:tc>
      </w:tr>
    </w:tbl>
    <w:p>
      <w:pPr>
        <w:sectPr>
          <w:pgSz w:w="11900" w:h="16838" w:orient="portrait"/>
          <w:cols w:equalWidth="0" w:num="1">
            <w:col w:w="11360"/>
          </w:cols>
          <w:pgMar w:left="240" w:top="279" w:right="299" w:bottom="1440" w:gutter="0" w:footer="0" w:header="0"/>
        </w:sectPr>
      </w:pPr>
    </w:p>
    <w:bookmarkStart w:id="344" w:name="page345"/>
    <w:bookmarkEnd w:id="34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ILS Corp</w:t>
            </w:r>
          </w:p>
        </w:tc>
        <w:tc>
          <w:tcPr>
            <w:tcW w:w="4680" w:type="dxa"/>
            <w:vAlign w:val="bottom"/>
          </w:tcPr>
          <w:p>
            <w:pPr>
              <w:ind w:left="200"/>
              <w:spacing w:after="0"/>
              <w:rPr>
                <w:sz w:val="20"/>
                <w:szCs w:val="20"/>
                <w:color w:val="auto"/>
              </w:rPr>
            </w:pPr>
            <w:r>
              <w:rPr>
                <w:rFonts w:ascii="Arial" w:cs="Arial" w:eastAsia="Arial" w:hAnsi="Arial"/>
                <w:sz w:val="18"/>
                <w:szCs w:val="18"/>
                <w:color w:val="auto"/>
              </w:rPr>
              <w:t>Robinson Memorial Hospital</w:t>
            </w:r>
          </w:p>
        </w:tc>
        <w:tc>
          <w:tcPr>
            <w:tcW w:w="3580" w:type="dxa"/>
            <w:vAlign w:val="bottom"/>
          </w:tcPr>
          <w:p>
            <w:pPr>
              <w:ind w:left="1720"/>
              <w:spacing w:after="0"/>
              <w:rPr>
                <w:sz w:val="20"/>
                <w:szCs w:val="20"/>
                <w:color w:val="auto"/>
              </w:rPr>
            </w:pPr>
            <w:r>
              <w:rPr>
                <w:rFonts w:ascii="Arial" w:cs="Arial" w:eastAsia="Arial" w:hAnsi="Arial"/>
                <w:sz w:val="18"/>
                <w:szCs w:val="18"/>
                <w:color w:val="auto"/>
              </w:rPr>
              <w:t>Richard B.</w:t>
            </w:r>
          </w:p>
        </w:tc>
        <w:tc>
          <w:tcPr>
            <w:tcW w:w="1520" w:type="dxa"/>
            <w:vAlign w:val="bottom"/>
          </w:tcPr>
          <w:p>
            <w:pPr>
              <w:ind w:left="60"/>
              <w:spacing w:after="0"/>
              <w:rPr>
                <w:sz w:val="20"/>
                <w:szCs w:val="20"/>
                <w:color w:val="auto"/>
              </w:rPr>
            </w:pPr>
            <w:r>
              <w:rPr>
                <w:rFonts w:ascii="Arial" w:cs="Arial" w:eastAsia="Arial" w:hAnsi="Arial"/>
                <w:sz w:val="18"/>
                <w:szCs w:val="18"/>
                <w:color w:val="auto"/>
              </w:rPr>
              <w:t>Ravenna</w:t>
            </w:r>
          </w:p>
        </w:tc>
        <w:tc>
          <w:tcPr>
            <w:tcW w:w="700" w:type="dxa"/>
            <w:vAlign w:val="bottom"/>
          </w:tcPr>
          <w:p>
            <w:pPr>
              <w:ind w:left="420"/>
              <w:spacing w:after="0"/>
              <w:rPr>
                <w:sz w:val="20"/>
                <w:szCs w:val="20"/>
                <w:color w:val="auto"/>
              </w:rPr>
            </w:pPr>
            <w:r>
              <w:rPr>
                <w:rFonts w:ascii="Arial" w:cs="Arial" w:eastAsia="Arial" w:hAnsi="Arial"/>
                <w:sz w:val="18"/>
                <w:szCs w:val="18"/>
                <w:color w:val="auto"/>
                <w:w w:val="96"/>
              </w:rPr>
              <w:t>OH</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ILS Corp</w:t>
            </w:r>
          </w:p>
        </w:tc>
        <w:tc>
          <w:tcPr>
            <w:tcW w:w="4680" w:type="dxa"/>
            <w:vAlign w:val="bottom"/>
          </w:tcPr>
          <w:p>
            <w:pPr>
              <w:ind w:left="200"/>
              <w:spacing w:after="0"/>
              <w:rPr>
                <w:sz w:val="20"/>
                <w:szCs w:val="20"/>
                <w:color w:val="auto"/>
              </w:rPr>
            </w:pPr>
            <w:r>
              <w:rPr>
                <w:rFonts w:ascii="Arial" w:cs="Arial" w:eastAsia="Arial" w:hAnsi="Arial"/>
                <w:sz w:val="18"/>
                <w:szCs w:val="18"/>
                <w:color w:val="auto"/>
              </w:rPr>
              <w:t>Rockford Orthopedic Surg Ctr</w:t>
            </w:r>
          </w:p>
        </w:tc>
        <w:tc>
          <w:tcPr>
            <w:tcW w:w="3580" w:type="dxa"/>
            <w:vAlign w:val="bottom"/>
          </w:tcPr>
          <w:p>
            <w:pPr>
              <w:ind w:left="1720"/>
              <w:spacing w:after="0"/>
              <w:rPr>
                <w:sz w:val="20"/>
                <w:szCs w:val="20"/>
                <w:color w:val="auto"/>
              </w:rPr>
            </w:pPr>
            <w:r>
              <w:rPr>
                <w:rFonts w:ascii="Arial" w:cs="Arial" w:eastAsia="Arial" w:hAnsi="Arial"/>
                <w:sz w:val="18"/>
                <w:szCs w:val="18"/>
                <w:color w:val="auto"/>
              </w:rPr>
              <w:t>Amy Folk</w:t>
            </w:r>
          </w:p>
        </w:tc>
        <w:tc>
          <w:tcPr>
            <w:tcW w:w="1520" w:type="dxa"/>
            <w:vAlign w:val="bottom"/>
          </w:tcPr>
          <w:p>
            <w:pPr>
              <w:ind w:left="60"/>
              <w:spacing w:after="0"/>
              <w:rPr>
                <w:sz w:val="20"/>
                <w:szCs w:val="20"/>
                <w:color w:val="auto"/>
              </w:rPr>
            </w:pPr>
            <w:r>
              <w:rPr>
                <w:rFonts w:ascii="Arial" w:cs="Arial" w:eastAsia="Arial" w:hAnsi="Arial"/>
                <w:sz w:val="18"/>
                <w:szCs w:val="18"/>
                <w:color w:val="auto"/>
              </w:rPr>
              <w:t>Rockford</w:t>
            </w:r>
          </w:p>
        </w:tc>
        <w:tc>
          <w:tcPr>
            <w:tcW w:w="700" w:type="dxa"/>
            <w:vAlign w:val="bottom"/>
          </w:tcPr>
          <w:p>
            <w:pPr>
              <w:ind w:left="420"/>
              <w:spacing w:after="0"/>
              <w:rPr>
                <w:sz w:val="20"/>
                <w:szCs w:val="20"/>
                <w:color w:val="auto"/>
              </w:rPr>
            </w:pPr>
            <w:r>
              <w:rPr>
                <w:rFonts w:ascii="Arial" w:cs="Arial" w:eastAsia="Arial" w:hAnsi="Arial"/>
                <w:sz w:val="18"/>
                <w:szCs w:val="18"/>
                <w:color w:val="auto"/>
              </w:rPr>
              <w:t>IL</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ILS Corp</w:t>
            </w:r>
          </w:p>
        </w:tc>
        <w:tc>
          <w:tcPr>
            <w:tcW w:w="4680" w:type="dxa"/>
            <w:vAlign w:val="bottom"/>
          </w:tcPr>
          <w:p>
            <w:pPr>
              <w:ind w:left="200"/>
              <w:spacing w:after="0"/>
              <w:rPr>
                <w:sz w:val="20"/>
                <w:szCs w:val="20"/>
                <w:color w:val="auto"/>
              </w:rPr>
            </w:pPr>
            <w:r>
              <w:rPr>
                <w:rFonts w:ascii="Arial" w:cs="Arial" w:eastAsia="Arial" w:hAnsi="Arial"/>
                <w:sz w:val="18"/>
                <w:szCs w:val="18"/>
                <w:color w:val="auto"/>
              </w:rPr>
              <w:t>Rockside Road Surgery Center</w:t>
            </w:r>
          </w:p>
        </w:tc>
        <w:tc>
          <w:tcPr>
            <w:tcW w:w="3580" w:type="dxa"/>
            <w:vAlign w:val="bottom"/>
          </w:tcPr>
          <w:p>
            <w:pPr>
              <w:ind w:left="1720"/>
              <w:spacing w:after="0"/>
              <w:rPr>
                <w:sz w:val="20"/>
                <w:szCs w:val="20"/>
                <w:color w:val="auto"/>
              </w:rPr>
            </w:pPr>
            <w:r>
              <w:rPr>
                <w:rFonts w:ascii="Arial" w:cs="Arial" w:eastAsia="Arial" w:hAnsi="Arial"/>
                <w:sz w:val="18"/>
                <w:szCs w:val="18"/>
                <w:color w:val="auto"/>
              </w:rPr>
              <w:t>Lydia Arnost</w:t>
            </w:r>
          </w:p>
        </w:tc>
        <w:tc>
          <w:tcPr>
            <w:tcW w:w="1520" w:type="dxa"/>
            <w:vAlign w:val="bottom"/>
          </w:tcPr>
          <w:p>
            <w:pPr>
              <w:ind w:left="60"/>
              <w:spacing w:after="0"/>
              <w:rPr>
                <w:sz w:val="20"/>
                <w:szCs w:val="20"/>
                <w:color w:val="auto"/>
              </w:rPr>
            </w:pPr>
            <w:r>
              <w:rPr>
                <w:rFonts w:ascii="Arial" w:cs="Arial" w:eastAsia="Arial" w:hAnsi="Arial"/>
                <w:sz w:val="18"/>
                <w:szCs w:val="18"/>
                <w:color w:val="auto"/>
              </w:rPr>
              <w:t>Independence</w:t>
            </w:r>
          </w:p>
        </w:tc>
        <w:tc>
          <w:tcPr>
            <w:tcW w:w="700" w:type="dxa"/>
            <w:vAlign w:val="bottom"/>
          </w:tcPr>
          <w:p>
            <w:pPr>
              <w:ind w:left="420"/>
              <w:spacing w:after="0"/>
              <w:rPr>
                <w:sz w:val="20"/>
                <w:szCs w:val="20"/>
                <w:color w:val="auto"/>
              </w:rPr>
            </w:pPr>
            <w:r>
              <w:rPr>
                <w:rFonts w:ascii="Arial" w:cs="Arial" w:eastAsia="Arial" w:hAnsi="Arial"/>
                <w:sz w:val="18"/>
                <w:szCs w:val="18"/>
                <w:color w:val="auto"/>
                <w:w w:val="96"/>
              </w:rPr>
              <w:t>OH</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ILS Corp</w:t>
            </w:r>
          </w:p>
        </w:tc>
        <w:tc>
          <w:tcPr>
            <w:tcW w:w="4680" w:type="dxa"/>
            <w:vAlign w:val="bottom"/>
          </w:tcPr>
          <w:p>
            <w:pPr>
              <w:ind w:left="200"/>
              <w:spacing w:after="0"/>
              <w:rPr>
                <w:sz w:val="20"/>
                <w:szCs w:val="20"/>
                <w:color w:val="auto"/>
              </w:rPr>
            </w:pPr>
            <w:r>
              <w:rPr>
                <w:rFonts w:ascii="Arial" w:cs="Arial" w:eastAsia="Arial" w:hAnsi="Arial"/>
                <w:sz w:val="18"/>
                <w:szCs w:val="18"/>
                <w:color w:val="auto"/>
              </w:rPr>
              <w:t>Rose Medical Center</w:t>
            </w:r>
          </w:p>
        </w:tc>
        <w:tc>
          <w:tcPr>
            <w:tcW w:w="3580" w:type="dxa"/>
            <w:vAlign w:val="bottom"/>
          </w:tcPr>
          <w:p>
            <w:pPr>
              <w:spacing w:after="0"/>
              <w:rPr>
                <w:sz w:val="18"/>
                <w:szCs w:val="18"/>
                <w:color w:val="auto"/>
              </w:rPr>
            </w:pPr>
          </w:p>
        </w:tc>
        <w:tc>
          <w:tcPr>
            <w:tcW w:w="1520" w:type="dxa"/>
            <w:vAlign w:val="bottom"/>
          </w:tcPr>
          <w:p>
            <w:pPr>
              <w:ind w:left="60"/>
              <w:spacing w:after="0"/>
              <w:rPr>
                <w:sz w:val="20"/>
                <w:szCs w:val="20"/>
                <w:color w:val="auto"/>
              </w:rPr>
            </w:pPr>
            <w:r>
              <w:rPr>
                <w:rFonts w:ascii="Arial" w:cs="Arial" w:eastAsia="Arial" w:hAnsi="Arial"/>
                <w:sz w:val="18"/>
                <w:szCs w:val="18"/>
                <w:color w:val="auto"/>
              </w:rPr>
              <w:t>Denver</w:t>
            </w:r>
          </w:p>
        </w:tc>
        <w:tc>
          <w:tcPr>
            <w:tcW w:w="700" w:type="dxa"/>
            <w:vAlign w:val="bottom"/>
          </w:tcPr>
          <w:p>
            <w:pPr>
              <w:ind w:left="420"/>
              <w:spacing w:after="0"/>
              <w:rPr>
                <w:sz w:val="20"/>
                <w:szCs w:val="20"/>
                <w:color w:val="auto"/>
              </w:rPr>
            </w:pPr>
            <w:r>
              <w:rPr>
                <w:rFonts w:ascii="Arial" w:cs="Arial" w:eastAsia="Arial" w:hAnsi="Arial"/>
                <w:sz w:val="18"/>
                <w:szCs w:val="18"/>
                <w:color w:val="auto"/>
                <w:w w:val="96"/>
              </w:rPr>
              <w:t>CO</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ILS Corp</w:t>
            </w:r>
          </w:p>
        </w:tc>
        <w:tc>
          <w:tcPr>
            <w:tcW w:w="4680" w:type="dxa"/>
            <w:vAlign w:val="bottom"/>
          </w:tcPr>
          <w:p>
            <w:pPr>
              <w:ind w:left="200"/>
              <w:spacing w:after="0"/>
              <w:rPr>
                <w:sz w:val="20"/>
                <w:szCs w:val="20"/>
                <w:color w:val="auto"/>
              </w:rPr>
            </w:pPr>
            <w:r>
              <w:rPr>
                <w:rFonts w:ascii="Arial" w:cs="Arial" w:eastAsia="Arial" w:hAnsi="Arial"/>
                <w:sz w:val="18"/>
                <w:szCs w:val="18"/>
                <w:color w:val="auto"/>
              </w:rPr>
              <w:t>Rush Copley Medical Center</w:t>
            </w:r>
          </w:p>
        </w:tc>
        <w:tc>
          <w:tcPr>
            <w:tcW w:w="3580" w:type="dxa"/>
            <w:vAlign w:val="bottom"/>
          </w:tcPr>
          <w:p>
            <w:pPr>
              <w:spacing w:after="0"/>
              <w:rPr>
                <w:sz w:val="18"/>
                <w:szCs w:val="18"/>
                <w:color w:val="auto"/>
              </w:rPr>
            </w:pPr>
          </w:p>
        </w:tc>
        <w:tc>
          <w:tcPr>
            <w:tcW w:w="1520" w:type="dxa"/>
            <w:vAlign w:val="bottom"/>
          </w:tcPr>
          <w:p>
            <w:pPr>
              <w:ind w:left="60"/>
              <w:spacing w:after="0"/>
              <w:rPr>
                <w:sz w:val="20"/>
                <w:szCs w:val="20"/>
                <w:color w:val="auto"/>
              </w:rPr>
            </w:pPr>
            <w:r>
              <w:rPr>
                <w:rFonts w:ascii="Arial" w:cs="Arial" w:eastAsia="Arial" w:hAnsi="Arial"/>
                <w:sz w:val="18"/>
                <w:szCs w:val="18"/>
                <w:color w:val="auto"/>
              </w:rPr>
              <w:t>Aurora</w:t>
            </w:r>
          </w:p>
        </w:tc>
        <w:tc>
          <w:tcPr>
            <w:tcW w:w="700" w:type="dxa"/>
            <w:vAlign w:val="bottom"/>
          </w:tcPr>
          <w:p>
            <w:pPr>
              <w:ind w:left="420"/>
              <w:spacing w:after="0"/>
              <w:rPr>
                <w:sz w:val="20"/>
                <w:szCs w:val="20"/>
                <w:color w:val="auto"/>
              </w:rPr>
            </w:pPr>
            <w:r>
              <w:rPr>
                <w:rFonts w:ascii="Arial" w:cs="Arial" w:eastAsia="Arial" w:hAnsi="Arial"/>
                <w:sz w:val="18"/>
                <w:szCs w:val="18"/>
                <w:color w:val="auto"/>
              </w:rPr>
              <w:t>IL</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ILS Corp</w:t>
            </w:r>
          </w:p>
        </w:tc>
        <w:tc>
          <w:tcPr>
            <w:tcW w:w="4680" w:type="dxa"/>
            <w:vAlign w:val="bottom"/>
          </w:tcPr>
          <w:p>
            <w:pPr>
              <w:ind w:left="200"/>
              <w:spacing w:after="0"/>
              <w:rPr>
                <w:sz w:val="20"/>
                <w:szCs w:val="20"/>
                <w:color w:val="auto"/>
              </w:rPr>
            </w:pPr>
            <w:r>
              <w:rPr>
                <w:rFonts w:ascii="Arial" w:cs="Arial" w:eastAsia="Arial" w:hAnsi="Arial"/>
                <w:sz w:val="18"/>
                <w:szCs w:val="18"/>
                <w:color w:val="auto"/>
              </w:rPr>
              <w:t>Sacred Heart Hospital</w:t>
            </w:r>
          </w:p>
        </w:tc>
        <w:tc>
          <w:tcPr>
            <w:tcW w:w="3580" w:type="dxa"/>
            <w:vAlign w:val="bottom"/>
          </w:tcPr>
          <w:p>
            <w:pPr>
              <w:ind w:left="1720"/>
              <w:spacing w:after="0"/>
              <w:rPr>
                <w:sz w:val="20"/>
                <w:szCs w:val="20"/>
                <w:color w:val="auto"/>
              </w:rPr>
            </w:pPr>
            <w:r>
              <w:rPr>
                <w:rFonts w:ascii="Arial" w:cs="Arial" w:eastAsia="Arial" w:hAnsi="Arial"/>
                <w:sz w:val="18"/>
                <w:szCs w:val="18"/>
                <w:color w:val="auto"/>
              </w:rPr>
              <w:t>James Hull</w:t>
            </w:r>
          </w:p>
        </w:tc>
        <w:tc>
          <w:tcPr>
            <w:tcW w:w="1520" w:type="dxa"/>
            <w:vAlign w:val="bottom"/>
          </w:tcPr>
          <w:p>
            <w:pPr>
              <w:ind w:left="60"/>
              <w:spacing w:after="0"/>
              <w:rPr>
                <w:sz w:val="20"/>
                <w:szCs w:val="20"/>
                <w:color w:val="auto"/>
              </w:rPr>
            </w:pPr>
            <w:r>
              <w:rPr>
                <w:rFonts w:ascii="Arial" w:cs="Arial" w:eastAsia="Arial" w:hAnsi="Arial"/>
                <w:sz w:val="18"/>
                <w:szCs w:val="18"/>
                <w:color w:val="auto"/>
              </w:rPr>
              <w:t>Pensacola</w:t>
            </w:r>
          </w:p>
        </w:tc>
        <w:tc>
          <w:tcPr>
            <w:tcW w:w="700" w:type="dxa"/>
            <w:vAlign w:val="bottom"/>
          </w:tcPr>
          <w:p>
            <w:pPr>
              <w:ind w:left="420"/>
              <w:spacing w:after="0"/>
              <w:rPr>
                <w:sz w:val="20"/>
                <w:szCs w:val="20"/>
                <w:color w:val="auto"/>
              </w:rPr>
            </w:pPr>
            <w:r>
              <w:rPr>
                <w:rFonts w:ascii="Arial" w:cs="Arial" w:eastAsia="Arial" w:hAnsi="Arial"/>
                <w:sz w:val="18"/>
                <w:szCs w:val="18"/>
                <w:color w:val="auto"/>
              </w:rPr>
              <w:t>FL</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ILS Corp</w:t>
            </w:r>
          </w:p>
        </w:tc>
        <w:tc>
          <w:tcPr>
            <w:tcW w:w="4680" w:type="dxa"/>
            <w:vAlign w:val="bottom"/>
          </w:tcPr>
          <w:p>
            <w:pPr>
              <w:ind w:left="200"/>
              <w:spacing w:after="0"/>
              <w:rPr>
                <w:sz w:val="20"/>
                <w:szCs w:val="20"/>
                <w:color w:val="auto"/>
              </w:rPr>
            </w:pPr>
            <w:r>
              <w:rPr>
                <w:rFonts w:ascii="Arial" w:cs="Arial" w:eastAsia="Arial" w:hAnsi="Arial"/>
                <w:sz w:val="18"/>
                <w:szCs w:val="18"/>
                <w:color w:val="auto"/>
              </w:rPr>
              <w:t>San Juan Reg Med Ctr</w:t>
            </w:r>
          </w:p>
        </w:tc>
        <w:tc>
          <w:tcPr>
            <w:tcW w:w="3580" w:type="dxa"/>
            <w:vAlign w:val="bottom"/>
          </w:tcPr>
          <w:p>
            <w:pPr>
              <w:ind w:left="1720"/>
              <w:spacing w:after="0"/>
              <w:rPr>
                <w:sz w:val="20"/>
                <w:szCs w:val="20"/>
                <w:color w:val="auto"/>
              </w:rPr>
            </w:pPr>
            <w:r>
              <w:rPr>
                <w:rFonts w:ascii="Arial" w:cs="Arial" w:eastAsia="Arial" w:hAnsi="Arial"/>
                <w:sz w:val="18"/>
                <w:szCs w:val="18"/>
                <w:color w:val="auto"/>
              </w:rPr>
              <w:t>Sue Gil</w:t>
            </w:r>
          </w:p>
        </w:tc>
        <w:tc>
          <w:tcPr>
            <w:tcW w:w="1520" w:type="dxa"/>
            <w:vAlign w:val="bottom"/>
          </w:tcPr>
          <w:p>
            <w:pPr>
              <w:ind w:left="60"/>
              <w:spacing w:after="0"/>
              <w:rPr>
                <w:sz w:val="20"/>
                <w:szCs w:val="20"/>
                <w:color w:val="auto"/>
              </w:rPr>
            </w:pPr>
            <w:r>
              <w:rPr>
                <w:rFonts w:ascii="Arial" w:cs="Arial" w:eastAsia="Arial" w:hAnsi="Arial"/>
                <w:sz w:val="18"/>
                <w:szCs w:val="18"/>
                <w:color w:val="auto"/>
              </w:rPr>
              <w:t>Farmington</w:t>
            </w:r>
          </w:p>
        </w:tc>
        <w:tc>
          <w:tcPr>
            <w:tcW w:w="700" w:type="dxa"/>
            <w:vAlign w:val="bottom"/>
          </w:tcPr>
          <w:p>
            <w:pPr>
              <w:ind w:left="420"/>
              <w:spacing w:after="0"/>
              <w:rPr>
                <w:sz w:val="20"/>
                <w:szCs w:val="20"/>
                <w:color w:val="auto"/>
              </w:rPr>
            </w:pPr>
            <w:r>
              <w:rPr>
                <w:rFonts w:ascii="Arial" w:cs="Arial" w:eastAsia="Arial" w:hAnsi="Arial"/>
                <w:sz w:val="18"/>
                <w:szCs w:val="18"/>
                <w:color w:val="auto"/>
                <w:w w:val="92"/>
              </w:rPr>
              <w:t>NM</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ILS Corp</w:t>
            </w:r>
          </w:p>
        </w:tc>
        <w:tc>
          <w:tcPr>
            <w:tcW w:w="4680" w:type="dxa"/>
            <w:vAlign w:val="bottom"/>
          </w:tcPr>
          <w:p>
            <w:pPr>
              <w:ind w:left="200"/>
              <w:spacing w:after="0"/>
              <w:rPr>
                <w:sz w:val="20"/>
                <w:szCs w:val="20"/>
                <w:color w:val="auto"/>
              </w:rPr>
            </w:pPr>
            <w:r>
              <w:rPr>
                <w:rFonts w:ascii="Arial" w:cs="Arial" w:eastAsia="Arial" w:hAnsi="Arial"/>
                <w:sz w:val="18"/>
                <w:szCs w:val="18"/>
                <w:color w:val="auto"/>
              </w:rPr>
              <w:t>Sarasota Memorial</w:t>
            </w:r>
          </w:p>
        </w:tc>
        <w:tc>
          <w:tcPr>
            <w:tcW w:w="3580" w:type="dxa"/>
            <w:vAlign w:val="bottom"/>
          </w:tcPr>
          <w:p>
            <w:pPr>
              <w:ind w:left="1720"/>
              <w:spacing w:after="0"/>
              <w:rPr>
                <w:sz w:val="20"/>
                <w:szCs w:val="20"/>
                <w:color w:val="auto"/>
              </w:rPr>
            </w:pPr>
            <w:r>
              <w:rPr>
                <w:rFonts w:ascii="Arial" w:cs="Arial" w:eastAsia="Arial" w:hAnsi="Arial"/>
                <w:sz w:val="18"/>
                <w:szCs w:val="18"/>
                <w:color w:val="auto"/>
              </w:rPr>
              <w:t>Melody Redden</w:t>
            </w:r>
          </w:p>
        </w:tc>
        <w:tc>
          <w:tcPr>
            <w:tcW w:w="1520" w:type="dxa"/>
            <w:vAlign w:val="bottom"/>
          </w:tcPr>
          <w:p>
            <w:pPr>
              <w:ind w:left="60"/>
              <w:spacing w:after="0"/>
              <w:rPr>
                <w:sz w:val="20"/>
                <w:szCs w:val="20"/>
                <w:color w:val="auto"/>
              </w:rPr>
            </w:pPr>
            <w:r>
              <w:rPr>
                <w:rFonts w:ascii="Arial" w:cs="Arial" w:eastAsia="Arial" w:hAnsi="Arial"/>
                <w:sz w:val="18"/>
                <w:szCs w:val="18"/>
                <w:color w:val="auto"/>
              </w:rPr>
              <w:t>Sarasota</w:t>
            </w:r>
          </w:p>
        </w:tc>
        <w:tc>
          <w:tcPr>
            <w:tcW w:w="700" w:type="dxa"/>
            <w:vAlign w:val="bottom"/>
          </w:tcPr>
          <w:p>
            <w:pPr>
              <w:ind w:left="420"/>
              <w:spacing w:after="0"/>
              <w:rPr>
                <w:sz w:val="20"/>
                <w:szCs w:val="20"/>
                <w:color w:val="auto"/>
              </w:rPr>
            </w:pPr>
            <w:r>
              <w:rPr>
                <w:rFonts w:ascii="Arial" w:cs="Arial" w:eastAsia="Arial" w:hAnsi="Arial"/>
                <w:sz w:val="18"/>
                <w:szCs w:val="18"/>
                <w:color w:val="auto"/>
              </w:rPr>
              <w:t>FL</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ILS Corp</w:t>
            </w:r>
          </w:p>
        </w:tc>
        <w:tc>
          <w:tcPr>
            <w:tcW w:w="4680" w:type="dxa"/>
            <w:vAlign w:val="bottom"/>
          </w:tcPr>
          <w:p>
            <w:pPr>
              <w:ind w:left="200"/>
              <w:spacing w:after="0"/>
              <w:rPr>
                <w:sz w:val="20"/>
                <w:szCs w:val="20"/>
                <w:color w:val="auto"/>
              </w:rPr>
            </w:pPr>
            <w:r>
              <w:rPr>
                <w:rFonts w:ascii="Arial" w:cs="Arial" w:eastAsia="Arial" w:hAnsi="Arial"/>
                <w:sz w:val="18"/>
                <w:szCs w:val="18"/>
                <w:color w:val="auto"/>
              </w:rPr>
              <w:t>Sarasota Physicians Surg Ctr</w:t>
            </w:r>
          </w:p>
        </w:tc>
        <w:tc>
          <w:tcPr>
            <w:tcW w:w="3580" w:type="dxa"/>
            <w:vAlign w:val="bottom"/>
          </w:tcPr>
          <w:p>
            <w:pPr>
              <w:ind w:left="1720"/>
              <w:spacing w:after="0"/>
              <w:rPr>
                <w:sz w:val="20"/>
                <w:szCs w:val="20"/>
                <w:color w:val="auto"/>
              </w:rPr>
            </w:pPr>
            <w:r>
              <w:rPr>
                <w:rFonts w:ascii="Arial" w:cs="Arial" w:eastAsia="Arial" w:hAnsi="Arial"/>
                <w:sz w:val="18"/>
                <w:szCs w:val="18"/>
                <w:color w:val="auto"/>
              </w:rPr>
              <w:t>Kelly Johnson</w:t>
            </w:r>
          </w:p>
        </w:tc>
        <w:tc>
          <w:tcPr>
            <w:tcW w:w="1520" w:type="dxa"/>
            <w:vAlign w:val="bottom"/>
          </w:tcPr>
          <w:p>
            <w:pPr>
              <w:ind w:left="60"/>
              <w:spacing w:after="0"/>
              <w:rPr>
                <w:sz w:val="20"/>
                <w:szCs w:val="20"/>
                <w:color w:val="auto"/>
              </w:rPr>
            </w:pPr>
            <w:r>
              <w:rPr>
                <w:rFonts w:ascii="Arial" w:cs="Arial" w:eastAsia="Arial" w:hAnsi="Arial"/>
                <w:sz w:val="18"/>
                <w:szCs w:val="18"/>
                <w:color w:val="auto"/>
              </w:rPr>
              <w:t>Sarasota</w:t>
            </w:r>
          </w:p>
        </w:tc>
        <w:tc>
          <w:tcPr>
            <w:tcW w:w="700" w:type="dxa"/>
            <w:vAlign w:val="bottom"/>
          </w:tcPr>
          <w:p>
            <w:pPr>
              <w:ind w:left="420"/>
              <w:spacing w:after="0"/>
              <w:rPr>
                <w:sz w:val="20"/>
                <w:szCs w:val="20"/>
                <w:color w:val="auto"/>
              </w:rPr>
            </w:pPr>
            <w:r>
              <w:rPr>
                <w:rFonts w:ascii="Arial" w:cs="Arial" w:eastAsia="Arial" w:hAnsi="Arial"/>
                <w:sz w:val="18"/>
                <w:szCs w:val="18"/>
                <w:color w:val="auto"/>
              </w:rPr>
              <w:t>FL</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ILS Corp</w:t>
            </w:r>
          </w:p>
        </w:tc>
        <w:tc>
          <w:tcPr>
            <w:tcW w:w="4680" w:type="dxa"/>
            <w:vAlign w:val="bottom"/>
          </w:tcPr>
          <w:p>
            <w:pPr>
              <w:ind w:left="200"/>
              <w:spacing w:after="0"/>
              <w:rPr>
                <w:sz w:val="20"/>
                <w:szCs w:val="20"/>
                <w:color w:val="auto"/>
              </w:rPr>
            </w:pPr>
            <w:r>
              <w:rPr>
                <w:rFonts w:ascii="Arial" w:cs="Arial" w:eastAsia="Arial" w:hAnsi="Arial"/>
                <w:sz w:val="18"/>
                <w:szCs w:val="18"/>
                <w:color w:val="auto"/>
              </w:rPr>
              <w:t>Self Regional Healthcare</w:t>
            </w:r>
          </w:p>
        </w:tc>
        <w:tc>
          <w:tcPr>
            <w:tcW w:w="3580" w:type="dxa"/>
            <w:vAlign w:val="bottom"/>
          </w:tcPr>
          <w:p>
            <w:pPr>
              <w:ind w:left="1720"/>
              <w:spacing w:after="0"/>
              <w:rPr>
                <w:sz w:val="20"/>
                <w:szCs w:val="20"/>
                <w:color w:val="auto"/>
              </w:rPr>
            </w:pPr>
            <w:r>
              <w:rPr>
                <w:rFonts w:ascii="Arial" w:cs="Arial" w:eastAsia="Arial" w:hAnsi="Arial"/>
                <w:sz w:val="18"/>
                <w:szCs w:val="18"/>
                <w:color w:val="auto"/>
              </w:rPr>
              <w:t>Peggy Patrick</w:t>
            </w:r>
          </w:p>
        </w:tc>
        <w:tc>
          <w:tcPr>
            <w:tcW w:w="1520" w:type="dxa"/>
            <w:vAlign w:val="bottom"/>
          </w:tcPr>
          <w:p>
            <w:pPr>
              <w:ind w:left="60"/>
              <w:spacing w:after="0"/>
              <w:rPr>
                <w:sz w:val="20"/>
                <w:szCs w:val="20"/>
                <w:color w:val="auto"/>
              </w:rPr>
            </w:pPr>
            <w:r>
              <w:rPr>
                <w:rFonts w:ascii="Arial" w:cs="Arial" w:eastAsia="Arial" w:hAnsi="Arial"/>
                <w:sz w:val="18"/>
                <w:szCs w:val="18"/>
                <w:color w:val="auto"/>
              </w:rPr>
              <w:t>Greenwood</w:t>
            </w:r>
          </w:p>
        </w:tc>
        <w:tc>
          <w:tcPr>
            <w:tcW w:w="700" w:type="dxa"/>
            <w:vAlign w:val="bottom"/>
          </w:tcPr>
          <w:p>
            <w:pPr>
              <w:ind w:left="420"/>
              <w:spacing w:after="0"/>
              <w:rPr>
                <w:sz w:val="20"/>
                <w:szCs w:val="20"/>
                <w:color w:val="auto"/>
              </w:rPr>
            </w:pPr>
            <w:r>
              <w:rPr>
                <w:rFonts w:ascii="Arial" w:cs="Arial" w:eastAsia="Arial" w:hAnsi="Arial"/>
                <w:sz w:val="18"/>
                <w:szCs w:val="18"/>
                <w:color w:val="auto"/>
              </w:rPr>
              <w:t>SC</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ILS Corp</w:t>
            </w:r>
          </w:p>
        </w:tc>
        <w:tc>
          <w:tcPr>
            <w:tcW w:w="4680" w:type="dxa"/>
            <w:vAlign w:val="bottom"/>
          </w:tcPr>
          <w:p>
            <w:pPr>
              <w:ind w:left="200"/>
              <w:spacing w:after="0"/>
              <w:rPr>
                <w:sz w:val="20"/>
                <w:szCs w:val="20"/>
                <w:color w:val="auto"/>
              </w:rPr>
            </w:pPr>
            <w:r>
              <w:rPr>
                <w:rFonts w:ascii="Arial" w:cs="Arial" w:eastAsia="Arial" w:hAnsi="Arial"/>
                <w:sz w:val="18"/>
                <w:szCs w:val="18"/>
                <w:color w:val="auto"/>
              </w:rPr>
              <w:t>Shannon Medical Center</w:t>
            </w:r>
          </w:p>
        </w:tc>
        <w:tc>
          <w:tcPr>
            <w:tcW w:w="3580" w:type="dxa"/>
            <w:vAlign w:val="bottom"/>
          </w:tcPr>
          <w:p>
            <w:pPr>
              <w:ind w:left="1720"/>
              <w:spacing w:after="0"/>
              <w:rPr>
                <w:sz w:val="20"/>
                <w:szCs w:val="20"/>
                <w:color w:val="auto"/>
              </w:rPr>
            </w:pPr>
            <w:r>
              <w:rPr>
                <w:rFonts w:ascii="Arial" w:cs="Arial" w:eastAsia="Arial" w:hAnsi="Arial"/>
                <w:sz w:val="18"/>
                <w:szCs w:val="18"/>
                <w:color w:val="auto"/>
              </w:rPr>
              <w:t>Carolyn Tegeler</w:t>
            </w:r>
          </w:p>
        </w:tc>
        <w:tc>
          <w:tcPr>
            <w:tcW w:w="1520" w:type="dxa"/>
            <w:vAlign w:val="bottom"/>
          </w:tcPr>
          <w:p>
            <w:pPr>
              <w:ind w:left="60"/>
              <w:spacing w:after="0"/>
              <w:rPr>
                <w:sz w:val="20"/>
                <w:szCs w:val="20"/>
                <w:color w:val="auto"/>
              </w:rPr>
            </w:pPr>
            <w:r>
              <w:rPr>
                <w:rFonts w:ascii="Arial" w:cs="Arial" w:eastAsia="Arial" w:hAnsi="Arial"/>
                <w:sz w:val="18"/>
                <w:szCs w:val="18"/>
                <w:color w:val="auto"/>
              </w:rPr>
              <w:t>San Angelo</w:t>
            </w:r>
          </w:p>
        </w:tc>
        <w:tc>
          <w:tcPr>
            <w:tcW w:w="700" w:type="dxa"/>
            <w:vAlign w:val="bottom"/>
          </w:tcPr>
          <w:p>
            <w:pPr>
              <w:ind w:left="420"/>
              <w:spacing w:after="0"/>
              <w:rPr>
                <w:sz w:val="20"/>
                <w:szCs w:val="20"/>
                <w:color w:val="auto"/>
              </w:rPr>
            </w:pPr>
            <w:r>
              <w:rPr>
                <w:rFonts w:ascii="Arial" w:cs="Arial" w:eastAsia="Arial" w:hAnsi="Arial"/>
                <w:sz w:val="18"/>
                <w:szCs w:val="18"/>
                <w:color w:val="auto"/>
              </w:rPr>
              <w:t>TX</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ILS Corp</w:t>
            </w:r>
          </w:p>
        </w:tc>
        <w:tc>
          <w:tcPr>
            <w:tcW w:w="4680" w:type="dxa"/>
            <w:vAlign w:val="bottom"/>
          </w:tcPr>
          <w:p>
            <w:pPr>
              <w:ind w:left="200"/>
              <w:spacing w:after="0"/>
              <w:rPr>
                <w:sz w:val="20"/>
                <w:szCs w:val="20"/>
                <w:color w:val="auto"/>
              </w:rPr>
            </w:pPr>
            <w:r>
              <w:rPr>
                <w:rFonts w:ascii="Arial" w:cs="Arial" w:eastAsia="Arial" w:hAnsi="Arial"/>
                <w:sz w:val="18"/>
                <w:szCs w:val="18"/>
                <w:color w:val="auto"/>
              </w:rPr>
              <w:t>Sherman Oaks Hospital</w:t>
            </w:r>
          </w:p>
        </w:tc>
        <w:tc>
          <w:tcPr>
            <w:tcW w:w="3580" w:type="dxa"/>
            <w:vAlign w:val="bottom"/>
          </w:tcPr>
          <w:p>
            <w:pPr>
              <w:ind w:left="1720"/>
              <w:spacing w:after="0"/>
              <w:rPr>
                <w:sz w:val="20"/>
                <w:szCs w:val="20"/>
                <w:color w:val="auto"/>
              </w:rPr>
            </w:pPr>
            <w:r>
              <w:rPr>
                <w:rFonts w:ascii="Arial" w:cs="Arial" w:eastAsia="Arial" w:hAnsi="Arial"/>
                <w:sz w:val="18"/>
                <w:szCs w:val="18"/>
                <w:color w:val="auto"/>
              </w:rPr>
              <w:t>Jonathan Harris</w:t>
            </w:r>
          </w:p>
        </w:tc>
        <w:tc>
          <w:tcPr>
            <w:tcW w:w="1520" w:type="dxa"/>
            <w:vAlign w:val="bottom"/>
          </w:tcPr>
          <w:p>
            <w:pPr>
              <w:ind w:left="60"/>
              <w:spacing w:after="0"/>
              <w:rPr>
                <w:sz w:val="20"/>
                <w:szCs w:val="20"/>
                <w:color w:val="auto"/>
              </w:rPr>
            </w:pPr>
            <w:r>
              <w:rPr>
                <w:rFonts w:ascii="Arial" w:cs="Arial" w:eastAsia="Arial" w:hAnsi="Arial"/>
                <w:sz w:val="18"/>
                <w:szCs w:val="18"/>
                <w:color w:val="auto"/>
              </w:rPr>
              <w:t>Sherman Oaks</w:t>
            </w:r>
          </w:p>
        </w:tc>
        <w:tc>
          <w:tcPr>
            <w:tcW w:w="700" w:type="dxa"/>
            <w:vAlign w:val="bottom"/>
          </w:tcPr>
          <w:p>
            <w:pPr>
              <w:ind w:left="420"/>
              <w:spacing w:after="0"/>
              <w:rPr>
                <w:sz w:val="20"/>
                <w:szCs w:val="20"/>
                <w:color w:val="auto"/>
              </w:rPr>
            </w:pPr>
            <w:r>
              <w:rPr>
                <w:rFonts w:ascii="Arial" w:cs="Arial" w:eastAsia="Arial" w:hAnsi="Arial"/>
                <w:sz w:val="18"/>
                <w:szCs w:val="18"/>
                <w:color w:val="auto"/>
              </w:rPr>
              <w:t>CA</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ILS Corp</w:t>
            </w:r>
          </w:p>
        </w:tc>
        <w:tc>
          <w:tcPr>
            <w:tcW w:w="4680" w:type="dxa"/>
            <w:vAlign w:val="bottom"/>
          </w:tcPr>
          <w:p>
            <w:pPr>
              <w:ind w:left="200"/>
              <w:spacing w:after="0"/>
              <w:rPr>
                <w:sz w:val="20"/>
                <w:szCs w:val="20"/>
                <w:color w:val="auto"/>
              </w:rPr>
            </w:pPr>
            <w:r>
              <w:rPr>
                <w:rFonts w:ascii="Arial" w:cs="Arial" w:eastAsia="Arial" w:hAnsi="Arial"/>
                <w:sz w:val="18"/>
                <w:szCs w:val="18"/>
                <w:color w:val="auto"/>
              </w:rPr>
              <w:t>Sid Peterson</w:t>
            </w:r>
          </w:p>
        </w:tc>
        <w:tc>
          <w:tcPr>
            <w:tcW w:w="3580" w:type="dxa"/>
            <w:vAlign w:val="bottom"/>
          </w:tcPr>
          <w:p>
            <w:pPr>
              <w:ind w:left="1720"/>
              <w:spacing w:after="0"/>
              <w:rPr>
                <w:sz w:val="20"/>
                <w:szCs w:val="20"/>
                <w:color w:val="auto"/>
              </w:rPr>
            </w:pPr>
            <w:r>
              <w:rPr>
                <w:rFonts w:ascii="Arial" w:cs="Arial" w:eastAsia="Arial" w:hAnsi="Arial"/>
                <w:sz w:val="18"/>
                <w:szCs w:val="18"/>
                <w:color w:val="auto"/>
              </w:rPr>
              <w:t>Lillian B</w:t>
            </w:r>
          </w:p>
        </w:tc>
        <w:tc>
          <w:tcPr>
            <w:tcW w:w="1520" w:type="dxa"/>
            <w:vAlign w:val="bottom"/>
          </w:tcPr>
          <w:p>
            <w:pPr>
              <w:ind w:left="60"/>
              <w:spacing w:after="0"/>
              <w:rPr>
                <w:sz w:val="20"/>
                <w:szCs w:val="20"/>
                <w:color w:val="auto"/>
              </w:rPr>
            </w:pPr>
            <w:r>
              <w:rPr>
                <w:rFonts w:ascii="Arial" w:cs="Arial" w:eastAsia="Arial" w:hAnsi="Arial"/>
                <w:sz w:val="18"/>
                <w:szCs w:val="18"/>
                <w:color w:val="auto"/>
              </w:rPr>
              <w:t>Kerrville</w:t>
            </w:r>
          </w:p>
        </w:tc>
        <w:tc>
          <w:tcPr>
            <w:tcW w:w="700" w:type="dxa"/>
            <w:vAlign w:val="bottom"/>
          </w:tcPr>
          <w:p>
            <w:pPr>
              <w:ind w:left="420"/>
              <w:spacing w:after="0"/>
              <w:rPr>
                <w:sz w:val="20"/>
                <w:szCs w:val="20"/>
                <w:color w:val="auto"/>
              </w:rPr>
            </w:pPr>
            <w:r>
              <w:rPr>
                <w:rFonts w:ascii="Arial" w:cs="Arial" w:eastAsia="Arial" w:hAnsi="Arial"/>
                <w:sz w:val="18"/>
                <w:szCs w:val="18"/>
                <w:color w:val="auto"/>
              </w:rPr>
              <w:t>TX</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ILS Corp</w:t>
            </w:r>
          </w:p>
        </w:tc>
        <w:tc>
          <w:tcPr>
            <w:tcW w:w="4680" w:type="dxa"/>
            <w:vAlign w:val="bottom"/>
          </w:tcPr>
          <w:p>
            <w:pPr>
              <w:ind w:left="200"/>
              <w:spacing w:after="0"/>
              <w:rPr>
                <w:sz w:val="20"/>
                <w:szCs w:val="20"/>
                <w:color w:val="auto"/>
              </w:rPr>
            </w:pPr>
            <w:r>
              <w:rPr>
                <w:rFonts w:ascii="Arial" w:cs="Arial" w:eastAsia="Arial" w:hAnsi="Arial"/>
                <w:sz w:val="18"/>
                <w:szCs w:val="18"/>
                <w:color w:val="auto"/>
              </w:rPr>
              <w:t>Seven Rivers Hospital</w:t>
            </w:r>
          </w:p>
        </w:tc>
        <w:tc>
          <w:tcPr>
            <w:tcW w:w="3580" w:type="dxa"/>
            <w:vAlign w:val="bottom"/>
          </w:tcPr>
          <w:p>
            <w:pPr>
              <w:ind w:left="1720"/>
              <w:spacing w:after="0"/>
              <w:rPr>
                <w:sz w:val="20"/>
                <w:szCs w:val="20"/>
                <w:color w:val="auto"/>
              </w:rPr>
            </w:pPr>
            <w:r>
              <w:rPr>
                <w:rFonts w:ascii="Arial" w:cs="Arial" w:eastAsia="Arial" w:hAnsi="Arial"/>
                <w:sz w:val="18"/>
                <w:szCs w:val="18"/>
                <w:color w:val="auto"/>
              </w:rPr>
              <w:t>Linda Perrin</w:t>
            </w:r>
          </w:p>
        </w:tc>
        <w:tc>
          <w:tcPr>
            <w:tcW w:w="1520" w:type="dxa"/>
            <w:vAlign w:val="bottom"/>
          </w:tcPr>
          <w:p>
            <w:pPr>
              <w:ind w:left="60"/>
              <w:spacing w:after="0"/>
              <w:rPr>
                <w:sz w:val="20"/>
                <w:szCs w:val="20"/>
                <w:color w:val="auto"/>
              </w:rPr>
            </w:pPr>
            <w:r>
              <w:rPr>
                <w:rFonts w:ascii="Arial" w:cs="Arial" w:eastAsia="Arial" w:hAnsi="Arial"/>
                <w:sz w:val="18"/>
                <w:szCs w:val="18"/>
                <w:color w:val="auto"/>
              </w:rPr>
              <w:t>Crystal River</w:t>
            </w:r>
          </w:p>
        </w:tc>
        <w:tc>
          <w:tcPr>
            <w:tcW w:w="700" w:type="dxa"/>
            <w:vAlign w:val="bottom"/>
          </w:tcPr>
          <w:p>
            <w:pPr>
              <w:ind w:left="420"/>
              <w:spacing w:after="0"/>
              <w:rPr>
                <w:sz w:val="20"/>
                <w:szCs w:val="20"/>
                <w:color w:val="auto"/>
              </w:rPr>
            </w:pPr>
            <w:r>
              <w:rPr>
                <w:rFonts w:ascii="Arial" w:cs="Arial" w:eastAsia="Arial" w:hAnsi="Arial"/>
                <w:sz w:val="18"/>
                <w:szCs w:val="18"/>
                <w:color w:val="auto"/>
              </w:rPr>
              <w:t>FL</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ILS Corp</w:t>
            </w:r>
          </w:p>
        </w:tc>
        <w:tc>
          <w:tcPr>
            <w:tcW w:w="4680" w:type="dxa"/>
            <w:vAlign w:val="bottom"/>
          </w:tcPr>
          <w:p>
            <w:pPr>
              <w:ind w:left="200"/>
              <w:spacing w:after="0"/>
              <w:rPr>
                <w:sz w:val="20"/>
                <w:szCs w:val="20"/>
                <w:color w:val="auto"/>
              </w:rPr>
            </w:pPr>
            <w:r>
              <w:rPr>
                <w:rFonts w:ascii="Arial" w:cs="Arial" w:eastAsia="Arial" w:hAnsi="Arial"/>
                <w:sz w:val="18"/>
                <w:szCs w:val="18"/>
                <w:color w:val="auto"/>
              </w:rPr>
              <w:t>Short Hills Surgery Center</w:t>
            </w:r>
          </w:p>
        </w:tc>
        <w:tc>
          <w:tcPr>
            <w:tcW w:w="3580" w:type="dxa"/>
            <w:vAlign w:val="bottom"/>
          </w:tcPr>
          <w:p>
            <w:pPr>
              <w:ind w:left="1720"/>
              <w:spacing w:after="0"/>
              <w:rPr>
                <w:sz w:val="20"/>
                <w:szCs w:val="20"/>
                <w:color w:val="auto"/>
              </w:rPr>
            </w:pPr>
            <w:r>
              <w:rPr>
                <w:rFonts w:ascii="Arial" w:cs="Arial" w:eastAsia="Arial" w:hAnsi="Arial"/>
                <w:sz w:val="18"/>
                <w:szCs w:val="18"/>
                <w:color w:val="auto"/>
              </w:rPr>
              <w:t>Diana White</w:t>
            </w:r>
          </w:p>
        </w:tc>
        <w:tc>
          <w:tcPr>
            <w:tcW w:w="1520" w:type="dxa"/>
            <w:vAlign w:val="bottom"/>
          </w:tcPr>
          <w:p>
            <w:pPr>
              <w:ind w:left="60"/>
              <w:spacing w:after="0"/>
              <w:rPr>
                <w:sz w:val="20"/>
                <w:szCs w:val="20"/>
                <w:color w:val="auto"/>
              </w:rPr>
            </w:pPr>
            <w:r>
              <w:rPr>
                <w:rFonts w:ascii="Arial" w:cs="Arial" w:eastAsia="Arial" w:hAnsi="Arial"/>
                <w:sz w:val="18"/>
                <w:szCs w:val="18"/>
                <w:color w:val="auto"/>
              </w:rPr>
              <w:t>Millburn</w:t>
            </w:r>
          </w:p>
        </w:tc>
        <w:tc>
          <w:tcPr>
            <w:tcW w:w="700" w:type="dxa"/>
            <w:vAlign w:val="bottom"/>
          </w:tcPr>
          <w:p>
            <w:pPr>
              <w:ind w:left="420"/>
              <w:spacing w:after="0"/>
              <w:rPr>
                <w:sz w:val="20"/>
                <w:szCs w:val="20"/>
                <w:color w:val="auto"/>
              </w:rPr>
            </w:pPr>
            <w:r>
              <w:rPr>
                <w:rFonts w:ascii="Arial" w:cs="Arial" w:eastAsia="Arial" w:hAnsi="Arial"/>
                <w:sz w:val="18"/>
                <w:szCs w:val="18"/>
                <w:color w:val="auto"/>
              </w:rPr>
              <w:t>NJ</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ILS Corp</w:t>
            </w:r>
          </w:p>
        </w:tc>
        <w:tc>
          <w:tcPr>
            <w:tcW w:w="4680" w:type="dxa"/>
            <w:vAlign w:val="bottom"/>
          </w:tcPr>
          <w:p>
            <w:pPr>
              <w:ind w:left="200"/>
              <w:spacing w:after="0"/>
              <w:rPr>
                <w:sz w:val="20"/>
                <w:szCs w:val="20"/>
                <w:color w:val="auto"/>
              </w:rPr>
            </w:pPr>
            <w:r>
              <w:rPr>
                <w:rFonts w:ascii="Arial" w:cs="Arial" w:eastAsia="Arial" w:hAnsi="Arial"/>
                <w:sz w:val="18"/>
                <w:szCs w:val="18"/>
                <w:color w:val="auto"/>
              </w:rPr>
              <w:t>Shriners Hosp for Children</w:t>
            </w:r>
          </w:p>
        </w:tc>
        <w:tc>
          <w:tcPr>
            <w:tcW w:w="3580" w:type="dxa"/>
            <w:vAlign w:val="bottom"/>
          </w:tcPr>
          <w:p>
            <w:pPr>
              <w:ind w:left="1720"/>
              <w:spacing w:after="0"/>
              <w:rPr>
                <w:sz w:val="20"/>
                <w:szCs w:val="20"/>
                <w:color w:val="auto"/>
              </w:rPr>
            </w:pPr>
            <w:r>
              <w:rPr>
                <w:rFonts w:ascii="Arial" w:cs="Arial" w:eastAsia="Arial" w:hAnsi="Arial"/>
                <w:sz w:val="18"/>
                <w:szCs w:val="18"/>
                <w:color w:val="auto"/>
              </w:rPr>
              <w:t>Julie Winnington</w:t>
            </w:r>
          </w:p>
        </w:tc>
        <w:tc>
          <w:tcPr>
            <w:tcW w:w="1520" w:type="dxa"/>
            <w:vAlign w:val="bottom"/>
          </w:tcPr>
          <w:p>
            <w:pPr>
              <w:ind w:left="60"/>
              <w:spacing w:after="0"/>
              <w:rPr>
                <w:sz w:val="20"/>
                <w:szCs w:val="20"/>
                <w:color w:val="auto"/>
              </w:rPr>
            </w:pPr>
            <w:r>
              <w:rPr>
                <w:rFonts w:ascii="Arial" w:cs="Arial" w:eastAsia="Arial" w:hAnsi="Arial"/>
                <w:sz w:val="18"/>
                <w:szCs w:val="18"/>
                <w:color w:val="auto"/>
              </w:rPr>
              <w:t>Sacramento</w:t>
            </w:r>
          </w:p>
        </w:tc>
        <w:tc>
          <w:tcPr>
            <w:tcW w:w="700" w:type="dxa"/>
            <w:vAlign w:val="bottom"/>
          </w:tcPr>
          <w:p>
            <w:pPr>
              <w:ind w:left="420"/>
              <w:spacing w:after="0"/>
              <w:rPr>
                <w:sz w:val="20"/>
                <w:szCs w:val="20"/>
                <w:color w:val="auto"/>
              </w:rPr>
            </w:pPr>
            <w:r>
              <w:rPr>
                <w:rFonts w:ascii="Arial" w:cs="Arial" w:eastAsia="Arial" w:hAnsi="Arial"/>
                <w:sz w:val="18"/>
                <w:szCs w:val="18"/>
                <w:color w:val="auto"/>
              </w:rPr>
              <w:t>CA</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ILS Corp</w:t>
            </w:r>
          </w:p>
        </w:tc>
        <w:tc>
          <w:tcPr>
            <w:tcW w:w="4680" w:type="dxa"/>
            <w:vAlign w:val="bottom"/>
          </w:tcPr>
          <w:p>
            <w:pPr>
              <w:ind w:left="200"/>
              <w:spacing w:after="0"/>
              <w:rPr>
                <w:sz w:val="20"/>
                <w:szCs w:val="20"/>
                <w:color w:val="auto"/>
              </w:rPr>
            </w:pPr>
            <w:r>
              <w:rPr>
                <w:rFonts w:ascii="Arial" w:cs="Arial" w:eastAsia="Arial" w:hAnsi="Arial"/>
                <w:sz w:val="18"/>
                <w:szCs w:val="18"/>
                <w:color w:val="auto"/>
              </w:rPr>
              <w:t>Sierra Surgical Hospital</w:t>
            </w:r>
          </w:p>
        </w:tc>
        <w:tc>
          <w:tcPr>
            <w:tcW w:w="3580" w:type="dxa"/>
            <w:vAlign w:val="bottom"/>
          </w:tcPr>
          <w:p>
            <w:pPr>
              <w:ind w:left="1720"/>
              <w:spacing w:after="0"/>
              <w:rPr>
                <w:sz w:val="20"/>
                <w:szCs w:val="20"/>
                <w:color w:val="auto"/>
              </w:rPr>
            </w:pPr>
            <w:r>
              <w:rPr>
                <w:rFonts w:ascii="Arial" w:cs="Arial" w:eastAsia="Arial" w:hAnsi="Arial"/>
                <w:sz w:val="18"/>
                <w:szCs w:val="18"/>
                <w:color w:val="auto"/>
              </w:rPr>
              <w:t>Donna Dickton</w:t>
            </w:r>
          </w:p>
        </w:tc>
        <w:tc>
          <w:tcPr>
            <w:tcW w:w="1520" w:type="dxa"/>
            <w:vAlign w:val="bottom"/>
          </w:tcPr>
          <w:p>
            <w:pPr>
              <w:ind w:left="60"/>
              <w:spacing w:after="0"/>
              <w:rPr>
                <w:sz w:val="20"/>
                <w:szCs w:val="20"/>
                <w:color w:val="auto"/>
              </w:rPr>
            </w:pPr>
            <w:r>
              <w:rPr>
                <w:rFonts w:ascii="Arial" w:cs="Arial" w:eastAsia="Arial" w:hAnsi="Arial"/>
                <w:sz w:val="18"/>
                <w:szCs w:val="18"/>
                <w:color w:val="auto"/>
              </w:rPr>
              <w:t>Carson City</w:t>
            </w:r>
          </w:p>
        </w:tc>
        <w:tc>
          <w:tcPr>
            <w:tcW w:w="700" w:type="dxa"/>
            <w:vAlign w:val="bottom"/>
          </w:tcPr>
          <w:p>
            <w:pPr>
              <w:ind w:left="420"/>
              <w:spacing w:after="0"/>
              <w:rPr>
                <w:sz w:val="20"/>
                <w:szCs w:val="20"/>
                <w:color w:val="auto"/>
              </w:rPr>
            </w:pPr>
            <w:r>
              <w:rPr>
                <w:rFonts w:ascii="Arial" w:cs="Arial" w:eastAsia="Arial" w:hAnsi="Arial"/>
                <w:sz w:val="18"/>
                <w:szCs w:val="18"/>
                <w:color w:val="auto"/>
              </w:rPr>
              <w:t>NV</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ILS Corp</w:t>
            </w:r>
          </w:p>
        </w:tc>
        <w:tc>
          <w:tcPr>
            <w:tcW w:w="4680" w:type="dxa"/>
            <w:vAlign w:val="bottom"/>
          </w:tcPr>
          <w:p>
            <w:pPr>
              <w:ind w:left="200"/>
              <w:spacing w:after="0"/>
              <w:rPr>
                <w:sz w:val="20"/>
                <w:szCs w:val="20"/>
                <w:color w:val="auto"/>
              </w:rPr>
            </w:pPr>
            <w:r>
              <w:rPr>
                <w:rFonts w:ascii="Arial" w:cs="Arial" w:eastAsia="Arial" w:hAnsi="Arial"/>
                <w:sz w:val="18"/>
                <w:szCs w:val="18"/>
                <w:color w:val="auto"/>
              </w:rPr>
              <w:t>Sierra View Hospital</w:t>
            </w:r>
          </w:p>
        </w:tc>
        <w:tc>
          <w:tcPr>
            <w:tcW w:w="3580" w:type="dxa"/>
            <w:vAlign w:val="bottom"/>
          </w:tcPr>
          <w:p>
            <w:pPr>
              <w:ind w:left="1720"/>
              <w:spacing w:after="0"/>
              <w:rPr>
                <w:sz w:val="20"/>
                <w:szCs w:val="20"/>
                <w:color w:val="auto"/>
              </w:rPr>
            </w:pPr>
            <w:r>
              <w:rPr>
                <w:rFonts w:ascii="Arial" w:cs="Arial" w:eastAsia="Arial" w:hAnsi="Arial"/>
                <w:sz w:val="18"/>
                <w:szCs w:val="18"/>
                <w:color w:val="auto"/>
              </w:rPr>
              <w:t>Debbie Cornell</w:t>
            </w:r>
          </w:p>
        </w:tc>
        <w:tc>
          <w:tcPr>
            <w:tcW w:w="1520" w:type="dxa"/>
            <w:vAlign w:val="bottom"/>
          </w:tcPr>
          <w:p>
            <w:pPr>
              <w:ind w:left="60"/>
              <w:spacing w:after="0"/>
              <w:rPr>
                <w:sz w:val="20"/>
                <w:szCs w:val="20"/>
                <w:color w:val="auto"/>
              </w:rPr>
            </w:pPr>
            <w:r>
              <w:rPr>
                <w:rFonts w:ascii="Arial" w:cs="Arial" w:eastAsia="Arial" w:hAnsi="Arial"/>
                <w:sz w:val="18"/>
                <w:szCs w:val="18"/>
                <w:color w:val="auto"/>
              </w:rPr>
              <w:t>Porterville</w:t>
            </w:r>
          </w:p>
        </w:tc>
        <w:tc>
          <w:tcPr>
            <w:tcW w:w="700" w:type="dxa"/>
            <w:vAlign w:val="bottom"/>
          </w:tcPr>
          <w:p>
            <w:pPr>
              <w:ind w:left="420"/>
              <w:spacing w:after="0"/>
              <w:rPr>
                <w:sz w:val="20"/>
                <w:szCs w:val="20"/>
                <w:color w:val="auto"/>
              </w:rPr>
            </w:pPr>
            <w:r>
              <w:rPr>
                <w:rFonts w:ascii="Arial" w:cs="Arial" w:eastAsia="Arial" w:hAnsi="Arial"/>
                <w:sz w:val="18"/>
                <w:szCs w:val="18"/>
                <w:color w:val="auto"/>
              </w:rPr>
              <w:t>CA</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ILS Corp</w:t>
            </w:r>
          </w:p>
        </w:tc>
        <w:tc>
          <w:tcPr>
            <w:tcW w:w="4680" w:type="dxa"/>
            <w:vAlign w:val="bottom"/>
          </w:tcPr>
          <w:p>
            <w:pPr>
              <w:ind w:left="200"/>
              <w:spacing w:after="0"/>
              <w:rPr>
                <w:sz w:val="20"/>
                <w:szCs w:val="20"/>
                <w:color w:val="auto"/>
              </w:rPr>
            </w:pPr>
            <w:r>
              <w:rPr>
                <w:rFonts w:ascii="Arial" w:cs="Arial" w:eastAsia="Arial" w:hAnsi="Arial"/>
                <w:sz w:val="18"/>
                <w:szCs w:val="18"/>
                <w:color w:val="auto"/>
              </w:rPr>
              <w:t>Singing River</w:t>
            </w:r>
          </w:p>
        </w:tc>
        <w:tc>
          <w:tcPr>
            <w:tcW w:w="3580" w:type="dxa"/>
            <w:vAlign w:val="bottom"/>
          </w:tcPr>
          <w:p>
            <w:pPr>
              <w:ind w:left="1720"/>
              <w:spacing w:after="0"/>
              <w:rPr>
                <w:sz w:val="20"/>
                <w:szCs w:val="20"/>
                <w:color w:val="auto"/>
              </w:rPr>
            </w:pPr>
            <w:r>
              <w:rPr>
                <w:rFonts w:ascii="Arial" w:cs="Arial" w:eastAsia="Arial" w:hAnsi="Arial"/>
                <w:sz w:val="18"/>
                <w:szCs w:val="18"/>
                <w:color w:val="auto"/>
              </w:rPr>
              <w:t>Wendy Lomax</w:t>
            </w:r>
          </w:p>
        </w:tc>
        <w:tc>
          <w:tcPr>
            <w:tcW w:w="1520" w:type="dxa"/>
            <w:vAlign w:val="bottom"/>
          </w:tcPr>
          <w:p>
            <w:pPr>
              <w:ind w:left="60"/>
              <w:spacing w:after="0"/>
              <w:rPr>
                <w:sz w:val="20"/>
                <w:szCs w:val="20"/>
                <w:color w:val="auto"/>
              </w:rPr>
            </w:pPr>
            <w:r>
              <w:rPr>
                <w:rFonts w:ascii="Arial" w:cs="Arial" w:eastAsia="Arial" w:hAnsi="Arial"/>
                <w:sz w:val="18"/>
                <w:szCs w:val="18"/>
                <w:color w:val="auto"/>
              </w:rPr>
              <w:t>Pascagoula</w:t>
            </w:r>
          </w:p>
        </w:tc>
        <w:tc>
          <w:tcPr>
            <w:tcW w:w="700" w:type="dxa"/>
            <w:vAlign w:val="bottom"/>
          </w:tcPr>
          <w:p>
            <w:pPr>
              <w:ind w:left="420"/>
              <w:spacing w:after="0"/>
              <w:rPr>
                <w:sz w:val="20"/>
                <w:szCs w:val="20"/>
                <w:color w:val="auto"/>
              </w:rPr>
            </w:pPr>
            <w:r>
              <w:rPr>
                <w:rFonts w:ascii="Arial" w:cs="Arial" w:eastAsia="Arial" w:hAnsi="Arial"/>
                <w:sz w:val="18"/>
                <w:szCs w:val="18"/>
                <w:color w:val="auto"/>
                <w:w w:val="96"/>
              </w:rPr>
              <w:t>MS</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ILS Corp</w:t>
            </w:r>
          </w:p>
        </w:tc>
        <w:tc>
          <w:tcPr>
            <w:tcW w:w="4680" w:type="dxa"/>
            <w:vAlign w:val="bottom"/>
          </w:tcPr>
          <w:p>
            <w:pPr>
              <w:ind w:left="200"/>
              <w:spacing w:after="0"/>
              <w:rPr>
                <w:sz w:val="20"/>
                <w:szCs w:val="20"/>
                <w:color w:val="auto"/>
              </w:rPr>
            </w:pPr>
            <w:r>
              <w:rPr>
                <w:rFonts w:ascii="Arial" w:cs="Arial" w:eastAsia="Arial" w:hAnsi="Arial"/>
                <w:sz w:val="18"/>
                <w:szCs w:val="18"/>
                <w:color w:val="auto"/>
              </w:rPr>
              <w:t>Skokie Hospital (formeRLy 21524)</w:t>
            </w:r>
          </w:p>
        </w:tc>
        <w:tc>
          <w:tcPr>
            <w:tcW w:w="3580" w:type="dxa"/>
            <w:vAlign w:val="bottom"/>
          </w:tcPr>
          <w:p>
            <w:pPr>
              <w:ind w:left="1720"/>
              <w:spacing w:after="0"/>
              <w:rPr>
                <w:sz w:val="20"/>
                <w:szCs w:val="20"/>
                <w:color w:val="auto"/>
              </w:rPr>
            </w:pPr>
            <w:r>
              <w:rPr>
                <w:rFonts w:ascii="Arial" w:cs="Arial" w:eastAsia="Arial" w:hAnsi="Arial"/>
                <w:sz w:val="18"/>
                <w:szCs w:val="18"/>
                <w:color w:val="auto"/>
              </w:rPr>
              <w:t>Kathyrn Wagner</w:t>
            </w:r>
          </w:p>
        </w:tc>
        <w:tc>
          <w:tcPr>
            <w:tcW w:w="1520" w:type="dxa"/>
            <w:vAlign w:val="bottom"/>
          </w:tcPr>
          <w:p>
            <w:pPr>
              <w:ind w:left="60"/>
              <w:spacing w:after="0"/>
              <w:rPr>
                <w:sz w:val="20"/>
                <w:szCs w:val="20"/>
                <w:color w:val="auto"/>
              </w:rPr>
            </w:pPr>
            <w:r>
              <w:rPr>
                <w:rFonts w:ascii="Arial" w:cs="Arial" w:eastAsia="Arial" w:hAnsi="Arial"/>
                <w:sz w:val="18"/>
                <w:szCs w:val="18"/>
                <w:color w:val="auto"/>
              </w:rPr>
              <w:t>Skokie</w:t>
            </w:r>
          </w:p>
        </w:tc>
        <w:tc>
          <w:tcPr>
            <w:tcW w:w="700" w:type="dxa"/>
            <w:vAlign w:val="bottom"/>
          </w:tcPr>
          <w:p>
            <w:pPr>
              <w:ind w:left="420"/>
              <w:spacing w:after="0"/>
              <w:rPr>
                <w:sz w:val="20"/>
                <w:szCs w:val="20"/>
                <w:color w:val="auto"/>
              </w:rPr>
            </w:pPr>
            <w:r>
              <w:rPr>
                <w:rFonts w:ascii="Arial" w:cs="Arial" w:eastAsia="Arial" w:hAnsi="Arial"/>
                <w:sz w:val="18"/>
                <w:szCs w:val="18"/>
                <w:color w:val="auto"/>
              </w:rPr>
              <w:t>IL</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ILS Corp</w:t>
            </w:r>
          </w:p>
        </w:tc>
        <w:tc>
          <w:tcPr>
            <w:tcW w:w="4680" w:type="dxa"/>
            <w:vAlign w:val="bottom"/>
          </w:tcPr>
          <w:p>
            <w:pPr>
              <w:ind w:left="200"/>
              <w:spacing w:after="0"/>
              <w:rPr>
                <w:sz w:val="20"/>
                <w:szCs w:val="20"/>
                <w:color w:val="auto"/>
              </w:rPr>
            </w:pPr>
            <w:r>
              <w:rPr>
                <w:rFonts w:ascii="Arial" w:cs="Arial" w:eastAsia="Arial" w:hAnsi="Arial"/>
                <w:sz w:val="18"/>
                <w:szCs w:val="18"/>
                <w:color w:val="auto"/>
              </w:rPr>
              <w:t>Skyridge Surgery Center</w:t>
            </w:r>
          </w:p>
        </w:tc>
        <w:tc>
          <w:tcPr>
            <w:tcW w:w="3580" w:type="dxa"/>
            <w:vAlign w:val="bottom"/>
          </w:tcPr>
          <w:p>
            <w:pPr>
              <w:ind w:left="1720"/>
              <w:spacing w:after="0"/>
              <w:rPr>
                <w:sz w:val="20"/>
                <w:szCs w:val="20"/>
                <w:color w:val="auto"/>
              </w:rPr>
            </w:pPr>
            <w:r>
              <w:rPr>
                <w:rFonts w:ascii="Arial" w:cs="Arial" w:eastAsia="Arial" w:hAnsi="Arial"/>
                <w:sz w:val="18"/>
                <w:szCs w:val="18"/>
                <w:color w:val="auto"/>
              </w:rPr>
              <w:t>Kamy Leeret</w:t>
            </w:r>
          </w:p>
        </w:tc>
        <w:tc>
          <w:tcPr>
            <w:tcW w:w="1520" w:type="dxa"/>
            <w:vAlign w:val="bottom"/>
          </w:tcPr>
          <w:p>
            <w:pPr>
              <w:ind w:left="60"/>
              <w:spacing w:after="0"/>
              <w:rPr>
                <w:sz w:val="20"/>
                <w:szCs w:val="20"/>
                <w:color w:val="auto"/>
              </w:rPr>
            </w:pPr>
            <w:r>
              <w:rPr>
                <w:rFonts w:ascii="Arial" w:cs="Arial" w:eastAsia="Arial" w:hAnsi="Arial"/>
                <w:sz w:val="18"/>
                <w:szCs w:val="18"/>
                <w:color w:val="auto"/>
              </w:rPr>
              <w:t>Lonetree</w:t>
            </w:r>
          </w:p>
        </w:tc>
        <w:tc>
          <w:tcPr>
            <w:tcW w:w="700" w:type="dxa"/>
            <w:vAlign w:val="bottom"/>
          </w:tcPr>
          <w:p>
            <w:pPr>
              <w:ind w:left="420"/>
              <w:spacing w:after="0"/>
              <w:rPr>
                <w:sz w:val="20"/>
                <w:szCs w:val="20"/>
                <w:color w:val="auto"/>
              </w:rPr>
            </w:pPr>
            <w:r>
              <w:rPr>
                <w:rFonts w:ascii="Arial" w:cs="Arial" w:eastAsia="Arial" w:hAnsi="Arial"/>
                <w:sz w:val="18"/>
                <w:szCs w:val="18"/>
                <w:color w:val="auto"/>
                <w:w w:val="96"/>
              </w:rPr>
              <w:t>CO</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ILS Corp</w:t>
            </w:r>
          </w:p>
        </w:tc>
        <w:tc>
          <w:tcPr>
            <w:tcW w:w="4680" w:type="dxa"/>
            <w:vAlign w:val="bottom"/>
          </w:tcPr>
          <w:p>
            <w:pPr>
              <w:ind w:left="200"/>
              <w:spacing w:after="0"/>
              <w:rPr>
                <w:sz w:val="20"/>
                <w:szCs w:val="20"/>
                <w:color w:val="auto"/>
              </w:rPr>
            </w:pPr>
            <w:r>
              <w:rPr>
                <w:rFonts w:ascii="Arial" w:cs="Arial" w:eastAsia="Arial" w:hAnsi="Arial"/>
                <w:sz w:val="18"/>
                <w:szCs w:val="18"/>
                <w:color w:val="auto"/>
              </w:rPr>
              <w:t>So Central Regional KS Med Center</w:t>
            </w:r>
          </w:p>
        </w:tc>
        <w:tc>
          <w:tcPr>
            <w:tcW w:w="3580" w:type="dxa"/>
            <w:vAlign w:val="bottom"/>
          </w:tcPr>
          <w:p>
            <w:pPr>
              <w:ind w:left="1720"/>
              <w:spacing w:after="0"/>
              <w:rPr>
                <w:sz w:val="20"/>
                <w:szCs w:val="20"/>
                <w:color w:val="auto"/>
              </w:rPr>
            </w:pPr>
            <w:r>
              <w:rPr>
                <w:rFonts w:ascii="Arial" w:cs="Arial" w:eastAsia="Arial" w:hAnsi="Arial"/>
                <w:sz w:val="18"/>
                <w:szCs w:val="18"/>
                <w:color w:val="auto"/>
              </w:rPr>
              <w:t>Patricia Davis</w:t>
            </w:r>
          </w:p>
        </w:tc>
        <w:tc>
          <w:tcPr>
            <w:tcW w:w="1520" w:type="dxa"/>
            <w:vAlign w:val="bottom"/>
          </w:tcPr>
          <w:p>
            <w:pPr>
              <w:ind w:left="60"/>
              <w:spacing w:after="0"/>
              <w:rPr>
                <w:sz w:val="20"/>
                <w:szCs w:val="20"/>
                <w:color w:val="auto"/>
              </w:rPr>
            </w:pPr>
            <w:r>
              <w:rPr>
                <w:rFonts w:ascii="Arial" w:cs="Arial" w:eastAsia="Arial" w:hAnsi="Arial"/>
                <w:sz w:val="18"/>
                <w:szCs w:val="18"/>
                <w:color w:val="auto"/>
              </w:rPr>
              <w:t>Arkansas City</w:t>
            </w:r>
          </w:p>
        </w:tc>
        <w:tc>
          <w:tcPr>
            <w:tcW w:w="700" w:type="dxa"/>
            <w:vAlign w:val="bottom"/>
          </w:tcPr>
          <w:p>
            <w:pPr>
              <w:ind w:left="420"/>
              <w:spacing w:after="0"/>
              <w:rPr>
                <w:sz w:val="20"/>
                <w:szCs w:val="20"/>
                <w:color w:val="auto"/>
              </w:rPr>
            </w:pPr>
            <w:r>
              <w:rPr>
                <w:rFonts w:ascii="Arial" w:cs="Arial" w:eastAsia="Arial" w:hAnsi="Arial"/>
                <w:sz w:val="18"/>
                <w:szCs w:val="18"/>
                <w:color w:val="auto"/>
              </w:rPr>
              <w:t>KS</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ILS Corp</w:t>
            </w:r>
          </w:p>
        </w:tc>
        <w:tc>
          <w:tcPr>
            <w:tcW w:w="4680" w:type="dxa"/>
            <w:vAlign w:val="bottom"/>
          </w:tcPr>
          <w:p>
            <w:pPr>
              <w:ind w:left="200"/>
              <w:spacing w:after="0"/>
              <w:rPr>
                <w:sz w:val="20"/>
                <w:szCs w:val="20"/>
                <w:color w:val="auto"/>
              </w:rPr>
            </w:pPr>
            <w:r>
              <w:rPr>
                <w:rFonts w:ascii="Arial" w:cs="Arial" w:eastAsia="Arial" w:hAnsi="Arial"/>
                <w:sz w:val="18"/>
                <w:szCs w:val="18"/>
                <w:color w:val="auto"/>
              </w:rPr>
              <w:t>Sonoma Valley</w:t>
            </w:r>
          </w:p>
        </w:tc>
        <w:tc>
          <w:tcPr>
            <w:tcW w:w="3580" w:type="dxa"/>
            <w:vAlign w:val="bottom"/>
          </w:tcPr>
          <w:p>
            <w:pPr>
              <w:ind w:left="1720"/>
              <w:spacing w:after="0"/>
              <w:rPr>
                <w:sz w:val="20"/>
                <w:szCs w:val="20"/>
                <w:color w:val="auto"/>
              </w:rPr>
            </w:pPr>
            <w:r>
              <w:rPr>
                <w:rFonts w:ascii="Arial" w:cs="Arial" w:eastAsia="Arial" w:hAnsi="Arial"/>
                <w:sz w:val="18"/>
                <w:szCs w:val="18"/>
                <w:color w:val="auto"/>
              </w:rPr>
              <w:t>Ellen Shannahern</w:t>
            </w:r>
          </w:p>
        </w:tc>
        <w:tc>
          <w:tcPr>
            <w:tcW w:w="1520" w:type="dxa"/>
            <w:vAlign w:val="bottom"/>
          </w:tcPr>
          <w:p>
            <w:pPr>
              <w:ind w:left="60"/>
              <w:spacing w:after="0"/>
              <w:rPr>
                <w:sz w:val="20"/>
                <w:szCs w:val="20"/>
                <w:color w:val="auto"/>
              </w:rPr>
            </w:pPr>
            <w:r>
              <w:rPr>
                <w:rFonts w:ascii="Arial" w:cs="Arial" w:eastAsia="Arial" w:hAnsi="Arial"/>
                <w:sz w:val="18"/>
                <w:szCs w:val="18"/>
                <w:color w:val="auto"/>
              </w:rPr>
              <w:t>Sonoma</w:t>
            </w:r>
          </w:p>
        </w:tc>
        <w:tc>
          <w:tcPr>
            <w:tcW w:w="700" w:type="dxa"/>
            <w:vAlign w:val="bottom"/>
          </w:tcPr>
          <w:p>
            <w:pPr>
              <w:ind w:left="420"/>
              <w:spacing w:after="0"/>
              <w:rPr>
                <w:sz w:val="20"/>
                <w:szCs w:val="20"/>
                <w:color w:val="auto"/>
              </w:rPr>
            </w:pPr>
            <w:r>
              <w:rPr>
                <w:rFonts w:ascii="Arial" w:cs="Arial" w:eastAsia="Arial" w:hAnsi="Arial"/>
                <w:sz w:val="18"/>
                <w:szCs w:val="18"/>
                <w:color w:val="auto"/>
              </w:rPr>
              <w:t>CA</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ILS Corp</w:t>
            </w:r>
          </w:p>
        </w:tc>
        <w:tc>
          <w:tcPr>
            <w:tcW w:w="4680" w:type="dxa"/>
            <w:vAlign w:val="bottom"/>
          </w:tcPr>
          <w:p>
            <w:pPr>
              <w:ind w:left="200"/>
              <w:spacing w:after="0"/>
              <w:rPr>
                <w:sz w:val="20"/>
                <w:szCs w:val="20"/>
                <w:color w:val="auto"/>
              </w:rPr>
            </w:pPr>
            <w:r>
              <w:rPr>
                <w:rFonts w:ascii="Arial" w:cs="Arial" w:eastAsia="Arial" w:hAnsi="Arial"/>
                <w:sz w:val="18"/>
                <w:szCs w:val="18"/>
                <w:color w:val="auto"/>
              </w:rPr>
              <w:t>South Florida Baptist</w:t>
            </w:r>
          </w:p>
        </w:tc>
        <w:tc>
          <w:tcPr>
            <w:tcW w:w="3580" w:type="dxa"/>
            <w:vAlign w:val="bottom"/>
          </w:tcPr>
          <w:p>
            <w:pPr>
              <w:ind w:left="1720"/>
              <w:spacing w:after="0"/>
              <w:rPr>
                <w:sz w:val="20"/>
                <w:szCs w:val="20"/>
                <w:color w:val="auto"/>
              </w:rPr>
            </w:pPr>
            <w:r>
              <w:rPr>
                <w:rFonts w:ascii="Arial" w:cs="Arial" w:eastAsia="Arial" w:hAnsi="Arial"/>
                <w:sz w:val="18"/>
                <w:szCs w:val="18"/>
                <w:color w:val="auto"/>
              </w:rPr>
              <w:t>Kelli Holcomb</w:t>
            </w:r>
          </w:p>
        </w:tc>
        <w:tc>
          <w:tcPr>
            <w:tcW w:w="1520" w:type="dxa"/>
            <w:vAlign w:val="bottom"/>
          </w:tcPr>
          <w:p>
            <w:pPr>
              <w:ind w:left="60"/>
              <w:spacing w:after="0"/>
              <w:rPr>
                <w:sz w:val="20"/>
                <w:szCs w:val="20"/>
                <w:color w:val="auto"/>
              </w:rPr>
            </w:pPr>
            <w:r>
              <w:rPr>
                <w:rFonts w:ascii="Arial" w:cs="Arial" w:eastAsia="Arial" w:hAnsi="Arial"/>
                <w:sz w:val="18"/>
                <w:szCs w:val="18"/>
                <w:color w:val="auto"/>
              </w:rPr>
              <w:t>Plant City</w:t>
            </w:r>
          </w:p>
        </w:tc>
        <w:tc>
          <w:tcPr>
            <w:tcW w:w="700" w:type="dxa"/>
            <w:vAlign w:val="bottom"/>
          </w:tcPr>
          <w:p>
            <w:pPr>
              <w:ind w:left="420"/>
              <w:spacing w:after="0"/>
              <w:rPr>
                <w:sz w:val="20"/>
                <w:szCs w:val="20"/>
                <w:color w:val="auto"/>
              </w:rPr>
            </w:pPr>
            <w:r>
              <w:rPr>
                <w:rFonts w:ascii="Arial" w:cs="Arial" w:eastAsia="Arial" w:hAnsi="Arial"/>
                <w:sz w:val="18"/>
                <w:szCs w:val="18"/>
                <w:color w:val="auto"/>
              </w:rPr>
              <w:t>FL</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ILS Corp</w:t>
            </w:r>
          </w:p>
        </w:tc>
        <w:tc>
          <w:tcPr>
            <w:tcW w:w="4680" w:type="dxa"/>
            <w:vAlign w:val="bottom"/>
          </w:tcPr>
          <w:p>
            <w:pPr>
              <w:ind w:left="200"/>
              <w:spacing w:after="0"/>
              <w:rPr>
                <w:sz w:val="20"/>
                <w:szCs w:val="20"/>
                <w:color w:val="auto"/>
              </w:rPr>
            </w:pPr>
            <w:r>
              <w:rPr>
                <w:rFonts w:ascii="Arial" w:cs="Arial" w:eastAsia="Arial" w:hAnsi="Arial"/>
                <w:sz w:val="18"/>
                <w:szCs w:val="18"/>
                <w:color w:val="auto"/>
              </w:rPr>
              <w:t>South Jersey Regional</w:t>
            </w:r>
          </w:p>
        </w:tc>
        <w:tc>
          <w:tcPr>
            <w:tcW w:w="3580" w:type="dxa"/>
            <w:vAlign w:val="bottom"/>
          </w:tcPr>
          <w:p>
            <w:pPr>
              <w:ind w:left="1720"/>
              <w:spacing w:after="0"/>
              <w:rPr>
                <w:sz w:val="20"/>
                <w:szCs w:val="20"/>
                <w:color w:val="auto"/>
              </w:rPr>
            </w:pPr>
            <w:r>
              <w:rPr>
                <w:rFonts w:ascii="Arial" w:cs="Arial" w:eastAsia="Arial" w:hAnsi="Arial"/>
                <w:sz w:val="18"/>
                <w:szCs w:val="18"/>
                <w:color w:val="auto"/>
                <w:w w:val="87"/>
              </w:rPr>
              <w:t>BeveCJ SEy ChaCJ SEes</w:t>
            </w:r>
          </w:p>
        </w:tc>
        <w:tc>
          <w:tcPr>
            <w:tcW w:w="1520" w:type="dxa"/>
            <w:vAlign w:val="bottom"/>
          </w:tcPr>
          <w:p>
            <w:pPr>
              <w:ind w:left="60"/>
              <w:spacing w:after="0"/>
              <w:rPr>
                <w:sz w:val="20"/>
                <w:szCs w:val="20"/>
                <w:color w:val="auto"/>
              </w:rPr>
            </w:pPr>
            <w:r>
              <w:rPr>
                <w:rFonts w:ascii="Arial" w:cs="Arial" w:eastAsia="Arial" w:hAnsi="Arial"/>
                <w:sz w:val="18"/>
                <w:szCs w:val="18"/>
                <w:color w:val="auto"/>
              </w:rPr>
              <w:t>Vineland</w:t>
            </w:r>
          </w:p>
        </w:tc>
        <w:tc>
          <w:tcPr>
            <w:tcW w:w="700" w:type="dxa"/>
            <w:vAlign w:val="bottom"/>
          </w:tcPr>
          <w:p>
            <w:pPr>
              <w:ind w:left="420"/>
              <w:spacing w:after="0"/>
              <w:rPr>
                <w:sz w:val="20"/>
                <w:szCs w:val="20"/>
                <w:color w:val="auto"/>
              </w:rPr>
            </w:pPr>
            <w:r>
              <w:rPr>
                <w:rFonts w:ascii="Arial" w:cs="Arial" w:eastAsia="Arial" w:hAnsi="Arial"/>
                <w:sz w:val="18"/>
                <w:szCs w:val="18"/>
                <w:color w:val="auto"/>
              </w:rPr>
              <w:t>NJ</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ILS Corp</w:t>
            </w:r>
          </w:p>
        </w:tc>
        <w:tc>
          <w:tcPr>
            <w:tcW w:w="4680" w:type="dxa"/>
            <w:vAlign w:val="bottom"/>
          </w:tcPr>
          <w:p>
            <w:pPr>
              <w:ind w:left="200"/>
              <w:spacing w:after="0"/>
              <w:rPr>
                <w:sz w:val="20"/>
                <w:szCs w:val="20"/>
                <w:color w:val="auto"/>
              </w:rPr>
            </w:pPr>
            <w:r>
              <w:rPr>
                <w:rFonts w:ascii="Arial" w:cs="Arial" w:eastAsia="Arial" w:hAnsi="Arial"/>
                <w:sz w:val="18"/>
                <w:szCs w:val="18"/>
                <w:color w:val="auto"/>
              </w:rPr>
              <w:t>South Lake Hospital</w:t>
            </w:r>
          </w:p>
        </w:tc>
        <w:tc>
          <w:tcPr>
            <w:tcW w:w="3580" w:type="dxa"/>
            <w:vAlign w:val="bottom"/>
          </w:tcPr>
          <w:p>
            <w:pPr>
              <w:ind w:left="1720"/>
              <w:spacing w:after="0"/>
              <w:rPr>
                <w:sz w:val="20"/>
                <w:szCs w:val="20"/>
                <w:color w:val="auto"/>
              </w:rPr>
            </w:pPr>
            <w:r>
              <w:rPr>
                <w:rFonts w:ascii="Arial" w:cs="Arial" w:eastAsia="Arial" w:hAnsi="Arial"/>
                <w:sz w:val="18"/>
                <w:szCs w:val="18"/>
                <w:color w:val="auto"/>
              </w:rPr>
              <w:t>Sherri Reynolds</w:t>
            </w:r>
          </w:p>
        </w:tc>
        <w:tc>
          <w:tcPr>
            <w:tcW w:w="1520" w:type="dxa"/>
            <w:vAlign w:val="bottom"/>
          </w:tcPr>
          <w:p>
            <w:pPr>
              <w:ind w:left="60"/>
              <w:spacing w:after="0"/>
              <w:rPr>
                <w:sz w:val="20"/>
                <w:szCs w:val="20"/>
                <w:color w:val="auto"/>
              </w:rPr>
            </w:pPr>
            <w:r>
              <w:rPr>
                <w:rFonts w:ascii="Arial" w:cs="Arial" w:eastAsia="Arial" w:hAnsi="Arial"/>
                <w:sz w:val="18"/>
                <w:szCs w:val="18"/>
                <w:color w:val="auto"/>
              </w:rPr>
              <w:t>Clermont</w:t>
            </w:r>
          </w:p>
        </w:tc>
        <w:tc>
          <w:tcPr>
            <w:tcW w:w="700" w:type="dxa"/>
            <w:vAlign w:val="bottom"/>
          </w:tcPr>
          <w:p>
            <w:pPr>
              <w:ind w:left="420"/>
              <w:spacing w:after="0"/>
              <w:rPr>
                <w:sz w:val="20"/>
                <w:szCs w:val="20"/>
                <w:color w:val="auto"/>
              </w:rPr>
            </w:pPr>
            <w:r>
              <w:rPr>
                <w:rFonts w:ascii="Arial" w:cs="Arial" w:eastAsia="Arial" w:hAnsi="Arial"/>
                <w:sz w:val="18"/>
                <w:szCs w:val="18"/>
                <w:color w:val="auto"/>
              </w:rPr>
              <w:t>FL</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ILS Corp</w:t>
            </w:r>
          </w:p>
        </w:tc>
        <w:tc>
          <w:tcPr>
            <w:tcW w:w="4680" w:type="dxa"/>
            <w:vAlign w:val="bottom"/>
          </w:tcPr>
          <w:p>
            <w:pPr>
              <w:ind w:left="200"/>
              <w:spacing w:after="0"/>
              <w:rPr>
                <w:sz w:val="20"/>
                <w:szCs w:val="20"/>
                <w:color w:val="auto"/>
              </w:rPr>
            </w:pPr>
            <w:r>
              <w:rPr>
                <w:rFonts w:ascii="Arial" w:cs="Arial" w:eastAsia="Arial" w:hAnsi="Arial"/>
                <w:sz w:val="18"/>
                <w:szCs w:val="18"/>
                <w:color w:val="auto"/>
              </w:rPr>
              <w:t>South Miami Hospital</w:t>
            </w:r>
          </w:p>
        </w:tc>
        <w:tc>
          <w:tcPr>
            <w:tcW w:w="3580" w:type="dxa"/>
            <w:vAlign w:val="bottom"/>
          </w:tcPr>
          <w:p>
            <w:pPr>
              <w:ind w:left="1720"/>
              <w:spacing w:after="0"/>
              <w:rPr>
                <w:sz w:val="20"/>
                <w:szCs w:val="20"/>
                <w:color w:val="auto"/>
              </w:rPr>
            </w:pPr>
            <w:r>
              <w:rPr>
                <w:rFonts w:ascii="Arial" w:cs="Arial" w:eastAsia="Arial" w:hAnsi="Arial"/>
                <w:sz w:val="18"/>
                <w:szCs w:val="18"/>
                <w:color w:val="auto"/>
              </w:rPr>
              <w:t>Curt Thompson</w:t>
            </w:r>
          </w:p>
        </w:tc>
        <w:tc>
          <w:tcPr>
            <w:tcW w:w="1520" w:type="dxa"/>
            <w:vAlign w:val="bottom"/>
          </w:tcPr>
          <w:p>
            <w:pPr>
              <w:ind w:left="60"/>
              <w:spacing w:after="0"/>
              <w:rPr>
                <w:sz w:val="20"/>
                <w:szCs w:val="20"/>
                <w:color w:val="auto"/>
              </w:rPr>
            </w:pPr>
            <w:r>
              <w:rPr>
                <w:rFonts w:ascii="Arial" w:cs="Arial" w:eastAsia="Arial" w:hAnsi="Arial"/>
                <w:sz w:val="18"/>
                <w:szCs w:val="18"/>
                <w:color w:val="auto"/>
              </w:rPr>
              <w:t>Miami</w:t>
            </w:r>
          </w:p>
        </w:tc>
        <w:tc>
          <w:tcPr>
            <w:tcW w:w="700" w:type="dxa"/>
            <w:vAlign w:val="bottom"/>
          </w:tcPr>
          <w:p>
            <w:pPr>
              <w:ind w:left="420"/>
              <w:spacing w:after="0"/>
              <w:rPr>
                <w:sz w:val="20"/>
                <w:szCs w:val="20"/>
                <w:color w:val="auto"/>
              </w:rPr>
            </w:pPr>
            <w:r>
              <w:rPr>
                <w:rFonts w:ascii="Arial" w:cs="Arial" w:eastAsia="Arial" w:hAnsi="Arial"/>
                <w:sz w:val="18"/>
                <w:szCs w:val="18"/>
                <w:color w:val="auto"/>
              </w:rPr>
              <w:t>FL</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ILS Corp</w:t>
            </w:r>
          </w:p>
        </w:tc>
        <w:tc>
          <w:tcPr>
            <w:tcW w:w="4680" w:type="dxa"/>
            <w:vAlign w:val="bottom"/>
          </w:tcPr>
          <w:p>
            <w:pPr>
              <w:ind w:left="200"/>
              <w:spacing w:after="0"/>
              <w:rPr>
                <w:sz w:val="20"/>
                <w:szCs w:val="20"/>
                <w:color w:val="auto"/>
              </w:rPr>
            </w:pPr>
            <w:r>
              <w:rPr>
                <w:rFonts w:ascii="Arial" w:cs="Arial" w:eastAsia="Arial" w:hAnsi="Arial"/>
                <w:sz w:val="18"/>
                <w:szCs w:val="18"/>
                <w:color w:val="auto"/>
              </w:rPr>
              <w:t>Southern Hills</w:t>
            </w:r>
          </w:p>
        </w:tc>
        <w:tc>
          <w:tcPr>
            <w:tcW w:w="3580" w:type="dxa"/>
            <w:vAlign w:val="bottom"/>
          </w:tcPr>
          <w:p>
            <w:pPr>
              <w:ind w:left="1720"/>
              <w:spacing w:after="0"/>
              <w:rPr>
                <w:sz w:val="20"/>
                <w:szCs w:val="20"/>
                <w:color w:val="auto"/>
              </w:rPr>
            </w:pPr>
            <w:r>
              <w:rPr>
                <w:rFonts w:ascii="Arial" w:cs="Arial" w:eastAsia="Arial" w:hAnsi="Arial"/>
                <w:sz w:val="18"/>
                <w:szCs w:val="18"/>
                <w:color w:val="auto"/>
              </w:rPr>
              <w:t>Myrat</w:t>
            </w:r>
          </w:p>
        </w:tc>
        <w:tc>
          <w:tcPr>
            <w:tcW w:w="1520" w:type="dxa"/>
            <w:vAlign w:val="bottom"/>
          </w:tcPr>
          <w:p>
            <w:pPr>
              <w:ind w:left="60"/>
              <w:spacing w:after="0"/>
              <w:rPr>
                <w:sz w:val="20"/>
                <w:szCs w:val="20"/>
                <w:color w:val="auto"/>
              </w:rPr>
            </w:pPr>
            <w:r>
              <w:rPr>
                <w:rFonts w:ascii="Arial" w:cs="Arial" w:eastAsia="Arial" w:hAnsi="Arial"/>
                <w:sz w:val="18"/>
                <w:szCs w:val="18"/>
                <w:color w:val="auto"/>
              </w:rPr>
              <w:t>Las Vegas</w:t>
            </w:r>
          </w:p>
        </w:tc>
        <w:tc>
          <w:tcPr>
            <w:tcW w:w="700" w:type="dxa"/>
            <w:vAlign w:val="bottom"/>
          </w:tcPr>
          <w:p>
            <w:pPr>
              <w:ind w:left="420"/>
              <w:spacing w:after="0"/>
              <w:rPr>
                <w:sz w:val="20"/>
                <w:szCs w:val="20"/>
                <w:color w:val="auto"/>
              </w:rPr>
            </w:pPr>
            <w:r>
              <w:rPr>
                <w:rFonts w:ascii="Arial" w:cs="Arial" w:eastAsia="Arial" w:hAnsi="Arial"/>
                <w:sz w:val="18"/>
                <w:szCs w:val="18"/>
                <w:color w:val="auto"/>
              </w:rPr>
              <w:t>NV</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ILS Corp</w:t>
            </w:r>
          </w:p>
        </w:tc>
        <w:tc>
          <w:tcPr>
            <w:tcW w:w="4680" w:type="dxa"/>
            <w:vAlign w:val="bottom"/>
          </w:tcPr>
          <w:p>
            <w:pPr>
              <w:ind w:left="200"/>
              <w:spacing w:after="0"/>
              <w:rPr>
                <w:sz w:val="20"/>
                <w:szCs w:val="20"/>
                <w:color w:val="auto"/>
              </w:rPr>
            </w:pPr>
            <w:r>
              <w:rPr>
                <w:rFonts w:ascii="Arial" w:cs="Arial" w:eastAsia="Arial" w:hAnsi="Arial"/>
                <w:sz w:val="18"/>
                <w:szCs w:val="18"/>
                <w:color w:val="auto"/>
              </w:rPr>
              <w:t>Southwest Texas Methodist</w:t>
            </w:r>
          </w:p>
        </w:tc>
        <w:tc>
          <w:tcPr>
            <w:tcW w:w="3580" w:type="dxa"/>
            <w:vAlign w:val="bottom"/>
          </w:tcPr>
          <w:p>
            <w:pPr>
              <w:ind w:left="1720"/>
              <w:spacing w:after="0"/>
              <w:rPr>
                <w:sz w:val="20"/>
                <w:szCs w:val="20"/>
                <w:color w:val="auto"/>
              </w:rPr>
            </w:pPr>
            <w:r>
              <w:rPr>
                <w:rFonts w:ascii="Arial" w:cs="Arial" w:eastAsia="Arial" w:hAnsi="Arial"/>
                <w:sz w:val="18"/>
                <w:szCs w:val="18"/>
                <w:color w:val="auto"/>
              </w:rPr>
              <w:t>Hope Menchaca</w:t>
            </w:r>
          </w:p>
        </w:tc>
        <w:tc>
          <w:tcPr>
            <w:tcW w:w="1520" w:type="dxa"/>
            <w:vAlign w:val="bottom"/>
          </w:tcPr>
          <w:p>
            <w:pPr>
              <w:ind w:left="60"/>
              <w:spacing w:after="0"/>
              <w:rPr>
                <w:sz w:val="20"/>
                <w:szCs w:val="20"/>
                <w:color w:val="auto"/>
              </w:rPr>
            </w:pPr>
            <w:r>
              <w:rPr>
                <w:rFonts w:ascii="Arial" w:cs="Arial" w:eastAsia="Arial" w:hAnsi="Arial"/>
                <w:sz w:val="18"/>
                <w:szCs w:val="18"/>
                <w:color w:val="auto"/>
              </w:rPr>
              <w:t>San Antonio</w:t>
            </w:r>
          </w:p>
        </w:tc>
        <w:tc>
          <w:tcPr>
            <w:tcW w:w="700" w:type="dxa"/>
            <w:vAlign w:val="bottom"/>
          </w:tcPr>
          <w:p>
            <w:pPr>
              <w:ind w:left="420"/>
              <w:spacing w:after="0"/>
              <w:rPr>
                <w:sz w:val="20"/>
                <w:szCs w:val="20"/>
                <w:color w:val="auto"/>
              </w:rPr>
            </w:pPr>
            <w:r>
              <w:rPr>
                <w:rFonts w:ascii="Arial" w:cs="Arial" w:eastAsia="Arial" w:hAnsi="Arial"/>
                <w:sz w:val="18"/>
                <w:szCs w:val="18"/>
                <w:color w:val="auto"/>
              </w:rPr>
              <w:t>TX</w:t>
            </w:r>
          </w:p>
        </w:tc>
      </w:t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ILS Corp</w:t>
            </w:r>
          </w:p>
        </w:tc>
        <w:tc>
          <w:tcPr>
            <w:tcW w:w="4680" w:type="dxa"/>
            <w:vAlign w:val="bottom"/>
          </w:tcPr>
          <w:p>
            <w:pPr>
              <w:ind w:left="200"/>
              <w:spacing w:after="0"/>
              <w:rPr>
                <w:sz w:val="20"/>
                <w:szCs w:val="20"/>
                <w:color w:val="auto"/>
              </w:rPr>
            </w:pPr>
            <w:r>
              <w:rPr>
                <w:rFonts w:ascii="Arial" w:cs="Arial" w:eastAsia="Arial" w:hAnsi="Arial"/>
                <w:sz w:val="18"/>
                <w:szCs w:val="18"/>
                <w:color w:val="auto"/>
              </w:rPr>
              <w:t>Southwestern Vermont Medical Center</w:t>
            </w:r>
          </w:p>
        </w:tc>
        <w:tc>
          <w:tcPr>
            <w:tcW w:w="3580" w:type="dxa"/>
            <w:vAlign w:val="bottom"/>
          </w:tcPr>
          <w:p>
            <w:pPr>
              <w:ind w:left="1720"/>
              <w:spacing w:after="0"/>
              <w:rPr>
                <w:sz w:val="20"/>
                <w:szCs w:val="20"/>
                <w:color w:val="auto"/>
              </w:rPr>
            </w:pPr>
            <w:r>
              <w:rPr>
                <w:rFonts w:ascii="Arial" w:cs="Arial" w:eastAsia="Arial" w:hAnsi="Arial"/>
                <w:sz w:val="18"/>
                <w:szCs w:val="18"/>
                <w:color w:val="auto"/>
              </w:rPr>
              <w:t>Ruth Metcalfe</w:t>
            </w:r>
          </w:p>
        </w:tc>
        <w:tc>
          <w:tcPr>
            <w:tcW w:w="1520" w:type="dxa"/>
            <w:vAlign w:val="bottom"/>
          </w:tcPr>
          <w:p>
            <w:pPr>
              <w:ind w:left="60"/>
              <w:spacing w:after="0"/>
              <w:rPr>
                <w:sz w:val="20"/>
                <w:szCs w:val="20"/>
                <w:color w:val="auto"/>
              </w:rPr>
            </w:pPr>
            <w:r>
              <w:rPr>
                <w:rFonts w:ascii="Arial" w:cs="Arial" w:eastAsia="Arial" w:hAnsi="Arial"/>
                <w:sz w:val="18"/>
                <w:szCs w:val="18"/>
                <w:color w:val="auto"/>
              </w:rPr>
              <w:t>Bennington</w:t>
            </w:r>
          </w:p>
        </w:tc>
        <w:tc>
          <w:tcPr>
            <w:tcW w:w="700" w:type="dxa"/>
            <w:vAlign w:val="bottom"/>
          </w:tcPr>
          <w:p>
            <w:pPr>
              <w:ind w:left="420"/>
              <w:spacing w:after="0"/>
              <w:rPr>
                <w:sz w:val="20"/>
                <w:szCs w:val="20"/>
                <w:color w:val="auto"/>
              </w:rPr>
            </w:pPr>
            <w:r>
              <w:rPr>
                <w:rFonts w:ascii="Arial" w:cs="Arial" w:eastAsia="Arial" w:hAnsi="Arial"/>
                <w:sz w:val="18"/>
                <w:szCs w:val="18"/>
                <w:color w:val="auto"/>
              </w:rPr>
              <w:t>VT</w:t>
            </w:r>
          </w:p>
        </w:tc>
      </w:tr>
    </w:tbl>
    <w:p>
      <w:pPr>
        <w:sectPr>
          <w:pgSz w:w="11900" w:h="16838" w:orient="portrait"/>
          <w:cols w:equalWidth="0" w:num="1">
            <w:col w:w="11360"/>
          </w:cols>
          <w:pgMar w:left="240" w:top="280" w:right="299" w:bottom="1440" w:gutter="0" w:footer="0" w:header="0"/>
        </w:sectPr>
      </w:pPr>
    </w:p>
    <w:bookmarkStart w:id="345" w:name="page346"/>
    <w:bookmarkEnd w:id="34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ILS Corp</w:t>
            </w:r>
          </w:p>
        </w:tc>
        <w:tc>
          <w:tcPr>
            <w:tcW w:w="4780" w:type="dxa"/>
            <w:vAlign w:val="bottom"/>
          </w:tcPr>
          <w:p>
            <w:pPr>
              <w:ind w:left="220"/>
              <w:spacing w:after="0"/>
              <w:rPr>
                <w:sz w:val="20"/>
                <w:szCs w:val="20"/>
                <w:color w:val="auto"/>
              </w:rPr>
            </w:pPr>
            <w:r>
              <w:rPr>
                <w:rFonts w:ascii="Arial" w:cs="Arial" w:eastAsia="Arial" w:hAnsi="Arial"/>
                <w:sz w:val="18"/>
                <w:szCs w:val="18"/>
                <w:color w:val="auto"/>
              </w:rPr>
              <w:t>Sparrow Health Systems</w:t>
            </w:r>
          </w:p>
        </w:tc>
        <w:tc>
          <w:tcPr>
            <w:tcW w:w="3420" w:type="dxa"/>
            <w:vAlign w:val="bottom"/>
          </w:tcPr>
          <w:p>
            <w:pPr>
              <w:ind w:left="1940"/>
              <w:spacing w:after="0"/>
              <w:rPr>
                <w:sz w:val="20"/>
                <w:szCs w:val="20"/>
                <w:color w:val="auto"/>
              </w:rPr>
            </w:pPr>
            <w:r>
              <w:rPr>
                <w:rFonts w:ascii="Arial" w:cs="Arial" w:eastAsia="Arial" w:hAnsi="Arial"/>
                <w:sz w:val="18"/>
                <w:szCs w:val="18"/>
                <w:color w:val="auto"/>
              </w:rPr>
              <w:t>George Brown</w:t>
            </w:r>
          </w:p>
        </w:tc>
        <w:tc>
          <w:tcPr>
            <w:tcW w:w="1560" w:type="dxa"/>
            <w:vAlign w:val="bottom"/>
          </w:tcPr>
          <w:p>
            <w:pPr>
              <w:ind w:left="60"/>
              <w:spacing w:after="0"/>
              <w:rPr>
                <w:sz w:val="20"/>
                <w:szCs w:val="20"/>
                <w:color w:val="auto"/>
              </w:rPr>
            </w:pPr>
            <w:r>
              <w:rPr>
                <w:rFonts w:ascii="Arial" w:cs="Arial" w:eastAsia="Arial" w:hAnsi="Arial"/>
                <w:sz w:val="18"/>
                <w:szCs w:val="18"/>
                <w:color w:val="auto"/>
              </w:rPr>
              <w:t>Lansign</w:t>
            </w:r>
          </w:p>
        </w:tc>
        <w:tc>
          <w:tcPr>
            <w:tcW w:w="700" w:type="dxa"/>
            <w:vAlign w:val="bottom"/>
          </w:tcPr>
          <w:p>
            <w:pPr>
              <w:ind w:left="420"/>
              <w:spacing w:after="0"/>
              <w:rPr>
                <w:sz w:val="20"/>
                <w:szCs w:val="20"/>
                <w:color w:val="auto"/>
              </w:rPr>
            </w:pPr>
            <w:r>
              <w:rPr>
                <w:rFonts w:ascii="Arial" w:cs="Arial" w:eastAsia="Arial" w:hAnsi="Arial"/>
                <w:sz w:val="18"/>
                <w:szCs w:val="18"/>
                <w:color w:val="auto"/>
              </w:rPr>
              <w:t>MI</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ILS Corp</w:t>
            </w:r>
          </w:p>
        </w:tc>
        <w:tc>
          <w:tcPr>
            <w:tcW w:w="4780" w:type="dxa"/>
            <w:vAlign w:val="bottom"/>
          </w:tcPr>
          <w:p>
            <w:pPr>
              <w:ind w:left="220"/>
              <w:spacing w:after="0"/>
              <w:rPr>
                <w:sz w:val="20"/>
                <w:szCs w:val="20"/>
                <w:color w:val="auto"/>
              </w:rPr>
            </w:pPr>
            <w:r>
              <w:rPr>
                <w:rFonts w:ascii="Arial" w:cs="Arial" w:eastAsia="Arial" w:hAnsi="Arial"/>
                <w:sz w:val="18"/>
                <w:szCs w:val="18"/>
                <w:color w:val="auto"/>
              </w:rPr>
              <w:t>Sparta Community Hospital</w:t>
            </w:r>
          </w:p>
        </w:tc>
        <w:tc>
          <w:tcPr>
            <w:tcW w:w="3420" w:type="dxa"/>
            <w:vAlign w:val="bottom"/>
          </w:tcPr>
          <w:p>
            <w:pPr>
              <w:ind w:left="1940"/>
              <w:spacing w:after="0"/>
              <w:rPr>
                <w:sz w:val="20"/>
                <w:szCs w:val="20"/>
                <w:color w:val="auto"/>
              </w:rPr>
            </w:pPr>
            <w:r>
              <w:rPr>
                <w:rFonts w:ascii="Arial" w:cs="Arial" w:eastAsia="Arial" w:hAnsi="Arial"/>
                <w:sz w:val="18"/>
                <w:szCs w:val="18"/>
                <w:color w:val="auto"/>
              </w:rPr>
              <w:t>Rhonda P</w:t>
            </w:r>
          </w:p>
        </w:tc>
        <w:tc>
          <w:tcPr>
            <w:tcW w:w="1560" w:type="dxa"/>
            <w:vAlign w:val="bottom"/>
          </w:tcPr>
          <w:p>
            <w:pPr>
              <w:ind w:left="60"/>
              <w:spacing w:after="0"/>
              <w:rPr>
                <w:sz w:val="20"/>
                <w:szCs w:val="20"/>
                <w:color w:val="auto"/>
              </w:rPr>
            </w:pPr>
            <w:r>
              <w:rPr>
                <w:rFonts w:ascii="Arial" w:cs="Arial" w:eastAsia="Arial" w:hAnsi="Arial"/>
                <w:sz w:val="18"/>
                <w:szCs w:val="18"/>
                <w:color w:val="auto"/>
              </w:rPr>
              <w:t>Sparta</w:t>
            </w:r>
          </w:p>
        </w:tc>
        <w:tc>
          <w:tcPr>
            <w:tcW w:w="700" w:type="dxa"/>
            <w:vAlign w:val="bottom"/>
          </w:tcPr>
          <w:p>
            <w:pPr>
              <w:ind w:left="420"/>
              <w:spacing w:after="0"/>
              <w:rPr>
                <w:sz w:val="20"/>
                <w:szCs w:val="20"/>
                <w:color w:val="auto"/>
              </w:rPr>
            </w:pPr>
            <w:r>
              <w:rPr>
                <w:rFonts w:ascii="Arial" w:cs="Arial" w:eastAsia="Arial" w:hAnsi="Arial"/>
                <w:sz w:val="18"/>
                <w:szCs w:val="18"/>
                <w:color w:val="auto"/>
              </w:rPr>
              <w:t>IL</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ILS Corp</w:t>
            </w:r>
          </w:p>
        </w:tc>
        <w:tc>
          <w:tcPr>
            <w:tcW w:w="4780" w:type="dxa"/>
            <w:vAlign w:val="bottom"/>
          </w:tcPr>
          <w:p>
            <w:pPr>
              <w:ind w:left="220"/>
              <w:spacing w:after="0"/>
              <w:rPr>
                <w:sz w:val="20"/>
                <w:szCs w:val="20"/>
                <w:color w:val="auto"/>
              </w:rPr>
            </w:pPr>
            <w:r>
              <w:rPr>
                <w:rFonts w:ascii="Arial" w:cs="Arial" w:eastAsia="Arial" w:hAnsi="Arial"/>
                <w:sz w:val="18"/>
                <w:szCs w:val="18"/>
                <w:color w:val="auto"/>
              </w:rPr>
              <w:t>Spine Hospital of Texas</w:t>
            </w:r>
          </w:p>
        </w:tc>
        <w:tc>
          <w:tcPr>
            <w:tcW w:w="3420" w:type="dxa"/>
            <w:vAlign w:val="bottom"/>
          </w:tcPr>
          <w:p>
            <w:pPr>
              <w:ind w:left="1940"/>
              <w:spacing w:after="0"/>
              <w:rPr>
                <w:sz w:val="20"/>
                <w:szCs w:val="20"/>
                <w:color w:val="auto"/>
              </w:rPr>
            </w:pPr>
            <w:r>
              <w:rPr>
                <w:rFonts w:ascii="Arial" w:cs="Arial" w:eastAsia="Arial" w:hAnsi="Arial"/>
                <w:sz w:val="18"/>
                <w:szCs w:val="18"/>
                <w:color w:val="auto"/>
              </w:rPr>
              <w:t>Max Gomez</w:t>
            </w:r>
          </w:p>
        </w:tc>
        <w:tc>
          <w:tcPr>
            <w:tcW w:w="1560" w:type="dxa"/>
            <w:vAlign w:val="bottom"/>
          </w:tcPr>
          <w:p>
            <w:pPr>
              <w:ind w:left="60"/>
              <w:spacing w:after="0"/>
              <w:rPr>
                <w:sz w:val="20"/>
                <w:szCs w:val="20"/>
                <w:color w:val="auto"/>
              </w:rPr>
            </w:pPr>
            <w:r>
              <w:rPr>
                <w:rFonts w:ascii="Arial" w:cs="Arial" w:eastAsia="Arial" w:hAnsi="Arial"/>
                <w:sz w:val="18"/>
                <w:szCs w:val="18"/>
                <w:color w:val="auto"/>
              </w:rPr>
              <w:t>San Antonio</w:t>
            </w:r>
          </w:p>
        </w:tc>
        <w:tc>
          <w:tcPr>
            <w:tcW w:w="700" w:type="dxa"/>
            <w:vAlign w:val="bottom"/>
          </w:tcPr>
          <w:p>
            <w:pPr>
              <w:ind w:left="420"/>
              <w:spacing w:after="0"/>
              <w:rPr>
                <w:sz w:val="20"/>
                <w:szCs w:val="20"/>
                <w:color w:val="auto"/>
              </w:rPr>
            </w:pPr>
            <w:r>
              <w:rPr>
                <w:rFonts w:ascii="Arial" w:cs="Arial" w:eastAsia="Arial" w:hAnsi="Arial"/>
                <w:sz w:val="18"/>
                <w:szCs w:val="18"/>
                <w:color w:val="auto"/>
              </w:rPr>
              <w:t>TX</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ILS Corp</w:t>
            </w:r>
          </w:p>
        </w:tc>
        <w:tc>
          <w:tcPr>
            <w:tcW w:w="4780" w:type="dxa"/>
            <w:vAlign w:val="bottom"/>
          </w:tcPr>
          <w:p>
            <w:pPr>
              <w:ind w:left="220"/>
              <w:spacing w:after="0"/>
              <w:rPr>
                <w:sz w:val="20"/>
                <w:szCs w:val="20"/>
                <w:color w:val="auto"/>
              </w:rPr>
            </w:pPr>
            <w:r>
              <w:rPr>
                <w:rFonts w:ascii="Arial" w:cs="Arial" w:eastAsia="Arial" w:hAnsi="Arial"/>
                <w:sz w:val="18"/>
                <w:szCs w:val="18"/>
                <w:color w:val="auto"/>
              </w:rPr>
              <w:t>Spring View Hospital</w:t>
            </w:r>
          </w:p>
        </w:tc>
        <w:tc>
          <w:tcPr>
            <w:tcW w:w="3420" w:type="dxa"/>
            <w:vAlign w:val="bottom"/>
          </w:tcPr>
          <w:p>
            <w:pPr>
              <w:ind w:left="1940"/>
              <w:spacing w:after="0"/>
              <w:rPr>
                <w:sz w:val="20"/>
                <w:szCs w:val="20"/>
                <w:color w:val="auto"/>
              </w:rPr>
            </w:pPr>
            <w:r>
              <w:rPr>
                <w:rFonts w:ascii="Arial" w:cs="Arial" w:eastAsia="Arial" w:hAnsi="Arial"/>
                <w:sz w:val="18"/>
                <w:szCs w:val="18"/>
                <w:color w:val="auto"/>
              </w:rPr>
              <w:t>K. McKinney</w:t>
            </w:r>
          </w:p>
        </w:tc>
        <w:tc>
          <w:tcPr>
            <w:tcW w:w="1560" w:type="dxa"/>
            <w:vAlign w:val="bottom"/>
          </w:tcPr>
          <w:p>
            <w:pPr>
              <w:ind w:left="60"/>
              <w:spacing w:after="0"/>
              <w:rPr>
                <w:sz w:val="20"/>
                <w:szCs w:val="20"/>
                <w:color w:val="auto"/>
              </w:rPr>
            </w:pPr>
            <w:r>
              <w:rPr>
                <w:rFonts w:ascii="Arial" w:cs="Arial" w:eastAsia="Arial" w:hAnsi="Arial"/>
                <w:sz w:val="18"/>
                <w:szCs w:val="18"/>
                <w:color w:val="auto"/>
              </w:rPr>
              <w:t>Lebanon</w:t>
            </w:r>
          </w:p>
        </w:tc>
        <w:tc>
          <w:tcPr>
            <w:tcW w:w="700" w:type="dxa"/>
            <w:vAlign w:val="bottom"/>
          </w:tcPr>
          <w:p>
            <w:pPr>
              <w:ind w:left="420"/>
              <w:spacing w:after="0"/>
              <w:rPr>
                <w:sz w:val="20"/>
                <w:szCs w:val="20"/>
                <w:color w:val="auto"/>
              </w:rPr>
            </w:pPr>
            <w:r>
              <w:rPr>
                <w:rFonts w:ascii="Arial" w:cs="Arial" w:eastAsia="Arial" w:hAnsi="Arial"/>
                <w:sz w:val="18"/>
                <w:szCs w:val="18"/>
                <w:color w:val="auto"/>
              </w:rPr>
              <w:t>KY</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ILS Corp</w:t>
            </w:r>
          </w:p>
        </w:tc>
        <w:tc>
          <w:tcPr>
            <w:tcW w:w="4780" w:type="dxa"/>
            <w:vAlign w:val="bottom"/>
          </w:tcPr>
          <w:p>
            <w:pPr>
              <w:ind w:left="220"/>
              <w:spacing w:after="0"/>
              <w:rPr>
                <w:sz w:val="20"/>
                <w:szCs w:val="20"/>
                <w:color w:val="auto"/>
              </w:rPr>
            </w:pPr>
            <w:r>
              <w:rPr>
                <w:rFonts w:ascii="Arial" w:cs="Arial" w:eastAsia="Arial" w:hAnsi="Arial"/>
                <w:sz w:val="18"/>
                <w:szCs w:val="18"/>
                <w:color w:val="auto"/>
              </w:rPr>
              <w:t>St. Agnes Medical Center</w:t>
            </w:r>
          </w:p>
        </w:tc>
        <w:tc>
          <w:tcPr>
            <w:tcW w:w="3420" w:type="dxa"/>
            <w:vAlign w:val="bottom"/>
          </w:tcPr>
          <w:p>
            <w:pPr>
              <w:ind w:left="1940"/>
              <w:spacing w:after="0"/>
              <w:rPr>
                <w:sz w:val="20"/>
                <w:szCs w:val="20"/>
                <w:color w:val="auto"/>
              </w:rPr>
            </w:pPr>
            <w:r>
              <w:rPr>
                <w:rFonts w:ascii="Arial" w:cs="Arial" w:eastAsia="Arial" w:hAnsi="Arial"/>
                <w:sz w:val="18"/>
                <w:szCs w:val="18"/>
                <w:color w:val="auto"/>
              </w:rPr>
              <w:t>Larry</w:t>
            </w:r>
          </w:p>
        </w:tc>
        <w:tc>
          <w:tcPr>
            <w:tcW w:w="1560" w:type="dxa"/>
            <w:vAlign w:val="bottom"/>
          </w:tcPr>
          <w:p>
            <w:pPr>
              <w:ind w:left="60"/>
              <w:spacing w:after="0"/>
              <w:rPr>
                <w:sz w:val="20"/>
                <w:szCs w:val="20"/>
                <w:color w:val="auto"/>
              </w:rPr>
            </w:pPr>
            <w:r>
              <w:rPr>
                <w:rFonts w:ascii="Arial" w:cs="Arial" w:eastAsia="Arial" w:hAnsi="Arial"/>
                <w:sz w:val="18"/>
                <w:szCs w:val="18"/>
                <w:color w:val="auto"/>
              </w:rPr>
              <w:t>Fresno</w:t>
            </w:r>
          </w:p>
        </w:tc>
        <w:tc>
          <w:tcPr>
            <w:tcW w:w="700" w:type="dxa"/>
            <w:vAlign w:val="bottom"/>
          </w:tcPr>
          <w:p>
            <w:pPr>
              <w:ind w:left="420"/>
              <w:spacing w:after="0"/>
              <w:rPr>
                <w:sz w:val="20"/>
                <w:szCs w:val="20"/>
                <w:color w:val="auto"/>
              </w:rPr>
            </w:pPr>
            <w:r>
              <w:rPr>
                <w:rFonts w:ascii="Arial" w:cs="Arial" w:eastAsia="Arial" w:hAnsi="Arial"/>
                <w:sz w:val="18"/>
                <w:szCs w:val="18"/>
                <w:color w:val="auto"/>
              </w:rPr>
              <w:t>CA</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ILS Corp</w:t>
            </w:r>
          </w:p>
        </w:tc>
        <w:tc>
          <w:tcPr>
            <w:tcW w:w="4780" w:type="dxa"/>
            <w:vAlign w:val="bottom"/>
          </w:tcPr>
          <w:p>
            <w:pPr>
              <w:ind w:left="220"/>
              <w:spacing w:after="0"/>
              <w:rPr>
                <w:sz w:val="20"/>
                <w:szCs w:val="20"/>
                <w:color w:val="auto"/>
              </w:rPr>
            </w:pPr>
            <w:r>
              <w:rPr>
                <w:rFonts w:ascii="Arial" w:cs="Arial" w:eastAsia="Arial" w:hAnsi="Arial"/>
                <w:sz w:val="18"/>
                <w:szCs w:val="18"/>
                <w:color w:val="auto"/>
              </w:rPr>
              <w:t>St. Catherine Hospital</w:t>
            </w:r>
          </w:p>
        </w:tc>
        <w:tc>
          <w:tcPr>
            <w:tcW w:w="3420" w:type="dxa"/>
            <w:vAlign w:val="bottom"/>
          </w:tcPr>
          <w:p>
            <w:pPr>
              <w:ind w:left="1940"/>
              <w:spacing w:after="0"/>
              <w:rPr>
                <w:sz w:val="20"/>
                <w:szCs w:val="20"/>
                <w:color w:val="auto"/>
              </w:rPr>
            </w:pPr>
            <w:r>
              <w:rPr>
                <w:rFonts w:ascii="Arial" w:cs="Arial" w:eastAsia="Arial" w:hAnsi="Arial"/>
                <w:sz w:val="18"/>
                <w:szCs w:val="18"/>
                <w:color w:val="auto"/>
              </w:rPr>
              <w:t>Jeanne Burkhart</w:t>
            </w:r>
          </w:p>
        </w:tc>
        <w:tc>
          <w:tcPr>
            <w:tcW w:w="1560" w:type="dxa"/>
            <w:vAlign w:val="bottom"/>
          </w:tcPr>
          <w:p>
            <w:pPr>
              <w:ind w:left="60"/>
              <w:spacing w:after="0"/>
              <w:rPr>
                <w:sz w:val="20"/>
                <w:szCs w:val="20"/>
                <w:color w:val="auto"/>
              </w:rPr>
            </w:pPr>
            <w:r>
              <w:rPr>
                <w:rFonts w:ascii="Arial" w:cs="Arial" w:eastAsia="Arial" w:hAnsi="Arial"/>
                <w:sz w:val="18"/>
                <w:szCs w:val="18"/>
                <w:color w:val="auto"/>
              </w:rPr>
              <w:t>Garden City</w:t>
            </w:r>
          </w:p>
        </w:tc>
        <w:tc>
          <w:tcPr>
            <w:tcW w:w="700" w:type="dxa"/>
            <w:vAlign w:val="bottom"/>
          </w:tcPr>
          <w:p>
            <w:pPr>
              <w:ind w:left="420"/>
              <w:spacing w:after="0"/>
              <w:rPr>
                <w:sz w:val="20"/>
                <w:szCs w:val="20"/>
                <w:color w:val="auto"/>
              </w:rPr>
            </w:pPr>
            <w:r>
              <w:rPr>
                <w:rFonts w:ascii="Arial" w:cs="Arial" w:eastAsia="Arial" w:hAnsi="Arial"/>
                <w:sz w:val="18"/>
                <w:szCs w:val="18"/>
                <w:color w:val="auto"/>
              </w:rPr>
              <w:t>KS</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ILS Corp</w:t>
            </w:r>
          </w:p>
        </w:tc>
        <w:tc>
          <w:tcPr>
            <w:tcW w:w="4780" w:type="dxa"/>
            <w:vAlign w:val="bottom"/>
          </w:tcPr>
          <w:p>
            <w:pPr>
              <w:ind w:left="220"/>
              <w:spacing w:after="0"/>
              <w:rPr>
                <w:sz w:val="20"/>
                <w:szCs w:val="20"/>
                <w:color w:val="auto"/>
              </w:rPr>
            </w:pPr>
            <w:r>
              <w:rPr>
                <w:rFonts w:ascii="Arial" w:cs="Arial" w:eastAsia="Arial" w:hAnsi="Arial"/>
                <w:sz w:val="18"/>
                <w:szCs w:val="18"/>
                <w:color w:val="auto"/>
              </w:rPr>
              <w:t>St. Clares Hlth Svcs-Denville</w:t>
            </w:r>
          </w:p>
        </w:tc>
        <w:tc>
          <w:tcPr>
            <w:tcW w:w="3420" w:type="dxa"/>
            <w:vAlign w:val="bottom"/>
          </w:tcPr>
          <w:p>
            <w:pPr>
              <w:ind w:left="1940"/>
              <w:spacing w:after="0"/>
              <w:rPr>
                <w:sz w:val="20"/>
                <w:szCs w:val="20"/>
                <w:color w:val="auto"/>
              </w:rPr>
            </w:pPr>
            <w:r>
              <w:rPr>
                <w:rFonts w:ascii="Arial" w:cs="Arial" w:eastAsia="Arial" w:hAnsi="Arial"/>
                <w:sz w:val="18"/>
                <w:szCs w:val="18"/>
                <w:color w:val="auto"/>
              </w:rPr>
              <w:t>Debra A. O’Brien</w:t>
            </w:r>
          </w:p>
        </w:tc>
        <w:tc>
          <w:tcPr>
            <w:tcW w:w="1560" w:type="dxa"/>
            <w:vAlign w:val="bottom"/>
          </w:tcPr>
          <w:p>
            <w:pPr>
              <w:ind w:left="60"/>
              <w:spacing w:after="0"/>
              <w:rPr>
                <w:sz w:val="20"/>
                <w:szCs w:val="20"/>
                <w:color w:val="auto"/>
              </w:rPr>
            </w:pPr>
            <w:r>
              <w:rPr>
                <w:rFonts w:ascii="Arial" w:cs="Arial" w:eastAsia="Arial" w:hAnsi="Arial"/>
                <w:sz w:val="18"/>
                <w:szCs w:val="18"/>
                <w:color w:val="auto"/>
              </w:rPr>
              <w:t>Denville</w:t>
            </w:r>
          </w:p>
        </w:tc>
        <w:tc>
          <w:tcPr>
            <w:tcW w:w="700" w:type="dxa"/>
            <w:vAlign w:val="bottom"/>
          </w:tcPr>
          <w:p>
            <w:pPr>
              <w:ind w:left="420"/>
              <w:spacing w:after="0"/>
              <w:rPr>
                <w:sz w:val="20"/>
                <w:szCs w:val="20"/>
                <w:color w:val="auto"/>
              </w:rPr>
            </w:pPr>
            <w:r>
              <w:rPr>
                <w:rFonts w:ascii="Arial" w:cs="Arial" w:eastAsia="Arial" w:hAnsi="Arial"/>
                <w:sz w:val="18"/>
                <w:szCs w:val="18"/>
                <w:color w:val="auto"/>
              </w:rPr>
              <w:t>NJ</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ILS Corp</w:t>
            </w:r>
          </w:p>
        </w:tc>
        <w:tc>
          <w:tcPr>
            <w:tcW w:w="4780" w:type="dxa"/>
            <w:vAlign w:val="bottom"/>
          </w:tcPr>
          <w:p>
            <w:pPr>
              <w:ind w:left="220"/>
              <w:spacing w:after="0"/>
              <w:rPr>
                <w:sz w:val="20"/>
                <w:szCs w:val="20"/>
                <w:color w:val="auto"/>
              </w:rPr>
            </w:pPr>
            <w:r>
              <w:rPr>
                <w:rFonts w:ascii="Arial" w:cs="Arial" w:eastAsia="Arial" w:hAnsi="Arial"/>
                <w:sz w:val="18"/>
                <w:szCs w:val="18"/>
                <w:color w:val="auto"/>
              </w:rPr>
              <w:t>St. Clares Hlth Svcs-Dover</w:t>
            </w:r>
          </w:p>
        </w:tc>
        <w:tc>
          <w:tcPr>
            <w:tcW w:w="3420" w:type="dxa"/>
            <w:vAlign w:val="bottom"/>
          </w:tcPr>
          <w:p>
            <w:pPr>
              <w:ind w:left="1940"/>
              <w:spacing w:after="0"/>
              <w:rPr>
                <w:sz w:val="20"/>
                <w:szCs w:val="20"/>
                <w:color w:val="auto"/>
              </w:rPr>
            </w:pPr>
            <w:r>
              <w:rPr>
                <w:rFonts w:ascii="Arial" w:cs="Arial" w:eastAsia="Arial" w:hAnsi="Arial"/>
                <w:sz w:val="18"/>
                <w:szCs w:val="18"/>
                <w:color w:val="auto"/>
              </w:rPr>
              <w:t>Debra A. O’Brien</w:t>
            </w:r>
          </w:p>
        </w:tc>
        <w:tc>
          <w:tcPr>
            <w:tcW w:w="1560" w:type="dxa"/>
            <w:vAlign w:val="bottom"/>
          </w:tcPr>
          <w:p>
            <w:pPr>
              <w:ind w:left="60"/>
              <w:spacing w:after="0"/>
              <w:rPr>
                <w:sz w:val="20"/>
                <w:szCs w:val="20"/>
                <w:color w:val="auto"/>
              </w:rPr>
            </w:pPr>
            <w:r>
              <w:rPr>
                <w:rFonts w:ascii="Arial" w:cs="Arial" w:eastAsia="Arial" w:hAnsi="Arial"/>
                <w:sz w:val="18"/>
                <w:szCs w:val="18"/>
                <w:color w:val="auto"/>
              </w:rPr>
              <w:t>Dover</w:t>
            </w:r>
          </w:p>
        </w:tc>
        <w:tc>
          <w:tcPr>
            <w:tcW w:w="700" w:type="dxa"/>
            <w:vAlign w:val="bottom"/>
          </w:tcPr>
          <w:p>
            <w:pPr>
              <w:ind w:left="420"/>
              <w:spacing w:after="0"/>
              <w:rPr>
                <w:sz w:val="20"/>
                <w:szCs w:val="20"/>
                <w:color w:val="auto"/>
              </w:rPr>
            </w:pPr>
            <w:r>
              <w:rPr>
                <w:rFonts w:ascii="Arial" w:cs="Arial" w:eastAsia="Arial" w:hAnsi="Arial"/>
                <w:sz w:val="18"/>
                <w:szCs w:val="18"/>
                <w:color w:val="auto"/>
              </w:rPr>
              <w:t>NJ</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ILS Corp</w:t>
            </w:r>
          </w:p>
        </w:tc>
        <w:tc>
          <w:tcPr>
            <w:tcW w:w="4780" w:type="dxa"/>
            <w:vAlign w:val="bottom"/>
          </w:tcPr>
          <w:p>
            <w:pPr>
              <w:ind w:left="220"/>
              <w:spacing w:after="0"/>
              <w:rPr>
                <w:sz w:val="20"/>
                <w:szCs w:val="20"/>
                <w:color w:val="auto"/>
              </w:rPr>
            </w:pPr>
            <w:r>
              <w:rPr>
                <w:rFonts w:ascii="Arial" w:cs="Arial" w:eastAsia="Arial" w:hAnsi="Arial"/>
                <w:sz w:val="18"/>
                <w:szCs w:val="18"/>
                <w:color w:val="auto"/>
              </w:rPr>
              <w:t>St. Dominic Health Services</w:t>
            </w:r>
          </w:p>
        </w:tc>
        <w:tc>
          <w:tcPr>
            <w:tcW w:w="3420" w:type="dxa"/>
            <w:vAlign w:val="bottom"/>
          </w:tcPr>
          <w:p>
            <w:pPr>
              <w:ind w:left="1940"/>
              <w:spacing w:after="0"/>
              <w:rPr>
                <w:sz w:val="20"/>
                <w:szCs w:val="20"/>
                <w:color w:val="auto"/>
              </w:rPr>
            </w:pPr>
            <w:r>
              <w:rPr>
                <w:rFonts w:ascii="Arial" w:cs="Arial" w:eastAsia="Arial" w:hAnsi="Arial"/>
                <w:sz w:val="18"/>
                <w:szCs w:val="18"/>
                <w:color w:val="auto"/>
              </w:rPr>
              <w:t>Alan</w:t>
            </w:r>
          </w:p>
        </w:tc>
        <w:tc>
          <w:tcPr>
            <w:tcW w:w="1560" w:type="dxa"/>
            <w:vAlign w:val="bottom"/>
          </w:tcPr>
          <w:p>
            <w:pPr>
              <w:ind w:left="60"/>
              <w:spacing w:after="0"/>
              <w:rPr>
                <w:sz w:val="20"/>
                <w:szCs w:val="20"/>
                <w:color w:val="auto"/>
              </w:rPr>
            </w:pPr>
            <w:r>
              <w:rPr>
                <w:rFonts w:ascii="Arial" w:cs="Arial" w:eastAsia="Arial" w:hAnsi="Arial"/>
                <w:sz w:val="18"/>
                <w:szCs w:val="18"/>
                <w:color w:val="auto"/>
              </w:rPr>
              <w:t>Jackson</w:t>
            </w:r>
          </w:p>
        </w:tc>
        <w:tc>
          <w:tcPr>
            <w:tcW w:w="700" w:type="dxa"/>
            <w:vAlign w:val="bottom"/>
          </w:tcPr>
          <w:p>
            <w:pPr>
              <w:ind w:left="420"/>
              <w:spacing w:after="0"/>
              <w:rPr>
                <w:sz w:val="20"/>
                <w:szCs w:val="20"/>
                <w:color w:val="auto"/>
              </w:rPr>
            </w:pPr>
            <w:r>
              <w:rPr>
                <w:rFonts w:ascii="Arial" w:cs="Arial" w:eastAsia="Arial" w:hAnsi="Arial"/>
                <w:sz w:val="18"/>
                <w:szCs w:val="18"/>
                <w:color w:val="auto"/>
                <w:w w:val="96"/>
              </w:rPr>
              <w:t>MS</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ILS Corp</w:t>
            </w:r>
          </w:p>
        </w:tc>
        <w:tc>
          <w:tcPr>
            <w:tcW w:w="4780" w:type="dxa"/>
            <w:vAlign w:val="bottom"/>
          </w:tcPr>
          <w:p>
            <w:pPr>
              <w:ind w:left="220"/>
              <w:spacing w:after="0"/>
              <w:rPr>
                <w:sz w:val="20"/>
                <w:szCs w:val="20"/>
                <w:color w:val="auto"/>
              </w:rPr>
            </w:pPr>
            <w:r>
              <w:rPr>
                <w:rFonts w:ascii="Arial" w:cs="Arial" w:eastAsia="Arial" w:hAnsi="Arial"/>
                <w:sz w:val="18"/>
                <w:szCs w:val="18"/>
                <w:color w:val="auto"/>
              </w:rPr>
              <w:t>St. Elizabeth Medical Ctr Boston</w:t>
            </w:r>
          </w:p>
        </w:tc>
        <w:tc>
          <w:tcPr>
            <w:tcW w:w="3420" w:type="dxa"/>
            <w:vAlign w:val="bottom"/>
          </w:tcPr>
          <w:p>
            <w:pPr>
              <w:ind w:left="1940"/>
              <w:spacing w:after="0"/>
              <w:rPr>
                <w:sz w:val="20"/>
                <w:szCs w:val="20"/>
                <w:color w:val="auto"/>
              </w:rPr>
            </w:pPr>
            <w:r>
              <w:rPr>
                <w:rFonts w:ascii="Arial" w:cs="Arial" w:eastAsia="Arial" w:hAnsi="Arial"/>
                <w:sz w:val="18"/>
                <w:szCs w:val="18"/>
                <w:color w:val="auto"/>
              </w:rPr>
              <w:t>Michael Casey</w:t>
            </w:r>
          </w:p>
        </w:tc>
        <w:tc>
          <w:tcPr>
            <w:tcW w:w="1560" w:type="dxa"/>
            <w:vAlign w:val="bottom"/>
          </w:tcPr>
          <w:p>
            <w:pPr>
              <w:ind w:left="60"/>
              <w:spacing w:after="0"/>
              <w:rPr>
                <w:sz w:val="20"/>
                <w:szCs w:val="20"/>
                <w:color w:val="auto"/>
              </w:rPr>
            </w:pPr>
            <w:r>
              <w:rPr>
                <w:rFonts w:ascii="Arial" w:cs="Arial" w:eastAsia="Arial" w:hAnsi="Arial"/>
                <w:sz w:val="18"/>
                <w:szCs w:val="18"/>
                <w:color w:val="auto"/>
              </w:rPr>
              <w:t>Brighton</w:t>
            </w:r>
          </w:p>
        </w:tc>
        <w:tc>
          <w:tcPr>
            <w:tcW w:w="700" w:type="dxa"/>
            <w:vAlign w:val="bottom"/>
          </w:tcPr>
          <w:p>
            <w:pPr>
              <w:ind w:left="420"/>
              <w:spacing w:after="0"/>
              <w:rPr>
                <w:sz w:val="20"/>
                <w:szCs w:val="20"/>
                <w:color w:val="auto"/>
              </w:rPr>
            </w:pPr>
            <w:r>
              <w:rPr>
                <w:rFonts w:ascii="Arial" w:cs="Arial" w:eastAsia="Arial" w:hAnsi="Arial"/>
                <w:sz w:val="18"/>
                <w:szCs w:val="18"/>
                <w:color w:val="auto"/>
                <w:w w:val="96"/>
              </w:rPr>
              <w:t>MA</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ILS Corp</w:t>
            </w:r>
          </w:p>
        </w:tc>
        <w:tc>
          <w:tcPr>
            <w:tcW w:w="4780" w:type="dxa"/>
            <w:vAlign w:val="bottom"/>
          </w:tcPr>
          <w:p>
            <w:pPr>
              <w:ind w:left="220"/>
              <w:spacing w:after="0"/>
              <w:rPr>
                <w:sz w:val="20"/>
                <w:szCs w:val="20"/>
                <w:color w:val="auto"/>
              </w:rPr>
            </w:pPr>
            <w:r>
              <w:rPr>
                <w:rFonts w:ascii="Arial" w:cs="Arial" w:eastAsia="Arial" w:hAnsi="Arial"/>
                <w:sz w:val="18"/>
                <w:szCs w:val="18"/>
                <w:color w:val="auto"/>
              </w:rPr>
              <w:t>St. Elizabeth Hospital</w:t>
            </w:r>
          </w:p>
        </w:tc>
        <w:tc>
          <w:tcPr>
            <w:tcW w:w="3420" w:type="dxa"/>
            <w:vAlign w:val="bottom"/>
          </w:tcPr>
          <w:p>
            <w:pPr>
              <w:ind w:left="1940"/>
              <w:spacing w:after="0"/>
              <w:rPr>
                <w:sz w:val="20"/>
                <w:szCs w:val="20"/>
                <w:color w:val="auto"/>
              </w:rPr>
            </w:pPr>
            <w:r>
              <w:rPr>
                <w:rFonts w:ascii="Arial" w:cs="Arial" w:eastAsia="Arial" w:hAnsi="Arial"/>
                <w:sz w:val="18"/>
                <w:szCs w:val="18"/>
                <w:color w:val="auto"/>
              </w:rPr>
              <w:t>Barbara Noufer</w:t>
            </w:r>
          </w:p>
        </w:tc>
        <w:tc>
          <w:tcPr>
            <w:tcW w:w="1560" w:type="dxa"/>
            <w:vAlign w:val="bottom"/>
          </w:tcPr>
          <w:p>
            <w:pPr>
              <w:ind w:left="60"/>
              <w:spacing w:after="0"/>
              <w:rPr>
                <w:sz w:val="20"/>
                <w:szCs w:val="20"/>
                <w:color w:val="auto"/>
              </w:rPr>
            </w:pPr>
            <w:r>
              <w:rPr>
                <w:rFonts w:ascii="Arial" w:cs="Arial" w:eastAsia="Arial" w:hAnsi="Arial"/>
                <w:sz w:val="18"/>
                <w:szCs w:val="18"/>
                <w:color w:val="auto"/>
              </w:rPr>
              <w:t>Youngstown</w:t>
            </w:r>
          </w:p>
        </w:tc>
        <w:tc>
          <w:tcPr>
            <w:tcW w:w="700" w:type="dxa"/>
            <w:vAlign w:val="bottom"/>
          </w:tcPr>
          <w:p>
            <w:pPr>
              <w:ind w:left="420"/>
              <w:spacing w:after="0"/>
              <w:rPr>
                <w:sz w:val="20"/>
                <w:szCs w:val="20"/>
                <w:color w:val="auto"/>
              </w:rPr>
            </w:pPr>
            <w:r>
              <w:rPr>
                <w:rFonts w:ascii="Arial" w:cs="Arial" w:eastAsia="Arial" w:hAnsi="Arial"/>
                <w:sz w:val="18"/>
                <w:szCs w:val="18"/>
                <w:color w:val="auto"/>
                <w:w w:val="96"/>
              </w:rPr>
              <w:t>OH</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ILS Corp</w:t>
            </w:r>
          </w:p>
        </w:tc>
        <w:tc>
          <w:tcPr>
            <w:tcW w:w="4780" w:type="dxa"/>
            <w:vAlign w:val="bottom"/>
          </w:tcPr>
          <w:p>
            <w:pPr>
              <w:ind w:left="220"/>
              <w:spacing w:after="0"/>
              <w:rPr>
                <w:sz w:val="20"/>
                <w:szCs w:val="20"/>
                <w:color w:val="auto"/>
              </w:rPr>
            </w:pPr>
            <w:r>
              <w:rPr>
                <w:rFonts w:ascii="Arial" w:cs="Arial" w:eastAsia="Arial" w:hAnsi="Arial"/>
                <w:sz w:val="18"/>
                <w:szCs w:val="18"/>
                <w:color w:val="auto"/>
              </w:rPr>
              <w:t>St. Francis Hospital</w:t>
            </w:r>
          </w:p>
        </w:tc>
        <w:tc>
          <w:tcPr>
            <w:tcW w:w="3420" w:type="dxa"/>
            <w:vAlign w:val="bottom"/>
          </w:tcPr>
          <w:p>
            <w:pPr>
              <w:ind w:left="1940"/>
              <w:spacing w:after="0"/>
              <w:rPr>
                <w:sz w:val="20"/>
                <w:szCs w:val="20"/>
                <w:color w:val="auto"/>
              </w:rPr>
            </w:pPr>
            <w:r>
              <w:rPr>
                <w:rFonts w:ascii="Arial" w:cs="Arial" w:eastAsia="Arial" w:hAnsi="Arial"/>
                <w:sz w:val="18"/>
                <w:szCs w:val="18"/>
                <w:color w:val="auto"/>
              </w:rPr>
              <w:t>Carrie</w:t>
            </w:r>
          </w:p>
        </w:tc>
        <w:tc>
          <w:tcPr>
            <w:tcW w:w="1560" w:type="dxa"/>
            <w:vAlign w:val="bottom"/>
          </w:tcPr>
          <w:p>
            <w:pPr>
              <w:ind w:left="60"/>
              <w:spacing w:after="0"/>
              <w:rPr>
                <w:sz w:val="20"/>
                <w:szCs w:val="20"/>
                <w:color w:val="auto"/>
              </w:rPr>
            </w:pPr>
            <w:r>
              <w:rPr>
                <w:rFonts w:ascii="Arial" w:cs="Arial" w:eastAsia="Arial" w:hAnsi="Arial"/>
                <w:sz w:val="18"/>
                <w:szCs w:val="18"/>
                <w:color w:val="auto"/>
              </w:rPr>
              <w:t>Beech Grove</w:t>
            </w:r>
          </w:p>
        </w:tc>
        <w:tc>
          <w:tcPr>
            <w:tcW w:w="700" w:type="dxa"/>
            <w:vAlign w:val="bottom"/>
          </w:tcPr>
          <w:p>
            <w:pPr>
              <w:ind w:left="420"/>
              <w:spacing w:after="0"/>
              <w:rPr>
                <w:sz w:val="20"/>
                <w:szCs w:val="20"/>
                <w:color w:val="auto"/>
              </w:rPr>
            </w:pPr>
            <w:r>
              <w:rPr>
                <w:rFonts w:ascii="Arial" w:cs="Arial" w:eastAsia="Arial" w:hAnsi="Arial"/>
                <w:sz w:val="18"/>
                <w:szCs w:val="18"/>
                <w:color w:val="auto"/>
              </w:rPr>
              <w:t>IN</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ILS Corp</w:t>
            </w:r>
          </w:p>
        </w:tc>
        <w:tc>
          <w:tcPr>
            <w:tcW w:w="4780" w:type="dxa"/>
            <w:vAlign w:val="bottom"/>
          </w:tcPr>
          <w:p>
            <w:pPr>
              <w:ind w:left="220"/>
              <w:spacing w:after="0"/>
              <w:rPr>
                <w:sz w:val="20"/>
                <w:szCs w:val="20"/>
                <w:color w:val="auto"/>
              </w:rPr>
            </w:pPr>
            <w:r>
              <w:rPr>
                <w:rFonts w:ascii="Arial" w:cs="Arial" w:eastAsia="Arial" w:hAnsi="Arial"/>
                <w:sz w:val="18"/>
                <w:szCs w:val="18"/>
                <w:color w:val="auto"/>
              </w:rPr>
              <w:t>St. Joseph Center for Outpatient Surg</w:t>
            </w:r>
          </w:p>
        </w:tc>
        <w:tc>
          <w:tcPr>
            <w:tcW w:w="3420" w:type="dxa"/>
            <w:vAlign w:val="bottom"/>
          </w:tcPr>
          <w:p>
            <w:pPr>
              <w:ind w:left="1940"/>
              <w:spacing w:after="0"/>
              <w:rPr>
                <w:sz w:val="20"/>
                <w:szCs w:val="20"/>
                <w:color w:val="auto"/>
              </w:rPr>
            </w:pPr>
            <w:r>
              <w:rPr>
                <w:rFonts w:ascii="Arial" w:cs="Arial" w:eastAsia="Arial" w:hAnsi="Arial"/>
                <w:sz w:val="18"/>
                <w:szCs w:val="18"/>
                <w:color w:val="auto"/>
              </w:rPr>
              <w:t>Renee Bottorff</w:t>
            </w:r>
          </w:p>
        </w:tc>
        <w:tc>
          <w:tcPr>
            <w:tcW w:w="1560" w:type="dxa"/>
            <w:vAlign w:val="bottom"/>
          </w:tcPr>
          <w:p>
            <w:pPr>
              <w:ind w:left="60"/>
              <w:spacing w:after="0"/>
              <w:rPr>
                <w:sz w:val="20"/>
                <w:szCs w:val="20"/>
                <w:color w:val="auto"/>
              </w:rPr>
            </w:pPr>
            <w:r>
              <w:rPr>
                <w:rFonts w:ascii="Arial" w:cs="Arial" w:eastAsia="Arial" w:hAnsi="Arial"/>
                <w:sz w:val="18"/>
                <w:szCs w:val="18"/>
                <w:color w:val="auto"/>
              </w:rPr>
              <w:t>St. Joseph</w:t>
            </w:r>
          </w:p>
        </w:tc>
        <w:tc>
          <w:tcPr>
            <w:tcW w:w="700" w:type="dxa"/>
            <w:vAlign w:val="bottom"/>
          </w:tcPr>
          <w:p>
            <w:pPr>
              <w:ind w:left="420"/>
              <w:spacing w:after="0"/>
              <w:rPr>
                <w:sz w:val="20"/>
                <w:szCs w:val="20"/>
                <w:color w:val="auto"/>
              </w:rPr>
            </w:pPr>
            <w:r>
              <w:rPr>
                <w:rFonts w:ascii="Arial" w:cs="Arial" w:eastAsia="Arial" w:hAnsi="Arial"/>
                <w:sz w:val="18"/>
                <w:szCs w:val="18"/>
                <w:color w:val="auto"/>
                <w:w w:val="89"/>
              </w:rPr>
              <w:t>MO</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ILS Corp</w:t>
            </w:r>
          </w:p>
        </w:tc>
        <w:tc>
          <w:tcPr>
            <w:tcW w:w="4780" w:type="dxa"/>
            <w:vAlign w:val="bottom"/>
          </w:tcPr>
          <w:p>
            <w:pPr>
              <w:ind w:left="220"/>
              <w:spacing w:after="0"/>
              <w:rPr>
                <w:sz w:val="20"/>
                <w:szCs w:val="20"/>
                <w:color w:val="auto"/>
              </w:rPr>
            </w:pPr>
            <w:r>
              <w:rPr>
                <w:rFonts w:ascii="Arial" w:cs="Arial" w:eastAsia="Arial" w:hAnsi="Arial"/>
                <w:sz w:val="18"/>
                <w:szCs w:val="18"/>
                <w:color w:val="auto"/>
              </w:rPr>
              <w:t>St. Joseph Hospital</w:t>
            </w:r>
          </w:p>
        </w:tc>
        <w:tc>
          <w:tcPr>
            <w:tcW w:w="3420" w:type="dxa"/>
            <w:vAlign w:val="bottom"/>
          </w:tcPr>
          <w:p>
            <w:pPr>
              <w:ind w:left="1940"/>
              <w:spacing w:after="0"/>
              <w:rPr>
                <w:sz w:val="20"/>
                <w:szCs w:val="20"/>
                <w:color w:val="auto"/>
              </w:rPr>
            </w:pPr>
            <w:r>
              <w:rPr>
                <w:rFonts w:ascii="Arial" w:cs="Arial" w:eastAsia="Arial" w:hAnsi="Arial"/>
                <w:sz w:val="18"/>
                <w:szCs w:val="18"/>
                <w:color w:val="auto"/>
              </w:rPr>
              <w:t>Cheryl Cashwell</w:t>
            </w:r>
          </w:p>
        </w:tc>
        <w:tc>
          <w:tcPr>
            <w:tcW w:w="1560" w:type="dxa"/>
            <w:vAlign w:val="bottom"/>
          </w:tcPr>
          <w:p>
            <w:pPr>
              <w:ind w:left="60"/>
              <w:spacing w:after="0"/>
              <w:rPr>
                <w:sz w:val="20"/>
                <w:szCs w:val="20"/>
                <w:color w:val="auto"/>
              </w:rPr>
            </w:pPr>
            <w:r>
              <w:rPr>
                <w:rFonts w:ascii="Arial" w:cs="Arial" w:eastAsia="Arial" w:hAnsi="Arial"/>
                <w:sz w:val="18"/>
                <w:szCs w:val="18"/>
                <w:color w:val="auto"/>
              </w:rPr>
              <w:t>Tampa</w:t>
            </w:r>
          </w:p>
        </w:tc>
        <w:tc>
          <w:tcPr>
            <w:tcW w:w="700" w:type="dxa"/>
            <w:vAlign w:val="bottom"/>
          </w:tcPr>
          <w:p>
            <w:pPr>
              <w:ind w:left="420"/>
              <w:spacing w:after="0"/>
              <w:rPr>
                <w:sz w:val="20"/>
                <w:szCs w:val="20"/>
                <w:color w:val="auto"/>
              </w:rPr>
            </w:pPr>
            <w:r>
              <w:rPr>
                <w:rFonts w:ascii="Arial" w:cs="Arial" w:eastAsia="Arial" w:hAnsi="Arial"/>
                <w:sz w:val="18"/>
                <w:szCs w:val="18"/>
                <w:color w:val="auto"/>
              </w:rPr>
              <w:t>FL</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ILS Corp</w:t>
            </w:r>
          </w:p>
        </w:tc>
        <w:tc>
          <w:tcPr>
            <w:tcW w:w="4780" w:type="dxa"/>
            <w:vAlign w:val="bottom"/>
          </w:tcPr>
          <w:p>
            <w:pPr>
              <w:ind w:left="220"/>
              <w:spacing w:after="0"/>
              <w:rPr>
                <w:sz w:val="20"/>
                <w:szCs w:val="20"/>
                <w:color w:val="auto"/>
              </w:rPr>
            </w:pPr>
            <w:r>
              <w:rPr>
                <w:rFonts w:ascii="Arial" w:cs="Arial" w:eastAsia="Arial" w:hAnsi="Arial"/>
                <w:sz w:val="18"/>
                <w:szCs w:val="18"/>
                <w:color w:val="auto"/>
              </w:rPr>
              <w:t>St. Joseph Hospital WI</w:t>
            </w:r>
          </w:p>
        </w:tc>
        <w:tc>
          <w:tcPr>
            <w:tcW w:w="3420" w:type="dxa"/>
            <w:vAlign w:val="bottom"/>
          </w:tcPr>
          <w:p>
            <w:pPr>
              <w:ind w:left="1940"/>
              <w:spacing w:after="0"/>
              <w:rPr>
                <w:sz w:val="20"/>
                <w:szCs w:val="20"/>
                <w:color w:val="auto"/>
              </w:rPr>
            </w:pPr>
            <w:r>
              <w:rPr>
                <w:rFonts w:ascii="Arial" w:cs="Arial" w:eastAsia="Arial" w:hAnsi="Arial"/>
                <w:sz w:val="18"/>
                <w:szCs w:val="18"/>
                <w:color w:val="auto"/>
              </w:rPr>
              <w:t>Jon Willi</w:t>
            </w:r>
          </w:p>
        </w:tc>
        <w:tc>
          <w:tcPr>
            <w:tcW w:w="1560" w:type="dxa"/>
            <w:vAlign w:val="bottom"/>
          </w:tcPr>
          <w:p>
            <w:pPr>
              <w:ind w:left="60"/>
              <w:spacing w:after="0"/>
              <w:rPr>
                <w:sz w:val="20"/>
                <w:szCs w:val="20"/>
                <w:color w:val="auto"/>
              </w:rPr>
            </w:pPr>
            <w:r>
              <w:rPr>
                <w:rFonts w:ascii="Arial" w:cs="Arial" w:eastAsia="Arial" w:hAnsi="Arial"/>
                <w:sz w:val="18"/>
                <w:szCs w:val="18"/>
                <w:color w:val="auto"/>
              </w:rPr>
              <w:t>Chippewa Falls</w:t>
            </w:r>
          </w:p>
        </w:tc>
        <w:tc>
          <w:tcPr>
            <w:tcW w:w="700" w:type="dxa"/>
            <w:vAlign w:val="bottom"/>
          </w:tcPr>
          <w:p>
            <w:pPr>
              <w:ind w:left="420"/>
              <w:spacing w:after="0"/>
              <w:rPr>
                <w:sz w:val="20"/>
                <w:szCs w:val="20"/>
                <w:color w:val="auto"/>
              </w:rPr>
            </w:pPr>
            <w:r>
              <w:rPr>
                <w:rFonts w:ascii="Arial" w:cs="Arial" w:eastAsia="Arial" w:hAnsi="Arial"/>
                <w:sz w:val="18"/>
                <w:szCs w:val="18"/>
                <w:color w:val="auto"/>
              </w:rPr>
              <w:t>WI</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ILS Corp</w:t>
            </w:r>
          </w:p>
        </w:tc>
        <w:tc>
          <w:tcPr>
            <w:tcW w:w="4780" w:type="dxa"/>
            <w:vAlign w:val="bottom"/>
          </w:tcPr>
          <w:p>
            <w:pPr>
              <w:ind w:left="220"/>
              <w:spacing w:after="0"/>
              <w:rPr>
                <w:sz w:val="20"/>
                <w:szCs w:val="20"/>
                <w:color w:val="auto"/>
              </w:rPr>
            </w:pPr>
            <w:r>
              <w:rPr>
                <w:rFonts w:ascii="Arial" w:cs="Arial" w:eastAsia="Arial" w:hAnsi="Arial"/>
                <w:sz w:val="18"/>
                <w:szCs w:val="18"/>
                <w:color w:val="auto"/>
              </w:rPr>
              <w:t>St. Joseph Medical Center</w:t>
            </w:r>
          </w:p>
        </w:tc>
        <w:tc>
          <w:tcPr>
            <w:tcW w:w="3420" w:type="dxa"/>
            <w:vAlign w:val="bottom"/>
          </w:tcPr>
          <w:p>
            <w:pPr>
              <w:ind w:left="1940"/>
              <w:spacing w:after="0"/>
              <w:rPr>
                <w:sz w:val="20"/>
                <w:szCs w:val="20"/>
                <w:color w:val="auto"/>
              </w:rPr>
            </w:pPr>
            <w:r>
              <w:rPr>
                <w:rFonts w:ascii="Arial" w:cs="Arial" w:eastAsia="Arial" w:hAnsi="Arial"/>
                <w:sz w:val="18"/>
                <w:szCs w:val="18"/>
                <w:color w:val="auto"/>
              </w:rPr>
              <w:t>Lynn King</w:t>
            </w:r>
          </w:p>
        </w:tc>
        <w:tc>
          <w:tcPr>
            <w:tcW w:w="1560" w:type="dxa"/>
            <w:vAlign w:val="bottom"/>
          </w:tcPr>
          <w:p>
            <w:pPr>
              <w:ind w:left="60"/>
              <w:spacing w:after="0"/>
              <w:rPr>
                <w:sz w:val="20"/>
                <w:szCs w:val="20"/>
                <w:color w:val="auto"/>
              </w:rPr>
            </w:pPr>
            <w:r>
              <w:rPr>
                <w:rFonts w:ascii="Arial" w:cs="Arial" w:eastAsia="Arial" w:hAnsi="Arial"/>
                <w:sz w:val="18"/>
                <w:szCs w:val="18"/>
                <w:color w:val="auto"/>
              </w:rPr>
              <w:t>Polson</w:t>
            </w:r>
          </w:p>
        </w:tc>
        <w:tc>
          <w:tcPr>
            <w:tcW w:w="700" w:type="dxa"/>
            <w:vAlign w:val="bottom"/>
          </w:tcPr>
          <w:p>
            <w:pPr>
              <w:ind w:left="420"/>
              <w:spacing w:after="0"/>
              <w:rPr>
                <w:sz w:val="20"/>
                <w:szCs w:val="20"/>
                <w:color w:val="auto"/>
              </w:rPr>
            </w:pPr>
            <w:r>
              <w:rPr>
                <w:rFonts w:ascii="Arial" w:cs="Arial" w:eastAsia="Arial" w:hAnsi="Arial"/>
                <w:sz w:val="18"/>
                <w:szCs w:val="18"/>
                <w:color w:val="auto"/>
                <w:w w:val="99"/>
              </w:rPr>
              <w:t>MT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ILS Corp</w:t>
            </w:r>
          </w:p>
        </w:tc>
        <w:tc>
          <w:tcPr>
            <w:tcW w:w="4780" w:type="dxa"/>
            <w:vAlign w:val="bottom"/>
          </w:tcPr>
          <w:p>
            <w:pPr>
              <w:ind w:left="220"/>
              <w:spacing w:after="0"/>
              <w:rPr>
                <w:sz w:val="20"/>
                <w:szCs w:val="20"/>
                <w:color w:val="auto"/>
              </w:rPr>
            </w:pPr>
            <w:r>
              <w:rPr>
                <w:rFonts w:ascii="Arial" w:cs="Arial" w:eastAsia="Arial" w:hAnsi="Arial"/>
                <w:sz w:val="18"/>
                <w:szCs w:val="18"/>
                <w:color w:val="auto"/>
              </w:rPr>
              <w:t>St. Joseph Mercy</w:t>
            </w:r>
          </w:p>
        </w:tc>
        <w:tc>
          <w:tcPr>
            <w:tcW w:w="3420" w:type="dxa"/>
            <w:vAlign w:val="bottom"/>
          </w:tcPr>
          <w:p>
            <w:pPr>
              <w:ind w:left="1940"/>
              <w:spacing w:after="0"/>
              <w:rPr>
                <w:sz w:val="20"/>
                <w:szCs w:val="20"/>
                <w:color w:val="auto"/>
              </w:rPr>
            </w:pPr>
            <w:r>
              <w:rPr>
                <w:rFonts w:ascii="Arial" w:cs="Arial" w:eastAsia="Arial" w:hAnsi="Arial"/>
                <w:sz w:val="18"/>
                <w:szCs w:val="18"/>
                <w:color w:val="auto"/>
                <w:w w:val="92"/>
              </w:rPr>
              <w:t>Glenda or Henry M.</w:t>
            </w:r>
          </w:p>
        </w:tc>
        <w:tc>
          <w:tcPr>
            <w:tcW w:w="1560" w:type="dxa"/>
            <w:vAlign w:val="bottom"/>
          </w:tcPr>
          <w:p>
            <w:pPr>
              <w:ind w:left="60"/>
              <w:spacing w:after="0"/>
              <w:rPr>
                <w:sz w:val="20"/>
                <w:szCs w:val="20"/>
                <w:color w:val="auto"/>
              </w:rPr>
            </w:pPr>
            <w:r>
              <w:rPr>
                <w:rFonts w:ascii="Arial" w:cs="Arial" w:eastAsia="Arial" w:hAnsi="Arial"/>
                <w:sz w:val="18"/>
                <w:szCs w:val="18"/>
                <w:color w:val="auto"/>
              </w:rPr>
              <w:t>Hot Springs</w:t>
            </w:r>
          </w:p>
        </w:tc>
        <w:tc>
          <w:tcPr>
            <w:tcW w:w="700" w:type="dxa"/>
            <w:vAlign w:val="bottom"/>
          </w:tcPr>
          <w:p>
            <w:pPr>
              <w:ind w:left="420"/>
              <w:spacing w:after="0"/>
              <w:rPr>
                <w:sz w:val="20"/>
                <w:szCs w:val="20"/>
                <w:color w:val="auto"/>
              </w:rPr>
            </w:pPr>
            <w:r>
              <w:rPr>
                <w:rFonts w:ascii="Arial" w:cs="Arial" w:eastAsia="Arial" w:hAnsi="Arial"/>
                <w:sz w:val="18"/>
                <w:szCs w:val="18"/>
                <w:color w:val="auto"/>
              </w:rPr>
              <w:t>AR</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ILS Corp</w:t>
            </w:r>
          </w:p>
        </w:tc>
        <w:tc>
          <w:tcPr>
            <w:tcW w:w="4780" w:type="dxa"/>
            <w:vAlign w:val="bottom"/>
          </w:tcPr>
          <w:p>
            <w:pPr>
              <w:ind w:left="220"/>
              <w:spacing w:after="0"/>
              <w:rPr>
                <w:sz w:val="20"/>
                <w:szCs w:val="20"/>
                <w:color w:val="auto"/>
              </w:rPr>
            </w:pPr>
            <w:r>
              <w:rPr>
                <w:rFonts w:ascii="Arial" w:cs="Arial" w:eastAsia="Arial" w:hAnsi="Arial"/>
                <w:sz w:val="18"/>
                <w:szCs w:val="18"/>
                <w:color w:val="auto"/>
              </w:rPr>
              <w:t>St. Louis Spine Surgery Center</w:t>
            </w:r>
          </w:p>
        </w:tc>
        <w:tc>
          <w:tcPr>
            <w:tcW w:w="3420" w:type="dxa"/>
            <w:vAlign w:val="bottom"/>
          </w:tcPr>
          <w:p>
            <w:pPr>
              <w:ind w:left="1940"/>
              <w:spacing w:after="0"/>
              <w:rPr>
                <w:sz w:val="20"/>
                <w:szCs w:val="20"/>
                <w:color w:val="auto"/>
              </w:rPr>
            </w:pPr>
            <w:r>
              <w:rPr>
                <w:rFonts w:ascii="Arial" w:cs="Arial" w:eastAsia="Arial" w:hAnsi="Arial"/>
                <w:sz w:val="18"/>
                <w:szCs w:val="18"/>
                <w:color w:val="auto"/>
              </w:rPr>
              <w:t>Tisha Hoofman</w:t>
            </w:r>
          </w:p>
        </w:tc>
        <w:tc>
          <w:tcPr>
            <w:tcW w:w="1560" w:type="dxa"/>
            <w:vAlign w:val="bottom"/>
          </w:tcPr>
          <w:p>
            <w:pPr>
              <w:ind w:left="60"/>
              <w:spacing w:after="0"/>
              <w:rPr>
                <w:sz w:val="20"/>
                <w:szCs w:val="20"/>
                <w:color w:val="auto"/>
              </w:rPr>
            </w:pPr>
            <w:r>
              <w:rPr>
                <w:rFonts w:ascii="Arial" w:cs="Arial" w:eastAsia="Arial" w:hAnsi="Arial"/>
                <w:sz w:val="18"/>
                <w:szCs w:val="18"/>
                <w:color w:val="auto"/>
              </w:rPr>
              <w:t>Creve Coeur</w:t>
            </w:r>
          </w:p>
        </w:tc>
        <w:tc>
          <w:tcPr>
            <w:tcW w:w="700" w:type="dxa"/>
            <w:vAlign w:val="bottom"/>
          </w:tcPr>
          <w:p>
            <w:pPr>
              <w:ind w:left="420"/>
              <w:spacing w:after="0"/>
              <w:rPr>
                <w:sz w:val="20"/>
                <w:szCs w:val="20"/>
                <w:color w:val="auto"/>
              </w:rPr>
            </w:pPr>
            <w:r>
              <w:rPr>
                <w:rFonts w:ascii="Arial" w:cs="Arial" w:eastAsia="Arial" w:hAnsi="Arial"/>
                <w:sz w:val="18"/>
                <w:szCs w:val="18"/>
                <w:color w:val="auto"/>
                <w:w w:val="89"/>
              </w:rPr>
              <w:t>MO</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ILS Corp</w:t>
            </w:r>
          </w:p>
        </w:tc>
        <w:tc>
          <w:tcPr>
            <w:tcW w:w="4780" w:type="dxa"/>
            <w:vAlign w:val="bottom"/>
          </w:tcPr>
          <w:p>
            <w:pPr>
              <w:ind w:left="220"/>
              <w:spacing w:after="0"/>
              <w:rPr>
                <w:sz w:val="20"/>
                <w:szCs w:val="20"/>
                <w:color w:val="auto"/>
              </w:rPr>
            </w:pPr>
            <w:r>
              <w:rPr>
                <w:rFonts w:ascii="Arial" w:cs="Arial" w:eastAsia="Arial" w:hAnsi="Arial"/>
                <w:sz w:val="18"/>
                <w:szCs w:val="18"/>
                <w:color w:val="auto"/>
              </w:rPr>
              <w:t>St. Luke’s Hospital</w:t>
            </w:r>
          </w:p>
        </w:tc>
        <w:tc>
          <w:tcPr>
            <w:tcW w:w="3420" w:type="dxa"/>
            <w:vAlign w:val="bottom"/>
          </w:tcPr>
          <w:p>
            <w:pPr>
              <w:spacing w:after="0"/>
              <w:rPr>
                <w:sz w:val="18"/>
                <w:szCs w:val="18"/>
                <w:color w:val="auto"/>
              </w:rPr>
            </w:pPr>
          </w:p>
        </w:tc>
        <w:tc>
          <w:tcPr>
            <w:tcW w:w="1560" w:type="dxa"/>
            <w:vAlign w:val="bottom"/>
          </w:tcPr>
          <w:p>
            <w:pPr>
              <w:ind w:left="60"/>
              <w:spacing w:after="0"/>
              <w:rPr>
                <w:sz w:val="20"/>
                <w:szCs w:val="20"/>
                <w:color w:val="auto"/>
              </w:rPr>
            </w:pPr>
            <w:r>
              <w:rPr>
                <w:rFonts w:ascii="Arial" w:cs="Arial" w:eastAsia="Arial" w:hAnsi="Arial"/>
                <w:sz w:val="18"/>
                <w:szCs w:val="18"/>
                <w:color w:val="auto"/>
              </w:rPr>
              <w:t>Phoenix</w:t>
            </w:r>
          </w:p>
        </w:tc>
        <w:tc>
          <w:tcPr>
            <w:tcW w:w="700" w:type="dxa"/>
            <w:vAlign w:val="bottom"/>
          </w:tcPr>
          <w:p>
            <w:pPr>
              <w:ind w:left="420"/>
              <w:spacing w:after="0"/>
              <w:rPr>
                <w:sz w:val="20"/>
                <w:szCs w:val="20"/>
                <w:color w:val="auto"/>
              </w:rPr>
            </w:pPr>
            <w:r>
              <w:rPr>
                <w:rFonts w:ascii="Arial" w:cs="Arial" w:eastAsia="Arial" w:hAnsi="Arial"/>
                <w:sz w:val="18"/>
                <w:szCs w:val="18"/>
                <w:color w:val="auto"/>
              </w:rPr>
              <w:t>AZ</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ILS Corp</w:t>
            </w:r>
          </w:p>
        </w:tc>
        <w:tc>
          <w:tcPr>
            <w:tcW w:w="4780" w:type="dxa"/>
            <w:vAlign w:val="bottom"/>
          </w:tcPr>
          <w:p>
            <w:pPr>
              <w:ind w:left="220"/>
              <w:spacing w:after="0"/>
              <w:rPr>
                <w:sz w:val="20"/>
                <w:szCs w:val="20"/>
                <w:color w:val="auto"/>
              </w:rPr>
            </w:pPr>
            <w:r>
              <w:rPr>
                <w:rFonts w:ascii="Arial" w:cs="Arial" w:eastAsia="Arial" w:hAnsi="Arial"/>
                <w:sz w:val="18"/>
                <w:szCs w:val="18"/>
                <w:color w:val="auto"/>
              </w:rPr>
              <w:t>St. Mary Mercy</w:t>
            </w:r>
          </w:p>
        </w:tc>
        <w:tc>
          <w:tcPr>
            <w:tcW w:w="3420" w:type="dxa"/>
            <w:vAlign w:val="bottom"/>
          </w:tcPr>
          <w:p>
            <w:pPr>
              <w:ind w:left="1940"/>
              <w:spacing w:after="0"/>
              <w:rPr>
                <w:sz w:val="20"/>
                <w:szCs w:val="20"/>
                <w:color w:val="auto"/>
              </w:rPr>
            </w:pPr>
            <w:r>
              <w:rPr>
                <w:rFonts w:ascii="Arial" w:cs="Arial" w:eastAsia="Arial" w:hAnsi="Arial"/>
                <w:sz w:val="18"/>
                <w:szCs w:val="18"/>
                <w:color w:val="auto"/>
              </w:rPr>
              <w:t>Todd Fahr</w:t>
            </w:r>
          </w:p>
        </w:tc>
        <w:tc>
          <w:tcPr>
            <w:tcW w:w="1560" w:type="dxa"/>
            <w:vAlign w:val="bottom"/>
          </w:tcPr>
          <w:p>
            <w:pPr>
              <w:ind w:left="60"/>
              <w:spacing w:after="0"/>
              <w:rPr>
                <w:sz w:val="20"/>
                <w:szCs w:val="20"/>
                <w:color w:val="auto"/>
              </w:rPr>
            </w:pPr>
            <w:r>
              <w:rPr>
                <w:rFonts w:ascii="Arial" w:cs="Arial" w:eastAsia="Arial" w:hAnsi="Arial"/>
                <w:sz w:val="18"/>
                <w:szCs w:val="18"/>
                <w:color w:val="auto"/>
              </w:rPr>
              <w:t>Grand Rapids</w:t>
            </w:r>
          </w:p>
        </w:tc>
        <w:tc>
          <w:tcPr>
            <w:tcW w:w="700" w:type="dxa"/>
            <w:vAlign w:val="bottom"/>
          </w:tcPr>
          <w:p>
            <w:pPr>
              <w:ind w:left="420"/>
              <w:spacing w:after="0"/>
              <w:rPr>
                <w:sz w:val="20"/>
                <w:szCs w:val="20"/>
                <w:color w:val="auto"/>
              </w:rPr>
            </w:pPr>
            <w:r>
              <w:rPr>
                <w:rFonts w:ascii="Arial" w:cs="Arial" w:eastAsia="Arial" w:hAnsi="Arial"/>
                <w:sz w:val="18"/>
                <w:szCs w:val="18"/>
                <w:color w:val="auto"/>
              </w:rPr>
              <w:t>MI</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ILS Corp</w:t>
            </w:r>
          </w:p>
        </w:tc>
        <w:tc>
          <w:tcPr>
            <w:tcW w:w="4780" w:type="dxa"/>
            <w:vAlign w:val="bottom"/>
          </w:tcPr>
          <w:p>
            <w:pPr>
              <w:ind w:left="220"/>
              <w:spacing w:after="0"/>
              <w:rPr>
                <w:sz w:val="20"/>
                <w:szCs w:val="20"/>
                <w:color w:val="auto"/>
              </w:rPr>
            </w:pPr>
            <w:r>
              <w:rPr>
                <w:rFonts w:ascii="Arial" w:cs="Arial" w:eastAsia="Arial" w:hAnsi="Arial"/>
                <w:sz w:val="18"/>
                <w:szCs w:val="18"/>
                <w:color w:val="auto"/>
              </w:rPr>
              <w:t>St. Marys Hospital Decatur</w:t>
            </w:r>
          </w:p>
        </w:tc>
        <w:tc>
          <w:tcPr>
            <w:tcW w:w="3420" w:type="dxa"/>
            <w:vAlign w:val="bottom"/>
          </w:tcPr>
          <w:p>
            <w:pPr>
              <w:ind w:left="1940"/>
              <w:spacing w:after="0"/>
              <w:rPr>
                <w:sz w:val="20"/>
                <w:szCs w:val="20"/>
                <w:color w:val="auto"/>
              </w:rPr>
            </w:pPr>
            <w:r>
              <w:rPr>
                <w:rFonts w:ascii="Arial" w:cs="Arial" w:eastAsia="Arial" w:hAnsi="Arial"/>
                <w:sz w:val="18"/>
                <w:szCs w:val="18"/>
                <w:color w:val="auto"/>
                <w:w w:val="99"/>
              </w:rPr>
              <w:t>Lisa Garner-Smith</w:t>
            </w:r>
          </w:p>
        </w:tc>
        <w:tc>
          <w:tcPr>
            <w:tcW w:w="1560" w:type="dxa"/>
            <w:vAlign w:val="bottom"/>
          </w:tcPr>
          <w:p>
            <w:pPr>
              <w:ind w:left="60"/>
              <w:spacing w:after="0"/>
              <w:rPr>
                <w:sz w:val="20"/>
                <w:szCs w:val="20"/>
                <w:color w:val="auto"/>
              </w:rPr>
            </w:pPr>
            <w:r>
              <w:rPr>
                <w:rFonts w:ascii="Arial" w:cs="Arial" w:eastAsia="Arial" w:hAnsi="Arial"/>
                <w:sz w:val="18"/>
                <w:szCs w:val="18"/>
                <w:color w:val="auto"/>
              </w:rPr>
              <w:t>Decatur</w:t>
            </w:r>
          </w:p>
        </w:tc>
        <w:tc>
          <w:tcPr>
            <w:tcW w:w="700" w:type="dxa"/>
            <w:vAlign w:val="bottom"/>
          </w:tcPr>
          <w:p>
            <w:pPr>
              <w:ind w:left="420"/>
              <w:spacing w:after="0"/>
              <w:rPr>
                <w:sz w:val="20"/>
                <w:szCs w:val="20"/>
                <w:color w:val="auto"/>
              </w:rPr>
            </w:pPr>
            <w:r>
              <w:rPr>
                <w:rFonts w:ascii="Arial" w:cs="Arial" w:eastAsia="Arial" w:hAnsi="Arial"/>
                <w:sz w:val="18"/>
                <w:szCs w:val="18"/>
                <w:color w:val="auto"/>
              </w:rPr>
              <w:t>IL</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ILS Corp</w:t>
            </w:r>
          </w:p>
        </w:tc>
        <w:tc>
          <w:tcPr>
            <w:tcW w:w="4780" w:type="dxa"/>
            <w:vAlign w:val="bottom"/>
          </w:tcPr>
          <w:p>
            <w:pPr>
              <w:ind w:left="220"/>
              <w:spacing w:after="0"/>
              <w:rPr>
                <w:sz w:val="20"/>
                <w:szCs w:val="20"/>
                <w:color w:val="auto"/>
              </w:rPr>
            </w:pPr>
            <w:r>
              <w:rPr>
                <w:rFonts w:ascii="Arial" w:cs="Arial" w:eastAsia="Arial" w:hAnsi="Arial"/>
                <w:sz w:val="18"/>
                <w:szCs w:val="18"/>
                <w:color w:val="auto"/>
              </w:rPr>
              <w:t>St. Marys Health System Inc.</w:t>
            </w:r>
          </w:p>
        </w:tc>
        <w:tc>
          <w:tcPr>
            <w:tcW w:w="3420" w:type="dxa"/>
            <w:vAlign w:val="bottom"/>
          </w:tcPr>
          <w:p>
            <w:pPr>
              <w:ind w:left="1940"/>
              <w:spacing w:after="0"/>
              <w:rPr>
                <w:sz w:val="20"/>
                <w:szCs w:val="20"/>
                <w:color w:val="auto"/>
              </w:rPr>
            </w:pPr>
            <w:r>
              <w:rPr>
                <w:rFonts w:ascii="Arial" w:cs="Arial" w:eastAsia="Arial" w:hAnsi="Arial"/>
                <w:sz w:val="18"/>
                <w:szCs w:val="18"/>
                <w:color w:val="auto"/>
              </w:rPr>
              <w:t>Gregory B. Little</w:t>
            </w:r>
          </w:p>
        </w:tc>
        <w:tc>
          <w:tcPr>
            <w:tcW w:w="1560" w:type="dxa"/>
            <w:vAlign w:val="bottom"/>
          </w:tcPr>
          <w:p>
            <w:pPr>
              <w:ind w:left="60"/>
              <w:spacing w:after="0"/>
              <w:rPr>
                <w:sz w:val="20"/>
                <w:szCs w:val="20"/>
                <w:color w:val="auto"/>
              </w:rPr>
            </w:pPr>
            <w:r>
              <w:rPr>
                <w:rFonts w:ascii="Arial" w:cs="Arial" w:eastAsia="Arial" w:hAnsi="Arial"/>
                <w:sz w:val="18"/>
                <w:szCs w:val="18"/>
                <w:color w:val="auto"/>
              </w:rPr>
              <w:t>Knoxville</w:t>
            </w:r>
          </w:p>
        </w:tc>
        <w:tc>
          <w:tcPr>
            <w:tcW w:w="700" w:type="dxa"/>
            <w:vAlign w:val="bottom"/>
          </w:tcPr>
          <w:p>
            <w:pPr>
              <w:ind w:left="420"/>
              <w:spacing w:after="0"/>
              <w:rPr>
                <w:sz w:val="20"/>
                <w:szCs w:val="20"/>
                <w:color w:val="auto"/>
              </w:rPr>
            </w:pPr>
            <w:r>
              <w:rPr>
                <w:rFonts w:ascii="Arial" w:cs="Arial" w:eastAsia="Arial" w:hAnsi="Arial"/>
                <w:sz w:val="18"/>
                <w:szCs w:val="18"/>
                <w:color w:val="auto"/>
              </w:rPr>
              <w:t>TN</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ILS Corp</w:t>
            </w:r>
          </w:p>
        </w:tc>
        <w:tc>
          <w:tcPr>
            <w:tcW w:w="4780" w:type="dxa"/>
            <w:vAlign w:val="bottom"/>
          </w:tcPr>
          <w:p>
            <w:pPr>
              <w:ind w:left="220"/>
              <w:spacing w:after="0"/>
              <w:rPr>
                <w:sz w:val="20"/>
                <w:szCs w:val="20"/>
                <w:color w:val="auto"/>
              </w:rPr>
            </w:pPr>
            <w:r>
              <w:rPr>
                <w:rFonts w:ascii="Arial" w:cs="Arial" w:eastAsia="Arial" w:hAnsi="Arial"/>
                <w:sz w:val="18"/>
                <w:szCs w:val="18"/>
                <w:color w:val="auto"/>
              </w:rPr>
              <w:t>St. Marys Healthcare Systems</w:t>
            </w:r>
          </w:p>
        </w:tc>
        <w:tc>
          <w:tcPr>
            <w:tcW w:w="3420" w:type="dxa"/>
            <w:vAlign w:val="bottom"/>
          </w:tcPr>
          <w:p>
            <w:pPr>
              <w:ind w:left="1940"/>
              <w:spacing w:after="0"/>
              <w:rPr>
                <w:sz w:val="20"/>
                <w:szCs w:val="20"/>
                <w:color w:val="auto"/>
              </w:rPr>
            </w:pPr>
            <w:r>
              <w:rPr>
                <w:rFonts w:ascii="Arial" w:cs="Arial" w:eastAsia="Arial" w:hAnsi="Arial"/>
                <w:sz w:val="18"/>
                <w:szCs w:val="18"/>
                <w:color w:val="auto"/>
              </w:rPr>
              <w:t>Cindy Hopkins</w:t>
            </w:r>
          </w:p>
        </w:tc>
        <w:tc>
          <w:tcPr>
            <w:tcW w:w="1560" w:type="dxa"/>
            <w:vAlign w:val="bottom"/>
          </w:tcPr>
          <w:p>
            <w:pPr>
              <w:ind w:left="60"/>
              <w:spacing w:after="0"/>
              <w:rPr>
                <w:sz w:val="20"/>
                <w:szCs w:val="20"/>
                <w:color w:val="auto"/>
              </w:rPr>
            </w:pPr>
            <w:r>
              <w:rPr>
                <w:rFonts w:ascii="Arial" w:cs="Arial" w:eastAsia="Arial" w:hAnsi="Arial"/>
                <w:sz w:val="18"/>
                <w:szCs w:val="18"/>
                <w:color w:val="auto"/>
              </w:rPr>
              <w:t>Athens</w:t>
            </w:r>
          </w:p>
        </w:tc>
        <w:tc>
          <w:tcPr>
            <w:tcW w:w="700" w:type="dxa"/>
            <w:vAlign w:val="bottom"/>
          </w:tcPr>
          <w:p>
            <w:pPr>
              <w:ind w:left="420"/>
              <w:spacing w:after="0"/>
              <w:rPr>
                <w:sz w:val="20"/>
                <w:szCs w:val="20"/>
                <w:color w:val="auto"/>
              </w:rPr>
            </w:pPr>
            <w:r>
              <w:rPr>
                <w:rFonts w:ascii="Arial" w:cs="Arial" w:eastAsia="Arial" w:hAnsi="Arial"/>
                <w:sz w:val="18"/>
                <w:szCs w:val="18"/>
                <w:color w:val="auto"/>
                <w:w w:val="99"/>
              </w:rPr>
              <w:t>GA</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ILS Corp</w:t>
            </w:r>
          </w:p>
        </w:tc>
        <w:tc>
          <w:tcPr>
            <w:tcW w:w="4780" w:type="dxa"/>
            <w:vAlign w:val="bottom"/>
          </w:tcPr>
          <w:p>
            <w:pPr>
              <w:ind w:left="220"/>
              <w:spacing w:after="0"/>
              <w:rPr>
                <w:sz w:val="20"/>
                <w:szCs w:val="20"/>
                <w:color w:val="auto"/>
              </w:rPr>
            </w:pPr>
            <w:r>
              <w:rPr>
                <w:rFonts w:ascii="Arial" w:cs="Arial" w:eastAsia="Arial" w:hAnsi="Arial"/>
                <w:sz w:val="18"/>
                <w:szCs w:val="18"/>
                <w:color w:val="auto"/>
              </w:rPr>
              <w:t>St. Mary’s Hospital</w:t>
            </w:r>
          </w:p>
        </w:tc>
        <w:tc>
          <w:tcPr>
            <w:tcW w:w="3420" w:type="dxa"/>
            <w:vAlign w:val="bottom"/>
          </w:tcPr>
          <w:p>
            <w:pPr>
              <w:ind w:left="1940"/>
              <w:spacing w:after="0"/>
              <w:rPr>
                <w:sz w:val="20"/>
                <w:szCs w:val="20"/>
                <w:color w:val="auto"/>
              </w:rPr>
            </w:pPr>
            <w:r>
              <w:rPr>
                <w:rFonts w:ascii="Arial" w:cs="Arial" w:eastAsia="Arial" w:hAnsi="Arial"/>
                <w:sz w:val="18"/>
                <w:szCs w:val="18"/>
                <w:color w:val="auto"/>
              </w:rPr>
              <w:t>Robert Wilkins</w:t>
            </w:r>
          </w:p>
        </w:tc>
        <w:tc>
          <w:tcPr>
            <w:tcW w:w="1560" w:type="dxa"/>
            <w:vAlign w:val="bottom"/>
          </w:tcPr>
          <w:p>
            <w:pPr>
              <w:ind w:left="60"/>
              <w:spacing w:after="0"/>
              <w:rPr>
                <w:sz w:val="20"/>
                <w:szCs w:val="20"/>
                <w:color w:val="auto"/>
              </w:rPr>
            </w:pPr>
            <w:r>
              <w:rPr>
                <w:rFonts w:ascii="Arial" w:cs="Arial" w:eastAsia="Arial" w:hAnsi="Arial"/>
                <w:sz w:val="18"/>
                <w:szCs w:val="18"/>
                <w:color w:val="auto"/>
              </w:rPr>
              <w:t>Rogers</w:t>
            </w:r>
          </w:p>
        </w:tc>
        <w:tc>
          <w:tcPr>
            <w:tcW w:w="700" w:type="dxa"/>
            <w:vAlign w:val="bottom"/>
          </w:tcPr>
          <w:p>
            <w:pPr>
              <w:ind w:left="420"/>
              <w:spacing w:after="0"/>
              <w:rPr>
                <w:sz w:val="20"/>
                <w:szCs w:val="20"/>
                <w:color w:val="auto"/>
              </w:rPr>
            </w:pPr>
            <w:r>
              <w:rPr>
                <w:rFonts w:ascii="Arial" w:cs="Arial" w:eastAsia="Arial" w:hAnsi="Arial"/>
                <w:sz w:val="18"/>
                <w:szCs w:val="18"/>
                <w:color w:val="auto"/>
              </w:rPr>
              <w:t>AR</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ILS Corp</w:t>
            </w:r>
          </w:p>
        </w:tc>
        <w:tc>
          <w:tcPr>
            <w:tcW w:w="4780" w:type="dxa"/>
            <w:vAlign w:val="bottom"/>
          </w:tcPr>
          <w:p>
            <w:pPr>
              <w:ind w:left="220"/>
              <w:spacing w:after="0"/>
              <w:rPr>
                <w:sz w:val="20"/>
                <w:szCs w:val="20"/>
                <w:color w:val="auto"/>
              </w:rPr>
            </w:pPr>
            <w:r>
              <w:rPr>
                <w:rFonts w:ascii="Arial" w:cs="Arial" w:eastAsia="Arial" w:hAnsi="Arial"/>
                <w:sz w:val="18"/>
                <w:szCs w:val="18"/>
                <w:color w:val="auto"/>
              </w:rPr>
              <w:t>St. Mary’s Medical Center</w:t>
            </w:r>
          </w:p>
        </w:tc>
        <w:tc>
          <w:tcPr>
            <w:tcW w:w="3420" w:type="dxa"/>
            <w:vAlign w:val="bottom"/>
          </w:tcPr>
          <w:p>
            <w:pPr>
              <w:ind w:left="1940"/>
              <w:spacing w:after="0"/>
              <w:rPr>
                <w:sz w:val="20"/>
                <w:szCs w:val="20"/>
                <w:color w:val="auto"/>
              </w:rPr>
            </w:pPr>
            <w:r>
              <w:rPr>
                <w:rFonts w:ascii="Arial" w:cs="Arial" w:eastAsia="Arial" w:hAnsi="Arial"/>
                <w:sz w:val="18"/>
                <w:szCs w:val="18"/>
                <w:color w:val="auto"/>
              </w:rPr>
              <w:t>Vincent Page</w:t>
            </w:r>
          </w:p>
        </w:tc>
        <w:tc>
          <w:tcPr>
            <w:tcW w:w="1560" w:type="dxa"/>
            <w:vAlign w:val="bottom"/>
          </w:tcPr>
          <w:p>
            <w:pPr>
              <w:ind w:left="60"/>
              <w:spacing w:after="0"/>
              <w:rPr>
                <w:sz w:val="20"/>
                <w:szCs w:val="20"/>
                <w:color w:val="auto"/>
              </w:rPr>
            </w:pPr>
            <w:r>
              <w:rPr>
                <w:rFonts w:ascii="Arial" w:cs="Arial" w:eastAsia="Arial" w:hAnsi="Arial"/>
                <w:sz w:val="18"/>
                <w:szCs w:val="18"/>
                <w:color w:val="auto"/>
              </w:rPr>
              <w:t>Long Beach</w:t>
            </w:r>
          </w:p>
        </w:tc>
        <w:tc>
          <w:tcPr>
            <w:tcW w:w="700" w:type="dxa"/>
            <w:vAlign w:val="bottom"/>
          </w:tcPr>
          <w:p>
            <w:pPr>
              <w:ind w:left="420"/>
              <w:spacing w:after="0"/>
              <w:rPr>
                <w:sz w:val="20"/>
                <w:szCs w:val="20"/>
                <w:color w:val="auto"/>
              </w:rPr>
            </w:pPr>
            <w:r>
              <w:rPr>
                <w:rFonts w:ascii="Arial" w:cs="Arial" w:eastAsia="Arial" w:hAnsi="Arial"/>
                <w:sz w:val="18"/>
                <w:szCs w:val="18"/>
                <w:color w:val="auto"/>
              </w:rPr>
              <w:t>CA</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ILS Corp</w:t>
            </w:r>
          </w:p>
        </w:tc>
        <w:tc>
          <w:tcPr>
            <w:tcW w:w="4780" w:type="dxa"/>
            <w:vAlign w:val="bottom"/>
          </w:tcPr>
          <w:p>
            <w:pPr>
              <w:ind w:left="220"/>
              <w:spacing w:after="0"/>
              <w:rPr>
                <w:sz w:val="20"/>
                <w:szCs w:val="20"/>
                <w:color w:val="auto"/>
              </w:rPr>
            </w:pPr>
            <w:r>
              <w:rPr>
                <w:rFonts w:ascii="Arial" w:cs="Arial" w:eastAsia="Arial" w:hAnsi="Arial"/>
                <w:sz w:val="18"/>
                <w:szCs w:val="18"/>
                <w:color w:val="auto"/>
              </w:rPr>
              <w:t>St. Mary’s Medical Center</w:t>
            </w:r>
          </w:p>
        </w:tc>
        <w:tc>
          <w:tcPr>
            <w:tcW w:w="3420" w:type="dxa"/>
            <w:vAlign w:val="bottom"/>
          </w:tcPr>
          <w:p>
            <w:pPr>
              <w:ind w:left="1940"/>
              <w:spacing w:after="0"/>
              <w:rPr>
                <w:sz w:val="20"/>
                <w:szCs w:val="20"/>
                <w:color w:val="auto"/>
              </w:rPr>
            </w:pPr>
            <w:r>
              <w:rPr>
                <w:rFonts w:ascii="Arial" w:cs="Arial" w:eastAsia="Arial" w:hAnsi="Arial"/>
                <w:sz w:val="18"/>
                <w:szCs w:val="18"/>
                <w:color w:val="auto"/>
              </w:rPr>
              <w:t>Albert Duran</w:t>
            </w:r>
          </w:p>
        </w:tc>
        <w:tc>
          <w:tcPr>
            <w:tcW w:w="1560" w:type="dxa"/>
            <w:vAlign w:val="bottom"/>
          </w:tcPr>
          <w:p>
            <w:pPr>
              <w:ind w:left="60"/>
              <w:spacing w:after="0"/>
              <w:rPr>
                <w:sz w:val="20"/>
                <w:szCs w:val="20"/>
                <w:color w:val="auto"/>
              </w:rPr>
            </w:pPr>
            <w:r>
              <w:rPr>
                <w:rFonts w:ascii="Arial" w:cs="Arial" w:eastAsia="Arial" w:hAnsi="Arial"/>
                <w:sz w:val="18"/>
                <w:szCs w:val="18"/>
                <w:color w:val="auto"/>
              </w:rPr>
              <w:t>Apple Valley</w:t>
            </w:r>
          </w:p>
        </w:tc>
        <w:tc>
          <w:tcPr>
            <w:tcW w:w="700" w:type="dxa"/>
            <w:vAlign w:val="bottom"/>
          </w:tcPr>
          <w:p>
            <w:pPr>
              <w:ind w:left="420"/>
              <w:spacing w:after="0"/>
              <w:rPr>
                <w:sz w:val="20"/>
                <w:szCs w:val="20"/>
                <w:color w:val="auto"/>
              </w:rPr>
            </w:pPr>
            <w:r>
              <w:rPr>
                <w:rFonts w:ascii="Arial" w:cs="Arial" w:eastAsia="Arial" w:hAnsi="Arial"/>
                <w:sz w:val="18"/>
                <w:szCs w:val="18"/>
                <w:color w:val="auto"/>
              </w:rPr>
              <w:t>CA</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ILS Corp</w:t>
            </w:r>
          </w:p>
        </w:tc>
        <w:tc>
          <w:tcPr>
            <w:tcW w:w="4780" w:type="dxa"/>
            <w:vAlign w:val="bottom"/>
          </w:tcPr>
          <w:p>
            <w:pPr>
              <w:ind w:left="220"/>
              <w:spacing w:after="0"/>
              <w:rPr>
                <w:sz w:val="20"/>
                <w:szCs w:val="20"/>
                <w:color w:val="auto"/>
              </w:rPr>
            </w:pPr>
            <w:r>
              <w:rPr>
                <w:rFonts w:ascii="Arial" w:cs="Arial" w:eastAsia="Arial" w:hAnsi="Arial"/>
                <w:sz w:val="18"/>
                <w:szCs w:val="18"/>
                <w:color w:val="auto"/>
              </w:rPr>
              <w:t>St. Petersburg General Hosp</w:t>
            </w:r>
          </w:p>
        </w:tc>
        <w:tc>
          <w:tcPr>
            <w:tcW w:w="3420" w:type="dxa"/>
            <w:vAlign w:val="bottom"/>
          </w:tcPr>
          <w:p>
            <w:pPr>
              <w:ind w:left="1940"/>
              <w:spacing w:after="0"/>
              <w:rPr>
                <w:sz w:val="20"/>
                <w:szCs w:val="20"/>
                <w:color w:val="auto"/>
              </w:rPr>
            </w:pPr>
            <w:r>
              <w:rPr>
                <w:rFonts w:ascii="Arial" w:cs="Arial" w:eastAsia="Arial" w:hAnsi="Arial"/>
                <w:sz w:val="18"/>
                <w:szCs w:val="18"/>
                <w:color w:val="auto"/>
              </w:rPr>
              <w:t>Robert Conroy</w:t>
            </w:r>
          </w:p>
        </w:tc>
        <w:tc>
          <w:tcPr>
            <w:tcW w:w="1560" w:type="dxa"/>
            <w:vAlign w:val="bottom"/>
          </w:tcPr>
          <w:p>
            <w:pPr>
              <w:ind w:left="60"/>
              <w:spacing w:after="0"/>
              <w:rPr>
                <w:sz w:val="20"/>
                <w:szCs w:val="20"/>
                <w:color w:val="auto"/>
              </w:rPr>
            </w:pPr>
            <w:r>
              <w:rPr>
                <w:rFonts w:ascii="Arial" w:cs="Arial" w:eastAsia="Arial" w:hAnsi="Arial"/>
                <w:sz w:val="18"/>
                <w:szCs w:val="18"/>
                <w:color w:val="auto"/>
              </w:rPr>
              <w:t>St. Petersburg</w:t>
            </w:r>
          </w:p>
        </w:tc>
        <w:tc>
          <w:tcPr>
            <w:tcW w:w="700" w:type="dxa"/>
            <w:vAlign w:val="bottom"/>
          </w:tcPr>
          <w:p>
            <w:pPr>
              <w:ind w:left="420"/>
              <w:spacing w:after="0"/>
              <w:rPr>
                <w:sz w:val="20"/>
                <w:szCs w:val="20"/>
                <w:color w:val="auto"/>
              </w:rPr>
            </w:pPr>
            <w:r>
              <w:rPr>
                <w:rFonts w:ascii="Arial" w:cs="Arial" w:eastAsia="Arial" w:hAnsi="Arial"/>
                <w:sz w:val="18"/>
                <w:szCs w:val="18"/>
                <w:color w:val="auto"/>
              </w:rPr>
              <w:t>FL</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ILS Corp</w:t>
            </w:r>
          </w:p>
        </w:tc>
        <w:tc>
          <w:tcPr>
            <w:tcW w:w="4780" w:type="dxa"/>
            <w:vAlign w:val="bottom"/>
          </w:tcPr>
          <w:p>
            <w:pPr>
              <w:ind w:left="220"/>
              <w:spacing w:after="0"/>
              <w:rPr>
                <w:sz w:val="20"/>
                <w:szCs w:val="20"/>
                <w:color w:val="auto"/>
              </w:rPr>
            </w:pPr>
            <w:r>
              <w:rPr>
                <w:rFonts w:ascii="Arial" w:cs="Arial" w:eastAsia="Arial" w:hAnsi="Arial"/>
                <w:sz w:val="18"/>
                <w:szCs w:val="18"/>
                <w:color w:val="auto"/>
              </w:rPr>
              <w:t>St. Rose Hospital</w:t>
            </w:r>
          </w:p>
        </w:tc>
        <w:tc>
          <w:tcPr>
            <w:tcW w:w="3420" w:type="dxa"/>
            <w:vAlign w:val="bottom"/>
          </w:tcPr>
          <w:p>
            <w:pPr>
              <w:ind w:left="1940"/>
              <w:spacing w:after="0"/>
              <w:rPr>
                <w:sz w:val="20"/>
                <w:szCs w:val="20"/>
                <w:color w:val="auto"/>
              </w:rPr>
            </w:pPr>
            <w:r>
              <w:rPr>
                <w:rFonts w:ascii="Arial" w:cs="Arial" w:eastAsia="Arial" w:hAnsi="Arial"/>
                <w:sz w:val="18"/>
                <w:szCs w:val="18"/>
                <w:color w:val="auto"/>
              </w:rPr>
              <w:t>Carmen Laver</w:t>
            </w:r>
          </w:p>
        </w:tc>
        <w:tc>
          <w:tcPr>
            <w:tcW w:w="1560" w:type="dxa"/>
            <w:vAlign w:val="bottom"/>
          </w:tcPr>
          <w:p>
            <w:pPr>
              <w:ind w:left="60"/>
              <w:spacing w:after="0"/>
              <w:rPr>
                <w:sz w:val="20"/>
                <w:szCs w:val="20"/>
                <w:color w:val="auto"/>
              </w:rPr>
            </w:pPr>
            <w:r>
              <w:rPr>
                <w:rFonts w:ascii="Arial" w:cs="Arial" w:eastAsia="Arial" w:hAnsi="Arial"/>
                <w:sz w:val="18"/>
                <w:szCs w:val="18"/>
                <w:color w:val="auto"/>
              </w:rPr>
              <w:t>Hayward</w:t>
            </w:r>
          </w:p>
        </w:tc>
        <w:tc>
          <w:tcPr>
            <w:tcW w:w="700" w:type="dxa"/>
            <w:vAlign w:val="bottom"/>
          </w:tcPr>
          <w:p>
            <w:pPr>
              <w:ind w:left="420"/>
              <w:spacing w:after="0"/>
              <w:rPr>
                <w:sz w:val="20"/>
                <w:szCs w:val="20"/>
                <w:color w:val="auto"/>
              </w:rPr>
            </w:pPr>
            <w:r>
              <w:rPr>
                <w:rFonts w:ascii="Arial" w:cs="Arial" w:eastAsia="Arial" w:hAnsi="Arial"/>
                <w:sz w:val="18"/>
                <w:szCs w:val="18"/>
                <w:color w:val="auto"/>
              </w:rPr>
              <w:t>CA</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ILS Corp</w:t>
            </w:r>
          </w:p>
        </w:tc>
        <w:tc>
          <w:tcPr>
            <w:tcW w:w="4780" w:type="dxa"/>
            <w:vAlign w:val="bottom"/>
          </w:tcPr>
          <w:p>
            <w:pPr>
              <w:ind w:left="220"/>
              <w:spacing w:after="0"/>
              <w:rPr>
                <w:sz w:val="20"/>
                <w:szCs w:val="20"/>
                <w:color w:val="auto"/>
              </w:rPr>
            </w:pPr>
            <w:r>
              <w:rPr>
                <w:rFonts w:ascii="Arial" w:cs="Arial" w:eastAsia="Arial" w:hAnsi="Arial"/>
                <w:sz w:val="18"/>
                <w:szCs w:val="18"/>
                <w:color w:val="auto"/>
              </w:rPr>
              <w:t>St. Thomas Hospital</w:t>
            </w:r>
          </w:p>
        </w:tc>
        <w:tc>
          <w:tcPr>
            <w:tcW w:w="3420" w:type="dxa"/>
            <w:vAlign w:val="bottom"/>
          </w:tcPr>
          <w:p>
            <w:pPr>
              <w:ind w:left="1940"/>
              <w:spacing w:after="0"/>
              <w:rPr>
                <w:sz w:val="20"/>
                <w:szCs w:val="20"/>
                <w:color w:val="auto"/>
              </w:rPr>
            </w:pPr>
            <w:r>
              <w:rPr>
                <w:rFonts w:ascii="Arial" w:cs="Arial" w:eastAsia="Arial" w:hAnsi="Arial"/>
                <w:sz w:val="18"/>
                <w:szCs w:val="18"/>
                <w:color w:val="auto"/>
              </w:rPr>
              <w:t>Rhonda Ross</w:t>
            </w:r>
          </w:p>
        </w:tc>
        <w:tc>
          <w:tcPr>
            <w:tcW w:w="1560" w:type="dxa"/>
            <w:vAlign w:val="bottom"/>
          </w:tcPr>
          <w:p>
            <w:pPr>
              <w:ind w:left="60"/>
              <w:spacing w:after="0"/>
              <w:rPr>
                <w:sz w:val="20"/>
                <w:szCs w:val="20"/>
                <w:color w:val="auto"/>
              </w:rPr>
            </w:pPr>
            <w:r>
              <w:rPr>
                <w:rFonts w:ascii="Arial" w:cs="Arial" w:eastAsia="Arial" w:hAnsi="Arial"/>
                <w:sz w:val="18"/>
                <w:szCs w:val="18"/>
                <w:color w:val="auto"/>
              </w:rPr>
              <w:t>Nashville</w:t>
            </w:r>
          </w:p>
        </w:tc>
        <w:tc>
          <w:tcPr>
            <w:tcW w:w="700" w:type="dxa"/>
            <w:vAlign w:val="bottom"/>
          </w:tcPr>
          <w:p>
            <w:pPr>
              <w:ind w:left="420"/>
              <w:spacing w:after="0"/>
              <w:rPr>
                <w:sz w:val="20"/>
                <w:szCs w:val="20"/>
                <w:color w:val="auto"/>
              </w:rPr>
            </w:pPr>
            <w:r>
              <w:rPr>
                <w:rFonts w:ascii="Arial" w:cs="Arial" w:eastAsia="Arial" w:hAnsi="Arial"/>
                <w:sz w:val="18"/>
                <w:szCs w:val="18"/>
                <w:color w:val="auto"/>
              </w:rPr>
              <w:t>TN</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ILS Corp</w:t>
            </w:r>
          </w:p>
        </w:tc>
        <w:tc>
          <w:tcPr>
            <w:tcW w:w="4780" w:type="dxa"/>
            <w:vAlign w:val="bottom"/>
          </w:tcPr>
          <w:p>
            <w:pPr>
              <w:ind w:left="220"/>
              <w:spacing w:after="0"/>
              <w:rPr>
                <w:sz w:val="20"/>
                <w:szCs w:val="20"/>
                <w:color w:val="auto"/>
              </w:rPr>
            </w:pPr>
            <w:r>
              <w:rPr>
                <w:rFonts w:ascii="Arial" w:cs="Arial" w:eastAsia="Arial" w:hAnsi="Arial"/>
                <w:sz w:val="18"/>
                <w:szCs w:val="18"/>
                <w:color w:val="auto"/>
              </w:rPr>
              <w:t>St. Thomas Surgicare</w:t>
            </w:r>
          </w:p>
        </w:tc>
        <w:tc>
          <w:tcPr>
            <w:tcW w:w="3420" w:type="dxa"/>
            <w:vAlign w:val="bottom"/>
          </w:tcPr>
          <w:p>
            <w:pPr>
              <w:ind w:left="1940"/>
              <w:spacing w:after="0"/>
              <w:rPr>
                <w:sz w:val="20"/>
                <w:szCs w:val="20"/>
                <w:color w:val="auto"/>
              </w:rPr>
            </w:pPr>
            <w:r>
              <w:rPr>
                <w:rFonts w:ascii="Arial" w:cs="Arial" w:eastAsia="Arial" w:hAnsi="Arial"/>
                <w:sz w:val="18"/>
                <w:szCs w:val="18"/>
                <w:color w:val="auto"/>
              </w:rPr>
              <w:t>Kathy Massey</w:t>
            </w:r>
          </w:p>
        </w:tc>
        <w:tc>
          <w:tcPr>
            <w:tcW w:w="1560" w:type="dxa"/>
            <w:vAlign w:val="bottom"/>
          </w:tcPr>
          <w:p>
            <w:pPr>
              <w:ind w:left="60"/>
              <w:spacing w:after="0"/>
              <w:rPr>
                <w:sz w:val="20"/>
                <w:szCs w:val="20"/>
                <w:color w:val="auto"/>
              </w:rPr>
            </w:pPr>
            <w:r>
              <w:rPr>
                <w:rFonts w:ascii="Arial" w:cs="Arial" w:eastAsia="Arial" w:hAnsi="Arial"/>
                <w:sz w:val="18"/>
                <w:szCs w:val="18"/>
                <w:color w:val="auto"/>
              </w:rPr>
              <w:t>Nashville</w:t>
            </w:r>
          </w:p>
        </w:tc>
        <w:tc>
          <w:tcPr>
            <w:tcW w:w="700" w:type="dxa"/>
            <w:vAlign w:val="bottom"/>
          </w:tcPr>
          <w:p>
            <w:pPr>
              <w:ind w:left="420"/>
              <w:spacing w:after="0"/>
              <w:rPr>
                <w:sz w:val="20"/>
                <w:szCs w:val="20"/>
                <w:color w:val="auto"/>
              </w:rPr>
            </w:pPr>
            <w:r>
              <w:rPr>
                <w:rFonts w:ascii="Arial" w:cs="Arial" w:eastAsia="Arial" w:hAnsi="Arial"/>
                <w:sz w:val="18"/>
                <w:szCs w:val="18"/>
                <w:color w:val="auto"/>
              </w:rPr>
              <w:t>TN</w:t>
            </w:r>
          </w:p>
        </w:tc>
      </w:tr>
      <w:tr>
        <w:trPr>
          <w:trHeight w:val="222"/>
        </w:trPr>
        <w:tc>
          <w:tcPr>
            <w:tcW w:w="900" w:type="dxa"/>
            <w:vAlign w:val="bottom"/>
          </w:tcPr>
          <w:p>
            <w:pPr>
              <w:spacing w:after="0"/>
              <w:rPr>
                <w:sz w:val="20"/>
                <w:szCs w:val="20"/>
                <w:color w:val="auto"/>
              </w:rPr>
            </w:pPr>
            <w:r>
              <w:rPr>
                <w:rFonts w:ascii="Arial" w:cs="Arial" w:eastAsia="Arial" w:hAnsi="Arial"/>
                <w:sz w:val="18"/>
                <w:szCs w:val="18"/>
                <w:color w:val="auto"/>
              </w:rPr>
              <w:t>ILS Corp</w:t>
            </w:r>
          </w:p>
        </w:tc>
        <w:tc>
          <w:tcPr>
            <w:tcW w:w="4780" w:type="dxa"/>
            <w:vAlign w:val="bottom"/>
          </w:tcPr>
          <w:p>
            <w:pPr>
              <w:ind w:left="220"/>
              <w:spacing w:after="0"/>
              <w:rPr>
                <w:sz w:val="20"/>
                <w:szCs w:val="20"/>
                <w:color w:val="auto"/>
              </w:rPr>
            </w:pPr>
            <w:r>
              <w:rPr>
                <w:rFonts w:ascii="Arial" w:cs="Arial" w:eastAsia="Arial" w:hAnsi="Arial"/>
                <w:sz w:val="18"/>
                <w:szCs w:val="18"/>
                <w:color w:val="auto"/>
              </w:rPr>
              <w:t>St. Vincent Charity Hospital</w:t>
            </w:r>
          </w:p>
        </w:tc>
        <w:tc>
          <w:tcPr>
            <w:tcW w:w="3420" w:type="dxa"/>
            <w:vAlign w:val="bottom"/>
          </w:tcPr>
          <w:p>
            <w:pPr>
              <w:ind w:left="1940"/>
              <w:spacing w:after="0"/>
              <w:rPr>
                <w:sz w:val="20"/>
                <w:szCs w:val="20"/>
                <w:color w:val="auto"/>
              </w:rPr>
            </w:pPr>
            <w:r>
              <w:rPr>
                <w:rFonts w:ascii="Arial" w:cs="Arial" w:eastAsia="Arial" w:hAnsi="Arial"/>
                <w:sz w:val="18"/>
                <w:szCs w:val="18"/>
                <w:color w:val="auto"/>
              </w:rPr>
              <w:t>Fran Varga</w:t>
            </w:r>
          </w:p>
        </w:tc>
        <w:tc>
          <w:tcPr>
            <w:tcW w:w="1560" w:type="dxa"/>
            <w:vAlign w:val="bottom"/>
          </w:tcPr>
          <w:p>
            <w:pPr>
              <w:ind w:left="60"/>
              <w:spacing w:after="0"/>
              <w:rPr>
                <w:sz w:val="20"/>
                <w:szCs w:val="20"/>
                <w:color w:val="auto"/>
              </w:rPr>
            </w:pPr>
            <w:r>
              <w:rPr>
                <w:rFonts w:ascii="Arial" w:cs="Arial" w:eastAsia="Arial" w:hAnsi="Arial"/>
                <w:sz w:val="18"/>
                <w:szCs w:val="18"/>
                <w:color w:val="auto"/>
              </w:rPr>
              <w:t>Cleveland</w:t>
            </w:r>
          </w:p>
        </w:tc>
        <w:tc>
          <w:tcPr>
            <w:tcW w:w="700" w:type="dxa"/>
            <w:vAlign w:val="bottom"/>
          </w:tcPr>
          <w:p>
            <w:pPr>
              <w:ind w:left="420"/>
              <w:spacing w:after="0"/>
              <w:rPr>
                <w:sz w:val="20"/>
                <w:szCs w:val="20"/>
                <w:color w:val="auto"/>
              </w:rPr>
            </w:pPr>
            <w:r>
              <w:rPr>
                <w:rFonts w:ascii="Arial" w:cs="Arial" w:eastAsia="Arial" w:hAnsi="Arial"/>
                <w:sz w:val="18"/>
                <w:szCs w:val="18"/>
                <w:color w:val="auto"/>
                <w:w w:val="96"/>
              </w:rPr>
              <w:t>OH</w:t>
            </w:r>
          </w:p>
        </w:tc>
      </w:tr>
    </w:tbl>
    <w:p>
      <w:pPr>
        <w:sectPr>
          <w:pgSz w:w="11900" w:h="16838" w:orient="portrait"/>
          <w:cols w:equalWidth="0" w:num="1">
            <w:col w:w="11360"/>
          </w:cols>
          <w:pgMar w:left="240" w:top="280" w:right="299" w:bottom="1440" w:gutter="0" w:footer="0" w:header="0"/>
        </w:sectPr>
      </w:pPr>
    </w:p>
    <w:bookmarkStart w:id="346" w:name="page347"/>
    <w:bookmarkEnd w:id="34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5560" w:type="dxa"/>
            <w:vAlign w:val="bottom"/>
          </w:tcPr>
          <w:p>
            <w:pPr>
              <w:ind w:left="240"/>
              <w:spacing w:after="0"/>
              <w:rPr>
                <w:sz w:val="20"/>
                <w:szCs w:val="20"/>
                <w:color w:val="auto"/>
              </w:rPr>
            </w:pPr>
            <w:r>
              <w:rPr>
                <w:rFonts w:ascii="Arial" w:cs="Arial" w:eastAsia="Arial" w:hAnsi="Arial"/>
                <w:sz w:val="18"/>
                <w:szCs w:val="18"/>
                <w:color w:val="auto"/>
              </w:rPr>
              <w:t>St. Vincent East</w:t>
            </w:r>
          </w:p>
        </w:tc>
        <w:tc>
          <w:tcPr>
            <w:tcW w:w="2560" w:type="dxa"/>
            <w:vAlign w:val="bottom"/>
          </w:tcPr>
          <w:p>
            <w:pPr>
              <w:ind w:left="1200"/>
              <w:spacing w:after="0"/>
              <w:rPr>
                <w:sz w:val="20"/>
                <w:szCs w:val="20"/>
                <w:color w:val="auto"/>
              </w:rPr>
            </w:pPr>
            <w:r>
              <w:rPr>
                <w:rFonts w:ascii="Arial" w:cs="Arial" w:eastAsia="Arial" w:hAnsi="Arial"/>
                <w:sz w:val="18"/>
                <w:szCs w:val="18"/>
                <w:color w:val="auto"/>
              </w:rPr>
              <w:t>Theresa Tundal</w:t>
            </w:r>
          </w:p>
        </w:tc>
        <w:tc>
          <w:tcPr>
            <w:tcW w:w="1700" w:type="dxa"/>
            <w:vAlign w:val="bottom"/>
          </w:tcPr>
          <w:p>
            <w:pPr>
              <w:ind w:left="120"/>
              <w:spacing w:after="0"/>
              <w:rPr>
                <w:sz w:val="20"/>
                <w:szCs w:val="20"/>
                <w:color w:val="auto"/>
              </w:rPr>
            </w:pPr>
            <w:r>
              <w:rPr>
                <w:rFonts w:ascii="Arial" w:cs="Arial" w:eastAsia="Arial" w:hAnsi="Arial"/>
                <w:sz w:val="18"/>
                <w:szCs w:val="18"/>
                <w:color w:val="auto"/>
              </w:rPr>
              <w:t>Birmingham</w:t>
            </w:r>
          </w:p>
        </w:tc>
        <w:tc>
          <w:tcPr>
            <w:tcW w:w="640" w:type="dxa"/>
            <w:vAlign w:val="bottom"/>
          </w:tcPr>
          <w:p>
            <w:pPr>
              <w:ind w:left="340"/>
              <w:spacing w:after="0"/>
              <w:rPr>
                <w:sz w:val="20"/>
                <w:szCs w:val="20"/>
                <w:color w:val="auto"/>
              </w:rPr>
            </w:pPr>
            <w:r>
              <w:rPr>
                <w:rFonts w:ascii="Arial" w:cs="Arial" w:eastAsia="Arial" w:hAnsi="Arial"/>
                <w:sz w:val="18"/>
                <w:szCs w:val="18"/>
                <w:color w:val="auto"/>
              </w:rPr>
              <w:t>AL</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5560" w:type="dxa"/>
            <w:vAlign w:val="bottom"/>
          </w:tcPr>
          <w:p>
            <w:pPr>
              <w:ind w:left="240"/>
              <w:spacing w:after="0"/>
              <w:rPr>
                <w:sz w:val="20"/>
                <w:szCs w:val="20"/>
                <w:color w:val="auto"/>
              </w:rPr>
            </w:pPr>
            <w:r>
              <w:rPr>
                <w:rFonts w:ascii="Arial" w:cs="Arial" w:eastAsia="Arial" w:hAnsi="Arial"/>
                <w:sz w:val="18"/>
                <w:szCs w:val="18"/>
                <w:color w:val="auto"/>
              </w:rPr>
              <w:t>St. Vincent Medical Center</w:t>
            </w:r>
          </w:p>
        </w:tc>
        <w:tc>
          <w:tcPr>
            <w:tcW w:w="2560" w:type="dxa"/>
            <w:vAlign w:val="bottom"/>
          </w:tcPr>
          <w:p>
            <w:pPr>
              <w:ind w:left="1200"/>
              <w:spacing w:after="0"/>
              <w:rPr>
                <w:sz w:val="20"/>
                <w:szCs w:val="20"/>
                <w:color w:val="auto"/>
              </w:rPr>
            </w:pPr>
            <w:r>
              <w:rPr>
                <w:rFonts w:ascii="Arial" w:cs="Arial" w:eastAsia="Arial" w:hAnsi="Arial"/>
                <w:sz w:val="18"/>
                <w:szCs w:val="18"/>
                <w:color w:val="auto"/>
              </w:rPr>
              <w:t>Michelle Mallett</w:t>
            </w:r>
          </w:p>
        </w:tc>
        <w:tc>
          <w:tcPr>
            <w:tcW w:w="1700" w:type="dxa"/>
            <w:vAlign w:val="bottom"/>
          </w:tcPr>
          <w:p>
            <w:pPr>
              <w:ind w:left="120"/>
              <w:spacing w:after="0"/>
              <w:rPr>
                <w:sz w:val="20"/>
                <w:szCs w:val="20"/>
                <w:color w:val="auto"/>
              </w:rPr>
            </w:pPr>
            <w:r>
              <w:rPr>
                <w:rFonts w:ascii="Arial" w:cs="Arial" w:eastAsia="Arial" w:hAnsi="Arial"/>
                <w:sz w:val="18"/>
                <w:szCs w:val="18"/>
                <w:color w:val="auto"/>
              </w:rPr>
              <w:t>Toledo</w:t>
            </w:r>
          </w:p>
        </w:tc>
        <w:tc>
          <w:tcPr>
            <w:tcW w:w="640" w:type="dxa"/>
            <w:vAlign w:val="bottom"/>
          </w:tcPr>
          <w:p>
            <w:pPr>
              <w:ind w:left="340"/>
              <w:spacing w:after="0"/>
              <w:rPr>
                <w:sz w:val="20"/>
                <w:szCs w:val="20"/>
                <w:color w:val="auto"/>
              </w:rPr>
            </w:pPr>
            <w:r>
              <w:rPr>
                <w:rFonts w:ascii="Arial" w:cs="Arial" w:eastAsia="Arial" w:hAnsi="Arial"/>
                <w:sz w:val="18"/>
                <w:szCs w:val="18"/>
                <w:color w:val="auto"/>
              </w:rPr>
              <w:t>OH</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5560" w:type="dxa"/>
            <w:vAlign w:val="bottom"/>
          </w:tcPr>
          <w:p>
            <w:pPr>
              <w:ind w:left="240"/>
              <w:spacing w:after="0"/>
              <w:rPr>
                <w:sz w:val="20"/>
                <w:szCs w:val="20"/>
                <w:color w:val="auto"/>
              </w:rPr>
            </w:pPr>
            <w:r>
              <w:rPr>
                <w:rFonts w:ascii="Arial" w:cs="Arial" w:eastAsia="Arial" w:hAnsi="Arial"/>
                <w:sz w:val="18"/>
                <w:szCs w:val="18"/>
                <w:color w:val="auto"/>
              </w:rPr>
              <w:t>St. Vincent’s Medical Center</w:t>
            </w:r>
          </w:p>
        </w:tc>
        <w:tc>
          <w:tcPr>
            <w:tcW w:w="2560" w:type="dxa"/>
            <w:vAlign w:val="bottom"/>
          </w:tcPr>
          <w:p>
            <w:pPr>
              <w:ind w:left="1200"/>
              <w:spacing w:after="0"/>
              <w:rPr>
                <w:sz w:val="20"/>
                <w:szCs w:val="20"/>
                <w:color w:val="auto"/>
              </w:rPr>
            </w:pPr>
            <w:r>
              <w:rPr>
                <w:rFonts w:ascii="Arial" w:cs="Arial" w:eastAsia="Arial" w:hAnsi="Arial"/>
                <w:sz w:val="18"/>
                <w:szCs w:val="18"/>
                <w:color w:val="auto"/>
              </w:rPr>
              <w:t>Jacque Turner</w:t>
            </w:r>
          </w:p>
        </w:tc>
        <w:tc>
          <w:tcPr>
            <w:tcW w:w="1700" w:type="dxa"/>
            <w:vAlign w:val="bottom"/>
          </w:tcPr>
          <w:p>
            <w:pPr>
              <w:ind w:left="120"/>
              <w:spacing w:after="0"/>
              <w:rPr>
                <w:sz w:val="20"/>
                <w:szCs w:val="20"/>
                <w:color w:val="auto"/>
              </w:rPr>
            </w:pPr>
            <w:r>
              <w:rPr>
                <w:rFonts w:ascii="Arial" w:cs="Arial" w:eastAsia="Arial" w:hAnsi="Arial"/>
                <w:sz w:val="18"/>
                <w:szCs w:val="18"/>
                <w:color w:val="auto"/>
              </w:rPr>
              <w:t>Jacksonville</w:t>
            </w:r>
          </w:p>
        </w:tc>
        <w:tc>
          <w:tcPr>
            <w:tcW w:w="640" w:type="dxa"/>
            <w:vAlign w:val="bottom"/>
          </w:tcPr>
          <w:p>
            <w:pPr>
              <w:ind w:left="340"/>
              <w:spacing w:after="0"/>
              <w:rPr>
                <w:sz w:val="20"/>
                <w:szCs w:val="20"/>
                <w:color w:val="auto"/>
              </w:rPr>
            </w:pPr>
            <w:r>
              <w:rPr>
                <w:rFonts w:ascii="Arial" w:cs="Arial" w:eastAsia="Arial" w:hAnsi="Arial"/>
                <w:sz w:val="18"/>
                <w:szCs w:val="18"/>
                <w:color w:val="auto"/>
              </w:rPr>
              <w:t>FL</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5560" w:type="dxa"/>
            <w:vAlign w:val="bottom"/>
          </w:tcPr>
          <w:p>
            <w:pPr>
              <w:ind w:left="240"/>
              <w:spacing w:after="0"/>
              <w:rPr>
                <w:sz w:val="20"/>
                <w:szCs w:val="20"/>
                <w:color w:val="auto"/>
              </w:rPr>
            </w:pPr>
            <w:r>
              <w:rPr>
                <w:rFonts w:ascii="Arial" w:cs="Arial" w:eastAsia="Arial" w:hAnsi="Arial"/>
                <w:sz w:val="18"/>
                <w:szCs w:val="18"/>
                <w:color w:val="auto"/>
              </w:rPr>
              <w:t>St. Vincent’s Medical Center</w:t>
            </w:r>
          </w:p>
        </w:tc>
        <w:tc>
          <w:tcPr>
            <w:tcW w:w="2560" w:type="dxa"/>
            <w:vAlign w:val="bottom"/>
          </w:tcPr>
          <w:p>
            <w:pPr>
              <w:ind w:left="1200"/>
              <w:spacing w:after="0"/>
              <w:rPr>
                <w:sz w:val="20"/>
                <w:szCs w:val="20"/>
                <w:color w:val="auto"/>
              </w:rPr>
            </w:pPr>
            <w:r>
              <w:rPr>
                <w:rFonts w:ascii="Arial" w:cs="Arial" w:eastAsia="Arial" w:hAnsi="Arial"/>
                <w:sz w:val="18"/>
                <w:szCs w:val="18"/>
                <w:color w:val="auto"/>
              </w:rPr>
              <w:t>Laura Marguy</w:t>
            </w:r>
          </w:p>
        </w:tc>
        <w:tc>
          <w:tcPr>
            <w:tcW w:w="1700" w:type="dxa"/>
            <w:vAlign w:val="bottom"/>
          </w:tcPr>
          <w:p>
            <w:pPr>
              <w:ind w:left="120"/>
              <w:spacing w:after="0"/>
              <w:rPr>
                <w:sz w:val="20"/>
                <w:szCs w:val="20"/>
                <w:color w:val="auto"/>
              </w:rPr>
            </w:pPr>
            <w:r>
              <w:rPr>
                <w:rFonts w:ascii="Arial" w:cs="Arial" w:eastAsia="Arial" w:hAnsi="Arial"/>
                <w:sz w:val="18"/>
                <w:szCs w:val="18"/>
                <w:color w:val="auto"/>
              </w:rPr>
              <w:t>Bridgeport</w:t>
            </w:r>
          </w:p>
        </w:tc>
        <w:tc>
          <w:tcPr>
            <w:tcW w:w="640" w:type="dxa"/>
            <w:vAlign w:val="bottom"/>
          </w:tcPr>
          <w:p>
            <w:pPr>
              <w:ind w:left="340"/>
              <w:spacing w:after="0"/>
              <w:rPr>
                <w:sz w:val="20"/>
                <w:szCs w:val="20"/>
                <w:color w:val="auto"/>
              </w:rPr>
            </w:pPr>
            <w:r>
              <w:rPr>
                <w:rFonts w:ascii="Arial" w:cs="Arial" w:eastAsia="Arial" w:hAnsi="Arial"/>
                <w:sz w:val="18"/>
                <w:szCs w:val="18"/>
                <w:color w:val="auto"/>
              </w:rPr>
              <w:t>CT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5560" w:type="dxa"/>
            <w:vAlign w:val="bottom"/>
          </w:tcPr>
          <w:p>
            <w:pPr>
              <w:ind w:left="240"/>
              <w:spacing w:after="0"/>
              <w:rPr>
                <w:sz w:val="20"/>
                <w:szCs w:val="20"/>
                <w:color w:val="auto"/>
              </w:rPr>
            </w:pPr>
            <w:r>
              <w:rPr>
                <w:rFonts w:ascii="Arial" w:cs="Arial" w:eastAsia="Arial" w:hAnsi="Arial"/>
                <w:sz w:val="18"/>
                <w:szCs w:val="18"/>
                <w:color w:val="auto"/>
              </w:rPr>
              <w:t>Summit Surgery &amp; Recovery</w:t>
            </w:r>
          </w:p>
        </w:tc>
        <w:tc>
          <w:tcPr>
            <w:tcW w:w="2560" w:type="dxa"/>
            <w:vAlign w:val="bottom"/>
          </w:tcPr>
          <w:p>
            <w:pPr>
              <w:ind w:left="1200"/>
              <w:spacing w:after="0"/>
              <w:rPr>
                <w:sz w:val="20"/>
                <w:szCs w:val="20"/>
                <w:color w:val="auto"/>
              </w:rPr>
            </w:pPr>
            <w:r>
              <w:rPr>
                <w:rFonts w:ascii="Arial" w:cs="Arial" w:eastAsia="Arial" w:hAnsi="Arial"/>
                <w:sz w:val="18"/>
                <w:szCs w:val="18"/>
                <w:color w:val="auto"/>
              </w:rPr>
              <w:t>Tracey Peterson</w:t>
            </w:r>
          </w:p>
        </w:tc>
        <w:tc>
          <w:tcPr>
            <w:tcW w:w="1700" w:type="dxa"/>
            <w:vAlign w:val="bottom"/>
          </w:tcPr>
          <w:p>
            <w:pPr>
              <w:ind w:left="120"/>
              <w:spacing w:after="0"/>
              <w:rPr>
                <w:sz w:val="20"/>
                <w:szCs w:val="20"/>
                <w:color w:val="auto"/>
              </w:rPr>
            </w:pPr>
            <w:r>
              <w:rPr>
                <w:rFonts w:ascii="Arial" w:cs="Arial" w:eastAsia="Arial" w:hAnsi="Arial"/>
                <w:sz w:val="18"/>
                <w:szCs w:val="18"/>
                <w:color w:val="auto"/>
              </w:rPr>
              <w:t>Flagstaff</w:t>
            </w:r>
          </w:p>
        </w:tc>
        <w:tc>
          <w:tcPr>
            <w:tcW w:w="640" w:type="dxa"/>
            <w:vAlign w:val="bottom"/>
          </w:tcPr>
          <w:p>
            <w:pPr>
              <w:ind w:left="340"/>
              <w:spacing w:after="0"/>
              <w:rPr>
                <w:sz w:val="20"/>
                <w:szCs w:val="20"/>
                <w:color w:val="auto"/>
              </w:rPr>
            </w:pPr>
            <w:r>
              <w:rPr>
                <w:rFonts w:ascii="Arial" w:cs="Arial" w:eastAsia="Arial" w:hAnsi="Arial"/>
                <w:sz w:val="18"/>
                <w:szCs w:val="18"/>
                <w:color w:val="auto"/>
              </w:rPr>
              <w:t>AZ</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5560" w:type="dxa"/>
            <w:vAlign w:val="bottom"/>
          </w:tcPr>
          <w:p>
            <w:pPr>
              <w:ind w:left="240"/>
              <w:spacing w:after="0"/>
              <w:rPr>
                <w:sz w:val="20"/>
                <w:szCs w:val="20"/>
                <w:color w:val="auto"/>
              </w:rPr>
            </w:pPr>
            <w:r>
              <w:rPr>
                <w:rFonts w:ascii="Arial" w:cs="Arial" w:eastAsia="Arial" w:hAnsi="Arial"/>
                <w:sz w:val="18"/>
                <w:szCs w:val="18"/>
                <w:color w:val="auto"/>
              </w:rPr>
              <w:t>Sun Coast Hospital</w:t>
            </w:r>
          </w:p>
        </w:tc>
        <w:tc>
          <w:tcPr>
            <w:tcW w:w="2560" w:type="dxa"/>
            <w:vAlign w:val="bottom"/>
          </w:tcPr>
          <w:p>
            <w:pPr>
              <w:ind w:left="1200"/>
              <w:spacing w:after="0"/>
              <w:rPr>
                <w:sz w:val="20"/>
                <w:szCs w:val="20"/>
                <w:color w:val="auto"/>
              </w:rPr>
            </w:pPr>
            <w:r>
              <w:rPr>
                <w:rFonts w:ascii="Arial" w:cs="Arial" w:eastAsia="Arial" w:hAnsi="Arial"/>
                <w:sz w:val="18"/>
                <w:szCs w:val="18"/>
                <w:color w:val="auto"/>
              </w:rPr>
              <w:t>Orvie</w:t>
            </w:r>
          </w:p>
        </w:tc>
        <w:tc>
          <w:tcPr>
            <w:tcW w:w="1700" w:type="dxa"/>
            <w:vAlign w:val="bottom"/>
          </w:tcPr>
          <w:p>
            <w:pPr>
              <w:ind w:left="120"/>
              <w:spacing w:after="0"/>
              <w:rPr>
                <w:sz w:val="20"/>
                <w:szCs w:val="20"/>
                <w:color w:val="auto"/>
              </w:rPr>
            </w:pPr>
            <w:r>
              <w:rPr>
                <w:rFonts w:ascii="Arial" w:cs="Arial" w:eastAsia="Arial" w:hAnsi="Arial"/>
                <w:sz w:val="18"/>
                <w:szCs w:val="18"/>
                <w:color w:val="auto"/>
              </w:rPr>
              <w:t>Largo</w:t>
            </w:r>
          </w:p>
        </w:tc>
        <w:tc>
          <w:tcPr>
            <w:tcW w:w="640" w:type="dxa"/>
            <w:vAlign w:val="bottom"/>
          </w:tcPr>
          <w:p>
            <w:pPr>
              <w:ind w:left="340"/>
              <w:spacing w:after="0"/>
              <w:rPr>
                <w:sz w:val="20"/>
                <w:szCs w:val="20"/>
                <w:color w:val="auto"/>
              </w:rPr>
            </w:pPr>
            <w:r>
              <w:rPr>
                <w:rFonts w:ascii="Arial" w:cs="Arial" w:eastAsia="Arial" w:hAnsi="Arial"/>
                <w:sz w:val="18"/>
                <w:szCs w:val="18"/>
                <w:color w:val="auto"/>
              </w:rPr>
              <w:t>FL</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5560" w:type="dxa"/>
            <w:vAlign w:val="bottom"/>
          </w:tcPr>
          <w:p>
            <w:pPr>
              <w:ind w:left="240"/>
              <w:spacing w:after="0"/>
              <w:rPr>
                <w:sz w:val="20"/>
                <w:szCs w:val="20"/>
                <w:color w:val="auto"/>
              </w:rPr>
            </w:pPr>
            <w:r>
              <w:rPr>
                <w:rFonts w:ascii="Arial" w:cs="Arial" w:eastAsia="Arial" w:hAnsi="Arial"/>
                <w:sz w:val="18"/>
                <w:szCs w:val="18"/>
                <w:color w:val="auto"/>
              </w:rPr>
              <w:t>Sunrise Hosp</w:t>
            </w:r>
          </w:p>
        </w:tc>
        <w:tc>
          <w:tcPr>
            <w:tcW w:w="2560" w:type="dxa"/>
            <w:vAlign w:val="bottom"/>
          </w:tcPr>
          <w:p>
            <w:pPr>
              <w:ind w:left="1200"/>
              <w:spacing w:after="0"/>
              <w:rPr>
                <w:sz w:val="20"/>
                <w:szCs w:val="20"/>
                <w:color w:val="auto"/>
              </w:rPr>
            </w:pPr>
            <w:r>
              <w:rPr>
                <w:rFonts w:ascii="Arial" w:cs="Arial" w:eastAsia="Arial" w:hAnsi="Arial"/>
                <w:sz w:val="18"/>
                <w:szCs w:val="18"/>
                <w:color w:val="auto"/>
              </w:rPr>
              <w:t>Lana Arad</w:t>
            </w:r>
          </w:p>
        </w:tc>
        <w:tc>
          <w:tcPr>
            <w:tcW w:w="1700" w:type="dxa"/>
            <w:vAlign w:val="bottom"/>
          </w:tcPr>
          <w:p>
            <w:pPr>
              <w:ind w:left="120"/>
              <w:spacing w:after="0"/>
              <w:rPr>
                <w:sz w:val="20"/>
                <w:szCs w:val="20"/>
                <w:color w:val="auto"/>
              </w:rPr>
            </w:pPr>
            <w:r>
              <w:rPr>
                <w:rFonts w:ascii="Arial" w:cs="Arial" w:eastAsia="Arial" w:hAnsi="Arial"/>
                <w:sz w:val="18"/>
                <w:szCs w:val="18"/>
                <w:color w:val="auto"/>
              </w:rPr>
              <w:t>Las Vegas</w:t>
            </w:r>
          </w:p>
        </w:tc>
        <w:tc>
          <w:tcPr>
            <w:tcW w:w="640" w:type="dxa"/>
            <w:vAlign w:val="bottom"/>
          </w:tcPr>
          <w:p>
            <w:pPr>
              <w:ind w:left="340"/>
              <w:spacing w:after="0"/>
              <w:rPr>
                <w:sz w:val="20"/>
                <w:szCs w:val="20"/>
                <w:color w:val="auto"/>
              </w:rPr>
            </w:pPr>
            <w:r>
              <w:rPr>
                <w:rFonts w:ascii="Arial" w:cs="Arial" w:eastAsia="Arial" w:hAnsi="Arial"/>
                <w:sz w:val="18"/>
                <w:szCs w:val="18"/>
                <w:color w:val="auto"/>
              </w:rPr>
              <w:t>NV</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5560" w:type="dxa"/>
            <w:vAlign w:val="bottom"/>
          </w:tcPr>
          <w:p>
            <w:pPr>
              <w:ind w:left="240"/>
              <w:spacing w:after="0"/>
              <w:rPr>
                <w:sz w:val="20"/>
                <w:szCs w:val="20"/>
                <w:color w:val="auto"/>
              </w:rPr>
            </w:pPr>
            <w:r>
              <w:rPr>
                <w:rFonts w:ascii="Arial" w:cs="Arial" w:eastAsia="Arial" w:hAnsi="Arial"/>
                <w:sz w:val="18"/>
                <w:szCs w:val="18"/>
                <w:color w:val="auto"/>
              </w:rPr>
              <w:t>SUNY Health Science Center</w:t>
            </w:r>
          </w:p>
        </w:tc>
        <w:tc>
          <w:tcPr>
            <w:tcW w:w="2560" w:type="dxa"/>
            <w:vAlign w:val="bottom"/>
          </w:tcPr>
          <w:p>
            <w:pPr>
              <w:ind w:left="1200"/>
              <w:spacing w:after="0"/>
              <w:rPr>
                <w:sz w:val="20"/>
                <w:szCs w:val="20"/>
                <w:color w:val="auto"/>
              </w:rPr>
            </w:pPr>
            <w:r>
              <w:rPr>
                <w:rFonts w:ascii="Arial" w:cs="Arial" w:eastAsia="Arial" w:hAnsi="Arial"/>
                <w:sz w:val="18"/>
                <w:szCs w:val="18"/>
                <w:color w:val="auto"/>
              </w:rPr>
              <w:t>Tressa Krenzert</w:t>
            </w:r>
          </w:p>
        </w:tc>
        <w:tc>
          <w:tcPr>
            <w:tcW w:w="1700" w:type="dxa"/>
            <w:vAlign w:val="bottom"/>
          </w:tcPr>
          <w:p>
            <w:pPr>
              <w:ind w:left="120"/>
              <w:spacing w:after="0"/>
              <w:rPr>
                <w:sz w:val="20"/>
                <w:szCs w:val="20"/>
                <w:color w:val="auto"/>
              </w:rPr>
            </w:pPr>
            <w:r>
              <w:rPr>
                <w:rFonts w:ascii="Arial" w:cs="Arial" w:eastAsia="Arial" w:hAnsi="Arial"/>
                <w:sz w:val="18"/>
                <w:szCs w:val="18"/>
                <w:color w:val="auto"/>
              </w:rPr>
              <w:t>Syracuse</w:t>
            </w:r>
          </w:p>
        </w:tc>
        <w:tc>
          <w:tcPr>
            <w:tcW w:w="640" w:type="dxa"/>
            <w:vAlign w:val="bottom"/>
          </w:tcPr>
          <w:p>
            <w:pPr>
              <w:ind w:left="340"/>
              <w:spacing w:after="0"/>
              <w:rPr>
                <w:sz w:val="20"/>
                <w:szCs w:val="20"/>
                <w:color w:val="auto"/>
              </w:rPr>
            </w:pPr>
            <w:r>
              <w:rPr>
                <w:rFonts w:ascii="Arial" w:cs="Arial" w:eastAsia="Arial" w:hAnsi="Arial"/>
                <w:sz w:val="18"/>
                <w:szCs w:val="18"/>
                <w:color w:val="auto"/>
              </w:rPr>
              <w:t>NY</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5560" w:type="dxa"/>
            <w:vAlign w:val="bottom"/>
          </w:tcPr>
          <w:p>
            <w:pPr>
              <w:ind w:left="240"/>
              <w:spacing w:after="0"/>
              <w:rPr>
                <w:sz w:val="20"/>
                <w:szCs w:val="20"/>
                <w:color w:val="auto"/>
              </w:rPr>
            </w:pPr>
            <w:r>
              <w:rPr>
                <w:rFonts w:ascii="Arial" w:cs="Arial" w:eastAsia="Arial" w:hAnsi="Arial"/>
                <w:sz w:val="18"/>
                <w:szCs w:val="18"/>
                <w:color w:val="auto"/>
              </w:rPr>
              <w:t>Surgery Center Central Florida</w:t>
            </w:r>
          </w:p>
        </w:tc>
        <w:tc>
          <w:tcPr>
            <w:tcW w:w="2560" w:type="dxa"/>
            <w:vAlign w:val="bottom"/>
          </w:tcPr>
          <w:p>
            <w:pPr>
              <w:ind w:left="1200"/>
              <w:spacing w:after="0"/>
              <w:rPr>
                <w:sz w:val="20"/>
                <w:szCs w:val="20"/>
                <w:color w:val="auto"/>
              </w:rPr>
            </w:pPr>
            <w:r>
              <w:rPr>
                <w:rFonts w:ascii="Arial" w:cs="Arial" w:eastAsia="Arial" w:hAnsi="Arial"/>
                <w:sz w:val="18"/>
                <w:szCs w:val="18"/>
                <w:color w:val="auto"/>
              </w:rPr>
              <w:t>Robin Barnes</w:t>
            </w:r>
          </w:p>
        </w:tc>
        <w:tc>
          <w:tcPr>
            <w:tcW w:w="1700" w:type="dxa"/>
            <w:vAlign w:val="bottom"/>
          </w:tcPr>
          <w:p>
            <w:pPr>
              <w:ind w:left="120"/>
              <w:spacing w:after="0"/>
              <w:rPr>
                <w:sz w:val="20"/>
                <w:szCs w:val="20"/>
                <w:color w:val="auto"/>
              </w:rPr>
            </w:pPr>
            <w:r>
              <w:rPr>
                <w:rFonts w:ascii="Arial" w:cs="Arial" w:eastAsia="Arial" w:hAnsi="Arial"/>
                <w:sz w:val="18"/>
                <w:szCs w:val="18"/>
                <w:color w:val="auto"/>
              </w:rPr>
              <w:t>Sebring</w:t>
            </w:r>
          </w:p>
        </w:tc>
        <w:tc>
          <w:tcPr>
            <w:tcW w:w="640" w:type="dxa"/>
            <w:vAlign w:val="bottom"/>
          </w:tcPr>
          <w:p>
            <w:pPr>
              <w:ind w:left="340"/>
              <w:spacing w:after="0"/>
              <w:rPr>
                <w:sz w:val="20"/>
                <w:szCs w:val="20"/>
                <w:color w:val="auto"/>
              </w:rPr>
            </w:pPr>
            <w:r>
              <w:rPr>
                <w:rFonts w:ascii="Arial" w:cs="Arial" w:eastAsia="Arial" w:hAnsi="Arial"/>
                <w:sz w:val="18"/>
                <w:szCs w:val="18"/>
                <w:color w:val="auto"/>
              </w:rPr>
              <w:t>FL</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5560" w:type="dxa"/>
            <w:vAlign w:val="bottom"/>
          </w:tcPr>
          <w:p>
            <w:pPr>
              <w:ind w:left="240"/>
              <w:spacing w:after="0"/>
              <w:rPr>
                <w:sz w:val="20"/>
                <w:szCs w:val="20"/>
                <w:color w:val="auto"/>
              </w:rPr>
            </w:pPr>
            <w:r>
              <w:rPr>
                <w:rFonts w:ascii="Arial" w:cs="Arial" w:eastAsia="Arial" w:hAnsi="Arial"/>
                <w:sz w:val="18"/>
                <w:szCs w:val="18"/>
                <w:color w:val="auto"/>
              </w:rPr>
              <w:t>Surgery Center of the Pacific</w:t>
            </w:r>
          </w:p>
        </w:tc>
        <w:tc>
          <w:tcPr>
            <w:tcW w:w="2560" w:type="dxa"/>
            <w:vAlign w:val="bottom"/>
          </w:tcPr>
          <w:p>
            <w:pPr>
              <w:ind w:left="1200"/>
              <w:spacing w:after="0"/>
              <w:rPr>
                <w:sz w:val="20"/>
                <w:szCs w:val="20"/>
                <w:color w:val="auto"/>
              </w:rPr>
            </w:pPr>
            <w:r>
              <w:rPr>
                <w:rFonts w:ascii="Arial" w:cs="Arial" w:eastAsia="Arial" w:hAnsi="Arial"/>
                <w:sz w:val="18"/>
                <w:szCs w:val="18"/>
                <w:color w:val="auto"/>
              </w:rPr>
              <w:t>Rudy Grimaldo</w:t>
            </w:r>
          </w:p>
        </w:tc>
        <w:tc>
          <w:tcPr>
            <w:tcW w:w="1700" w:type="dxa"/>
            <w:vAlign w:val="bottom"/>
          </w:tcPr>
          <w:p>
            <w:pPr>
              <w:ind w:left="120"/>
              <w:spacing w:after="0"/>
              <w:rPr>
                <w:sz w:val="20"/>
                <w:szCs w:val="20"/>
                <w:color w:val="auto"/>
              </w:rPr>
            </w:pPr>
            <w:r>
              <w:rPr>
                <w:rFonts w:ascii="Arial" w:cs="Arial" w:eastAsia="Arial" w:hAnsi="Arial"/>
                <w:sz w:val="18"/>
                <w:szCs w:val="18"/>
                <w:color w:val="auto"/>
              </w:rPr>
              <w:t>Santa Monica</w:t>
            </w:r>
          </w:p>
        </w:tc>
        <w:tc>
          <w:tcPr>
            <w:tcW w:w="640" w:type="dxa"/>
            <w:vAlign w:val="bottom"/>
          </w:tcPr>
          <w:p>
            <w:pPr>
              <w:ind w:left="340"/>
              <w:spacing w:after="0"/>
              <w:rPr>
                <w:sz w:val="20"/>
                <w:szCs w:val="20"/>
                <w:color w:val="auto"/>
              </w:rPr>
            </w:pPr>
            <w:r>
              <w:rPr>
                <w:rFonts w:ascii="Arial" w:cs="Arial" w:eastAsia="Arial" w:hAnsi="Arial"/>
                <w:sz w:val="18"/>
                <w:szCs w:val="18"/>
                <w:color w:val="auto"/>
              </w:rPr>
              <w:t>CA</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5560" w:type="dxa"/>
            <w:vAlign w:val="bottom"/>
          </w:tcPr>
          <w:p>
            <w:pPr>
              <w:ind w:left="240"/>
              <w:spacing w:after="0"/>
              <w:rPr>
                <w:sz w:val="20"/>
                <w:szCs w:val="20"/>
                <w:color w:val="auto"/>
              </w:rPr>
            </w:pPr>
            <w:r>
              <w:rPr>
                <w:rFonts w:ascii="Arial" w:cs="Arial" w:eastAsia="Arial" w:hAnsi="Arial"/>
                <w:sz w:val="18"/>
                <w:szCs w:val="18"/>
                <w:color w:val="auto"/>
              </w:rPr>
              <w:t>Surgical Center at Cedar Knolls</w:t>
            </w:r>
          </w:p>
        </w:tc>
        <w:tc>
          <w:tcPr>
            <w:tcW w:w="2560" w:type="dxa"/>
            <w:vAlign w:val="bottom"/>
          </w:tcPr>
          <w:p>
            <w:pPr>
              <w:ind w:left="1200"/>
              <w:spacing w:after="0"/>
              <w:rPr>
                <w:sz w:val="20"/>
                <w:szCs w:val="20"/>
                <w:color w:val="auto"/>
              </w:rPr>
            </w:pPr>
            <w:r>
              <w:rPr>
                <w:rFonts w:ascii="Arial" w:cs="Arial" w:eastAsia="Arial" w:hAnsi="Arial"/>
                <w:sz w:val="18"/>
                <w:szCs w:val="18"/>
                <w:color w:val="auto"/>
              </w:rPr>
              <w:t>David Christel</w:t>
            </w:r>
          </w:p>
        </w:tc>
        <w:tc>
          <w:tcPr>
            <w:tcW w:w="1700" w:type="dxa"/>
            <w:vAlign w:val="bottom"/>
          </w:tcPr>
          <w:p>
            <w:pPr>
              <w:ind w:left="120"/>
              <w:spacing w:after="0"/>
              <w:rPr>
                <w:sz w:val="20"/>
                <w:szCs w:val="20"/>
                <w:color w:val="auto"/>
              </w:rPr>
            </w:pPr>
            <w:r>
              <w:rPr>
                <w:rFonts w:ascii="Arial" w:cs="Arial" w:eastAsia="Arial" w:hAnsi="Arial"/>
                <w:sz w:val="18"/>
                <w:szCs w:val="18"/>
                <w:color w:val="auto"/>
              </w:rPr>
              <w:t>Cedar Knolls</w:t>
            </w:r>
          </w:p>
        </w:tc>
        <w:tc>
          <w:tcPr>
            <w:tcW w:w="640" w:type="dxa"/>
            <w:vAlign w:val="bottom"/>
          </w:tcPr>
          <w:p>
            <w:pPr>
              <w:ind w:left="340"/>
              <w:spacing w:after="0"/>
              <w:rPr>
                <w:sz w:val="20"/>
                <w:szCs w:val="20"/>
                <w:color w:val="auto"/>
              </w:rPr>
            </w:pPr>
            <w:r>
              <w:rPr>
                <w:rFonts w:ascii="Arial" w:cs="Arial" w:eastAsia="Arial" w:hAnsi="Arial"/>
                <w:sz w:val="18"/>
                <w:szCs w:val="18"/>
                <w:color w:val="auto"/>
              </w:rPr>
              <w:t>NJ</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5560" w:type="dxa"/>
            <w:vAlign w:val="bottom"/>
          </w:tcPr>
          <w:p>
            <w:pPr>
              <w:ind w:left="240"/>
              <w:spacing w:after="0"/>
              <w:rPr>
                <w:sz w:val="20"/>
                <w:szCs w:val="20"/>
                <w:color w:val="auto"/>
              </w:rPr>
            </w:pPr>
            <w:r>
              <w:rPr>
                <w:rFonts w:ascii="Arial" w:cs="Arial" w:eastAsia="Arial" w:hAnsi="Arial"/>
                <w:sz w:val="18"/>
                <w:szCs w:val="18"/>
                <w:color w:val="auto"/>
              </w:rPr>
              <w:t>Surgery Center of Middle TN</w:t>
            </w:r>
          </w:p>
        </w:tc>
        <w:tc>
          <w:tcPr>
            <w:tcW w:w="2560" w:type="dxa"/>
            <w:vAlign w:val="bottom"/>
          </w:tcPr>
          <w:p>
            <w:pPr>
              <w:ind w:left="1200"/>
              <w:spacing w:after="0"/>
              <w:rPr>
                <w:sz w:val="20"/>
                <w:szCs w:val="20"/>
                <w:color w:val="auto"/>
              </w:rPr>
            </w:pPr>
            <w:r>
              <w:rPr>
                <w:rFonts w:ascii="Arial" w:cs="Arial" w:eastAsia="Arial" w:hAnsi="Arial"/>
                <w:sz w:val="18"/>
                <w:szCs w:val="18"/>
                <w:color w:val="auto"/>
              </w:rPr>
              <w:t>Rachel Hall</w:t>
            </w:r>
          </w:p>
        </w:tc>
        <w:tc>
          <w:tcPr>
            <w:tcW w:w="1700" w:type="dxa"/>
            <w:vAlign w:val="bottom"/>
          </w:tcPr>
          <w:p>
            <w:pPr>
              <w:ind w:left="120"/>
              <w:spacing w:after="0"/>
              <w:rPr>
                <w:sz w:val="20"/>
                <w:szCs w:val="20"/>
                <w:color w:val="auto"/>
              </w:rPr>
            </w:pPr>
            <w:r>
              <w:rPr>
                <w:rFonts w:ascii="Arial" w:cs="Arial" w:eastAsia="Arial" w:hAnsi="Arial"/>
                <w:sz w:val="18"/>
                <w:szCs w:val="18"/>
                <w:color w:val="auto"/>
              </w:rPr>
              <w:t>Columbia</w:t>
            </w:r>
          </w:p>
        </w:tc>
        <w:tc>
          <w:tcPr>
            <w:tcW w:w="640" w:type="dxa"/>
            <w:vAlign w:val="bottom"/>
          </w:tcPr>
          <w:p>
            <w:pPr>
              <w:ind w:left="340"/>
              <w:spacing w:after="0"/>
              <w:rPr>
                <w:sz w:val="20"/>
                <w:szCs w:val="20"/>
                <w:color w:val="auto"/>
              </w:rPr>
            </w:pPr>
            <w:r>
              <w:rPr>
                <w:rFonts w:ascii="Arial" w:cs="Arial" w:eastAsia="Arial" w:hAnsi="Arial"/>
                <w:sz w:val="18"/>
                <w:szCs w:val="18"/>
                <w:color w:val="auto"/>
              </w:rPr>
              <w:t>TN</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5560" w:type="dxa"/>
            <w:vAlign w:val="bottom"/>
          </w:tcPr>
          <w:p>
            <w:pPr>
              <w:ind w:left="240"/>
              <w:spacing w:after="0"/>
              <w:rPr>
                <w:sz w:val="20"/>
                <w:szCs w:val="20"/>
                <w:color w:val="auto"/>
              </w:rPr>
            </w:pPr>
            <w:r>
              <w:rPr>
                <w:rFonts w:ascii="Arial" w:cs="Arial" w:eastAsia="Arial" w:hAnsi="Arial"/>
                <w:sz w:val="18"/>
                <w:szCs w:val="18"/>
                <w:color w:val="auto"/>
              </w:rPr>
              <w:t>Surgical Hospital of Oklahoma</w:t>
            </w:r>
          </w:p>
        </w:tc>
        <w:tc>
          <w:tcPr>
            <w:tcW w:w="2560" w:type="dxa"/>
            <w:vAlign w:val="bottom"/>
          </w:tcPr>
          <w:p>
            <w:pPr>
              <w:ind w:left="1200"/>
              <w:spacing w:after="0"/>
              <w:rPr>
                <w:sz w:val="20"/>
                <w:szCs w:val="20"/>
                <w:color w:val="auto"/>
              </w:rPr>
            </w:pPr>
            <w:r>
              <w:rPr>
                <w:rFonts w:ascii="Arial" w:cs="Arial" w:eastAsia="Arial" w:hAnsi="Arial"/>
                <w:sz w:val="18"/>
                <w:szCs w:val="18"/>
                <w:color w:val="auto"/>
              </w:rPr>
              <w:t>Wes Burks</w:t>
            </w:r>
          </w:p>
        </w:tc>
        <w:tc>
          <w:tcPr>
            <w:tcW w:w="1700" w:type="dxa"/>
            <w:vAlign w:val="bottom"/>
          </w:tcPr>
          <w:p>
            <w:pPr>
              <w:ind w:left="120"/>
              <w:spacing w:after="0"/>
              <w:rPr>
                <w:sz w:val="20"/>
                <w:szCs w:val="20"/>
                <w:color w:val="auto"/>
              </w:rPr>
            </w:pPr>
            <w:r>
              <w:rPr>
                <w:rFonts w:ascii="Arial" w:cs="Arial" w:eastAsia="Arial" w:hAnsi="Arial"/>
                <w:sz w:val="18"/>
                <w:szCs w:val="18"/>
                <w:color w:val="auto"/>
              </w:rPr>
              <w:t>Oklahoma City</w:t>
            </w:r>
          </w:p>
        </w:tc>
        <w:tc>
          <w:tcPr>
            <w:tcW w:w="640" w:type="dxa"/>
            <w:vAlign w:val="bottom"/>
          </w:tcPr>
          <w:p>
            <w:pPr>
              <w:ind w:left="340"/>
              <w:spacing w:after="0"/>
              <w:rPr>
                <w:sz w:val="20"/>
                <w:szCs w:val="20"/>
                <w:color w:val="auto"/>
              </w:rPr>
            </w:pPr>
            <w:r>
              <w:rPr>
                <w:rFonts w:ascii="Arial" w:cs="Arial" w:eastAsia="Arial" w:hAnsi="Arial"/>
                <w:sz w:val="18"/>
                <w:szCs w:val="18"/>
                <w:color w:val="auto"/>
              </w:rPr>
              <w:t>OK</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5560" w:type="dxa"/>
            <w:vAlign w:val="bottom"/>
          </w:tcPr>
          <w:p>
            <w:pPr>
              <w:ind w:left="240"/>
              <w:spacing w:after="0"/>
              <w:rPr>
                <w:sz w:val="20"/>
                <w:szCs w:val="20"/>
                <w:color w:val="auto"/>
              </w:rPr>
            </w:pPr>
            <w:r>
              <w:rPr>
                <w:rFonts w:ascii="Arial" w:cs="Arial" w:eastAsia="Arial" w:hAnsi="Arial"/>
                <w:sz w:val="18"/>
                <w:szCs w:val="18"/>
                <w:color w:val="auto"/>
              </w:rPr>
              <w:t>Surgical Specialty Hosp of AZ</w:t>
            </w:r>
          </w:p>
        </w:tc>
        <w:tc>
          <w:tcPr>
            <w:tcW w:w="2560" w:type="dxa"/>
            <w:vAlign w:val="bottom"/>
          </w:tcPr>
          <w:p>
            <w:pPr>
              <w:ind w:left="1200"/>
              <w:spacing w:after="0"/>
              <w:rPr>
                <w:sz w:val="20"/>
                <w:szCs w:val="20"/>
                <w:color w:val="auto"/>
              </w:rPr>
            </w:pPr>
            <w:r>
              <w:rPr>
                <w:rFonts w:ascii="Arial" w:cs="Arial" w:eastAsia="Arial" w:hAnsi="Arial"/>
                <w:sz w:val="18"/>
                <w:szCs w:val="18"/>
                <w:color w:val="auto"/>
              </w:rPr>
              <w:t>Michael Cox</w:t>
            </w:r>
          </w:p>
        </w:tc>
        <w:tc>
          <w:tcPr>
            <w:tcW w:w="1700" w:type="dxa"/>
            <w:vAlign w:val="bottom"/>
          </w:tcPr>
          <w:p>
            <w:pPr>
              <w:ind w:left="120"/>
              <w:spacing w:after="0"/>
              <w:rPr>
                <w:sz w:val="20"/>
                <w:szCs w:val="20"/>
                <w:color w:val="auto"/>
              </w:rPr>
            </w:pPr>
            <w:r>
              <w:rPr>
                <w:rFonts w:ascii="Arial" w:cs="Arial" w:eastAsia="Arial" w:hAnsi="Arial"/>
                <w:sz w:val="18"/>
                <w:szCs w:val="18"/>
                <w:color w:val="auto"/>
              </w:rPr>
              <w:t>Phoenix</w:t>
            </w:r>
          </w:p>
        </w:tc>
        <w:tc>
          <w:tcPr>
            <w:tcW w:w="640" w:type="dxa"/>
            <w:vAlign w:val="bottom"/>
          </w:tcPr>
          <w:p>
            <w:pPr>
              <w:ind w:left="340"/>
              <w:spacing w:after="0"/>
              <w:rPr>
                <w:sz w:val="20"/>
                <w:szCs w:val="20"/>
                <w:color w:val="auto"/>
              </w:rPr>
            </w:pPr>
            <w:r>
              <w:rPr>
                <w:rFonts w:ascii="Arial" w:cs="Arial" w:eastAsia="Arial" w:hAnsi="Arial"/>
                <w:sz w:val="18"/>
                <w:szCs w:val="18"/>
                <w:color w:val="auto"/>
              </w:rPr>
              <w:t>AZ</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5560" w:type="dxa"/>
            <w:vAlign w:val="bottom"/>
          </w:tcPr>
          <w:p>
            <w:pPr>
              <w:ind w:left="240"/>
              <w:spacing w:after="0"/>
              <w:rPr>
                <w:sz w:val="20"/>
                <w:szCs w:val="20"/>
                <w:color w:val="auto"/>
              </w:rPr>
            </w:pPr>
            <w:r>
              <w:rPr>
                <w:rFonts w:ascii="Arial" w:cs="Arial" w:eastAsia="Arial" w:hAnsi="Arial"/>
                <w:sz w:val="18"/>
                <w:szCs w:val="18"/>
                <w:color w:val="auto"/>
              </w:rPr>
              <w:t>Sutter General Hospital</w:t>
            </w:r>
          </w:p>
        </w:tc>
        <w:tc>
          <w:tcPr>
            <w:tcW w:w="2560" w:type="dxa"/>
            <w:vAlign w:val="bottom"/>
          </w:tcPr>
          <w:p>
            <w:pPr>
              <w:ind w:left="1200"/>
              <w:spacing w:after="0"/>
              <w:rPr>
                <w:sz w:val="20"/>
                <w:szCs w:val="20"/>
                <w:color w:val="auto"/>
              </w:rPr>
            </w:pPr>
            <w:r>
              <w:rPr>
                <w:rFonts w:ascii="Arial" w:cs="Arial" w:eastAsia="Arial" w:hAnsi="Arial"/>
                <w:sz w:val="18"/>
                <w:szCs w:val="18"/>
                <w:color w:val="auto"/>
              </w:rPr>
              <w:t>Robin Just</w:t>
            </w:r>
          </w:p>
        </w:tc>
        <w:tc>
          <w:tcPr>
            <w:tcW w:w="1700" w:type="dxa"/>
            <w:vAlign w:val="bottom"/>
          </w:tcPr>
          <w:p>
            <w:pPr>
              <w:ind w:left="120"/>
              <w:spacing w:after="0"/>
              <w:rPr>
                <w:sz w:val="20"/>
                <w:szCs w:val="20"/>
                <w:color w:val="auto"/>
              </w:rPr>
            </w:pPr>
            <w:r>
              <w:rPr>
                <w:rFonts w:ascii="Arial" w:cs="Arial" w:eastAsia="Arial" w:hAnsi="Arial"/>
                <w:sz w:val="18"/>
                <w:szCs w:val="18"/>
                <w:color w:val="auto"/>
              </w:rPr>
              <w:t>Sacramento</w:t>
            </w:r>
          </w:p>
        </w:tc>
        <w:tc>
          <w:tcPr>
            <w:tcW w:w="640" w:type="dxa"/>
            <w:vAlign w:val="bottom"/>
          </w:tcPr>
          <w:p>
            <w:pPr>
              <w:ind w:left="340"/>
              <w:spacing w:after="0"/>
              <w:rPr>
                <w:sz w:val="20"/>
                <w:szCs w:val="20"/>
                <w:color w:val="auto"/>
              </w:rPr>
            </w:pPr>
            <w:r>
              <w:rPr>
                <w:rFonts w:ascii="Arial" w:cs="Arial" w:eastAsia="Arial" w:hAnsi="Arial"/>
                <w:sz w:val="18"/>
                <w:szCs w:val="18"/>
                <w:color w:val="auto"/>
              </w:rPr>
              <w:t>CA</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5560" w:type="dxa"/>
            <w:vAlign w:val="bottom"/>
          </w:tcPr>
          <w:p>
            <w:pPr>
              <w:ind w:left="240"/>
              <w:spacing w:after="0"/>
              <w:rPr>
                <w:sz w:val="20"/>
                <w:szCs w:val="20"/>
                <w:color w:val="auto"/>
              </w:rPr>
            </w:pPr>
            <w:r>
              <w:rPr>
                <w:rFonts w:ascii="Arial" w:cs="Arial" w:eastAsia="Arial" w:hAnsi="Arial"/>
                <w:sz w:val="18"/>
                <w:szCs w:val="18"/>
                <w:color w:val="auto"/>
              </w:rPr>
              <w:t>Sycamore Hospital</w:t>
            </w:r>
          </w:p>
        </w:tc>
        <w:tc>
          <w:tcPr>
            <w:tcW w:w="2560" w:type="dxa"/>
            <w:vAlign w:val="bottom"/>
          </w:tcPr>
          <w:p>
            <w:pPr>
              <w:ind w:left="1200"/>
              <w:spacing w:after="0"/>
              <w:rPr>
                <w:sz w:val="20"/>
                <w:szCs w:val="20"/>
                <w:color w:val="auto"/>
              </w:rPr>
            </w:pPr>
            <w:r>
              <w:rPr>
                <w:rFonts w:ascii="Arial" w:cs="Arial" w:eastAsia="Arial" w:hAnsi="Arial"/>
                <w:sz w:val="18"/>
                <w:szCs w:val="18"/>
                <w:color w:val="auto"/>
              </w:rPr>
              <w:t>Cherie Leggett</w:t>
            </w:r>
          </w:p>
        </w:tc>
        <w:tc>
          <w:tcPr>
            <w:tcW w:w="1700" w:type="dxa"/>
            <w:vAlign w:val="bottom"/>
          </w:tcPr>
          <w:p>
            <w:pPr>
              <w:ind w:left="120"/>
              <w:spacing w:after="0"/>
              <w:rPr>
                <w:sz w:val="20"/>
                <w:szCs w:val="20"/>
                <w:color w:val="auto"/>
              </w:rPr>
            </w:pPr>
            <w:r>
              <w:rPr>
                <w:rFonts w:ascii="Arial" w:cs="Arial" w:eastAsia="Arial" w:hAnsi="Arial"/>
                <w:sz w:val="18"/>
                <w:szCs w:val="18"/>
                <w:color w:val="auto"/>
              </w:rPr>
              <w:t>Miamisburg</w:t>
            </w:r>
          </w:p>
        </w:tc>
        <w:tc>
          <w:tcPr>
            <w:tcW w:w="640" w:type="dxa"/>
            <w:vAlign w:val="bottom"/>
          </w:tcPr>
          <w:p>
            <w:pPr>
              <w:ind w:left="340"/>
              <w:spacing w:after="0"/>
              <w:rPr>
                <w:sz w:val="20"/>
                <w:szCs w:val="20"/>
                <w:color w:val="auto"/>
              </w:rPr>
            </w:pPr>
            <w:r>
              <w:rPr>
                <w:rFonts w:ascii="Arial" w:cs="Arial" w:eastAsia="Arial" w:hAnsi="Arial"/>
                <w:sz w:val="18"/>
                <w:szCs w:val="18"/>
                <w:color w:val="auto"/>
              </w:rPr>
              <w:t>OH</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5560" w:type="dxa"/>
            <w:vAlign w:val="bottom"/>
          </w:tcPr>
          <w:p>
            <w:pPr>
              <w:ind w:left="240"/>
              <w:spacing w:after="0"/>
              <w:rPr>
                <w:sz w:val="20"/>
                <w:szCs w:val="20"/>
                <w:color w:val="auto"/>
              </w:rPr>
            </w:pPr>
            <w:r>
              <w:rPr>
                <w:rFonts w:ascii="Arial" w:cs="Arial" w:eastAsia="Arial" w:hAnsi="Arial"/>
                <w:sz w:val="18"/>
                <w:szCs w:val="18"/>
                <w:color w:val="auto"/>
              </w:rPr>
              <w:t>Tahlequah City Hospital</w:t>
            </w:r>
          </w:p>
        </w:tc>
        <w:tc>
          <w:tcPr>
            <w:tcW w:w="2560" w:type="dxa"/>
            <w:vAlign w:val="bottom"/>
          </w:tcPr>
          <w:p>
            <w:pPr>
              <w:ind w:left="1200"/>
              <w:spacing w:after="0"/>
              <w:rPr>
                <w:sz w:val="20"/>
                <w:szCs w:val="20"/>
                <w:color w:val="auto"/>
              </w:rPr>
            </w:pPr>
            <w:r>
              <w:rPr>
                <w:rFonts w:ascii="Arial" w:cs="Arial" w:eastAsia="Arial" w:hAnsi="Arial"/>
                <w:sz w:val="18"/>
                <w:szCs w:val="18"/>
                <w:color w:val="auto"/>
              </w:rPr>
              <w:t>Brenda Evens</w:t>
            </w:r>
          </w:p>
        </w:tc>
        <w:tc>
          <w:tcPr>
            <w:tcW w:w="1700" w:type="dxa"/>
            <w:vAlign w:val="bottom"/>
          </w:tcPr>
          <w:p>
            <w:pPr>
              <w:ind w:left="120"/>
              <w:spacing w:after="0"/>
              <w:rPr>
                <w:sz w:val="20"/>
                <w:szCs w:val="20"/>
                <w:color w:val="auto"/>
              </w:rPr>
            </w:pPr>
            <w:r>
              <w:rPr>
                <w:rFonts w:ascii="Arial" w:cs="Arial" w:eastAsia="Arial" w:hAnsi="Arial"/>
                <w:sz w:val="18"/>
                <w:szCs w:val="18"/>
                <w:color w:val="auto"/>
              </w:rPr>
              <w:t>Tahlequah</w:t>
            </w:r>
          </w:p>
        </w:tc>
        <w:tc>
          <w:tcPr>
            <w:tcW w:w="640" w:type="dxa"/>
            <w:vAlign w:val="bottom"/>
          </w:tcPr>
          <w:p>
            <w:pPr>
              <w:ind w:left="340"/>
              <w:spacing w:after="0"/>
              <w:rPr>
                <w:sz w:val="20"/>
                <w:szCs w:val="20"/>
                <w:color w:val="auto"/>
              </w:rPr>
            </w:pPr>
            <w:r>
              <w:rPr>
                <w:rFonts w:ascii="Arial" w:cs="Arial" w:eastAsia="Arial" w:hAnsi="Arial"/>
                <w:sz w:val="18"/>
                <w:szCs w:val="18"/>
                <w:color w:val="auto"/>
              </w:rPr>
              <w:t>Ok</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5560" w:type="dxa"/>
            <w:vAlign w:val="bottom"/>
          </w:tcPr>
          <w:p>
            <w:pPr>
              <w:ind w:left="240"/>
              <w:spacing w:after="0"/>
              <w:rPr>
                <w:sz w:val="20"/>
                <w:szCs w:val="20"/>
                <w:color w:val="auto"/>
              </w:rPr>
            </w:pPr>
            <w:r>
              <w:rPr>
                <w:rFonts w:ascii="Arial" w:cs="Arial" w:eastAsia="Arial" w:hAnsi="Arial"/>
                <w:sz w:val="18"/>
                <w:szCs w:val="18"/>
                <w:color w:val="auto"/>
              </w:rPr>
              <w:t>Tampa General Hospital</w:t>
            </w:r>
          </w:p>
        </w:tc>
        <w:tc>
          <w:tcPr>
            <w:tcW w:w="2560" w:type="dxa"/>
            <w:vAlign w:val="bottom"/>
          </w:tcPr>
          <w:p>
            <w:pPr>
              <w:ind w:left="1200"/>
              <w:spacing w:after="0"/>
              <w:rPr>
                <w:sz w:val="20"/>
                <w:szCs w:val="20"/>
                <w:color w:val="auto"/>
              </w:rPr>
            </w:pPr>
            <w:r>
              <w:rPr>
                <w:rFonts w:ascii="Arial" w:cs="Arial" w:eastAsia="Arial" w:hAnsi="Arial"/>
                <w:sz w:val="18"/>
                <w:szCs w:val="18"/>
                <w:color w:val="auto"/>
              </w:rPr>
              <w:t>Millie Good</w:t>
            </w:r>
          </w:p>
        </w:tc>
        <w:tc>
          <w:tcPr>
            <w:tcW w:w="1700" w:type="dxa"/>
            <w:vAlign w:val="bottom"/>
          </w:tcPr>
          <w:p>
            <w:pPr>
              <w:ind w:left="120"/>
              <w:spacing w:after="0"/>
              <w:rPr>
                <w:sz w:val="20"/>
                <w:szCs w:val="20"/>
                <w:color w:val="auto"/>
              </w:rPr>
            </w:pPr>
            <w:r>
              <w:rPr>
                <w:rFonts w:ascii="Arial" w:cs="Arial" w:eastAsia="Arial" w:hAnsi="Arial"/>
                <w:sz w:val="18"/>
                <w:szCs w:val="18"/>
                <w:color w:val="auto"/>
              </w:rPr>
              <w:t>Tampa</w:t>
            </w:r>
          </w:p>
        </w:tc>
        <w:tc>
          <w:tcPr>
            <w:tcW w:w="640" w:type="dxa"/>
            <w:vAlign w:val="bottom"/>
          </w:tcPr>
          <w:p>
            <w:pPr>
              <w:ind w:left="340"/>
              <w:spacing w:after="0"/>
              <w:rPr>
                <w:sz w:val="20"/>
                <w:szCs w:val="20"/>
                <w:color w:val="auto"/>
              </w:rPr>
            </w:pPr>
            <w:r>
              <w:rPr>
                <w:rFonts w:ascii="Arial" w:cs="Arial" w:eastAsia="Arial" w:hAnsi="Arial"/>
                <w:sz w:val="18"/>
                <w:szCs w:val="18"/>
                <w:color w:val="auto"/>
              </w:rPr>
              <w:t>FL</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5560" w:type="dxa"/>
            <w:vAlign w:val="bottom"/>
          </w:tcPr>
          <w:p>
            <w:pPr>
              <w:ind w:left="240"/>
              <w:spacing w:after="0"/>
              <w:rPr>
                <w:sz w:val="20"/>
                <w:szCs w:val="20"/>
                <w:color w:val="auto"/>
              </w:rPr>
            </w:pPr>
            <w:r>
              <w:rPr>
                <w:rFonts w:ascii="Arial" w:cs="Arial" w:eastAsia="Arial" w:hAnsi="Arial"/>
                <w:sz w:val="18"/>
                <w:szCs w:val="18"/>
                <w:color w:val="auto"/>
              </w:rPr>
              <w:t>Tanner Medical Center</w:t>
            </w:r>
          </w:p>
        </w:tc>
        <w:tc>
          <w:tcPr>
            <w:tcW w:w="2560" w:type="dxa"/>
            <w:vAlign w:val="bottom"/>
          </w:tcPr>
          <w:p>
            <w:pPr>
              <w:ind w:left="1200"/>
              <w:spacing w:after="0"/>
              <w:rPr>
                <w:sz w:val="20"/>
                <w:szCs w:val="20"/>
                <w:color w:val="auto"/>
              </w:rPr>
            </w:pPr>
            <w:r>
              <w:rPr>
                <w:rFonts w:ascii="Arial" w:cs="Arial" w:eastAsia="Arial" w:hAnsi="Arial"/>
                <w:sz w:val="18"/>
                <w:szCs w:val="18"/>
                <w:color w:val="auto"/>
              </w:rPr>
              <w:t>Brenda</w:t>
            </w:r>
          </w:p>
        </w:tc>
        <w:tc>
          <w:tcPr>
            <w:tcW w:w="1700" w:type="dxa"/>
            <w:vAlign w:val="bottom"/>
          </w:tcPr>
          <w:p>
            <w:pPr>
              <w:ind w:left="120"/>
              <w:spacing w:after="0"/>
              <w:rPr>
                <w:sz w:val="20"/>
                <w:szCs w:val="20"/>
                <w:color w:val="auto"/>
              </w:rPr>
            </w:pPr>
            <w:r>
              <w:rPr>
                <w:rFonts w:ascii="Arial" w:cs="Arial" w:eastAsia="Arial" w:hAnsi="Arial"/>
                <w:sz w:val="18"/>
                <w:szCs w:val="18"/>
                <w:color w:val="auto"/>
              </w:rPr>
              <w:t>Carrollton</w:t>
            </w:r>
          </w:p>
        </w:tc>
        <w:tc>
          <w:tcPr>
            <w:tcW w:w="640" w:type="dxa"/>
            <w:vAlign w:val="bottom"/>
          </w:tcPr>
          <w:p>
            <w:pPr>
              <w:ind w:left="340"/>
              <w:spacing w:after="0"/>
              <w:rPr>
                <w:sz w:val="20"/>
                <w:szCs w:val="20"/>
                <w:color w:val="auto"/>
              </w:rPr>
            </w:pPr>
            <w:r>
              <w:rPr>
                <w:rFonts w:ascii="Arial" w:cs="Arial" w:eastAsia="Arial" w:hAnsi="Arial"/>
                <w:sz w:val="18"/>
                <w:szCs w:val="18"/>
                <w:color w:val="auto"/>
              </w:rPr>
              <w:t>GA</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5560" w:type="dxa"/>
            <w:vAlign w:val="bottom"/>
          </w:tcPr>
          <w:p>
            <w:pPr>
              <w:ind w:left="240"/>
              <w:spacing w:after="0"/>
              <w:rPr>
                <w:sz w:val="20"/>
                <w:szCs w:val="20"/>
                <w:color w:val="auto"/>
              </w:rPr>
            </w:pPr>
            <w:r>
              <w:rPr>
                <w:rFonts w:ascii="Arial" w:cs="Arial" w:eastAsia="Arial" w:hAnsi="Arial"/>
                <w:sz w:val="18"/>
                <w:szCs w:val="18"/>
                <w:color w:val="auto"/>
              </w:rPr>
              <w:t>Tech Regional Med Ctr</w:t>
            </w:r>
          </w:p>
        </w:tc>
        <w:tc>
          <w:tcPr>
            <w:tcW w:w="2560" w:type="dxa"/>
            <w:vAlign w:val="bottom"/>
          </w:tcPr>
          <w:p>
            <w:pPr>
              <w:ind w:left="1200"/>
              <w:spacing w:after="0"/>
              <w:rPr>
                <w:sz w:val="20"/>
                <w:szCs w:val="20"/>
                <w:color w:val="auto"/>
              </w:rPr>
            </w:pPr>
            <w:r>
              <w:rPr>
                <w:rFonts w:ascii="Arial" w:cs="Arial" w:eastAsia="Arial" w:hAnsi="Arial"/>
                <w:sz w:val="18"/>
                <w:szCs w:val="18"/>
                <w:color w:val="auto"/>
                <w:w w:val="94"/>
              </w:rPr>
              <w:t>Tammy Clements</w:t>
            </w:r>
          </w:p>
        </w:tc>
        <w:tc>
          <w:tcPr>
            <w:tcW w:w="1700" w:type="dxa"/>
            <w:vAlign w:val="bottom"/>
          </w:tcPr>
          <w:p>
            <w:pPr>
              <w:ind w:left="120"/>
              <w:spacing w:after="0"/>
              <w:rPr>
                <w:sz w:val="20"/>
                <w:szCs w:val="20"/>
                <w:color w:val="auto"/>
              </w:rPr>
            </w:pPr>
            <w:r>
              <w:rPr>
                <w:rFonts w:ascii="Arial" w:cs="Arial" w:eastAsia="Arial" w:hAnsi="Arial"/>
                <w:sz w:val="18"/>
                <w:szCs w:val="18"/>
                <w:color w:val="auto"/>
              </w:rPr>
              <w:t>Morgan City</w:t>
            </w:r>
          </w:p>
        </w:tc>
        <w:tc>
          <w:tcPr>
            <w:tcW w:w="640" w:type="dxa"/>
            <w:vAlign w:val="bottom"/>
          </w:tcPr>
          <w:p>
            <w:pPr>
              <w:ind w:left="340"/>
              <w:spacing w:after="0"/>
              <w:rPr>
                <w:sz w:val="20"/>
                <w:szCs w:val="20"/>
                <w:color w:val="auto"/>
              </w:rPr>
            </w:pPr>
            <w:r>
              <w:rPr>
                <w:rFonts w:ascii="Arial" w:cs="Arial" w:eastAsia="Arial" w:hAnsi="Arial"/>
                <w:sz w:val="18"/>
                <w:szCs w:val="18"/>
                <w:color w:val="auto"/>
              </w:rPr>
              <w:t>LA</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5560" w:type="dxa"/>
            <w:vAlign w:val="bottom"/>
          </w:tcPr>
          <w:p>
            <w:pPr>
              <w:ind w:left="240"/>
              <w:spacing w:after="0"/>
              <w:rPr>
                <w:sz w:val="20"/>
                <w:szCs w:val="20"/>
                <w:color w:val="auto"/>
              </w:rPr>
            </w:pPr>
            <w:r>
              <w:rPr>
                <w:rFonts w:ascii="Arial" w:cs="Arial" w:eastAsia="Arial" w:hAnsi="Arial"/>
                <w:sz w:val="18"/>
                <w:szCs w:val="18"/>
                <w:color w:val="auto"/>
              </w:rPr>
              <w:t>Terrebonne General Med Ctr</w:t>
            </w:r>
          </w:p>
        </w:tc>
        <w:tc>
          <w:tcPr>
            <w:tcW w:w="2560" w:type="dxa"/>
            <w:vAlign w:val="bottom"/>
          </w:tcPr>
          <w:p>
            <w:pPr>
              <w:ind w:left="1200"/>
              <w:spacing w:after="0"/>
              <w:rPr>
                <w:sz w:val="20"/>
                <w:szCs w:val="20"/>
                <w:color w:val="auto"/>
              </w:rPr>
            </w:pPr>
            <w:r>
              <w:rPr>
                <w:rFonts w:ascii="Arial" w:cs="Arial" w:eastAsia="Arial" w:hAnsi="Arial"/>
                <w:sz w:val="18"/>
                <w:szCs w:val="18"/>
                <w:color w:val="auto"/>
              </w:rPr>
              <w:t>Katina</w:t>
            </w:r>
          </w:p>
        </w:tc>
        <w:tc>
          <w:tcPr>
            <w:tcW w:w="1700" w:type="dxa"/>
            <w:vAlign w:val="bottom"/>
          </w:tcPr>
          <w:p>
            <w:pPr>
              <w:ind w:left="120"/>
              <w:spacing w:after="0"/>
              <w:rPr>
                <w:sz w:val="20"/>
                <w:szCs w:val="20"/>
                <w:color w:val="auto"/>
              </w:rPr>
            </w:pPr>
            <w:r>
              <w:rPr>
                <w:rFonts w:ascii="Arial" w:cs="Arial" w:eastAsia="Arial" w:hAnsi="Arial"/>
                <w:sz w:val="18"/>
                <w:szCs w:val="18"/>
                <w:color w:val="auto"/>
              </w:rPr>
              <w:t>Houma</w:t>
            </w:r>
          </w:p>
        </w:tc>
        <w:tc>
          <w:tcPr>
            <w:tcW w:w="640" w:type="dxa"/>
            <w:vAlign w:val="bottom"/>
          </w:tcPr>
          <w:p>
            <w:pPr>
              <w:ind w:left="340"/>
              <w:spacing w:after="0"/>
              <w:rPr>
                <w:sz w:val="20"/>
                <w:szCs w:val="20"/>
                <w:color w:val="auto"/>
              </w:rPr>
            </w:pPr>
            <w:r>
              <w:rPr>
                <w:rFonts w:ascii="Arial" w:cs="Arial" w:eastAsia="Arial" w:hAnsi="Arial"/>
                <w:sz w:val="18"/>
                <w:szCs w:val="18"/>
                <w:color w:val="auto"/>
              </w:rPr>
              <w:t>LA</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5560" w:type="dxa"/>
            <w:vAlign w:val="bottom"/>
          </w:tcPr>
          <w:p>
            <w:pPr>
              <w:ind w:left="240"/>
              <w:spacing w:after="0"/>
              <w:rPr>
                <w:sz w:val="20"/>
                <w:szCs w:val="20"/>
                <w:color w:val="auto"/>
              </w:rPr>
            </w:pPr>
            <w:r>
              <w:rPr>
                <w:rFonts w:ascii="Arial" w:cs="Arial" w:eastAsia="Arial" w:hAnsi="Arial"/>
                <w:sz w:val="18"/>
                <w:szCs w:val="18"/>
                <w:color w:val="auto"/>
              </w:rPr>
              <w:t>The Brooklyn Hospital</w:t>
            </w:r>
          </w:p>
        </w:tc>
        <w:tc>
          <w:tcPr>
            <w:tcW w:w="2560" w:type="dxa"/>
            <w:vAlign w:val="bottom"/>
          </w:tcPr>
          <w:p>
            <w:pPr>
              <w:ind w:left="1200"/>
              <w:spacing w:after="0"/>
              <w:rPr>
                <w:sz w:val="20"/>
                <w:szCs w:val="20"/>
                <w:color w:val="auto"/>
              </w:rPr>
            </w:pPr>
            <w:r>
              <w:rPr>
                <w:rFonts w:ascii="Arial" w:cs="Arial" w:eastAsia="Arial" w:hAnsi="Arial"/>
                <w:sz w:val="18"/>
                <w:szCs w:val="18"/>
                <w:color w:val="auto"/>
              </w:rPr>
              <w:t>F. Medrano</w:t>
            </w:r>
          </w:p>
        </w:tc>
        <w:tc>
          <w:tcPr>
            <w:tcW w:w="1700" w:type="dxa"/>
            <w:vAlign w:val="bottom"/>
          </w:tcPr>
          <w:p>
            <w:pPr>
              <w:ind w:left="120"/>
              <w:spacing w:after="0"/>
              <w:rPr>
                <w:sz w:val="20"/>
                <w:szCs w:val="20"/>
                <w:color w:val="auto"/>
              </w:rPr>
            </w:pPr>
            <w:r>
              <w:rPr>
                <w:rFonts w:ascii="Arial" w:cs="Arial" w:eastAsia="Arial" w:hAnsi="Arial"/>
                <w:sz w:val="18"/>
                <w:szCs w:val="18"/>
                <w:color w:val="auto"/>
              </w:rPr>
              <w:t>Brooklyn</w:t>
            </w:r>
          </w:p>
        </w:tc>
        <w:tc>
          <w:tcPr>
            <w:tcW w:w="640" w:type="dxa"/>
            <w:vAlign w:val="bottom"/>
          </w:tcPr>
          <w:p>
            <w:pPr>
              <w:ind w:left="340"/>
              <w:spacing w:after="0"/>
              <w:rPr>
                <w:sz w:val="20"/>
                <w:szCs w:val="20"/>
                <w:color w:val="auto"/>
              </w:rPr>
            </w:pPr>
            <w:r>
              <w:rPr>
                <w:rFonts w:ascii="Arial" w:cs="Arial" w:eastAsia="Arial" w:hAnsi="Arial"/>
                <w:sz w:val="18"/>
                <w:szCs w:val="18"/>
                <w:color w:val="auto"/>
              </w:rPr>
              <w:t>FL</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5560" w:type="dxa"/>
            <w:vAlign w:val="bottom"/>
          </w:tcPr>
          <w:p>
            <w:pPr>
              <w:ind w:left="240"/>
              <w:spacing w:after="0"/>
              <w:rPr>
                <w:sz w:val="20"/>
                <w:szCs w:val="20"/>
                <w:color w:val="auto"/>
              </w:rPr>
            </w:pPr>
            <w:r>
              <w:rPr>
                <w:rFonts w:ascii="Arial" w:cs="Arial" w:eastAsia="Arial" w:hAnsi="Arial"/>
                <w:sz w:val="18"/>
                <w:szCs w:val="18"/>
                <w:color w:val="auto"/>
              </w:rPr>
              <w:t>Thomas Memorial</w:t>
            </w:r>
          </w:p>
        </w:tc>
        <w:tc>
          <w:tcPr>
            <w:tcW w:w="2560" w:type="dxa"/>
            <w:vAlign w:val="bottom"/>
          </w:tcPr>
          <w:p>
            <w:pPr>
              <w:ind w:left="1200"/>
              <w:spacing w:after="0"/>
              <w:rPr>
                <w:sz w:val="20"/>
                <w:szCs w:val="20"/>
                <w:color w:val="auto"/>
              </w:rPr>
            </w:pPr>
            <w:r>
              <w:rPr>
                <w:rFonts w:ascii="Arial" w:cs="Arial" w:eastAsia="Arial" w:hAnsi="Arial"/>
                <w:sz w:val="18"/>
                <w:szCs w:val="18"/>
                <w:color w:val="auto"/>
              </w:rPr>
              <w:t>Kim Conner</w:t>
            </w:r>
          </w:p>
        </w:tc>
        <w:tc>
          <w:tcPr>
            <w:tcW w:w="1700" w:type="dxa"/>
            <w:vAlign w:val="bottom"/>
          </w:tcPr>
          <w:p>
            <w:pPr>
              <w:ind w:left="120"/>
              <w:spacing w:after="0"/>
              <w:rPr>
                <w:sz w:val="20"/>
                <w:szCs w:val="20"/>
                <w:color w:val="auto"/>
              </w:rPr>
            </w:pPr>
            <w:r>
              <w:rPr>
                <w:rFonts w:ascii="Arial" w:cs="Arial" w:eastAsia="Arial" w:hAnsi="Arial"/>
                <w:sz w:val="18"/>
                <w:szCs w:val="18"/>
                <w:color w:val="auto"/>
              </w:rPr>
              <w:t>ChaCJ SEeston</w:t>
            </w:r>
          </w:p>
        </w:tc>
        <w:tc>
          <w:tcPr>
            <w:tcW w:w="640" w:type="dxa"/>
            <w:vAlign w:val="bottom"/>
          </w:tcPr>
          <w:p>
            <w:pPr>
              <w:ind w:left="340"/>
              <w:spacing w:after="0"/>
              <w:rPr>
                <w:sz w:val="20"/>
                <w:szCs w:val="20"/>
                <w:color w:val="auto"/>
              </w:rPr>
            </w:pPr>
            <w:r>
              <w:rPr>
                <w:rFonts w:ascii="Arial" w:cs="Arial" w:eastAsia="Arial" w:hAnsi="Arial"/>
                <w:sz w:val="18"/>
                <w:szCs w:val="18"/>
                <w:color w:val="auto"/>
                <w:w w:val="96"/>
              </w:rPr>
              <w:t>WV</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5560" w:type="dxa"/>
            <w:vAlign w:val="bottom"/>
          </w:tcPr>
          <w:p>
            <w:pPr>
              <w:ind w:left="240"/>
              <w:spacing w:after="0"/>
              <w:rPr>
                <w:sz w:val="20"/>
                <w:szCs w:val="20"/>
                <w:color w:val="auto"/>
              </w:rPr>
            </w:pPr>
            <w:r>
              <w:rPr>
                <w:rFonts w:ascii="Arial" w:cs="Arial" w:eastAsia="Arial" w:hAnsi="Arial"/>
                <w:sz w:val="18"/>
                <w:szCs w:val="18"/>
                <w:color w:val="auto"/>
              </w:rPr>
              <w:t>Three Gables Surgery Center</w:t>
            </w:r>
          </w:p>
        </w:tc>
        <w:tc>
          <w:tcPr>
            <w:tcW w:w="2560" w:type="dxa"/>
            <w:vAlign w:val="bottom"/>
          </w:tcPr>
          <w:p>
            <w:pPr>
              <w:ind w:left="1200"/>
              <w:spacing w:after="0"/>
              <w:rPr>
                <w:sz w:val="20"/>
                <w:szCs w:val="20"/>
                <w:color w:val="auto"/>
              </w:rPr>
            </w:pPr>
            <w:r>
              <w:rPr>
                <w:rFonts w:ascii="Arial" w:cs="Arial" w:eastAsia="Arial" w:hAnsi="Arial"/>
                <w:sz w:val="18"/>
                <w:szCs w:val="18"/>
                <w:color w:val="auto"/>
              </w:rPr>
              <w:t>Mark Kinnon</w:t>
            </w:r>
          </w:p>
        </w:tc>
        <w:tc>
          <w:tcPr>
            <w:tcW w:w="1700" w:type="dxa"/>
            <w:vAlign w:val="bottom"/>
          </w:tcPr>
          <w:p>
            <w:pPr>
              <w:ind w:left="120"/>
              <w:spacing w:after="0"/>
              <w:rPr>
                <w:sz w:val="20"/>
                <w:szCs w:val="20"/>
                <w:color w:val="auto"/>
              </w:rPr>
            </w:pPr>
            <w:r>
              <w:rPr>
                <w:rFonts w:ascii="Arial" w:cs="Arial" w:eastAsia="Arial" w:hAnsi="Arial"/>
                <w:sz w:val="18"/>
                <w:szCs w:val="18"/>
                <w:color w:val="auto"/>
              </w:rPr>
              <w:t>Proctorville</w:t>
            </w:r>
          </w:p>
        </w:tc>
        <w:tc>
          <w:tcPr>
            <w:tcW w:w="640" w:type="dxa"/>
            <w:vAlign w:val="bottom"/>
          </w:tcPr>
          <w:p>
            <w:pPr>
              <w:ind w:left="340"/>
              <w:spacing w:after="0"/>
              <w:rPr>
                <w:sz w:val="20"/>
                <w:szCs w:val="20"/>
                <w:color w:val="auto"/>
              </w:rPr>
            </w:pPr>
            <w:r>
              <w:rPr>
                <w:rFonts w:ascii="Arial" w:cs="Arial" w:eastAsia="Arial" w:hAnsi="Arial"/>
                <w:sz w:val="18"/>
                <w:szCs w:val="18"/>
                <w:color w:val="auto"/>
              </w:rPr>
              <w:t>OH</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5560" w:type="dxa"/>
            <w:vAlign w:val="bottom"/>
          </w:tcPr>
          <w:p>
            <w:pPr>
              <w:ind w:left="240"/>
              <w:spacing w:after="0"/>
              <w:rPr>
                <w:sz w:val="20"/>
                <w:szCs w:val="20"/>
                <w:color w:val="auto"/>
              </w:rPr>
            </w:pPr>
            <w:r>
              <w:rPr>
                <w:rFonts w:ascii="Arial" w:cs="Arial" w:eastAsia="Arial" w:hAnsi="Arial"/>
                <w:sz w:val="18"/>
                <w:szCs w:val="18"/>
                <w:color w:val="auto"/>
              </w:rPr>
              <w:t>Torrance Surgery Center</w:t>
            </w:r>
          </w:p>
        </w:tc>
        <w:tc>
          <w:tcPr>
            <w:tcW w:w="2560" w:type="dxa"/>
            <w:vAlign w:val="bottom"/>
          </w:tcPr>
          <w:p>
            <w:pPr>
              <w:ind w:left="1200"/>
              <w:spacing w:after="0"/>
              <w:rPr>
                <w:sz w:val="20"/>
                <w:szCs w:val="20"/>
                <w:color w:val="auto"/>
              </w:rPr>
            </w:pPr>
            <w:r>
              <w:rPr>
                <w:rFonts w:ascii="Arial" w:cs="Arial" w:eastAsia="Arial" w:hAnsi="Arial"/>
                <w:sz w:val="18"/>
                <w:szCs w:val="18"/>
                <w:color w:val="auto"/>
              </w:rPr>
              <w:t>Aldo Beltran</w:t>
            </w:r>
          </w:p>
        </w:tc>
        <w:tc>
          <w:tcPr>
            <w:tcW w:w="1700" w:type="dxa"/>
            <w:vAlign w:val="bottom"/>
          </w:tcPr>
          <w:p>
            <w:pPr>
              <w:ind w:left="120"/>
              <w:spacing w:after="0"/>
              <w:rPr>
                <w:sz w:val="20"/>
                <w:szCs w:val="20"/>
                <w:color w:val="auto"/>
              </w:rPr>
            </w:pPr>
            <w:r>
              <w:rPr>
                <w:rFonts w:ascii="Arial" w:cs="Arial" w:eastAsia="Arial" w:hAnsi="Arial"/>
                <w:sz w:val="18"/>
                <w:szCs w:val="18"/>
                <w:color w:val="auto"/>
              </w:rPr>
              <w:t>Torrance</w:t>
            </w:r>
          </w:p>
        </w:tc>
        <w:tc>
          <w:tcPr>
            <w:tcW w:w="640" w:type="dxa"/>
            <w:vAlign w:val="bottom"/>
          </w:tcPr>
          <w:p>
            <w:pPr>
              <w:ind w:left="340"/>
              <w:spacing w:after="0"/>
              <w:rPr>
                <w:sz w:val="20"/>
                <w:szCs w:val="20"/>
                <w:color w:val="auto"/>
              </w:rPr>
            </w:pPr>
            <w:r>
              <w:rPr>
                <w:rFonts w:ascii="Arial" w:cs="Arial" w:eastAsia="Arial" w:hAnsi="Arial"/>
                <w:sz w:val="18"/>
                <w:szCs w:val="18"/>
                <w:color w:val="auto"/>
              </w:rPr>
              <w:t>CA</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5560" w:type="dxa"/>
            <w:vAlign w:val="bottom"/>
          </w:tcPr>
          <w:p>
            <w:pPr>
              <w:ind w:left="240"/>
              <w:spacing w:after="0"/>
              <w:rPr>
                <w:sz w:val="20"/>
                <w:szCs w:val="20"/>
                <w:color w:val="auto"/>
              </w:rPr>
            </w:pPr>
            <w:r>
              <w:rPr>
                <w:rFonts w:ascii="Arial" w:cs="Arial" w:eastAsia="Arial" w:hAnsi="Arial"/>
                <w:sz w:val="18"/>
                <w:szCs w:val="18"/>
                <w:color w:val="auto"/>
              </w:rPr>
              <w:t>Total Surgery Center</w:t>
            </w:r>
          </w:p>
        </w:tc>
        <w:tc>
          <w:tcPr>
            <w:tcW w:w="2560" w:type="dxa"/>
            <w:vAlign w:val="bottom"/>
          </w:tcPr>
          <w:p>
            <w:pPr>
              <w:ind w:left="1200"/>
              <w:spacing w:after="0"/>
              <w:rPr>
                <w:sz w:val="20"/>
                <w:szCs w:val="20"/>
                <w:color w:val="auto"/>
              </w:rPr>
            </w:pPr>
            <w:r>
              <w:rPr>
                <w:rFonts w:ascii="Arial" w:cs="Arial" w:eastAsia="Arial" w:hAnsi="Arial"/>
                <w:sz w:val="18"/>
                <w:szCs w:val="18"/>
                <w:color w:val="auto"/>
              </w:rPr>
              <w:t>Peggy Kiefer</w:t>
            </w:r>
          </w:p>
        </w:tc>
        <w:tc>
          <w:tcPr>
            <w:tcW w:w="1700" w:type="dxa"/>
            <w:vAlign w:val="bottom"/>
          </w:tcPr>
          <w:p>
            <w:pPr>
              <w:ind w:left="120"/>
              <w:spacing w:after="0"/>
              <w:rPr>
                <w:sz w:val="20"/>
                <w:szCs w:val="20"/>
                <w:color w:val="auto"/>
              </w:rPr>
            </w:pPr>
            <w:r>
              <w:rPr>
                <w:rFonts w:ascii="Arial" w:cs="Arial" w:eastAsia="Arial" w:hAnsi="Arial"/>
                <w:sz w:val="18"/>
                <w:szCs w:val="18"/>
                <w:color w:val="auto"/>
              </w:rPr>
              <w:t>Naples</w:t>
            </w:r>
          </w:p>
        </w:tc>
        <w:tc>
          <w:tcPr>
            <w:tcW w:w="640" w:type="dxa"/>
            <w:vAlign w:val="bottom"/>
          </w:tcPr>
          <w:p>
            <w:pPr>
              <w:ind w:left="340"/>
              <w:spacing w:after="0"/>
              <w:rPr>
                <w:sz w:val="20"/>
                <w:szCs w:val="20"/>
                <w:color w:val="auto"/>
              </w:rPr>
            </w:pPr>
            <w:r>
              <w:rPr>
                <w:rFonts w:ascii="Arial" w:cs="Arial" w:eastAsia="Arial" w:hAnsi="Arial"/>
                <w:sz w:val="18"/>
                <w:szCs w:val="18"/>
                <w:color w:val="auto"/>
              </w:rPr>
              <w:t>FL</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5560" w:type="dxa"/>
            <w:vAlign w:val="bottom"/>
          </w:tcPr>
          <w:p>
            <w:pPr>
              <w:ind w:left="240"/>
              <w:spacing w:after="0"/>
              <w:rPr>
                <w:sz w:val="20"/>
                <w:szCs w:val="20"/>
                <w:color w:val="auto"/>
              </w:rPr>
            </w:pPr>
            <w:r>
              <w:rPr>
                <w:rFonts w:ascii="Arial" w:cs="Arial" w:eastAsia="Arial" w:hAnsi="Arial"/>
                <w:sz w:val="18"/>
                <w:szCs w:val="18"/>
                <w:color w:val="auto"/>
              </w:rPr>
              <w:t>Trophy Club Med Ctr</w:t>
            </w:r>
          </w:p>
        </w:tc>
        <w:tc>
          <w:tcPr>
            <w:tcW w:w="2560" w:type="dxa"/>
            <w:vAlign w:val="bottom"/>
          </w:tcPr>
          <w:p>
            <w:pPr>
              <w:ind w:left="1200"/>
              <w:spacing w:after="0"/>
              <w:rPr>
                <w:sz w:val="20"/>
                <w:szCs w:val="20"/>
                <w:color w:val="auto"/>
              </w:rPr>
            </w:pPr>
            <w:r>
              <w:rPr>
                <w:rFonts w:ascii="Arial" w:cs="Arial" w:eastAsia="Arial" w:hAnsi="Arial"/>
                <w:sz w:val="18"/>
                <w:szCs w:val="18"/>
                <w:color w:val="auto"/>
              </w:rPr>
              <w:t>Paula Losasso</w:t>
            </w:r>
          </w:p>
        </w:tc>
        <w:tc>
          <w:tcPr>
            <w:tcW w:w="1700" w:type="dxa"/>
            <w:vAlign w:val="bottom"/>
          </w:tcPr>
          <w:p>
            <w:pPr>
              <w:ind w:left="120"/>
              <w:spacing w:after="0"/>
              <w:rPr>
                <w:sz w:val="20"/>
                <w:szCs w:val="20"/>
                <w:color w:val="auto"/>
              </w:rPr>
            </w:pPr>
            <w:r>
              <w:rPr>
                <w:rFonts w:ascii="Arial" w:cs="Arial" w:eastAsia="Arial" w:hAnsi="Arial"/>
                <w:sz w:val="18"/>
                <w:szCs w:val="18"/>
                <w:color w:val="auto"/>
              </w:rPr>
              <w:t>Trophy Club</w:t>
            </w:r>
          </w:p>
        </w:tc>
        <w:tc>
          <w:tcPr>
            <w:tcW w:w="640" w:type="dxa"/>
            <w:vAlign w:val="bottom"/>
          </w:tcPr>
          <w:p>
            <w:pPr>
              <w:ind w:left="340"/>
              <w:spacing w:after="0"/>
              <w:rPr>
                <w:sz w:val="20"/>
                <w:szCs w:val="20"/>
                <w:color w:val="auto"/>
              </w:rPr>
            </w:pPr>
            <w:r>
              <w:rPr>
                <w:rFonts w:ascii="Arial" w:cs="Arial" w:eastAsia="Arial" w:hAnsi="Arial"/>
                <w:sz w:val="18"/>
                <w:szCs w:val="18"/>
                <w:color w:val="auto"/>
              </w:rPr>
              <w:t>TX</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5560" w:type="dxa"/>
            <w:vAlign w:val="bottom"/>
          </w:tcPr>
          <w:p>
            <w:pPr>
              <w:ind w:left="240"/>
              <w:spacing w:after="0"/>
              <w:rPr>
                <w:sz w:val="20"/>
                <w:szCs w:val="20"/>
                <w:color w:val="auto"/>
              </w:rPr>
            </w:pPr>
            <w:r>
              <w:rPr>
                <w:rFonts w:ascii="Arial" w:cs="Arial" w:eastAsia="Arial" w:hAnsi="Arial"/>
                <w:sz w:val="18"/>
                <w:szCs w:val="18"/>
                <w:color w:val="auto"/>
              </w:rPr>
              <w:t>Tulane Medical Center</w:t>
            </w:r>
          </w:p>
        </w:tc>
        <w:tc>
          <w:tcPr>
            <w:tcW w:w="2560" w:type="dxa"/>
            <w:vAlign w:val="bottom"/>
          </w:tcPr>
          <w:p>
            <w:pPr>
              <w:ind w:left="1200"/>
              <w:spacing w:after="0"/>
              <w:rPr>
                <w:sz w:val="20"/>
                <w:szCs w:val="20"/>
                <w:color w:val="auto"/>
              </w:rPr>
            </w:pPr>
            <w:r>
              <w:rPr>
                <w:rFonts w:ascii="Arial" w:cs="Arial" w:eastAsia="Arial" w:hAnsi="Arial"/>
                <w:sz w:val="18"/>
                <w:szCs w:val="18"/>
                <w:color w:val="auto"/>
              </w:rPr>
              <w:t>Sue Walker</w:t>
            </w:r>
          </w:p>
        </w:tc>
        <w:tc>
          <w:tcPr>
            <w:tcW w:w="1700" w:type="dxa"/>
            <w:vAlign w:val="bottom"/>
          </w:tcPr>
          <w:p>
            <w:pPr>
              <w:ind w:left="120"/>
              <w:spacing w:after="0"/>
              <w:rPr>
                <w:sz w:val="20"/>
                <w:szCs w:val="20"/>
                <w:color w:val="auto"/>
              </w:rPr>
            </w:pPr>
            <w:r>
              <w:rPr>
                <w:rFonts w:ascii="Arial" w:cs="Arial" w:eastAsia="Arial" w:hAnsi="Arial"/>
                <w:sz w:val="18"/>
                <w:szCs w:val="18"/>
                <w:color w:val="auto"/>
              </w:rPr>
              <w:t>New OCJ SEeans</w:t>
            </w:r>
          </w:p>
        </w:tc>
        <w:tc>
          <w:tcPr>
            <w:tcW w:w="640" w:type="dxa"/>
            <w:vAlign w:val="bottom"/>
          </w:tcPr>
          <w:p>
            <w:pPr>
              <w:ind w:left="340"/>
              <w:spacing w:after="0"/>
              <w:rPr>
                <w:sz w:val="20"/>
                <w:szCs w:val="20"/>
                <w:color w:val="auto"/>
              </w:rPr>
            </w:pPr>
            <w:r>
              <w:rPr>
                <w:rFonts w:ascii="Arial" w:cs="Arial" w:eastAsia="Arial" w:hAnsi="Arial"/>
                <w:sz w:val="18"/>
                <w:szCs w:val="18"/>
                <w:color w:val="auto"/>
              </w:rPr>
              <w:t>LA</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5560" w:type="dxa"/>
            <w:vAlign w:val="bottom"/>
          </w:tcPr>
          <w:p>
            <w:pPr>
              <w:ind w:left="240"/>
              <w:spacing w:after="0"/>
              <w:rPr>
                <w:sz w:val="20"/>
                <w:szCs w:val="20"/>
                <w:color w:val="auto"/>
              </w:rPr>
            </w:pPr>
            <w:r>
              <w:rPr>
                <w:rFonts w:ascii="Arial" w:cs="Arial" w:eastAsia="Arial" w:hAnsi="Arial"/>
                <w:sz w:val="18"/>
                <w:szCs w:val="18"/>
                <w:color w:val="auto"/>
              </w:rPr>
              <w:t>Tucson Surgery Center</w:t>
            </w:r>
          </w:p>
        </w:tc>
        <w:tc>
          <w:tcPr>
            <w:tcW w:w="2560" w:type="dxa"/>
            <w:vAlign w:val="bottom"/>
          </w:tcPr>
          <w:p>
            <w:pPr>
              <w:spacing w:after="0"/>
              <w:rPr>
                <w:sz w:val="18"/>
                <w:szCs w:val="18"/>
                <w:color w:val="auto"/>
              </w:rPr>
            </w:pPr>
          </w:p>
        </w:tc>
        <w:tc>
          <w:tcPr>
            <w:tcW w:w="1700" w:type="dxa"/>
            <w:vAlign w:val="bottom"/>
          </w:tcPr>
          <w:p>
            <w:pPr>
              <w:ind w:left="120"/>
              <w:spacing w:after="0"/>
              <w:rPr>
                <w:sz w:val="20"/>
                <w:szCs w:val="20"/>
                <w:color w:val="auto"/>
              </w:rPr>
            </w:pPr>
            <w:r>
              <w:rPr>
                <w:rFonts w:ascii="Arial" w:cs="Arial" w:eastAsia="Arial" w:hAnsi="Arial"/>
                <w:sz w:val="18"/>
                <w:szCs w:val="18"/>
                <w:color w:val="auto"/>
              </w:rPr>
              <w:t>Tucson</w:t>
            </w:r>
          </w:p>
        </w:tc>
        <w:tc>
          <w:tcPr>
            <w:tcW w:w="640" w:type="dxa"/>
            <w:vAlign w:val="bottom"/>
          </w:tcPr>
          <w:p>
            <w:pPr>
              <w:ind w:left="340"/>
              <w:spacing w:after="0"/>
              <w:rPr>
                <w:sz w:val="20"/>
                <w:szCs w:val="20"/>
                <w:color w:val="auto"/>
              </w:rPr>
            </w:pPr>
            <w:r>
              <w:rPr>
                <w:rFonts w:ascii="Arial" w:cs="Arial" w:eastAsia="Arial" w:hAnsi="Arial"/>
                <w:sz w:val="18"/>
                <w:szCs w:val="18"/>
                <w:color w:val="auto"/>
              </w:rPr>
              <w:t>AZ</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5560" w:type="dxa"/>
            <w:vAlign w:val="bottom"/>
          </w:tcPr>
          <w:p>
            <w:pPr>
              <w:ind w:left="240"/>
              <w:spacing w:after="0"/>
              <w:rPr>
                <w:sz w:val="20"/>
                <w:szCs w:val="20"/>
                <w:color w:val="auto"/>
              </w:rPr>
            </w:pPr>
            <w:r>
              <w:rPr>
                <w:rFonts w:ascii="Arial" w:cs="Arial" w:eastAsia="Arial" w:hAnsi="Arial"/>
                <w:sz w:val="18"/>
                <w:szCs w:val="18"/>
                <w:color w:val="auto"/>
              </w:rPr>
              <w:t>UC Davis</w:t>
            </w:r>
          </w:p>
        </w:tc>
        <w:tc>
          <w:tcPr>
            <w:tcW w:w="2560" w:type="dxa"/>
            <w:vAlign w:val="bottom"/>
          </w:tcPr>
          <w:p>
            <w:pPr>
              <w:ind w:left="1200"/>
              <w:spacing w:after="0"/>
              <w:rPr>
                <w:sz w:val="20"/>
                <w:szCs w:val="20"/>
                <w:color w:val="auto"/>
              </w:rPr>
            </w:pPr>
            <w:r>
              <w:rPr>
                <w:rFonts w:ascii="Arial" w:cs="Arial" w:eastAsia="Arial" w:hAnsi="Arial"/>
                <w:sz w:val="18"/>
                <w:szCs w:val="18"/>
                <w:color w:val="auto"/>
                <w:w w:val="96"/>
              </w:rPr>
              <w:t>Patrick Lastowski</w:t>
            </w:r>
          </w:p>
        </w:tc>
        <w:tc>
          <w:tcPr>
            <w:tcW w:w="1700" w:type="dxa"/>
            <w:vAlign w:val="bottom"/>
          </w:tcPr>
          <w:p>
            <w:pPr>
              <w:ind w:left="120"/>
              <w:spacing w:after="0"/>
              <w:rPr>
                <w:sz w:val="20"/>
                <w:szCs w:val="20"/>
                <w:color w:val="auto"/>
              </w:rPr>
            </w:pPr>
            <w:r>
              <w:rPr>
                <w:rFonts w:ascii="Arial" w:cs="Arial" w:eastAsia="Arial" w:hAnsi="Arial"/>
                <w:sz w:val="18"/>
                <w:szCs w:val="18"/>
                <w:color w:val="auto"/>
              </w:rPr>
              <w:t>Sacramento</w:t>
            </w:r>
          </w:p>
        </w:tc>
        <w:tc>
          <w:tcPr>
            <w:tcW w:w="640" w:type="dxa"/>
            <w:vAlign w:val="bottom"/>
          </w:tcPr>
          <w:p>
            <w:pPr>
              <w:ind w:left="340"/>
              <w:spacing w:after="0"/>
              <w:rPr>
                <w:sz w:val="20"/>
                <w:szCs w:val="20"/>
                <w:color w:val="auto"/>
              </w:rPr>
            </w:pPr>
            <w:r>
              <w:rPr>
                <w:rFonts w:ascii="Arial" w:cs="Arial" w:eastAsia="Arial" w:hAnsi="Arial"/>
                <w:sz w:val="18"/>
                <w:szCs w:val="18"/>
                <w:color w:val="auto"/>
              </w:rPr>
              <w:t>CA</w:t>
            </w:r>
          </w:p>
        </w:tc>
      </w:t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5560" w:type="dxa"/>
            <w:vAlign w:val="bottom"/>
          </w:tcPr>
          <w:p>
            <w:pPr>
              <w:ind w:left="240"/>
              <w:spacing w:after="0"/>
              <w:rPr>
                <w:sz w:val="20"/>
                <w:szCs w:val="20"/>
                <w:color w:val="auto"/>
              </w:rPr>
            </w:pPr>
            <w:r>
              <w:rPr>
                <w:rFonts w:ascii="Arial" w:cs="Arial" w:eastAsia="Arial" w:hAnsi="Arial"/>
                <w:sz w:val="18"/>
                <w:szCs w:val="18"/>
                <w:color w:val="auto"/>
              </w:rPr>
              <w:t>UK HealthCare-Good Sam (frmly Samaritan Hosp 20193)</w:t>
            </w:r>
          </w:p>
        </w:tc>
        <w:tc>
          <w:tcPr>
            <w:tcW w:w="2560" w:type="dxa"/>
            <w:vAlign w:val="bottom"/>
          </w:tcPr>
          <w:p>
            <w:pPr>
              <w:ind w:left="1200"/>
              <w:spacing w:after="0"/>
              <w:rPr>
                <w:sz w:val="20"/>
                <w:szCs w:val="20"/>
                <w:color w:val="auto"/>
              </w:rPr>
            </w:pPr>
            <w:r>
              <w:rPr>
                <w:rFonts w:ascii="Arial" w:cs="Arial" w:eastAsia="Arial" w:hAnsi="Arial"/>
                <w:sz w:val="18"/>
                <w:szCs w:val="18"/>
                <w:color w:val="auto"/>
              </w:rPr>
              <w:t>Anne Wilson</w:t>
            </w:r>
          </w:p>
        </w:tc>
        <w:tc>
          <w:tcPr>
            <w:tcW w:w="1700" w:type="dxa"/>
            <w:vAlign w:val="bottom"/>
          </w:tcPr>
          <w:p>
            <w:pPr>
              <w:ind w:left="120"/>
              <w:spacing w:after="0"/>
              <w:rPr>
                <w:sz w:val="20"/>
                <w:szCs w:val="20"/>
                <w:color w:val="auto"/>
              </w:rPr>
            </w:pPr>
            <w:r>
              <w:rPr>
                <w:rFonts w:ascii="Arial" w:cs="Arial" w:eastAsia="Arial" w:hAnsi="Arial"/>
                <w:sz w:val="18"/>
                <w:szCs w:val="18"/>
                <w:color w:val="auto"/>
              </w:rPr>
              <w:t>Leington</w:t>
            </w:r>
          </w:p>
        </w:tc>
        <w:tc>
          <w:tcPr>
            <w:tcW w:w="640" w:type="dxa"/>
            <w:vAlign w:val="bottom"/>
          </w:tcPr>
          <w:p>
            <w:pPr>
              <w:ind w:left="340"/>
              <w:spacing w:after="0"/>
              <w:rPr>
                <w:sz w:val="20"/>
                <w:szCs w:val="20"/>
                <w:color w:val="auto"/>
              </w:rPr>
            </w:pPr>
            <w:r>
              <w:rPr>
                <w:rFonts w:ascii="Arial" w:cs="Arial" w:eastAsia="Arial" w:hAnsi="Arial"/>
                <w:sz w:val="18"/>
                <w:szCs w:val="18"/>
                <w:color w:val="auto"/>
              </w:rPr>
              <w:t>KY</w:t>
            </w:r>
          </w:p>
        </w:tc>
      </w:tr>
    </w:tbl>
    <w:p>
      <w:pPr>
        <w:sectPr>
          <w:pgSz w:w="11900" w:h="16838" w:orient="portrait"/>
          <w:cols w:equalWidth="0" w:num="1">
            <w:col w:w="11380"/>
          </w:cols>
          <w:pgMar w:left="240" w:top="280" w:right="279" w:bottom="1440" w:gutter="0" w:footer="0" w:header="0"/>
        </w:sectPr>
      </w:pPr>
    </w:p>
    <w:bookmarkStart w:id="347" w:name="page348"/>
    <w:bookmarkEnd w:id="34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800" w:type="dxa"/>
            <w:vAlign w:val="bottom"/>
          </w:tcPr>
          <w:p>
            <w:pPr>
              <w:ind w:left="240"/>
              <w:spacing w:after="0"/>
              <w:rPr>
                <w:sz w:val="20"/>
                <w:szCs w:val="20"/>
                <w:color w:val="auto"/>
              </w:rPr>
            </w:pPr>
            <w:r>
              <w:rPr>
                <w:rFonts w:ascii="Arial" w:cs="Arial" w:eastAsia="Arial" w:hAnsi="Arial"/>
                <w:sz w:val="18"/>
                <w:szCs w:val="18"/>
                <w:color w:val="auto"/>
              </w:rPr>
              <w:t>University Hospital</w:t>
            </w:r>
          </w:p>
        </w:tc>
        <w:tc>
          <w:tcPr>
            <w:tcW w:w="3300" w:type="dxa"/>
            <w:vAlign w:val="bottom"/>
          </w:tcPr>
          <w:p>
            <w:pPr>
              <w:ind w:left="1960"/>
              <w:spacing w:after="0"/>
              <w:rPr>
                <w:sz w:val="20"/>
                <w:szCs w:val="20"/>
                <w:color w:val="auto"/>
              </w:rPr>
            </w:pPr>
            <w:r>
              <w:rPr>
                <w:rFonts w:ascii="Arial" w:cs="Arial" w:eastAsia="Arial" w:hAnsi="Arial"/>
                <w:sz w:val="18"/>
                <w:szCs w:val="18"/>
                <w:color w:val="auto"/>
              </w:rPr>
              <w:t>David Feryanitz</w:t>
            </w:r>
          </w:p>
        </w:tc>
        <w:tc>
          <w:tcPr>
            <w:tcW w:w="1580" w:type="dxa"/>
            <w:vAlign w:val="bottom"/>
          </w:tcPr>
          <w:p>
            <w:pPr>
              <w:ind w:left="140"/>
              <w:spacing w:after="0"/>
              <w:rPr>
                <w:sz w:val="20"/>
                <w:szCs w:val="20"/>
                <w:color w:val="auto"/>
              </w:rPr>
            </w:pPr>
            <w:r>
              <w:rPr>
                <w:rFonts w:ascii="Arial" w:cs="Arial" w:eastAsia="Arial" w:hAnsi="Arial"/>
                <w:sz w:val="18"/>
                <w:szCs w:val="18"/>
                <w:color w:val="auto"/>
              </w:rPr>
              <w:t>Denver</w:t>
            </w:r>
          </w:p>
        </w:tc>
        <w:tc>
          <w:tcPr>
            <w:tcW w:w="780" w:type="dxa"/>
            <w:vAlign w:val="bottom"/>
          </w:tcPr>
          <w:p>
            <w:pPr>
              <w:ind w:left="480"/>
              <w:spacing w:after="0"/>
              <w:rPr>
                <w:sz w:val="20"/>
                <w:szCs w:val="20"/>
                <w:color w:val="auto"/>
              </w:rPr>
            </w:pPr>
            <w:r>
              <w:rPr>
                <w:rFonts w:ascii="Arial" w:cs="Arial" w:eastAsia="Arial" w:hAnsi="Arial"/>
                <w:sz w:val="18"/>
                <w:szCs w:val="18"/>
                <w:color w:val="auto"/>
              </w:rPr>
              <w:t>CO</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800" w:type="dxa"/>
            <w:vAlign w:val="bottom"/>
          </w:tcPr>
          <w:p>
            <w:pPr>
              <w:ind w:left="240"/>
              <w:spacing w:after="0"/>
              <w:rPr>
                <w:sz w:val="20"/>
                <w:szCs w:val="20"/>
                <w:color w:val="auto"/>
              </w:rPr>
            </w:pPr>
            <w:r>
              <w:rPr>
                <w:rFonts w:ascii="Arial" w:cs="Arial" w:eastAsia="Arial" w:hAnsi="Arial"/>
                <w:sz w:val="18"/>
                <w:szCs w:val="18"/>
                <w:color w:val="auto"/>
              </w:rPr>
              <w:t>University Medical Center</w:t>
            </w:r>
          </w:p>
        </w:tc>
        <w:tc>
          <w:tcPr>
            <w:tcW w:w="3300" w:type="dxa"/>
            <w:vAlign w:val="bottom"/>
          </w:tcPr>
          <w:p>
            <w:pPr>
              <w:spacing w:after="0"/>
              <w:rPr>
                <w:sz w:val="18"/>
                <w:szCs w:val="18"/>
                <w:color w:val="auto"/>
              </w:rPr>
            </w:pPr>
          </w:p>
        </w:tc>
        <w:tc>
          <w:tcPr>
            <w:tcW w:w="1580" w:type="dxa"/>
            <w:vAlign w:val="bottom"/>
          </w:tcPr>
          <w:p>
            <w:pPr>
              <w:ind w:left="140"/>
              <w:spacing w:after="0"/>
              <w:rPr>
                <w:sz w:val="20"/>
                <w:szCs w:val="20"/>
                <w:color w:val="auto"/>
              </w:rPr>
            </w:pPr>
            <w:r>
              <w:rPr>
                <w:rFonts w:ascii="Arial" w:cs="Arial" w:eastAsia="Arial" w:hAnsi="Arial"/>
                <w:sz w:val="18"/>
                <w:szCs w:val="18"/>
                <w:color w:val="auto"/>
              </w:rPr>
              <w:t>Lebanon</w:t>
            </w:r>
          </w:p>
        </w:tc>
        <w:tc>
          <w:tcPr>
            <w:tcW w:w="780" w:type="dxa"/>
            <w:vAlign w:val="bottom"/>
          </w:tcPr>
          <w:p>
            <w:pPr>
              <w:ind w:left="480"/>
              <w:spacing w:after="0"/>
              <w:rPr>
                <w:sz w:val="20"/>
                <w:szCs w:val="20"/>
                <w:color w:val="auto"/>
              </w:rPr>
            </w:pPr>
            <w:r>
              <w:rPr>
                <w:rFonts w:ascii="Arial" w:cs="Arial" w:eastAsia="Arial" w:hAnsi="Arial"/>
                <w:sz w:val="18"/>
                <w:szCs w:val="18"/>
                <w:color w:val="auto"/>
              </w:rPr>
              <w:t>TN</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800" w:type="dxa"/>
            <w:vAlign w:val="bottom"/>
          </w:tcPr>
          <w:p>
            <w:pPr>
              <w:ind w:left="240"/>
              <w:spacing w:after="0"/>
              <w:rPr>
                <w:sz w:val="20"/>
                <w:szCs w:val="20"/>
                <w:color w:val="auto"/>
              </w:rPr>
            </w:pPr>
            <w:r>
              <w:rPr>
                <w:rFonts w:ascii="Arial" w:cs="Arial" w:eastAsia="Arial" w:hAnsi="Arial"/>
                <w:sz w:val="18"/>
                <w:szCs w:val="18"/>
                <w:color w:val="auto"/>
              </w:rPr>
              <w:t>University of CA San Diego</w:t>
            </w:r>
          </w:p>
        </w:tc>
        <w:tc>
          <w:tcPr>
            <w:tcW w:w="3300" w:type="dxa"/>
            <w:vAlign w:val="bottom"/>
          </w:tcPr>
          <w:p>
            <w:pPr>
              <w:spacing w:after="0"/>
              <w:rPr>
                <w:sz w:val="18"/>
                <w:szCs w:val="18"/>
                <w:color w:val="auto"/>
              </w:rPr>
            </w:pPr>
          </w:p>
        </w:tc>
        <w:tc>
          <w:tcPr>
            <w:tcW w:w="1580" w:type="dxa"/>
            <w:vAlign w:val="bottom"/>
          </w:tcPr>
          <w:p>
            <w:pPr>
              <w:ind w:left="140"/>
              <w:spacing w:after="0"/>
              <w:rPr>
                <w:sz w:val="20"/>
                <w:szCs w:val="20"/>
                <w:color w:val="auto"/>
              </w:rPr>
            </w:pPr>
            <w:r>
              <w:rPr>
                <w:rFonts w:ascii="Arial" w:cs="Arial" w:eastAsia="Arial" w:hAnsi="Arial"/>
                <w:sz w:val="18"/>
                <w:szCs w:val="18"/>
                <w:color w:val="auto"/>
              </w:rPr>
              <w:t>San Diego</w:t>
            </w:r>
          </w:p>
        </w:tc>
        <w:tc>
          <w:tcPr>
            <w:tcW w:w="780" w:type="dxa"/>
            <w:vAlign w:val="bottom"/>
          </w:tcPr>
          <w:p>
            <w:pPr>
              <w:ind w:left="480"/>
              <w:spacing w:after="0"/>
              <w:rPr>
                <w:sz w:val="20"/>
                <w:szCs w:val="20"/>
                <w:color w:val="auto"/>
              </w:rPr>
            </w:pPr>
            <w:r>
              <w:rPr>
                <w:rFonts w:ascii="Arial" w:cs="Arial" w:eastAsia="Arial" w:hAnsi="Arial"/>
                <w:sz w:val="18"/>
                <w:szCs w:val="18"/>
                <w:color w:val="auto"/>
              </w:rPr>
              <w:t>CA</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800" w:type="dxa"/>
            <w:vAlign w:val="bottom"/>
          </w:tcPr>
          <w:p>
            <w:pPr>
              <w:ind w:left="240"/>
              <w:spacing w:after="0"/>
              <w:rPr>
                <w:sz w:val="20"/>
                <w:szCs w:val="20"/>
                <w:color w:val="auto"/>
              </w:rPr>
            </w:pPr>
            <w:r>
              <w:rPr>
                <w:rFonts w:ascii="Arial" w:cs="Arial" w:eastAsia="Arial" w:hAnsi="Arial"/>
                <w:sz w:val="18"/>
                <w:szCs w:val="18"/>
                <w:color w:val="auto"/>
              </w:rPr>
              <w:t>University of Kentucky</w:t>
            </w:r>
          </w:p>
        </w:tc>
        <w:tc>
          <w:tcPr>
            <w:tcW w:w="3300" w:type="dxa"/>
            <w:vAlign w:val="bottom"/>
          </w:tcPr>
          <w:p>
            <w:pPr>
              <w:ind w:left="1960"/>
              <w:spacing w:after="0"/>
              <w:rPr>
                <w:sz w:val="20"/>
                <w:szCs w:val="20"/>
                <w:color w:val="auto"/>
              </w:rPr>
            </w:pPr>
            <w:r>
              <w:rPr>
                <w:rFonts w:ascii="Arial" w:cs="Arial" w:eastAsia="Arial" w:hAnsi="Arial"/>
                <w:sz w:val="18"/>
                <w:szCs w:val="18"/>
                <w:color w:val="auto"/>
              </w:rPr>
              <w:t>Paul Reister</w:t>
            </w:r>
          </w:p>
        </w:tc>
        <w:tc>
          <w:tcPr>
            <w:tcW w:w="1580" w:type="dxa"/>
            <w:vAlign w:val="bottom"/>
          </w:tcPr>
          <w:p>
            <w:pPr>
              <w:ind w:left="140"/>
              <w:spacing w:after="0"/>
              <w:rPr>
                <w:sz w:val="20"/>
                <w:szCs w:val="20"/>
                <w:color w:val="auto"/>
              </w:rPr>
            </w:pPr>
            <w:r>
              <w:rPr>
                <w:rFonts w:ascii="Arial" w:cs="Arial" w:eastAsia="Arial" w:hAnsi="Arial"/>
                <w:sz w:val="18"/>
                <w:szCs w:val="18"/>
                <w:color w:val="auto"/>
              </w:rPr>
              <w:t>Lexington</w:t>
            </w:r>
          </w:p>
        </w:tc>
        <w:tc>
          <w:tcPr>
            <w:tcW w:w="780" w:type="dxa"/>
            <w:vAlign w:val="bottom"/>
          </w:tcPr>
          <w:p>
            <w:pPr>
              <w:ind w:left="480"/>
              <w:spacing w:after="0"/>
              <w:rPr>
                <w:sz w:val="20"/>
                <w:szCs w:val="20"/>
                <w:color w:val="auto"/>
              </w:rPr>
            </w:pPr>
            <w:r>
              <w:rPr>
                <w:rFonts w:ascii="Arial" w:cs="Arial" w:eastAsia="Arial" w:hAnsi="Arial"/>
                <w:sz w:val="18"/>
                <w:szCs w:val="18"/>
                <w:color w:val="auto"/>
              </w:rPr>
              <w:t>KY</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800" w:type="dxa"/>
            <w:vAlign w:val="bottom"/>
          </w:tcPr>
          <w:p>
            <w:pPr>
              <w:ind w:left="240"/>
              <w:spacing w:after="0"/>
              <w:rPr>
                <w:sz w:val="20"/>
                <w:szCs w:val="20"/>
                <w:color w:val="auto"/>
              </w:rPr>
            </w:pPr>
            <w:r>
              <w:rPr>
                <w:rFonts w:ascii="Arial" w:cs="Arial" w:eastAsia="Arial" w:hAnsi="Arial"/>
                <w:sz w:val="18"/>
                <w:szCs w:val="18"/>
                <w:color w:val="auto"/>
              </w:rPr>
              <w:t>UPMC Northwest MC</w:t>
            </w:r>
          </w:p>
        </w:tc>
        <w:tc>
          <w:tcPr>
            <w:tcW w:w="3300" w:type="dxa"/>
            <w:vAlign w:val="bottom"/>
          </w:tcPr>
          <w:p>
            <w:pPr>
              <w:spacing w:after="0"/>
              <w:rPr>
                <w:sz w:val="18"/>
                <w:szCs w:val="18"/>
                <w:color w:val="auto"/>
              </w:rPr>
            </w:pPr>
          </w:p>
        </w:tc>
        <w:tc>
          <w:tcPr>
            <w:tcW w:w="1580" w:type="dxa"/>
            <w:vAlign w:val="bottom"/>
          </w:tcPr>
          <w:p>
            <w:pPr>
              <w:ind w:left="140"/>
              <w:spacing w:after="0"/>
              <w:rPr>
                <w:sz w:val="20"/>
                <w:szCs w:val="20"/>
                <w:color w:val="auto"/>
              </w:rPr>
            </w:pPr>
            <w:r>
              <w:rPr>
                <w:rFonts w:ascii="Arial" w:cs="Arial" w:eastAsia="Arial" w:hAnsi="Arial"/>
                <w:sz w:val="18"/>
                <w:szCs w:val="18"/>
                <w:color w:val="auto"/>
              </w:rPr>
              <w:t>Seneca</w:t>
            </w:r>
          </w:p>
        </w:tc>
        <w:tc>
          <w:tcPr>
            <w:tcW w:w="780" w:type="dxa"/>
            <w:vAlign w:val="bottom"/>
          </w:tcPr>
          <w:p>
            <w:pPr>
              <w:ind w:left="480"/>
              <w:spacing w:after="0"/>
              <w:rPr>
                <w:sz w:val="20"/>
                <w:szCs w:val="20"/>
                <w:color w:val="auto"/>
              </w:rPr>
            </w:pPr>
            <w:r>
              <w:rPr>
                <w:rFonts w:ascii="Arial" w:cs="Arial" w:eastAsia="Arial" w:hAnsi="Arial"/>
                <w:sz w:val="18"/>
                <w:szCs w:val="18"/>
                <w:color w:val="auto"/>
              </w:rPr>
              <w:t>PA</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800" w:type="dxa"/>
            <w:vAlign w:val="bottom"/>
          </w:tcPr>
          <w:p>
            <w:pPr>
              <w:ind w:left="240"/>
              <w:spacing w:after="0"/>
              <w:rPr>
                <w:sz w:val="20"/>
                <w:szCs w:val="20"/>
                <w:color w:val="auto"/>
              </w:rPr>
            </w:pPr>
            <w:r>
              <w:rPr>
                <w:rFonts w:ascii="Arial" w:cs="Arial" w:eastAsia="Arial" w:hAnsi="Arial"/>
                <w:sz w:val="18"/>
                <w:szCs w:val="18"/>
                <w:color w:val="auto"/>
              </w:rPr>
              <w:t>Upstate Medical University</w:t>
            </w:r>
          </w:p>
        </w:tc>
        <w:tc>
          <w:tcPr>
            <w:tcW w:w="3300" w:type="dxa"/>
            <w:vAlign w:val="bottom"/>
          </w:tcPr>
          <w:p>
            <w:pPr>
              <w:ind w:left="1960"/>
              <w:spacing w:after="0"/>
              <w:rPr>
                <w:sz w:val="20"/>
                <w:szCs w:val="20"/>
                <w:color w:val="auto"/>
              </w:rPr>
            </w:pPr>
            <w:r>
              <w:rPr>
                <w:rFonts w:ascii="Arial" w:cs="Arial" w:eastAsia="Arial" w:hAnsi="Arial"/>
                <w:sz w:val="18"/>
                <w:szCs w:val="18"/>
                <w:color w:val="auto"/>
              </w:rPr>
              <w:t>Nick Nicotra</w:t>
            </w:r>
          </w:p>
        </w:tc>
        <w:tc>
          <w:tcPr>
            <w:tcW w:w="1580" w:type="dxa"/>
            <w:vAlign w:val="bottom"/>
          </w:tcPr>
          <w:p>
            <w:pPr>
              <w:ind w:left="140"/>
              <w:spacing w:after="0"/>
              <w:rPr>
                <w:sz w:val="20"/>
                <w:szCs w:val="20"/>
                <w:color w:val="auto"/>
              </w:rPr>
            </w:pPr>
            <w:r>
              <w:rPr>
                <w:rFonts w:ascii="Arial" w:cs="Arial" w:eastAsia="Arial" w:hAnsi="Arial"/>
                <w:sz w:val="18"/>
                <w:szCs w:val="18"/>
                <w:color w:val="auto"/>
              </w:rPr>
              <w:t>Syracuse</w:t>
            </w:r>
          </w:p>
        </w:tc>
        <w:tc>
          <w:tcPr>
            <w:tcW w:w="780" w:type="dxa"/>
            <w:vAlign w:val="bottom"/>
          </w:tcPr>
          <w:p>
            <w:pPr>
              <w:ind w:left="480"/>
              <w:spacing w:after="0"/>
              <w:rPr>
                <w:sz w:val="20"/>
                <w:szCs w:val="20"/>
                <w:color w:val="auto"/>
              </w:rPr>
            </w:pPr>
            <w:r>
              <w:rPr>
                <w:rFonts w:ascii="Arial" w:cs="Arial" w:eastAsia="Arial" w:hAnsi="Arial"/>
                <w:sz w:val="18"/>
                <w:szCs w:val="18"/>
                <w:color w:val="auto"/>
              </w:rPr>
              <w:t>NY</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800" w:type="dxa"/>
            <w:vAlign w:val="bottom"/>
          </w:tcPr>
          <w:p>
            <w:pPr>
              <w:ind w:left="240"/>
              <w:spacing w:after="0"/>
              <w:rPr>
                <w:sz w:val="20"/>
                <w:szCs w:val="20"/>
                <w:color w:val="auto"/>
              </w:rPr>
            </w:pPr>
            <w:r>
              <w:rPr>
                <w:rFonts w:ascii="Arial" w:cs="Arial" w:eastAsia="Arial" w:hAnsi="Arial"/>
                <w:sz w:val="18"/>
                <w:szCs w:val="18"/>
                <w:color w:val="auto"/>
              </w:rPr>
              <w:t>Upstate Orthopedics</w:t>
            </w:r>
          </w:p>
        </w:tc>
        <w:tc>
          <w:tcPr>
            <w:tcW w:w="3300" w:type="dxa"/>
            <w:vAlign w:val="bottom"/>
          </w:tcPr>
          <w:p>
            <w:pPr>
              <w:ind w:left="1960"/>
              <w:spacing w:after="0"/>
              <w:rPr>
                <w:sz w:val="20"/>
                <w:szCs w:val="20"/>
                <w:color w:val="auto"/>
              </w:rPr>
            </w:pPr>
            <w:r>
              <w:rPr>
                <w:rFonts w:ascii="Arial" w:cs="Arial" w:eastAsia="Arial" w:hAnsi="Arial"/>
                <w:sz w:val="18"/>
                <w:szCs w:val="18"/>
                <w:color w:val="auto"/>
              </w:rPr>
              <w:t>John Keller</w:t>
            </w:r>
          </w:p>
        </w:tc>
        <w:tc>
          <w:tcPr>
            <w:tcW w:w="1580" w:type="dxa"/>
            <w:vAlign w:val="bottom"/>
          </w:tcPr>
          <w:p>
            <w:pPr>
              <w:ind w:left="140"/>
              <w:spacing w:after="0"/>
              <w:rPr>
                <w:sz w:val="20"/>
                <w:szCs w:val="20"/>
                <w:color w:val="auto"/>
              </w:rPr>
            </w:pPr>
            <w:r>
              <w:rPr>
                <w:rFonts w:ascii="Arial" w:cs="Arial" w:eastAsia="Arial" w:hAnsi="Arial"/>
                <w:sz w:val="18"/>
                <w:szCs w:val="18"/>
                <w:color w:val="auto"/>
              </w:rPr>
              <w:t>East Syracuse</w:t>
            </w:r>
          </w:p>
        </w:tc>
        <w:tc>
          <w:tcPr>
            <w:tcW w:w="780" w:type="dxa"/>
            <w:vAlign w:val="bottom"/>
          </w:tcPr>
          <w:p>
            <w:pPr>
              <w:ind w:left="480"/>
              <w:spacing w:after="0"/>
              <w:rPr>
                <w:sz w:val="20"/>
                <w:szCs w:val="20"/>
                <w:color w:val="auto"/>
              </w:rPr>
            </w:pPr>
            <w:r>
              <w:rPr>
                <w:rFonts w:ascii="Arial" w:cs="Arial" w:eastAsia="Arial" w:hAnsi="Arial"/>
                <w:sz w:val="18"/>
                <w:szCs w:val="18"/>
                <w:color w:val="auto"/>
              </w:rPr>
              <w:t>NY</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800" w:type="dxa"/>
            <w:vAlign w:val="bottom"/>
          </w:tcPr>
          <w:p>
            <w:pPr>
              <w:ind w:left="240"/>
              <w:spacing w:after="0"/>
              <w:rPr>
                <w:sz w:val="20"/>
                <w:szCs w:val="20"/>
                <w:color w:val="auto"/>
              </w:rPr>
            </w:pPr>
            <w:r>
              <w:rPr>
                <w:rFonts w:ascii="Arial" w:cs="Arial" w:eastAsia="Arial" w:hAnsi="Arial"/>
                <w:sz w:val="18"/>
                <w:szCs w:val="18"/>
                <w:color w:val="auto"/>
              </w:rPr>
              <w:t>USA Medical Center</w:t>
            </w:r>
          </w:p>
        </w:tc>
        <w:tc>
          <w:tcPr>
            <w:tcW w:w="3300" w:type="dxa"/>
            <w:vAlign w:val="bottom"/>
          </w:tcPr>
          <w:p>
            <w:pPr>
              <w:ind w:left="1960"/>
              <w:spacing w:after="0"/>
              <w:rPr>
                <w:sz w:val="20"/>
                <w:szCs w:val="20"/>
                <w:color w:val="auto"/>
              </w:rPr>
            </w:pPr>
            <w:r>
              <w:rPr>
                <w:rFonts w:ascii="Arial" w:cs="Arial" w:eastAsia="Arial" w:hAnsi="Arial"/>
                <w:sz w:val="18"/>
                <w:szCs w:val="18"/>
                <w:color w:val="auto"/>
              </w:rPr>
              <w:t>Lisa Mestas</w:t>
            </w:r>
          </w:p>
        </w:tc>
        <w:tc>
          <w:tcPr>
            <w:tcW w:w="1580" w:type="dxa"/>
            <w:vAlign w:val="bottom"/>
          </w:tcPr>
          <w:p>
            <w:pPr>
              <w:ind w:left="140"/>
              <w:spacing w:after="0"/>
              <w:rPr>
                <w:sz w:val="20"/>
                <w:szCs w:val="20"/>
                <w:color w:val="auto"/>
              </w:rPr>
            </w:pPr>
            <w:r>
              <w:rPr>
                <w:rFonts w:ascii="Arial" w:cs="Arial" w:eastAsia="Arial" w:hAnsi="Arial"/>
                <w:sz w:val="18"/>
                <w:szCs w:val="18"/>
                <w:color w:val="auto"/>
              </w:rPr>
              <w:t>Mobile</w:t>
            </w:r>
          </w:p>
        </w:tc>
        <w:tc>
          <w:tcPr>
            <w:tcW w:w="780" w:type="dxa"/>
            <w:vAlign w:val="bottom"/>
          </w:tcPr>
          <w:p>
            <w:pPr>
              <w:ind w:left="480"/>
              <w:spacing w:after="0"/>
              <w:rPr>
                <w:sz w:val="20"/>
                <w:szCs w:val="20"/>
                <w:color w:val="auto"/>
              </w:rPr>
            </w:pPr>
            <w:r>
              <w:rPr>
                <w:rFonts w:ascii="Arial" w:cs="Arial" w:eastAsia="Arial" w:hAnsi="Arial"/>
                <w:sz w:val="18"/>
                <w:szCs w:val="18"/>
                <w:color w:val="auto"/>
              </w:rPr>
              <w:t>AL</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800" w:type="dxa"/>
            <w:vAlign w:val="bottom"/>
          </w:tcPr>
          <w:p>
            <w:pPr>
              <w:ind w:left="240"/>
              <w:spacing w:after="0"/>
              <w:rPr>
                <w:sz w:val="20"/>
                <w:szCs w:val="20"/>
                <w:color w:val="auto"/>
              </w:rPr>
            </w:pPr>
            <w:r>
              <w:rPr>
                <w:rFonts w:ascii="Arial" w:cs="Arial" w:eastAsia="Arial" w:hAnsi="Arial"/>
                <w:sz w:val="18"/>
                <w:szCs w:val="18"/>
                <w:color w:val="auto"/>
              </w:rPr>
              <w:t>VA Bay Pine Med Center</w:t>
            </w:r>
          </w:p>
        </w:tc>
        <w:tc>
          <w:tcPr>
            <w:tcW w:w="3300" w:type="dxa"/>
            <w:vAlign w:val="bottom"/>
          </w:tcPr>
          <w:p>
            <w:pPr>
              <w:ind w:left="1960"/>
              <w:spacing w:after="0"/>
              <w:rPr>
                <w:sz w:val="20"/>
                <w:szCs w:val="20"/>
                <w:color w:val="auto"/>
              </w:rPr>
            </w:pPr>
            <w:r>
              <w:rPr>
                <w:rFonts w:ascii="Arial" w:cs="Arial" w:eastAsia="Arial" w:hAnsi="Arial"/>
                <w:sz w:val="18"/>
                <w:szCs w:val="18"/>
                <w:color w:val="auto"/>
              </w:rPr>
              <w:t>Wanda Clark</w:t>
            </w:r>
          </w:p>
        </w:tc>
        <w:tc>
          <w:tcPr>
            <w:tcW w:w="1580" w:type="dxa"/>
            <w:vAlign w:val="bottom"/>
          </w:tcPr>
          <w:p>
            <w:pPr>
              <w:ind w:left="140"/>
              <w:spacing w:after="0"/>
              <w:rPr>
                <w:sz w:val="20"/>
                <w:szCs w:val="20"/>
                <w:color w:val="auto"/>
              </w:rPr>
            </w:pPr>
            <w:r>
              <w:rPr>
                <w:rFonts w:ascii="Arial" w:cs="Arial" w:eastAsia="Arial" w:hAnsi="Arial"/>
                <w:sz w:val="18"/>
                <w:szCs w:val="18"/>
                <w:color w:val="auto"/>
              </w:rPr>
              <w:t>Bay Pine</w:t>
            </w:r>
          </w:p>
        </w:tc>
        <w:tc>
          <w:tcPr>
            <w:tcW w:w="780" w:type="dxa"/>
            <w:vAlign w:val="bottom"/>
          </w:tcPr>
          <w:p>
            <w:pPr>
              <w:ind w:left="480"/>
              <w:spacing w:after="0"/>
              <w:rPr>
                <w:sz w:val="20"/>
                <w:szCs w:val="20"/>
                <w:color w:val="auto"/>
              </w:rPr>
            </w:pPr>
            <w:r>
              <w:rPr>
                <w:rFonts w:ascii="Arial" w:cs="Arial" w:eastAsia="Arial" w:hAnsi="Arial"/>
                <w:sz w:val="18"/>
                <w:szCs w:val="18"/>
                <w:color w:val="auto"/>
              </w:rPr>
              <w:t>FL</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800" w:type="dxa"/>
            <w:vAlign w:val="bottom"/>
          </w:tcPr>
          <w:p>
            <w:pPr>
              <w:ind w:left="240"/>
              <w:spacing w:after="0"/>
              <w:rPr>
                <w:sz w:val="20"/>
                <w:szCs w:val="20"/>
                <w:color w:val="auto"/>
              </w:rPr>
            </w:pPr>
            <w:r>
              <w:rPr>
                <w:rFonts w:ascii="Arial" w:cs="Arial" w:eastAsia="Arial" w:hAnsi="Arial"/>
                <w:sz w:val="18"/>
                <w:szCs w:val="18"/>
                <w:color w:val="auto"/>
              </w:rPr>
              <w:t>VA Hospital of ColuGBia</w:t>
            </w:r>
          </w:p>
        </w:tc>
        <w:tc>
          <w:tcPr>
            <w:tcW w:w="3300" w:type="dxa"/>
            <w:vAlign w:val="bottom"/>
          </w:tcPr>
          <w:p>
            <w:pPr>
              <w:ind w:left="1960"/>
              <w:spacing w:after="0"/>
              <w:rPr>
                <w:sz w:val="20"/>
                <w:szCs w:val="20"/>
                <w:color w:val="auto"/>
              </w:rPr>
            </w:pPr>
            <w:r>
              <w:rPr>
                <w:rFonts w:ascii="Arial" w:cs="Arial" w:eastAsia="Arial" w:hAnsi="Arial"/>
                <w:sz w:val="18"/>
                <w:szCs w:val="18"/>
                <w:color w:val="auto"/>
              </w:rPr>
              <w:t>LV Ingram</w:t>
            </w:r>
          </w:p>
        </w:tc>
        <w:tc>
          <w:tcPr>
            <w:tcW w:w="1580" w:type="dxa"/>
            <w:vAlign w:val="bottom"/>
          </w:tcPr>
          <w:p>
            <w:pPr>
              <w:ind w:left="140"/>
              <w:spacing w:after="0"/>
              <w:rPr>
                <w:sz w:val="20"/>
                <w:szCs w:val="20"/>
                <w:color w:val="auto"/>
              </w:rPr>
            </w:pPr>
            <w:r>
              <w:rPr>
                <w:rFonts w:ascii="Arial" w:cs="Arial" w:eastAsia="Arial" w:hAnsi="Arial"/>
                <w:sz w:val="18"/>
                <w:szCs w:val="18"/>
                <w:color w:val="auto"/>
              </w:rPr>
              <w:t>ColuGBia</w:t>
            </w:r>
          </w:p>
        </w:tc>
        <w:tc>
          <w:tcPr>
            <w:tcW w:w="780" w:type="dxa"/>
            <w:vAlign w:val="bottom"/>
          </w:tcPr>
          <w:p>
            <w:pPr>
              <w:ind w:left="480"/>
              <w:spacing w:after="0"/>
              <w:rPr>
                <w:sz w:val="20"/>
                <w:szCs w:val="20"/>
                <w:color w:val="auto"/>
              </w:rPr>
            </w:pPr>
            <w:r>
              <w:rPr>
                <w:rFonts w:ascii="Arial" w:cs="Arial" w:eastAsia="Arial" w:hAnsi="Arial"/>
                <w:sz w:val="18"/>
                <w:szCs w:val="18"/>
                <w:color w:val="auto"/>
              </w:rPr>
              <w:t>SC</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800" w:type="dxa"/>
            <w:vAlign w:val="bottom"/>
          </w:tcPr>
          <w:p>
            <w:pPr>
              <w:ind w:left="240"/>
              <w:spacing w:after="0"/>
              <w:rPr>
                <w:sz w:val="20"/>
                <w:szCs w:val="20"/>
                <w:color w:val="auto"/>
              </w:rPr>
            </w:pPr>
            <w:r>
              <w:rPr>
                <w:rFonts w:ascii="Arial" w:cs="Arial" w:eastAsia="Arial" w:hAnsi="Arial"/>
                <w:sz w:val="18"/>
                <w:szCs w:val="18"/>
                <w:color w:val="auto"/>
              </w:rPr>
              <w:t>Valley Care Med Center</w:t>
            </w:r>
          </w:p>
        </w:tc>
        <w:tc>
          <w:tcPr>
            <w:tcW w:w="3300" w:type="dxa"/>
            <w:vAlign w:val="bottom"/>
          </w:tcPr>
          <w:p>
            <w:pPr>
              <w:ind w:left="1960"/>
              <w:spacing w:after="0"/>
              <w:rPr>
                <w:sz w:val="20"/>
                <w:szCs w:val="20"/>
                <w:color w:val="auto"/>
              </w:rPr>
            </w:pPr>
            <w:r>
              <w:rPr>
                <w:rFonts w:ascii="Arial" w:cs="Arial" w:eastAsia="Arial" w:hAnsi="Arial"/>
                <w:sz w:val="18"/>
                <w:szCs w:val="18"/>
                <w:color w:val="auto"/>
              </w:rPr>
              <w:t>Joseph Macias</w:t>
            </w:r>
          </w:p>
        </w:tc>
        <w:tc>
          <w:tcPr>
            <w:tcW w:w="1580" w:type="dxa"/>
            <w:vAlign w:val="bottom"/>
          </w:tcPr>
          <w:p>
            <w:pPr>
              <w:ind w:left="140"/>
              <w:spacing w:after="0"/>
              <w:rPr>
                <w:sz w:val="20"/>
                <w:szCs w:val="20"/>
                <w:color w:val="auto"/>
              </w:rPr>
            </w:pPr>
            <w:r>
              <w:rPr>
                <w:rFonts w:ascii="Arial" w:cs="Arial" w:eastAsia="Arial" w:hAnsi="Arial"/>
                <w:sz w:val="18"/>
                <w:szCs w:val="18"/>
                <w:color w:val="auto"/>
              </w:rPr>
              <w:t>Pleasanton</w:t>
            </w:r>
          </w:p>
        </w:tc>
        <w:tc>
          <w:tcPr>
            <w:tcW w:w="780" w:type="dxa"/>
            <w:vAlign w:val="bottom"/>
          </w:tcPr>
          <w:p>
            <w:pPr>
              <w:ind w:left="480"/>
              <w:spacing w:after="0"/>
              <w:rPr>
                <w:sz w:val="20"/>
                <w:szCs w:val="20"/>
                <w:color w:val="auto"/>
              </w:rPr>
            </w:pPr>
            <w:r>
              <w:rPr>
                <w:rFonts w:ascii="Arial" w:cs="Arial" w:eastAsia="Arial" w:hAnsi="Arial"/>
                <w:sz w:val="18"/>
                <w:szCs w:val="18"/>
                <w:color w:val="auto"/>
              </w:rPr>
              <w:t>CA</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800" w:type="dxa"/>
            <w:vAlign w:val="bottom"/>
          </w:tcPr>
          <w:p>
            <w:pPr>
              <w:ind w:left="240"/>
              <w:spacing w:after="0"/>
              <w:rPr>
                <w:sz w:val="20"/>
                <w:szCs w:val="20"/>
                <w:color w:val="auto"/>
              </w:rPr>
            </w:pPr>
            <w:r>
              <w:rPr>
                <w:rFonts w:ascii="Arial" w:cs="Arial" w:eastAsia="Arial" w:hAnsi="Arial"/>
                <w:sz w:val="18"/>
                <w:szCs w:val="18"/>
                <w:color w:val="auto"/>
              </w:rPr>
              <w:t>Vanderbilt Ortho Surg Ctr</w:t>
            </w:r>
          </w:p>
        </w:tc>
        <w:tc>
          <w:tcPr>
            <w:tcW w:w="3300" w:type="dxa"/>
            <w:vAlign w:val="bottom"/>
          </w:tcPr>
          <w:p>
            <w:pPr>
              <w:ind w:left="1960"/>
              <w:spacing w:after="0"/>
              <w:rPr>
                <w:sz w:val="20"/>
                <w:szCs w:val="20"/>
                <w:color w:val="auto"/>
              </w:rPr>
            </w:pPr>
            <w:r>
              <w:rPr>
                <w:rFonts w:ascii="Arial" w:cs="Arial" w:eastAsia="Arial" w:hAnsi="Arial"/>
                <w:sz w:val="18"/>
                <w:szCs w:val="18"/>
                <w:color w:val="auto"/>
              </w:rPr>
              <w:t>Faye Dodson</w:t>
            </w:r>
          </w:p>
        </w:tc>
        <w:tc>
          <w:tcPr>
            <w:tcW w:w="1580" w:type="dxa"/>
            <w:vAlign w:val="bottom"/>
          </w:tcPr>
          <w:p>
            <w:pPr>
              <w:ind w:left="140"/>
              <w:spacing w:after="0"/>
              <w:rPr>
                <w:sz w:val="20"/>
                <w:szCs w:val="20"/>
                <w:color w:val="auto"/>
              </w:rPr>
            </w:pPr>
            <w:r>
              <w:rPr>
                <w:rFonts w:ascii="Arial" w:cs="Arial" w:eastAsia="Arial" w:hAnsi="Arial"/>
                <w:sz w:val="18"/>
                <w:szCs w:val="18"/>
                <w:color w:val="auto"/>
              </w:rPr>
              <w:t>Nashville</w:t>
            </w:r>
          </w:p>
        </w:tc>
        <w:tc>
          <w:tcPr>
            <w:tcW w:w="780" w:type="dxa"/>
            <w:vAlign w:val="bottom"/>
          </w:tcPr>
          <w:p>
            <w:pPr>
              <w:ind w:left="480"/>
              <w:spacing w:after="0"/>
              <w:rPr>
                <w:sz w:val="20"/>
                <w:szCs w:val="20"/>
                <w:color w:val="auto"/>
              </w:rPr>
            </w:pPr>
            <w:r>
              <w:rPr>
                <w:rFonts w:ascii="Arial" w:cs="Arial" w:eastAsia="Arial" w:hAnsi="Arial"/>
                <w:sz w:val="18"/>
                <w:szCs w:val="18"/>
                <w:color w:val="auto"/>
              </w:rPr>
              <w:t>TN</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800" w:type="dxa"/>
            <w:vAlign w:val="bottom"/>
          </w:tcPr>
          <w:p>
            <w:pPr>
              <w:ind w:left="240"/>
              <w:spacing w:after="0"/>
              <w:rPr>
                <w:sz w:val="20"/>
                <w:szCs w:val="20"/>
                <w:color w:val="auto"/>
              </w:rPr>
            </w:pPr>
            <w:r>
              <w:rPr>
                <w:rFonts w:ascii="Arial" w:cs="Arial" w:eastAsia="Arial" w:hAnsi="Arial"/>
                <w:sz w:val="18"/>
                <w:szCs w:val="18"/>
                <w:color w:val="auto"/>
              </w:rPr>
              <w:t>Via Christi RMC-St Francis Campus</w:t>
            </w:r>
          </w:p>
        </w:tc>
        <w:tc>
          <w:tcPr>
            <w:tcW w:w="3300" w:type="dxa"/>
            <w:vAlign w:val="bottom"/>
          </w:tcPr>
          <w:p>
            <w:pPr>
              <w:ind w:left="1960"/>
              <w:spacing w:after="0"/>
              <w:rPr>
                <w:sz w:val="20"/>
                <w:szCs w:val="20"/>
                <w:color w:val="auto"/>
              </w:rPr>
            </w:pPr>
            <w:r>
              <w:rPr>
                <w:rFonts w:ascii="Arial" w:cs="Arial" w:eastAsia="Arial" w:hAnsi="Arial"/>
                <w:sz w:val="18"/>
                <w:szCs w:val="18"/>
                <w:color w:val="auto"/>
              </w:rPr>
              <w:t>Jerry Ellis</w:t>
            </w:r>
          </w:p>
        </w:tc>
        <w:tc>
          <w:tcPr>
            <w:tcW w:w="1580" w:type="dxa"/>
            <w:vAlign w:val="bottom"/>
          </w:tcPr>
          <w:p>
            <w:pPr>
              <w:ind w:left="140"/>
              <w:spacing w:after="0"/>
              <w:rPr>
                <w:sz w:val="20"/>
                <w:szCs w:val="20"/>
                <w:color w:val="auto"/>
              </w:rPr>
            </w:pPr>
            <w:r>
              <w:rPr>
                <w:rFonts w:ascii="Arial" w:cs="Arial" w:eastAsia="Arial" w:hAnsi="Arial"/>
                <w:sz w:val="18"/>
                <w:szCs w:val="18"/>
                <w:color w:val="auto"/>
              </w:rPr>
              <w:t>Wichita</w:t>
            </w:r>
          </w:p>
        </w:tc>
        <w:tc>
          <w:tcPr>
            <w:tcW w:w="780" w:type="dxa"/>
            <w:vAlign w:val="bottom"/>
          </w:tcPr>
          <w:p>
            <w:pPr>
              <w:ind w:left="480"/>
              <w:spacing w:after="0"/>
              <w:rPr>
                <w:sz w:val="20"/>
                <w:szCs w:val="20"/>
                <w:color w:val="auto"/>
              </w:rPr>
            </w:pPr>
            <w:r>
              <w:rPr>
                <w:rFonts w:ascii="Arial" w:cs="Arial" w:eastAsia="Arial" w:hAnsi="Arial"/>
                <w:sz w:val="18"/>
                <w:szCs w:val="18"/>
                <w:color w:val="auto"/>
              </w:rPr>
              <w:t>KS</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800" w:type="dxa"/>
            <w:vAlign w:val="bottom"/>
          </w:tcPr>
          <w:p>
            <w:pPr>
              <w:ind w:left="240"/>
              <w:spacing w:after="0"/>
              <w:rPr>
                <w:sz w:val="20"/>
                <w:szCs w:val="20"/>
                <w:color w:val="auto"/>
              </w:rPr>
            </w:pPr>
            <w:r>
              <w:rPr>
                <w:rFonts w:ascii="Arial" w:cs="Arial" w:eastAsia="Arial" w:hAnsi="Arial"/>
                <w:sz w:val="18"/>
                <w:szCs w:val="18"/>
                <w:color w:val="auto"/>
              </w:rPr>
              <w:t>Waterfront Surgery Center, LLC</w:t>
            </w:r>
          </w:p>
        </w:tc>
        <w:tc>
          <w:tcPr>
            <w:tcW w:w="3300" w:type="dxa"/>
            <w:vAlign w:val="bottom"/>
          </w:tcPr>
          <w:p>
            <w:pPr>
              <w:ind w:left="1960"/>
              <w:spacing w:after="0"/>
              <w:rPr>
                <w:sz w:val="20"/>
                <w:szCs w:val="20"/>
                <w:color w:val="auto"/>
              </w:rPr>
            </w:pPr>
            <w:r>
              <w:rPr>
                <w:rFonts w:ascii="Arial" w:cs="Arial" w:eastAsia="Arial" w:hAnsi="Arial"/>
                <w:sz w:val="18"/>
                <w:szCs w:val="18"/>
                <w:color w:val="auto"/>
              </w:rPr>
              <w:t>Daniel</w:t>
            </w:r>
          </w:p>
        </w:tc>
        <w:tc>
          <w:tcPr>
            <w:tcW w:w="1580" w:type="dxa"/>
            <w:vAlign w:val="bottom"/>
          </w:tcPr>
          <w:p>
            <w:pPr>
              <w:ind w:left="140"/>
              <w:spacing w:after="0"/>
              <w:rPr>
                <w:sz w:val="20"/>
                <w:szCs w:val="20"/>
                <w:color w:val="auto"/>
              </w:rPr>
            </w:pPr>
            <w:r>
              <w:rPr>
                <w:rFonts w:ascii="Arial" w:cs="Arial" w:eastAsia="Arial" w:hAnsi="Arial"/>
                <w:sz w:val="18"/>
                <w:szCs w:val="18"/>
                <w:color w:val="auto"/>
              </w:rPr>
              <w:t>Homestead</w:t>
            </w:r>
          </w:p>
        </w:tc>
        <w:tc>
          <w:tcPr>
            <w:tcW w:w="780" w:type="dxa"/>
            <w:vAlign w:val="bottom"/>
          </w:tcPr>
          <w:p>
            <w:pPr>
              <w:ind w:left="480"/>
              <w:spacing w:after="0"/>
              <w:rPr>
                <w:sz w:val="20"/>
                <w:szCs w:val="20"/>
                <w:color w:val="auto"/>
              </w:rPr>
            </w:pPr>
            <w:r>
              <w:rPr>
                <w:rFonts w:ascii="Arial" w:cs="Arial" w:eastAsia="Arial" w:hAnsi="Arial"/>
                <w:sz w:val="18"/>
                <w:szCs w:val="18"/>
                <w:color w:val="auto"/>
              </w:rPr>
              <w:t>PA</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800" w:type="dxa"/>
            <w:vAlign w:val="bottom"/>
          </w:tcPr>
          <w:p>
            <w:pPr>
              <w:ind w:left="240"/>
              <w:spacing w:after="0"/>
              <w:rPr>
                <w:sz w:val="20"/>
                <w:szCs w:val="20"/>
                <w:color w:val="auto"/>
              </w:rPr>
            </w:pPr>
            <w:r>
              <w:rPr>
                <w:rFonts w:ascii="Arial" w:cs="Arial" w:eastAsia="Arial" w:hAnsi="Arial"/>
                <w:sz w:val="18"/>
                <w:szCs w:val="18"/>
                <w:color w:val="auto"/>
              </w:rPr>
              <w:t>Weirton Medical Center</w:t>
            </w:r>
          </w:p>
        </w:tc>
        <w:tc>
          <w:tcPr>
            <w:tcW w:w="3300" w:type="dxa"/>
            <w:vAlign w:val="bottom"/>
          </w:tcPr>
          <w:p>
            <w:pPr>
              <w:ind w:left="1960"/>
              <w:spacing w:after="0"/>
              <w:rPr>
                <w:sz w:val="20"/>
                <w:szCs w:val="20"/>
                <w:color w:val="auto"/>
              </w:rPr>
            </w:pPr>
            <w:r>
              <w:rPr>
                <w:rFonts w:ascii="Arial" w:cs="Arial" w:eastAsia="Arial" w:hAnsi="Arial"/>
                <w:sz w:val="18"/>
                <w:szCs w:val="18"/>
                <w:color w:val="auto"/>
              </w:rPr>
              <w:t>Sherri Williams</w:t>
            </w:r>
          </w:p>
        </w:tc>
        <w:tc>
          <w:tcPr>
            <w:tcW w:w="1580" w:type="dxa"/>
            <w:vAlign w:val="bottom"/>
          </w:tcPr>
          <w:p>
            <w:pPr>
              <w:ind w:left="140"/>
              <w:spacing w:after="0"/>
              <w:rPr>
                <w:sz w:val="20"/>
                <w:szCs w:val="20"/>
                <w:color w:val="auto"/>
              </w:rPr>
            </w:pPr>
            <w:r>
              <w:rPr>
                <w:rFonts w:ascii="Arial" w:cs="Arial" w:eastAsia="Arial" w:hAnsi="Arial"/>
                <w:sz w:val="18"/>
                <w:szCs w:val="18"/>
                <w:color w:val="auto"/>
              </w:rPr>
              <w:t>Weirton</w:t>
            </w:r>
          </w:p>
        </w:tc>
        <w:tc>
          <w:tcPr>
            <w:tcW w:w="780" w:type="dxa"/>
            <w:vAlign w:val="bottom"/>
          </w:tcPr>
          <w:p>
            <w:pPr>
              <w:ind w:left="480"/>
              <w:spacing w:after="0"/>
              <w:rPr>
                <w:sz w:val="20"/>
                <w:szCs w:val="20"/>
                <w:color w:val="auto"/>
              </w:rPr>
            </w:pPr>
            <w:r>
              <w:rPr>
                <w:rFonts w:ascii="Arial" w:cs="Arial" w:eastAsia="Arial" w:hAnsi="Arial"/>
                <w:sz w:val="18"/>
                <w:szCs w:val="18"/>
                <w:color w:val="auto"/>
                <w:w w:val="96"/>
              </w:rPr>
              <w:t>WV</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800" w:type="dxa"/>
            <w:vAlign w:val="bottom"/>
          </w:tcPr>
          <w:p>
            <w:pPr>
              <w:ind w:left="240"/>
              <w:spacing w:after="0"/>
              <w:rPr>
                <w:sz w:val="20"/>
                <w:szCs w:val="20"/>
                <w:color w:val="auto"/>
              </w:rPr>
            </w:pPr>
            <w:r>
              <w:rPr>
                <w:rFonts w:ascii="Arial" w:cs="Arial" w:eastAsia="Arial" w:hAnsi="Arial"/>
                <w:sz w:val="18"/>
                <w:szCs w:val="18"/>
                <w:color w:val="auto"/>
              </w:rPr>
              <w:t>Wesley Medical Center</w:t>
            </w:r>
          </w:p>
        </w:tc>
        <w:tc>
          <w:tcPr>
            <w:tcW w:w="3300" w:type="dxa"/>
            <w:vAlign w:val="bottom"/>
          </w:tcPr>
          <w:p>
            <w:pPr>
              <w:ind w:left="1960"/>
              <w:spacing w:after="0"/>
              <w:rPr>
                <w:sz w:val="20"/>
                <w:szCs w:val="20"/>
                <w:color w:val="auto"/>
              </w:rPr>
            </w:pPr>
            <w:r>
              <w:rPr>
                <w:rFonts w:ascii="Arial" w:cs="Arial" w:eastAsia="Arial" w:hAnsi="Arial"/>
                <w:sz w:val="18"/>
                <w:szCs w:val="18"/>
                <w:color w:val="auto"/>
              </w:rPr>
              <w:t>James Shows</w:t>
            </w:r>
          </w:p>
        </w:tc>
        <w:tc>
          <w:tcPr>
            <w:tcW w:w="1580" w:type="dxa"/>
            <w:vAlign w:val="bottom"/>
          </w:tcPr>
          <w:p>
            <w:pPr>
              <w:ind w:left="140"/>
              <w:spacing w:after="0"/>
              <w:rPr>
                <w:sz w:val="20"/>
                <w:szCs w:val="20"/>
                <w:color w:val="auto"/>
              </w:rPr>
            </w:pPr>
            <w:r>
              <w:rPr>
                <w:rFonts w:ascii="Arial" w:cs="Arial" w:eastAsia="Arial" w:hAnsi="Arial"/>
                <w:sz w:val="18"/>
                <w:szCs w:val="18"/>
                <w:color w:val="auto"/>
              </w:rPr>
              <w:t>Hattiesburg</w:t>
            </w:r>
          </w:p>
        </w:tc>
        <w:tc>
          <w:tcPr>
            <w:tcW w:w="780" w:type="dxa"/>
            <w:vAlign w:val="bottom"/>
          </w:tcPr>
          <w:p>
            <w:pPr>
              <w:ind w:left="480"/>
              <w:spacing w:after="0"/>
              <w:rPr>
                <w:sz w:val="20"/>
                <w:szCs w:val="20"/>
                <w:color w:val="auto"/>
              </w:rPr>
            </w:pPr>
            <w:r>
              <w:rPr>
                <w:rFonts w:ascii="Arial" w:cs="Arial" w:eastAsia="Arial" w:hAnsi="Arial"/>
                <w:sz w:val="18"/>
                <w:szCs w:val="18"/>
                <w:color w:val="auto"/>
              </w:rPr>
              <w:t>MS</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800" w:type="dxa"/>
            <w:vAlign w:val="bottom"/>
          </w:tcPr>
          <w:p>
            <w:pPr>
              <w:ind w:left="240"/>
              <w:spacing w:after="0"/>
              <w:rPr>
                <w:sz w:val="20"/>
                <w:szCs w:val="20"/>
                <w:color w:val="auto"/>
              </w:rPr>
            </w:pPr>
            <w:r>
              <w:rPr>
                <w:rFonts w:ascii="Arial" w:cs="Arial" w:eastAsia="Arial" w:hAnsi="Arial"/>
                <w:sz w:val="18"/>
                <w:szCs w:val="18"/>
                <w:color w:val="auto"/>
              </w:rPr>
              <w:t>Wesley Medical Center</w:t>
            </w:r>
          </w:p>
        </w:tc>
        <w:tc>
          <w:tcPr>
            <w:tcW w:w="3300" w:type="dxa"/>
            <w:vAlign w:val="bottom"/>
          </w:tcPr>
          <w:p>
            <w:pPr>
              <w:ind w:left="1960"/>
              <w:spacing w:after="0"/>
              <w:rPr>
                <w:sz w:val="20"/>
                <w:szCs w:val="20"/>
                <w:color w:val="auto"/>
              </w:rPr>
            </w:pPr>
            <w:r>
              <w:rPr>
                <w:rFonts w:ascii="Arial" w:cs="Arial" w:eastAsia="Arial" w:hAnsi="Arial"/>
                <w:sz w:val="18"/>
                <w:szCs w:val="18"/>
                <w:color w:val="auto"/>
              </w:rPr>
              <w:t>Dallas Shaffer</w:t>
            </w:r>
          </w:p>
        </w:tc>
        <w:tc>
          <w:tcPr>
            <w:tcW w:w="1580" w:type="dxa"/>
            <w:vAlign w:val="bottom"/>
          </w:tcPr>
          <w:p>
            <w:pPr>
              <w:ind w:left="140"/>
              <w:spacing w:after="0"/>
              <w:rPr>
                <w:sz w:val="20"/>
                <w:szCs w:val="20"/>
                <w:color w:val="auto"/>
              </w:rPr>
            </w:pPr>
            <w:r>
              <w:rPr>
                <w:rFonts w:ascii="Arial" w:cs="Arial" w:eastAsia="Arial" w:hAnsi="Arial"/>
                <w:sz w:val="18"/>
                <w:szCs w:val="18"/>
                <w:color w:val="auto"/>
              </w:rPr>
              <w:t>WitGBita</w:t>
            </w:r>
          </w:p>
        </w:tc>
        <w:tc>
          <w:tcPr>
            <w:tcW w:w="780" w:type="dxa"/>
            <w:vAlign w:val="bottom"/>
          </w:tcPr>
          <w:p>
            <w:pPr>
              <w:ind w:left="480"/>
              <w:spacing w:after="0"/>
              <w:rPr>
                <w:sz w:val="20"/>
                <w:szCs w:val="20"/>
                <w:color w:val="auto"/>
              </w:rPr>
            </w:pPr>
            <w:r>
              <w:rPr>
                <w:rFonts w:ascii="Arial" w:cs="Arial" w:eastAsia="Arial" w:hAnsi="Arial"/>
                <w:sz w:val="18"/>
                <w:szCs w:val="18"/>
                <w:color w:val="auto"/>
              </w:rPr>
              <w:t>KS</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800" w:type="dxa"/>
            <w:vAlign w:val="bottom"/>
          </w:tcPr>
          <w:p>
            <w:pPr>
              <w:ind w:left="240"/>
              <w:spacing w:after="0"/>
              <w:rPr>
                <w:sz w:val="20"/>
                <w:szCs w:val="20"/>
                <w:color w:val="auto"/>
              </w:rPr>
            </w:pPr>
            <w:r>
              <w:rPr>
                <w:rFonts w:ascii="Arial" w:cs="Arial" w:eastAsia="Arial" w:hAnsi="Arial"/>
                <w:sz w:val="18"/>
                <w:szCs w:val="18"/>
                <w:color w:val="auto"/>
              </w:rPr>
              <w:t>West Florida Regional Med Ctr</w:t>
            </w:r>
          </w:p>
        </w:tc>
        <w:tc>
          <w:tcPr>
            <w:tcW w:w="3300" w:type="dxa"/>
            <w:vAlign w:val="bottom"/>
          </w:tcPr>
          <w:p>
            <w:pPr>
              <w:ind w:left="1960"/>
              <w:spacing w:after="0"/>
              <w:rPr>
                <w:sz w:val="20"/>
                <w:szCs w:val="20"/>
                <w:color w:val="auto"/>
              </w:rPr>
            </w:pPr>
            <w:r>
              <w:rPr>
                <w:rFonts w:ascii="Arial" w:cs="Arial" w:eastAsia="Arial" w:hAnsi="Arial"/>
                <w:sz w:val="18"/>
                <w:szCs w:val="18"/>
                <w:color w:val="auto"/>
              </w:rPr>
              <w:t>Elaine Gimlin</w:t>
            </w:r>
          </w:p>
        </w:tc>
        <w:tc>
          <w:tcPr>
            <w:tcW w:w="1580" w:type="dxa"/>
            <w:vAlign w:val="bottom"/>
          </w:tcPr>
          <w:p>
            <w:pPr>
              <w:ind w:left="140"/>
              <w:spacing w:after="0"/>
              <w:rPr>
                <w:sz w:val="20"/>
                <w:szCs w:val="20"/>
                <w:color w:val="auto"/>
              </w:rPr>
            </w:pPr>
            <w:r>
              <w:rPr>
                <w:rFonts w:ascii="Arial" w:cs="Arial" w:eastAsia="Arial" w:hAnsi="Arial"/>
                <w:sz w:val="18"/>
                <w:szCs w:val="18"/>
                <w:color w:val="auto"/>
              </w:rPr>
              <w:t>Pensacola</w:t>
            </w:r>
          </w:p>
        </w:tc>
        <w:tc>
          <w:tcPr>
            <w:tcW w:w="780" w:type="dxa"/>
            <w:vAlign w:val="bottom"/>
          </w:tcPr>
          <w:p>
            <w:pPr>
              <w:ind w:left="480"/>
              <w:spacing w:after="0"/>
              <w:rPr>
                <w:sz w:val="20"/>
                <w:szCs w:val="20"/>
                <w:color w:val="auto"/>
              </w:rPr>
            </w:pPr>
            <w:r>
              <w:rPr>
                <w:rFonts w:ascii="Arial" w:cs="Arial" w:eastAsia="Arial" w:hAnsi="Arial"/>
                <w:sz w:val="18"/>
                <w:szCs w:val="18"/>
                <w:color w:val="auto"/>
              </w:rPr>
              <w:t>FL</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800" w:type="dxa"/>
            <w:vAlign w:val="bottom"/>
          </w:tcPr>
          <w:p>
            <w:pPr>
              <w:ind w:left="240"/>
              <w:spacing w:after="0"/>
              <w:rPr>
                <w:sz w:val="20"/>
                <w:szCs w:val="20"/>
                <w:color w:val="auto"/>
              </w:rPr>
            </w:pPr>
            <w:r>
              <w:rPr>
                <w:rFonts w:ascii="Arial" w:cs="Arial" w:eastAsia="Arial" w:hAnsi="Arial"/>
                <w:sz w:val="18"/>
                <w:szCs w:val="18"/>
                <w:color w:val="auto"/>
              </w:rPr>
              <w:t>Westmoreland Reg</w:t>
            </w:r>
          </w:p>
        </w:tc>
        <w:tc>
          <w:tcPr>
            <w:tcW w:w="3300" w:type="dxa"/>
            <w:vAlign w:val="bottom"/>
          </w:tcPr>
          <w:p>
            <w:pPr>
              <w:ind w:left="1960"/>
              <w:spacing w:after="0"/>
              <w:rPr>
                <w:sz w:val="20"/>
                <w:szCs w:val="20"/>
                <w:color w:val="auto"/>
              </w:rPr>
            </w:pPr>
            <w:r>
              <w:rPr>
                <w:rFonts w:ascii="Arial" w:cs="Arial" w:eastAsia="Arial" w:hAnsi="Arial"/>
                <w:sz w:val="18"/>
                <w:szCs w:val="18"/>
                <w:color w:val="auto"/>
              </w:rPr>
              <w:t>Jessie Hickson</w:t>
            </w:r>
          </w:p>
        </w:tc>
        <w:tc>
          <w:tcPr>
            <w:tcW w:w="1580" w:type="dxa"/>
            <w:vAlign w:val="bottom"/>
          </w:tcPr>
          <w:p>
            <w:pPr>
              <w:ind w:left="140"/>
              <w:spacing w:after="0"/>
              <w:rPr>
                <w:sz w:val="20"/>
                <w:szCs w:val="20"/>
                <w:color w:val="auto"/>
              </w:rPr>
            </w:pPr>
            <w:r>
              <w:rPr>
                <w:rFonts w:ascii="Arial" w:cs="Arial" w:eastAsia="Arial" w:hAnsi="Arial"/>
                <w:sz w:val="18"/>
                <w:szCs w:val="18"/>
                <w:color w:val="auto"/>
              </w:rPr>
              <w:t>Greensburg</w:t>
            </w:r>
          </w:p>
        </w:tc>
        <w:tc>
          <w:tcPr>
            <w:tcW w:w="780" w:type="dxa"/>
            <w:vAlign w:val="bottom"/>
          </w:tcPr>
          <w:p>
            <w:pPr>
              <w:ind w:left="480"/>
              <w:spacing w:after="0"/>
              <w:rPr>
                <w:sz w:val="20"/>
                <w:szCs w:val="20"/>
                <w:color w:val="auto"/>
              </w:rPr>
            </w:pPr>
            <w:r>
              <w:rPr>
                <w:rFonts w:ascii="Arial" w:cs="Arial" w:eastAsia="Arial" w:hAnsi="Arial"/>
                <w:sz w:val="18"/>
                <w:szCs w:val="18"/>
                <w:color w:val="auto"/>
              </w:rPr>
              <w:t>PA</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800" w:type="dxa"/>
            <w:vAlign w:val="bottom"/>
          </w:tcPr>
          <w:p>
            <w:pPr>
              <w:ind w:left="240"/>
              <w:spacing w:after="0"/>
              <w:rPr>
                <w:sz w:val="20"/>
                <w:szCs w:val="20"/>
                <w:color w:val="auto"/>
              </w:rPr>
            </w:pPr>
            <w:r>
              <w:rPr>
                <w:rFonts w:ascii="Arial" w:cs="Arial" w:eastAsia="Arial" w:hAnsi="Arial"/>
                <w:sz w:val="18"/>
                <w:szCs w:val="18"/>
                <w:color w:val="auto"/>
              </w:rPr>
              <w:t>Williamsport Hospital</w:t>
            </w:r>
          </w:p>
        </w:tc>
        <w:tc>
          <w:tcPr>
            <w:tcW w:w="3300" w:type="dxa"/>
            <w:vAlign w:val="bottom"/>
          </w:tcPr>
          <w:p>
            <w:pPr>
              <w:ind w:left="1960"/>
              <w:spacing w:after="0"/>
              <w:rPr>
                <w:sz w:val="20"/>
                <w:szCs w:val="20"/>
                <w:color w:val="auto"/>
              </w:rPr>
            </w:pPr>
            <w:r>
              <w:rPr>
                <w:rFonts w:ascii="Arial" w:cs="Arial" w:eastAsia="Arial" w:hAnsi="Arial"/>
                <w:sz w:val="18"/>
                <w:szCs w:val="18"/>
                <w:color w:val="auto"/>
                <w:w w:val="96"/>
              </w:rPr>
              <w:t>Howard Simpson</w:t>
            </w:r>
          </w:p>
        </w:tc>
        <w:tc>
          <w:tcPr>
            <w:tcW w:w="1580" w:type="dxa"/>
            <w:vAlign w:val="bottom"/>
          </w:tcPr>
          <w:p>
            <w:pPr>
              <w:ind w:left="140"/>
              <w:spacing w:after="0"/>
              <w:rPr>
                <w:sz w:val="20"/>
                <w:szCs w:val="20"/>
                <w:color w:val="auto"/>
              </w:rPr>
            </w:pPr>
            <w:r>
              <w:rPr>
                <w:rFonts w:ascii="Arial" w:cs="Arial" w:eastAsia="Arial" w:hAnsi="Arial"/>
                <w:sz w:val="18"/>
                <w:szCs w:val="18"/>
                <w:color w:val="auto"/>
              </w:rPr>
              <w:t>Williamsport</w:t>
            </w:r>
          </w:p>
        </w:tc>
        <w:tc>
          <w:tcPr>
            <w:tcW w:w="780" w:type="dxa"/>
            <w:vAlign w:val="bottom"/>
          </w:tcPr>
          <w:p>
            <w:pPr>
              <w:ind w:left="480"/>
              <w:spacing w:after="0"/>
              <w:rPr>
                <w:sz w:val="20"/>
                <w:szCs w:val="20"/>
                <w:color w:val="auto"/>
              </w:rPr>
            </w:pPr>
            <w:r>
              <w:rPr>
                <w:rFonts w:ascii="Arial" w:cs="Arial" w:eastAsia="Arial" w:hAnsi="Arial"/>
                <w:sz w:val="18"/>
                <w:szCs w:val="18"/>
                <w:color w:val="auto"/>
              </w:rPr>
              <w:t>PA</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800" w:type="dxa"/>
            <w:vAlign w:val="bottom"/>
          </w:tcPr>
          <w:p>
            <w:pPr>
              <w:ind w:left="240"/>
              <w:spacing w:after="0"/>
              <w:rPr>
                <w:sz w:val="20"/>
                <w:szCs w:val="20"/>
                <w:color w:val="auto"/>
              </w:rPr>
            </w:pPr>
            <w:r>
              <w:rPr>
                <w:rFonts w:ascii="Arial" w:cs="Arial" w:eastAsia="Arial" w:hAnsi="Arial"/>
                <w:sz w:val="18"/>
                <w:szCs w:val="18"/>
                <w:color w:val="auto"/>
              </w:rPr>
              <w:t>Woodwinds</w:t>
            </w:r>
          </w:p>
        </w:tc>
        <w:tc>
          <w:tcPr>
            <w:tcW w:w="3300" w:type="dxa"/>
            <w:vAlign w:val="bottom"/>
          </w:tcPr>
          <w:p>
            <w:pPr>
              <w:ind w:left="1960"/>
              <w:spacing w:after="0"/>
              <w:rPr>
                <w:sz w:val="20"/>
                <w:szCs w:val="20"/>
                <w:color w:val="auto"/>
              </w:rPr>
            </w:pPr>
            <w:r>
              <w:rPr>
                <w:rFonts w:ascii="Arial" w:cs="Arial" w:eastAsia="Arial" w:hAnsi="Arial"/>
                <w:sz w:val="18"/>
                <w:szCs w:val="18"/>
                <w:color w:val="auto"/>
              </w:rPr>
              <w:t>Tricia Weisz</w:t>
            </w:r>
          </w:p>
        </w:tc>
        <w:tc>
          <w:tcPr>
            <w:tcW w:w="1580" w:type="dxa"/>
            <w:vAlign w:val="bottom"/>
          </w:tcPr>
          <w:p>
            <w:pPr>
              <w:ind w:left="140"/>
              <w:spacing w:after="0"/>
              <w:rPr>
                <w:sz w:val="20"/>
                <w:szCs w:val="20"/>
                <w:color w:val="auto"/>
              </w:rPr>
            </w:pPr>
            <w:r>
              <w:rPr>
                <w:rFonts w:ascii="Arial" w:cs="Arial" w:eastAsia="Arial" w:hAnsi="Arial"/>
                <w:sz w:val="18"/>
                <w:szCs w:val="18"/>
                <w:color w:val="auto"/>
              </w:rPr>
              <w:t>Woodbury</w:t>
            </w:r>
          </w:p>
        </w:tc>
        <w:tc>
          <w:tcPr>
            <w:tcW w:w="780" w:type="dxa"/>
            <w:vAlign w:val="bottom"/>
          </w:tcPr>
          <w:p>
            <w:pPr>
              <w:ind w:left="480"/>
              <w:spacing w:after="0"/>
              <w:rPr>
                <w:sz w:val="20"/>
                <w:szCs w:val="20"/>
                <w:color w:val="auto"/>
              </w:rPr>
            </w:pPr>
            <w:r>
              <w:rPr>
                <w:rFonts w:ascii="Arial" w:cs="Arial" w:eastAsia="Arial" w:hAnsi="Arial"/>
                <w:sz w:val="18"/>
                <w:szCs w:val="18"/>
                <w:color w:val="auto"/>
                <w:w w:val="99"/>
              </w:rPr>
              <w:t>MN</w:t>
            </w:r>
          </w:p>
        </w:tc>
      </w:t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ILS Corp</w:t>
            </w:r>
          </w:p>
        </w:tc>
        <w:tc>
          <w:tcPr>
            <w:tcW w:w="4800" w:type="dxa"/>
            <w:vAlign w:val="bottom"/>
          </w:tcPr>
          <w:p>
            <w:pPr>
              <w:ind w:left="240"/>
              <w:spacing w:after="0"/>
              <w:rPr>
                <w:sz w:val="20"/>
                <w:szCs w:val="20"/>
                <w:color w:val="auto"/>
              </w:rPr>
            </w:pPr>
            <w:r>
              <w:rPr>
                <w:rFonts w:ascii="Arial" w:cs="Arial" w:eastAsia="Arial" w:hAnsi="Arial"/>
                <w:sz w:val="18"/>
                <w:szCs w:val="18"/>
                <w:color w:val="auto"/>
              </w:rPr>
              <w:t>York Hospital</w:t>
            </w:r>
          </w:p>
        </w:tc>
        <w:tc>
          <w:tcPr>
            <w:tcW w:w="3300" w:type="dxa"/>
            <w:vAlign w:val="bottom"/>
          </w:tcPr>
          <w:p>
            <w:pPr>
              <w:ind w:left="1960"/>
              <w:spacing w:after="0"/>
              <w:rPr>
                <w:sz w:val="20"/>
                <w:szCs w:val="20"/>
                <w:color w:val="auto"/>
              </w:rPr>
            </w:pPr>
            <w:r>
              <w:rPr>
                <w:rFonts w:ascii="Arial" w:cs="Arial" w:eastAsia="Arial" w:hAnsi="Arial"/>
                <w:sz w:val="18"/>
                <w:szCs w:val="18"/>
                <w:color w:val="auto"/>
              </w:rPr>
              <w:t>Mary Armstrong</w:t>
            </w:r>
          </w:p>
        </w:tc>
        <w:tc>
          <w:tcPr>
            <w:tcW w:w="1580" w:type="dxa"/>
            <w:vAlign w:val="bottom"/>
          </w:tcPr>
          <w:p>
            <w:pPr>
              <w:ind w:left="140"/>
              <w:spacing w:after="0"/>
              <w:rPr>
                <w:sz w:val="20"/>
                <w:szCs w:val="20"/>
                <w:color w:val="auto"/>
              </w:rPr>
            </w:pPr>
            <w:r>
              <w:rPr>
                <w:rFonts w:ascii="Arial" w:cs="Arial" w:eastAsia="Arial" w:hAnsi="Arial"/>
                <w:sz w:val="18"/>
                <w:szCs w:val="18"/>
                <w:color w:val="auto"/>
              </w:rPr>
              <w:t>York</w:t>
            </w:r>
          </w:p>
        </w:tc>
        <w:tc>
          <w:tcPr>
            <w:tcW w:w="780" w:type="dxa"/>
            <w:vAlign w:val="bottom"/>
          </w:tcPr>
          <w:p>
            <w:pPr>
              <w:ind w:left="480"/>
              <w:spacing w:after="0"/>
              <w:rPr>
                <w:sz w:val="20"/>
                <w:szCs w:val="20"/>
                <w:color w:val="auto"/>
              </w:rPr>
            </w:pPr>
            <w:r>
              <w:rPr>
                <w:rFonts w:ascii="Arial" w:cs="Arial" w:eastAsia="Arial" w:hAnsi="Arial"/>
                <w:sz w:val="18"/>
                <w:szCs w:val="18"/>
                <w:color w:val="auto"/>
              </w:rPr>
              <w:t>PA</w:t>
            </w:r>
          </w:p>
        </w:tc>
      </w:tr>
    </w:tbl>
    <w:p>
      <w:pPr>
        <w:sectPr>
          <w:pgSz w:w="11900" w:h="16838" w:orient="portrait"/>
          <w:cols w:equalWidth="0" w:num="1">
            <w:col w:w="11380"/>
          </w:cols>
          <w:pgMar w:left="240" w:top="279" w:right="279" w:bottom="1440" w:gutter="0" w:footer="0" w:header="0"/>
        </w:sectPr>
      </w:pPr>
    </w:p>
    <w:bookmarkStart w:id="348" w:name="page349"/>
    <w:bookmarkEnd w:id="3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Item C. </w:t>
      </w:r>
      <w:r>
        <w:rPr>
          <w:rFonts w:ascii="Arial" w:cs="Arial" w:eastAsia="Arial" w:hAnsi="Arial"/>
          <w:sz w:val="18"/>
          <w:szCs w:val="18"/>
          <w:b w:val="1"/>
          <w:bCs w:val="1"/>
          <w:color w:val="auto"/>
        </w:rPr>
        <w:t>Leased Property; Bailees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List of consignments for OrthoBiologics distributor accounts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460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140" w:type="dxa"/>
            <w:vAlign w:val="bottom"/>
            <w:gridSpan w:val="2"/>
          </w:tcPr>
          <w:p>
            <w:pPr>
              <w:ind w:left="740"/>
              <w:spacing w:after="0"/>
              <w:rPr>
                <w:sz w:val="20"/>
                <w:szCs w:val="20"/>
                <w:color w:val="auto"/>
              </w:rPr>
            </w:pPr>
            <w:r>
              <w:rPr>
                <w:rFonts w:ascii="Arial" w:cs="Arial" w:eastAsia="Arial" w:hAnsi="Arial"/>
                <w:sz w:val="14"/>
                <w:szCs w:val="14"/>
                <w:b w:val="1"/>
                <w:bCs w:val="1"/>
                <w:color w:val="auto"/>
              </w:rPr>
              <w:t>CITY</w:t>
            </w:r>
          </w:p>
        </w:tc>
        <w:tc>
          <w:tcPr>
            <w:tcW w:w="440" w:type="dxa"/>
            <w:vAlign w:val="bottom"/>
          </w:tcPr>
          <w:p>
            <w:pPr>
              <w:ind w:left="20"/>
              <w:spacing w:after="0"/>
              <w:rPr>
                <w:sz w:val="20"/>
                <w:szCs w:val="20"/>
                <w:color w:val="auto"/>
              </w:rPr>
            </w:pPr>
            <w:r>
              <w:rPr>
                <w:rFonts w:ascii="Arial" w:cs="Arial" w:eastAsia="Arial" w:hAnsi="Arial"/>
                <w:sz w:val="14"/>
                <w:szCs w:val="14"/>
                <w:b w:val="1"/>
                <w:bCs w:val="1"/>
                <w:color w:val="auto"/>
                <w:w w:val="87"/>
              </w:rPr>
              <w:t>STATE</w:t>
            </w:r>
          </w:p>
        </w:tc>
      </w:tr>
      <w:tr>
        <w:trPr>
          <w:trHeight w:val="195"/>
        </w:trPr>
        <w:tc>
          <w:tcPr>
            <w:tcW w:w="5600" w:type="dxa"/>
            <w:vAlign w:val="bottom"/>
            <w:gridSpan w:val="2"/>
          </w:tcPr>
          <w:p>
            <w:pPr>
              <w:spacing w:after="0" w:line="195" w:lineRule="exact"/>
              <w:rPr>
                <w:sz w:val="20"/>
                <w:szCs w:val="20"/>
                <w:color w:val="auto"/>
              </w:rPr>
            </w:pPr>
            <w:r>
              <w:rPr>
                <w:rFonts w:ascii="Arial" w:cs="Arial" w:eastAsia="Arial" w:hAnsi="Arial"/>
                <w:sz w:val="18"/>
                <w:szCs w:val="18"/>
                <w:color w:val="auto"/>
              </w:rPr>
              <w:t>3D Spinal Solutions, LLC</w:t>
            </w:r>
          </w:p>
        </w:tc>
        <w:tc>
          <w:tcPr>
            <w:tcW w:w="3240" w:type="dxa"/>
            <w:vAlign w:val="bottom"/>
          </w:tcPr>
          <w:p>
            <w:pPr>
              <w:spacing w:after="0"/>
              <w:rPr>
                <w:sz w:val="16"/>
                <w:szCs w:val="16"/>
                <w:color w:val="auto"/>
              </w:rPr>
            </w:pPr>
          </w:p>
        </w:tc>
        <w:tc>
          <w:tcPr>
            <w:tcW w:w="1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Pittsford</w:t>
            </w:r>
          </w:p>
        </w:tc>
        <w:tc>
          <w:tcPr>
            <w:tcW w:w="320" w:type="dxa"/>
            <w:vAlign w:val="bottom"/>
          </w:tcPr>
          <w:p>
            <w:pPr>
              <w:spacing w:after="0"/>
              <w:rPr>
                <w:sz w:val="16"/>
                <w:szCs w:val="16"/>
                <w:color w:val="auto"/>
              </w:rPr>
            </w:pPr>
          </w:p>
        </w:tc>
        <w:tc>
          <w:tcPr>
            <w:tcW w:w="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NY</w:t>
            </w: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Advanced Medical</w:t>
            </w:r>
          </w:p>
        </w:tc>
        <w:tc>
          <w:tcPr>
            <w:tcW w:w="5380" w:type="dxa"/>
            <w:vAlign w:val="bottom"/>
            <w:gridSpan w:val="3"/>
          </w:tcPr>
          <w:p>
            <w:pPr>
              <w:ind w:left="3240"/>
              <w:spacing w:after="0"/>
              <w:rPr>
                <w:sz w:val="20"/>
                <w:szCs w:val="20"/>
                <w:color w:val="auto"/>
              </w:rPr>
            </w:pPr>
            <w:r>
              <w:rPr>
                <w:rFonts w:ascii="Arial" w:cs="Arial" w:eastAsia="Arial" w:hAnsi="Arial"/>
                <w:sz w:val="18"/>
                <w:szCs w:val="18"/>
                <w:color w:val="auto"/>
              </w:rPr>
              <w:t>St. Louis</w:t>
            </w:r>
          </w:p>
        </w:tc>
        <w:tc>
          <w:tcPr>
            <w:tcW w:w="440" w:type="dxa"/>
            <w:vAlign w:val="bottom"/>
          </w:tcPr>
          <w:p>
            <w:pPr>
              <w:spacing w:after="0"/>
              <w:rPr>
                <w:sz w:val="20"/>
                <w:szCs w:val="20"/>
                <w:color w:val="auto"/>
              </w:rPr>
            </w:pPr>
            <w:r>
              <w:rPr>
                <w:rFonts w:ascii="Arial" w:cs="Arial" w:eastAsia="Arial" w:hAnsi="Arial"/>
                <w:sz w:val="18"/>
                <w:szCs w:val="18"/>
                <w:color w:val="auto"/>
              </w:rPr>
              <w:t>MO</w:t>
            </w: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Alliance Medical, L.L.C.</w:t>
            </w:r>
          </w:p>
        </w:tc>
        <w:tc>
          <w:tcPr>
            <w:tcW w:w="5380" w:type="dxa"/>
            <w:vAlign w:val="bottom"/>
            <w:gridSpan w:val="3"/>
          </w:tcPr>
          <w:p>
            <w:pPr>
              <w:ind w:left="3240"/>
              <w:spacing w:after="0"/>
              <w:rPr>
                <w:sz w:val="20"/>
                <w:szCs w:val="20"/>
                <w:color w:val="auto"/>
              </w:rPr>
            </w:pPr>
            <w:r>
              <w:rPr>
                <w:rFonts w:ascii="Arial" w:cs="Arial" w:eastAsia="Arial" w:hAnsi="Arial"/>
                <w:sz w:val="18"/>
                <w:szCs w:val="18"/>
                <w:color w:val="auto"/>
              </w:rPr>
              <w:t>Latrobe</w:t>
            </w:r>
          </w:p>
        </w:tc>
        <w:tc>
          <w:tcPr>
            <w:tcW w:w="440" w:type="dxa"/>
            <w:vAlign w:val="bottom"/>
          </w:tcPr>
          <w:p>
            <w:pPr>
              <w:spacing w:after="0"/>
              <w:rPr>
                <w:sz w:val="20"/>
                <w:szCs w:val="20"/>
                <w:color w:val="auto"/>
              </w:rPr>
            </w:pPr>
            <w:r>
              <w:rPr>
                <w:rFonts w:ascii="Arial" w:cs="Arial" w:eastAsia="Arial" w:hAnsi="Arial"/>
                <w:sz w:val="18"/>
                <w:szCs w:val="18"/>
                <w:color w:val="auto"/>
              </w:rPr>
              <w:t>PA</w:t>
            </w: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Atchley Ortho, L.L.C.</w:t>
            </w:r>
          </w:p>
        </w:tc>
        <w:tc>
          <w:tcPr>
            <w:tcW w:w="5380" w:type="dxa"/>
            <w:vAlign w:val="bottom"/>
            <w:gridSpan w:val="3"/>
          </w:tcPr>
          <w:p>
            <w:pPr>
              <w:ind w:left="3240"/>
              <w:spacing w:after="0"/>
              <w:rPr>
                <w:sz w:val="20"/>
                <w:szCs w:val="20"/>
                <w:color w:val="auto"/>
              </w:rPr>
            </w:pPr>
            <w:r>
              <w:rPr>
                <w:rFonts w:ascii="Arial" w:cs="Arial" w:eastAsia="Arial" w:hAnsi="Arial"/>
                <w:sz w:val="18"/>
                <w:szCs w:val="18"/>
                <w:color w:val="auto"/>
              </w:rPr>
              <w:t>Durango</w:t>
            </w:r>
          </w:p>
        </w:tc>
        <w:tc>
          <w:tcPr>
            <w:tcW w:w="440" w:type="dxa"/>
            <w:vAlign w:val="bottom"/>
          </w:tcPr>
          <w:p>
            <w:pPr>
              <w:spacing w:after="0"/>
              <w:rPr>
                <w:sz w:val="20"/>
                <w:szCs w:val="20"/>
                <w:color w:val="auto"/>
              </w:rPr>
            </w:pPr>
            <w:r>
              <w:rPr>
                <w:rFonts w:ascii="Arial" w:cs="Arial" w:eastAsia="Arial" w:hAnsi="Arial"/>
                <w:sz w:val="18"/>
                <w:szCs w:val="18"/>
                <w:color w:val="auto"/>
              </w:rPr>
              <w:t>CO</w:t>
            </w: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Bluegrass Spine Assoc - OH</w:t>
            </w:r>
          </w:p>
        </w:tc>
        <w:tc>
          <w:tcPr>
            <w:tcW w:w="5380" w:type="dxa"/>
            <w:vAlign w:val="bottom"/>
            <w:gridSpan w:val="3"/>
          </w:tcPr>
          <w:p>
            <w:pPr>
              <w:ind w:left="3240"/>
              <w:spacing w:after="0"/>
              <w:rPr>
                <w:sz w:val="20"/>
                <w:szCs w:val="20"/>
                <w:color w:val="auto"/>
              </w:rPr>
            </w:pPr>
            <w:r>
              <w:rPr>
                <w:rFonts w:ascii="Arial" w:cs="Arial" w:eastAsia="Arial" w:hAnsi="Arial"/>
                <w:sz w:val="18"/>
                <w:szCs w:val="18"/>
                <w:color w:val="auto"/>
              </w:rPr>
              <w:t>Austin</w:t>
            </w:r>
          </w:p>
        </w:tc>
        <w:tc>
          <w:tcPr>
            <w:tcW w:w="440" w:type="dxa"/>
            <w:vAlign w:val="bottom"/>
          </w:tcPr>
          <w:p>
            <w:pPr>
              <w:spacing w:after="0"/>
              <w:rPr>
                <w:sz w:val="20"/>
                <w:szCs w:val="20"/>
                <w:color w:val="auto"/>
              </w:rPr>
            </w:pPr>
            <w:r>
              <w:rPr>
                <w:rFonts w:ascii="Arial" w:cs="Arial" w:eastAsia="Arial" w:hAnsi="Arial"/>
                <w:sz w:val="18"/>
                <w:szCs w:val="18"/>
                <w:color w:val="auto"/>
              </w:rPr>
              <w:t>TX</w:t>
            </w: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Bluegrass Spine Assoc. - KY</w:t>
            </w:r>
          </w:p>
        </w:tc>
        <w:tc>
          <w:tcPr>
            <w:tcW w:w="5380" w:type="dxa"/>
            <w:vAlign w:val="bottom"/>
            <w:gridSpan w:val="3"/>
          </w:tcPr>
          <w:p>
            <w:pPr>
              <w:ind w:left="3240"/>
              <w:spacing w:after="0"/>
              <w:rPr>
                <w:sz w:val="20"/>
                <w:szCs w:val="20"/>
                <w:color w:val="auto"/>
              </w:rPr>
            </w:pPr>
            <w:r>
              <w:rPr>
                <w:rFonts w:ascii="Arial" w:cs="Arial" w:eastAsia="Arial" w:hAnsi="Arial"/>
                <w:sz w:val="18"/>
                <w:szCs w:val="18"/>
                <w:color w:val="auto"/>
              </w:rPr>
              <w:t>Tampa</w:t>
            </w:r>
          </w:p>
        </w:tc>
        <w:tc>
          <w:tcPr>
            <w:tcW w:w="440" w:type="dxa"/>
            <w:vAlign w:val="bottom"/>
          </w:tcPr>
          <w:p>
            <w:pPr>
              <w:spacing w:after="0"/>
              <w:rPr>
                <w:sz w:val="20"/>
                <w:szCs w:val="20"/>
                <w:color w:val="auto"/>
              </w:rPr>
            </w:pPr>
            <w:r>
              <w:rPr>
                <w:rFonts w:ascii="Arial" w:cs="Arial" w:eastAsia="Arial" w:hAnsi="Arial"/>
                <w:sz w:val="18"/>
                <w:szCs w:val="18"/>
                <w:color w:val="auto"/>
              </w:rPr>
              <w:t>FL</w:t>
            </w: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Brooks Medical, LLC - A2061</w:t>
            </w:r>
          </w:p>
        </w:tc>
        <w:tc>
          <w:tcPr>
            <w:tcW w:w="5380" w:type="dxa"/>
            <w:vAlign w:val="bottom"/>
            <w:gridSpan w:val="3"/>
          </w:tcPr>
          <w:p>
            <w:pPr>
              <w:ind w:left="3240"/>
              <w:spacing w:after="0"/>
              <w:rPr>
                <w:sz w:val="20"/>
                <w:szCs w:val="20"/>
                <w:color w:val="auto"/>
              </w:rPr>
            </w:pPr>
            <w:r>
              <w:rPr>
                <w:rFonts w:ascii="Arial" w:cs="Arial" w:eastAsia="Arial" w:hAnsi="Arial"/>
                <w:sz w:val="18"/>
                <w:szCs w:val="18"/>
                <w:color w:val="auto"/>
              </w:rPr>
              <w:t>Pompano</w:t>
            </w:r>
          </w:p>
        </w:tc>
        <w:tc>
          <w:tcPr>
            <w:tcW w:w="440" w:type="dxa"/>
            <w:vAlign w:val="bottom"/>
          </w:tcPr>
          <w:p>
            <w:pPr>
              <w:spacing w:after="0"/>
              <w:rPr>
                <w:sz w:val="20"/>
                <w:szCs w:val="20"/>
                <w:color w:val="auto"/>
              </w:rPr>
            </w:pPr>
            <w:r>
              <w:rPr>
                <w:rFonts w:ascii="Arial" w:cs="Arial" w:eastAsia="Arial" w:hAnsi="Arial"/>
                <w:sz w:val="18"/>
                <w:szCs w:val="18"/>
                <w:color w:val="auto"/>
              </w:rPr>
              <w:t>FL</w:t>
            </w: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Brooks Medical, LLC - A2071</w:t>
            </w:r>
          </w:p>
        </w:tc>
        <w:tc>
          <w:tcPr>
            <w:tcW w:w="5380" w:type="dxa"/>
            <w:vAlign w:val="bottom"/>
            <w:gridSpan w:val="3"/>
          </w:tcPr>
          <w:p>
            <w:pPr>
              <w:ind w:left="3240"/>
              <w:spacing w:after="0"/>
              <w:rPr>
                <w:sz w:val="20"/>
                <w:szCs w:val="20"/>
                <w:color w:val="auto"/>
              </w:rPr>
            </w:pPr>
            <w:r>
              <w:rPr>
                <w:rFonts w:ascii="Arial" w:cs="Arial" w:eastAsia="Arial" w:hAnsi="Arial"/>
                <w:sz w:val="18"/>
                <w:szCs w:val="18"/>
                <w:color w:val="auto"/>
              </w:rPr>
              <w:t>Ann Arbor</w:t>
            </w:r>
          </w:p>
        </w:tc>
        <w:tc>
          <w:tcPr>
            <w:tcW w:w="440" w:type="dxa"/>
            <w:vAlign w:val="bottom"/>
          </w:tcPr>
          <w:p>
            <w:pPr>
              <w:spacing w:after="0"/>
              <w:rPr>
                <w:sz w:val="20"/>
                <w:szCs w:val="20"/>
                <w:color w:val="auto"/>
              </w:rPr>
            </w:pPr>
            <w:r>
              <w:rPr>
                <w:rFonts w:ascii="Arial" w:cs="Arial" w:eastAsia="Arial" w:hAnsi="Arial"/>
                <w:sz w:val="18"/>
                <w:szCs w:val="18"/>
                <w:color w:val="auto"/>
              </w:rPr>
              <w:t>MI</w:t>
            </w: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CCM Partners, L.L.C.</w:t>
            </w:r>
          </w:p>
        </w:tc>
        <w:tc>
          <w:tcPr>
            <w:tcW w:w="5380" w:type="dxa"/>
            <w:vAlign w:val="bottom"/>
            <w:gridSpan w:val="3"/>
          </w:tcPr>
          <w:p>
            <w:pPr>
              <w:ind w:left="3240"/>
              <w:spacing w:after="0"/>
              <w:rPr>
                <w:sz w:val="20"/>
                <w:szCs w:val="20"/>
                <w:color w:val="auto"/>
              </w:rPr>
            </w:pPr>
            <w:r>
              <w:rPr>
                <w:rFonts w:ascii="Arial" w:cs="Arial" w:eastAsia="Arial" w:hAnsi="Arial"/>
                <w:sz w:val="18"/>
                <w:szCs w:val="18"/>
                <w:color w:val="auto"/>
              </w:rPr>
              <w:t>San Diego</w:t>
            </w:r>
          </w:p>
        </w:tc>
        <w:tc>
          <w:tcPr>
            <w:tcW w:w="44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CCM Partners, LLC - Evansville</w:t>
            </w:r>
          </w:p>
        </w:tc>
        <w:tc>
          <w:tcPr>
            <w:tcW w:w="5380" w:type="dxa"/>
            <w:vAlign w:val="bottom"/>
            <w:gridSpan w:val="3"/>
          </w:tcPr>
          <w:p>
            <w:pPr>
              <w:ind w:left="3240"/>
              <w:spacing w:after="0"/>
              <w:rPr>
                <w:sz w:val="20"/>
                <w:szCs w:val="20"/>
                <w:color w:val="auto"/>
              </w:rPr>
            </w:pPr>
            <w:r>
              <w:rPr>
                <w:rFonts w:ascii="Arial" w:cs="Arial" w:eastAsia="Arial" w:hAnsi="Arial"/>
                <w:sz w:val="18"/>
                <w:szCs w:val="18"/>
                <w:color w:val="auto"/>
              </w:rPr>
              <w:t>West Columbia</w:t>
            </w:r>
          </w:p>
        </w:tc>
        <w:tc>
          <w:tcPr>
            <w:tcW w:w="440" w:type="dxa"/>
            <w:vAlign w:val="bottom"/>
          </w:tcPr>
          <w:p>
            <w:pPr>
              <w:spacing w:after="0"/>
              <w:rPr>
                <w:sz w:val="20"/>
                <w:szCs w:val="20"/>
                <w:color w:val="auto"/>
              </w:rPr>
            </w:pPr>
            <w:r>
              <w:rPr>
                <w:rFonts w:ascii="Arial" w:cs="Arial" w:eastAsia="Arial" w:hAnsi="Arial"/>
                <w:sz w:val="18"/>
                <w:szCs w:val="18"/>
                <w:color w:val="auto"/>
              </w:rPr>
              <w:t>SC</w:t>
            </w: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CCM Partners, LLC - Ft. Wayne</w:t>
            </w:r>
          </w:p>
        </w:tc>
        <w:tc>
          <w:tcPr>
            <w:tcW w:w="5380" w:type="dxa"/>
            <w:vAlign w:val="bottom"/>
            <w:gridSpan w:val="3"/>
          </w:tcPr>
          <w:p>
            <w:pPr>
              <w:ind w:left="3240"/>
              <w:spacing w:after="0"/>
              <w:rPr>
                <w:sz w:val="20"/>
                <w:szCs w:val="20"/>
                <w:color w:val="auto"/>
              </w:rPr>
            </w:pPr>
            <w:r>
              <w:rPr>
                <w:rFonts w:ascii="Arial" w:cs="Arial" w:eastAsia="Arial" w:hAnsi="Arial"/>
                <w:sz w:val="18"/>
                <w:szCs w:val="18"/>
                <w:color w:val="auto"/>
              </w:rPr>
              <w:t>Prairieville</w:t>
            </w:r>
          </w:p>
        </w:tc>
        <w:tc>
          <w:tcPr>
            <w:tcW w:w="440" w:type="dxa"/>
            <w:vAlign w:val="bottom"/>
          </w:tcPr>
          <w:p>
            <w:pPr>
              <w:spacing w:after="0"/>
              <w:rPr>
                <w:sz w:val="20"/>
                <w:szCs w:val="20"/>
                <w:color w:val="auto"/>
              </w:rPr>
            </w:pPr>
            <w:r>
              <w:rPr>
                <w:rFonts w:ascii="Arial" w:cs="Arial" w:eastAsia="Arial" w:hAnsi="Arial"/>
                <w:sz w:val="18"/>
                <w:szCs w:val="18"/>
                <w:color w:val="auto"/>
              </w:rPr>
              <w:t>LA</w:t>
            </w: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CCM Partners, LLC - Indianapol</w:t>
            </w:r>
          </w:p>
        </w:tc>
        <w:tc>
          <w:tcPr>
            <w:tcW w:w="5380" w:type="dxa"/>
            <w:vAlign w:val="bottom"/>
            <w:gridSpan w:val="3"/>
          </w:tcPr>
          <w:p>
            <w:pPr>
              <w:ind w:left="3240"/>
              <w:spacing w:after="0"/>
              <w:rPr>
                <w:sz w:val="20"/>
                <w:szCs w:val="20"/>
                <w:color w:val="auto"/>
              </w:rPr>
            </w:pPr>
            <w:r>
              <w:rPr>
                <w:rFonts w:ascii="Arial" w:cs="Arial" w:eastAsia="Arial" w:hAnsi="Arial"/>
                <w:sz w:val="18"/>
                <w:szCs w:val="18"/>
                <w:color w:val="auto"/>
              </w:rPr>
              <w:t>West Columbia</w:t>
            </w:r>
          </w:p>
        </w:tc>
        <w:tc>
          <w:tcPr>
            <w:tcW w:w="440" w:type="dxa"/>
            <w:vAlign w:val="bottom"/>
          </w:tcPr>
          <w:p>
            <w:pPr>
              <w:spacing w:after="0"/>
              <w:rPr>
                <w:sz w:val="20"/>
                <w:szCs w:val="20"/>
                <w:color w:val="auto"/>
              </w:rPr>
            </w:pPr>
            <w:r>
              <w:rPr>
                <w:rFonts w:ascii="Arial" w:cs="Arial" w:eastAsia="Arial" w:hAnsi="Arial"/>
                <w:sz w:val="18"/>
                <w:szCs w:val="18"/>
                <w:color w:val="auto"/>
              </w:rPr>
              <w:t>SC</w:t>
            </w: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CCM Partners, LLC - MI</w:t>
            </w:r>
          </w:p>
        </w:tc>
        <w:tc>
          <w:tcPr>
            <w:tcW w:w="5380" w:type="dxa"/>
            <w:vAlign w:val="bottom"/>
            <w:gridSpan w:val="3"/>
          </w:tcPr>
          <w:p>
            <w:pPr>
              <w:ind w:left="3240"/>
              <w:spacing w:after="0"/>
              <w:rPr>
                <w:sz w:val="20"/>
                <w:szCs w:val="20"/>
                <w:color w:val="auto"/>
              </w:rPr>
            </w:pPr>
            <w:r>
              <w:rPr>
                <w:rFonts w:ascii="Arial" w:cs="Arial" w:eastAsia="Arial" w:hAnsi="Arial"/>
                <w:sz w:val="18"/>
                <w:szCs w:val="18"/>
                <w:color w:val="auto"/>
              </w:rPr>
              <w:t>Austin</w:t>
            </w:r>
          </w:p>
        </w:tc>
        <w:tc>
          <w:tcPr>
            <w:tcW w:w="440" w:type="dxa"/>
            <w:vAlign w:val="bottom"/>
          </w:tcPr>
          <w:p>
            <w:pPr>
              <w:spacing w:after="0"/>
              <w:rPr>
                <w:sz w:val="20"/>
                <w:szCs w:val="20"/>
                <w:color w:val="auto"/>
              </w:rPr>
            </w:pPr>
            <w:r>
              <w:rPr>
                <w:rFonts w:ascii="Arial" w:cs="Arial" w:eastAsia="Arial" w:hAnsi="Arial"/>
                <w:sz w:val="18"/>
                <w:szCs w:val="18"/>
                <w:color w:val="auto"/>
              </w:rPr>
              <w:t>TX</w:t>
            </w: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CCM Partners, LLC - OH</w:t>
            </w:r>
          </w:p>
        </w:tc>
        <w:tc>
          <w:tcPr>
            <w:tcW w:w="5380" w:type="dxa"/>
            <w:vAlign w:val="bottom"/>
            <w:gridSpan w:val="3"/>
          </w:tcPr>
          <w:p>
            <w:pPr>
              <w:ind w:left="3240"/>
              <w:spacing w:after="0"/>
              <w:rPr>
                <w:sz w:val="20"/>
                <w:szCs w:val="20"/>
                <w:color w:val="auto"/>
              </w:rPr>
            </w:pPr>
            <w:r>
              <w:rPr>
                <w:rFonts w:ascii="Arial" w:cs="Arial" w:eastAsia="Arial" w:hAnsi="Arial"/>
                <w:sz w:val="18"/>
                <w:szCs w:val="18"/>
                <w:color w:val="auto"/>
              </w:rPr>
              <w:t>San Francisco</w:t>
            </w:r>
          </w:p>
        </w:tc>
        <w:tc>
          <w:tcPr>
            <w:tcW w:w="44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CK Orthopaedics, Inc.</w:t>
            </w:r>
          </w:p>
        </w:tc>
        <w:tc>
          <w:tcPr>
            <w:tcW w:w="5380" w:type="dxa"/>
            <w:vAlign w:val="bottom"/>
            <w:gridSpan w:val="3"/>
          </w:tcPr>
          <w:p>
            <w:pPr>
              <w:ind w:left="3240"/>
              <w:spacing w:after="0"/>
              <w:rPr>
                <w:sz w:val="20"/>
                <w:szCs w:val="20"/>
                <w:color w:val="auto"/>
              </w:rPr>
            </w:pPr>
            <w:r>
              <w:rPr>
                <w:rFonts w:ascii="Arial" w:cs="Arial" w:eastAsia="Arial" w:hAnsi="Arial"/>
                <w:sz w:val="18"/>
                <w:szCs w:val="18"/>
                <w:color w:val="auto"/>
              </w:rPr>
              <w:t>Rockledge</w:t>
            </w:r>
          </w:p>
        </w:tc>
        <w:tc>
          <w:tcPr>
            <w:tcW w:w="440" w:type="dxa"/>
            <w:vAlign w:val="bottom"/>
          </w:tcPr>
          <w:p>
            <w:pPr>
              <w:spacing w:after="0"/>
              <w:rPr>
                <w:sz w:val="20"/>
                <w:szCs w:val="20"/>
                <w:color w:val="auto"/>
              </w:rPr>
            </w:pPr>
            <w:r>
              <w:rPr>
                <w:rFonts w:ascii="Arial" w:cs="Arial" w:eastAsia="Arial" w:hAnsi="Arial"/>
                <w:sz w:val="18"/>
                <w:szCs w:val="18"/>
                <w:color w:val="auto"/>
              </w:rPr>
              <w:t>FL</w:t>
            </w: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Core Medical, LLC - OH</w:t>
            </w:r>
          </w:p>
        </w:tc>
        <w:tc>
          <w:tcPr>
            <w:tcW w:w="5380" w:type="dxa"/>
            <w:vAlign w:val="bottom"/>
            <w:gridSpan w:val="3"/>
          </w:tcPr>
          <w:p>
            <w:pPr>
              <w:ind w:left="3240"/>
              <w:spacing w:after="0"/>
              <w:rPr>
                <w:sz w:val="20"/>
                <w:szCs w:val="20"/>
                <w:color w:val="auto"/>
              </w:rPr>
            </w:pPr>
            <w:r>
              <w:rPr>
                <w:rFonts w:ascii="Arial" w:cs="Arial" w:eastAsia="Arial" w:hAnsi="Arial"/>
                <w:sz w:val="18"/>
                <w:szCs w:val="18"/>
                <w:color w:val="auto"/>
              </w:rPr>
              <w:t>St. Louis</w:t>
            </w:r>
          </w:p>
        </w:tc>
        <w:tc>
          <w:tcPr>
            <w:tcW w:w="440" w:type="dxa"/>
            <w:vAlign w:val="bottom"/>
          </w:tcPr>
          <w:p>
            <w:pPr>
              <w:spacing w:after="0"/>
              <w:rPr>
                <w:sz w:val="20"/>
                <w:szCs w:val="20"/>
                <w:color w:val="auto"/>
              </w:rPr>
            </w:pPr>
            <w:r>
              <w:rPr>
                <w:rFonts w:ascii="Arial" w:cs="Arial" w:eastAsia="Arial" w:hAnsi="Arial"/>
                <w:sz w:val="18"/>
                <w:szCs w:val="18"/>
                <w:color w:val="auto"/>
              </w:rPr>
              <w:t>MO</w:t>
            </w: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Del TX LLC</w:t>
            </w:r>
          </w:p>
        </w:tc>
        <w:tc>
          <w:tcPr>
            <w:tcW w:w="5380" w:type="dxa"/>
            <w:vAlign w:val="bottom"/>
            <w:gridSpan w:val="3"/>
          </w:tcPr>
          <w:p>
            <w:pPr>
              <w:ind w:left="3240"/>
              <w:spacing w:after="0"/>
              <w:rPr>
                <w:sz w:val="20"/>
                <w:szCs w:val="20"/>
                <w:color w:val="auto"/>
              </w:rPr>
            </w:pPr>
            <w:r>
              <w:rPr>
                <w:rFonts w:ascii="Arial" w:cs="Arial" w:eastAsia="Arial" w:hAnsi="Arial"/>
                <w:sz w:val="18"/>
                <w:szCs w:val="18"/>
                <w:color w:val="auto"/>
              </w:rPr>
              <w:t>Fishers</w:t>
            </w:r>
          </w:p>
        </w:tc>
        <w:tc>
          <w:tcPr>
            <w:tcW w:w="440" w:type="dxa"/>
            <w:vAlign w:val="bottom"/>
          </w:tcPr>
          <w:p>
            <w:pPr>
              <w:spacing w:after="0"/>
              <w:rPr>
                <w:sz w:val="20"/>
                <w:szCs w:val="20"/>
                <w:color w:val="auto"/>
              </w:rPr>
            </w:pPr>
            <w:r>
              <w:rPr>
                <w:rFonts w:ascii="Arial" w:cs="Arial" w:eastAsia="Arial" w:hAnsi="Arial"/>
                <w:sz w:val="18"/>
                <w:szCs w:val="18"/>
                <w:color w:val="auto"/>
              </w:rPr>
              <w:t>IN</w:t>
            </w: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Del TX-MS, LLC</w:t>
            </w:r>
          </w:p>
        </w:tc>
        <w:tc>
          <w:tcPr>
            <w:tcW w:w="5380" w:type="dxa"/>
            <w:vAlign w:val="bottom"/>
            <w:gridSpan w:val="3"/>
          </w:tcPr>
          <w:p>
            <w:pPr>
              <w:ind w:left="3240"/>
              <w:spacing w:after="0"/>
              <w:rPr>
                <w:sz w:val="20"/>
                <w:szCs w:val="20"/>
                <w:color w:val="auto"/>
              </w:rPr>
            </w:pPr>
            <w:r>
              <w:rPr>
                <w:rFonts w:ascii="Arial" w:cs="Arial" w:eastAsia="Arial" w:hAnsi="Arial"/>
                <w:sz w:val="18"/>
                <w:szCs w:val="18"/>
                <w:color w:val="auto"/>
              </w:rPr>
              <w:t>Austin</w:t>
            </w:r>
          </w:p>
        </w:tc>
        <w:tc>
          <w:tcPr>
            <w:tcW w:w="440" w:type="dxa"/>
            <w:vAlign w:val="bottom"/>
          </w:tcPr>
          <w:p>
            <w:pPr>
              <w:spacing w:after="0"/>
              <w:rPr>
                <w:sz w:val="20"/>
                <w:szCs w:val="20"/>
                <w:color w:val="auto"/>
              </w:rPr>
            </w:pPr>
            <w:r>
              <w:rPr>
                <w:rFonts w:ascii="Arial" w:cs="Arial" w:eastAsia="Arial" w:hAnsi="Arial"/>
                <w:sz w:val="18"/>
                <w:szCs w:val="18"/>
                <w:color w:val="auto"/>
              </w:rPr>
              <w:t>TX</w:t>
            </w: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Dryan Medical, LLC</w:t>
            </w:r>
          </w:p>
        </w:tc>
        <w:tc>
          <w:tcPr>
            <w:tcW w:w="5380" w:type="dxa"/>
            <w:vAlign w:val="bottom"/>
            <w:gridSpan w:val="3"/>
          </w:tcPr>
          <w:p>
            <w:pPr>
              <w:ind w:left="3240"/>
              <w:spacing w:after="0"/>
              <w:rPr>
                <w:sz w:val="20"/>
                <w:szCs w:val="20"/>
                <w:color w:val="auto"/>
              </w:rPr>
            </w:pPr>
            <w:r>
              <w:rPr>
                <w:rFonts w:ascii="Arial" w:cs="Arial" w:eastAsia="Arial" w:hAnsi="Arial"/>
                <w:sz w:val="18"/>
                <w:szCs w:val="18"/>
                <w:color w:val="auto"/>
              </w:rPr>
              <w:t>St. Louis</w:t>
            </w:r>
          </w:p>
        </w:tc>
        <w:tc>
          <w:tcPr>
            <w:tcW w:w="440" w:type="dxa"/>
            <w:vAlign w:val="bottom"/>
          </w:tcPr>
          <w:p>
            <w:pPr>
              <w:spacing w:after="0"/>
              <w:rPr>
                <w:sz w:val="20"/>
                <w:szCs w:val="20"/>
                <w:color w:val="auto"/>
              </w:rPr>
            </w:pPr>
            <w:r>
              <w:rPr>
                <w:rFonts w:ascii="Arial" w:cs="Arial" w:eastAsia="Arial" w:hAnsi="Arial"/>
                <w:sz w:val="18"/>
                <w:szCs w:val="18"/>
                <w:color w:val="auto"/>
              </w:rPr>
              <w:t>MO</w:t>
            </w: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DTM Medical Inc</w:t>
            </w:r>
          </w:p>
        </w:tc>
        <w:tc>
          <w:tcPr>
            <w:tcW w:w="5380" w:type="dxa"/>
            <w:vAlign w:val="bottom"/>
            <w:gridSpan w:val="3"/>
          </w:tcPr>
          <w:p>
            <w:pPr>
              <w:ind w:left="3240"/>
              <w:spacing w:after="0"/>
              <w:rPr>
                <w:sz w:val="20"/>
                <w:szCs w:val="20"/>
                <w:color w:val="auto"/>
              </w:rPr>
            </w:pPr>
            <w:r>
              <w:rPr>
                <w:rFonts w:ascii="Arial" w:cs="Arial" w:eastAsia="Arial" w:hAnsi="Arial"/>
                <w:sz w:val="18"/>
                <w:szCs w:val="18"/>
                <w:color w:val="auto"/>
              </w:rPr>
              <w:t>Fishers</w:t>
            </w:r>
          </w:p>
        </w:tc>
        <w:tc>
          <w:tcPr>
            <w:tcW w:w="440" w:type="dxa"/>
            <w:vAlign w:val="bottom"/>
          </w:tcPr>
          <w:p>
            <w:pPr>
              <w:spacing w:after="0"/>
              <w:rPr>
                <w:sz w:val="20"/>
                <w:szCs w:val="20"/>
                <w:color w:val="auto"/>
              </w:rPr>
            </w:pPr>
            <w:r>
              <w:rPr>
                <w:rFonts w:ascii="Arial" w:cs="Arial" w:eastAsia="Arial" w:hAnsi="Arial"/>
                <w:sz w:val="18"/>
                <w:szCs w:val="18"/>
                <w:color w:val="auto"/>
              </w:rPr>
              <w:t>IN</w:t>
            </w: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Encore South East &amp; Assoc. LLC</w:t>
            </w:r>
          </w:p>
        </w:tc>
        <w:tc>
          <w:tcPr>
            <w:tcW w:w="5380" w:type="dxa"/>
            <w:vAlign w:val="bottom"/>
            <w:gridSpan w:val="3"/>
          </w:tcPr>
          <w:p>
            <w:pPr>
              <w:ind w:left="3240"/>
              <w:spacing w:after="0"/>
              <w:rPr>
                <w:sz w:val="20"/>
                <w:szCs w:val="20"/>
                <w:color w:val="auto"/>
              </w:rPr>
            </w:pPr>
            <w:r>
              <w:rPr>
                <w:rFonts w:ascii="Arial" w:cs="Arial" w:eastAsia="Arial" w:hAnsi="Arial"/>
                <w:sz w:val="18"/>
                <w:szCs w:val="18"/>
                <w:color w:val="auto"/>
              </w:rPr>
              <w:t>Fishers</w:t>
            </w:r>
          </w:p>
        </w:tc>
        <w:tc>
          <w:tcPr>
            <w:tcW w:w="440" w:type="dxa"/>
            <w:vAlign w:val="bottom"/>
          </w:tcPr>
          <w:p>
            <w:pPr>
              <w:spacing w:after="0"/>
              <w:rPr>
                <w:sz w:val="20"/>
                <w:szCs w:val="20"/>
                <w:color w:val="auto"/>
              </w:rPr>
            </w:pPr>
            <w:r>
              <w:rPr>
                <w:rFonts w:ascii="Arial" w:cs="Arial" w:eastAsia="Arial" w:hAnsi="Arial"/>
                <w:sz w:val="18"/>
                <w:szCs w:val="18"/>
                <w:color w:val="auto"/>
              </w:rPr>
              <w:t>IN</w:t>
            </w: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Ethical Medical, L.L.C.</w:t>
            </w:r>
          </w:p>
        </w:tc>
        <w:tc>
          <w:tcPr>
            <w:tcW w:w="5380" w:type="dxa"/>
            <w:vAlign w:val="bottom"/>
            <w:gridSpan w:val="3"/>
          </w:tcPr>
          <w:p>
            <w:pPr>
              <w:ind w:left="3240"/>
              <w:spacing w:after="0"/>
              <w:rPr>
                <w:sz w:val="20"/>
                <w:szCs w:val="20"/>
                <w:color w:val="auto"/>
              </w:rPr>
            </w:pPr>
            <w:r>
              <w:rPr>
                <w:rFonts w:ascii="Arial" w:cs="Arial" w:eastAsia="Arial" w:hAnsi="Arial"/>
                <w:sz w:val="18"/>
                <w:szCs w:val="18"/>
                <w:color w:val="auto"/>
              </w:rPr>
              <w:t>Fishers</w:t>
            </w:r>
          </w:p>
        </w:tc>
        <w:tc>
          <w:tcPr>
            <w:tcW w:w="440" w:type="dxa"/>
            <w:vAlign w:val="bottom"/>
          </w:tcPr>
          <w:p>
            <w:pPr>
              <w:spacing w:after="0"/>
              <w:rPr>
                <w:sz w:val="20"/>
                <w:szCs w:val="20"/>
                <w:color w:val="auto"/>
              </w:rPr>
            </w:pPr>
            <w:r>
              <w:rPr>
                <w:rFonts w:ascii="Arial" w:cs="Arial" w:eastAsia="Arial" w:hAnsi="Arial"/>
                <w:sz w:val="18"/>
                <w:szCs w:val="18"/>
                <w:color w:val="auto"/>
              </w:rPr>
              <w:t>IN</w:t>
            </w: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F &amp; F Ventures, Inc.</w:t>
            </w:r>
          </w:p>
        </w:tc>
        <w:tc>
          <w:tcPr>
            <w:tcW w:w="5380" w:type="dxa"/>
            <w:vAlign w:val="bottom"/>
            <w:gridSpan w:val="3"/>
          </w:tcPr>
          <w:p>
            <w:pPr>
              <w:ind w:left="3240"/>
              <w:spacing w:after="0"/>
              <w:rPr>
                <w:sz w:val="20"/>
                <w:szCs w:val="20"/>
                <w:color w:val="auto"/>
              </w:rPr>
            </w:pPr>
            <w:r>
              <w:rPr>
                <w:rFonts w:ascii="Arial" w:cs="Arial" w:eastAsia="Arial" w:hAnsi="Arial"/>
                <w:sz w:val="18"/>
                <w:szCs w:val="18"/>
                <w:color w:val="auto"/>
              </w:rPr>
              <w:t>North Caldwell</w:t>
            </w:r>
          </w:p>
        </w:tc>
        <w:tc>
          <w:tcPr>
            <w:tcW w:w="440" w:type="dxa"/>
            <w:vAlign w:val="bottom"/>
          </w:tcPr>
          <w:p>
            <w:pPr>
              <w:spacing w:after="0"/>
              <w:rPr>
                <w:sz w:val="20"/>
                <w:szCs w:val="20"/>
                <w:color w:val="auto"/>
              </w:rPr>
            </w:pPr>
            <w:r>
              <w:rPr>
                <w:rFonts w:ascii="Arial" w:cs="Arial" w:eastAsia="Arial" w:hAnsi="Arial"/>
                <w:sz w:val="18"/>
                <w:szCs w:val="18"/>
                <w:color w:val="auto"/>
              </w:rPr>
              <w:t>NJ</w:t>
            </w: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GAP Medical, LLC</w:t>
            </w:r>
          </w:p>
        </w:tc>
        <w:tc>
          <w:tcPr>
            <w:tcW w:w="5380" w:type="dxa"/>
            <w:vAlign w:val="bottom"/>
            <w:gridSpan w:val="3"/>
          </w:tcPr>
          <w:p>
            <w:pPr>
              <w:ind w:left="3240"/>
              <w:spacing w:after="0"/>
              <w:rPr>
                <w:sz w:val="20"/>
                <w:szCs w:val="20"/>
                <w:color w:val="auto"/>
              </w:rPr>
            </w:pPr>
            <w:r>
              <w:rPr>
                <w:rFonts w:ascii="Arial" w:cs="Arial" w:eastAsia="Arial" w:hAnsi="Arial"/>
                <w:sz w:val="18"/>
                <w:szCs w:val="18"/>
                <w:color w:val="auto"/>
              </w:rPr>
              <w:t>Bourbonnais</w:t>
            </w:r>
          </w:p>
        </w:tc>
        <w:tc>
          <w:tcPr>
            <w:tcW w:w="440" w:type="dxa"/>
            <w:vAlign w:val="bottom"/>
          </w:tcPr>
          <w:p>
            <w:pPr>
              <w:spacing w:after="0"/>
              <w:rPr>
                <w:sz w:val="20"/>
                <w:szCs w:val="20"/>
                <w:color w:val="auto"/>
              </w:rPr>
            </w:pPr>
            <w:r>
              <w:rPr>
                <w:rFonts w:ascii="Arial" w:cs="Arial" w:eastAsia="Arial" w:hAnsi="Arial"/>
                <w:sz w:val="18"/>
                <w:szCs w:val="18"/>
                <w:color w:val="auto"/>
              </w:rPr>
              <w:t>IL</w:t>
            </w: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Genesis Associates</w:t>
            </w:r>
          </w:p>
        </w:tc>
        <w:tc>
          <w:tcPr>
            <w:tcW w:w="5380" w:type="dxa"/>
            <w:vAlign w:val="bottom"/>
            <w:gridSpan w:val="3"/>
          </w:tcPr>
          <w:p>
            <w:pPr>
              <w:ind w:left="3240"/>
              <w:spacing w:after="0"/>
              <w:rPr>
                <w:sz w:val="20"/>
                <w:szCs w:val="20"/>
                <w:color w:val="auto"/>
              </w:rPr>
            </w:pPr>
            <w:r>
              <w:rPr>
                <w:rFonts w:ascii="Arial" w:cs="Arial" w:eastAsia="Arial" w:hAnsi="Arial"/>
                <w:sz w:val="18"/>
                <w:szCs w:val="18"/>
                <w:color w:val="auto"/>
              </w:rPr>
              <w:t>St. Louis</w:t>
            </w:r>
          </w:p>
        </w:tc>
        <w:tc>
          <w:tcPr>
            <w:tcW w:w="440" w:type="dxa"/>
            <w:vAlign w:val="bottom"/>
          </w:tcPr>
          <w:p>
            <w:pPr>
              <w:spacing w:after="0"/>
              <w:rPr>
                <w:sz w:val="20"/>
                <w:szCs w:val="20"/>
                <w:color w:val="auto"/>
              </w:rPr>
            </w:pPr>
            <w:r>
              <w:rPr>
                <w:rFonts w:ascii="Arial" w:cs="Arial" w:eastAsia="Arial" w:hAnsi="Arial"/>
                <w:sz w:val="18"/>
                <w:szCs w:val="18"/>
                <w:color w:val="auto"/>
              </w:rPr>
              <w:t>MO</w:t>
            </w: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I.M. Hipp, Inc.</w:t>
            </w:r>
          </w:p>
        </w:tc>
        <w:tc>
          <w:tcPr>
            <w:tcW w:w="5380" w:type="dxa"/>
            <w:vAlign w:val="bottom"/>
            <w:gridSpan w:val="3"/>
          </w:tcPr>
          <w:p>
            <w:pPr>
              <w:ind w:left="3240"/>
              <w:spacing w:after="0"/>
              <w:rPr>
                <w:sz w:val="20"/>
                <w:szCs w:val="20"/>
                <w:color w:val="auto"/>
              </w:rPr>
            </w:pPr>
            <w:r>
              <w:rPr>
                <w:rFonts w:ascii="Arial" w:cs="Arial" w:eastAsia="Arial" w:hAnsi="Arial"/>
                <w:sz w:val="18"/>
                <w:szCs w:val="18"/>
                <w:color w:val="auto"/>
              </w:rPr>
              <w:t>Maple Grove</w:t>
            </w:r>
          </w:p>
        </w:tc>
        <w:tc>
          <w:tcPr>
            <w:tcW w:w="440" w:type="dxa"/>
            <w:vAlign w:val="bottom"/>
          </w:tcPr>
          <w:p>
            <w:pPr>
              <w:spacing w:after="0"/>
              <w:rPr>
                <w:sz w:val="20"/>
                <w:szCs w:val="20"/>
                <w:color w:val="auto"/>
              </w:rPr>
            </w:pPr>
            <w:r>
              <w:rPr>
                <w:rFonts w:ascii="Arial" w:cs="Arial" w:eastAsia="Arial" w:hAnsi="Arial"/>
                <w:sz w:val="18"/>
                <w:szCs w:val="18"/>
                <w:color w:val="auto"/>
              </w:rPr>
              <w:t>MN</w:t>
            </w: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MAB Surgical, LLC</w:t>
            </w:r>
          </w:p>
        </w:tc>
        <w:tc>
          <w:tcPr>
            <w:tcW w:w="5380" w:type="dxa"/>
            <w:vAlign w:val="bottom"/>
            <w:gridSpan w:val="3"/>
          </w:tcPr>
          <w:p>
            <w:pPr>
              <w:ind w:left="3240"/>
              <w:spacing w:after="0"/>
              <w:rPr>
                <w:sz w:val="20"/>
                <w:szCs w:val="20"/>
                <w:color w:val="auto"/>
              </w:rPr>
            </w:pPr>
            <w:r>
              <w:rPr>
                <w:rFonts w:ascii="Arial" w:cs="Arial" w:eastAsia="Arial" w:hAnsi="Arial"/>
                <w:sz w:val="18"/>
                <w:szCs w:val="18"/>
                <w:color w:val="auto"/>
              </w:rPr>
              <w:t>Atlanta</w:t>
            </w:r>
          </w:p>
        </w:tc>
        <w:tc>
          <w:tcPr>
            <w:tcW w:w="440" w:type="dxa"/>
            <w:vAlign w:val="bottom"/>
          </w:tcPr>
          <w:p>
            <w:pPr>
              <w:spacing w:after="0"/>
              <w:rPr>
                <w:sz w:val="20"/>
                <w:szCs w:val="20"/>
                <w:color w:val="auto"/>
              </w:rPr>
            </w:pPr>
            <w:r>
              <w:rPr>
                <w:rFonts w:ascii="Arial" w:cs="Arial" w:eastAsia="Arial" w:hAnsi="Arial"/>
                <w:sz w:val="18"/>
                <w:szCs w:val="18"/>
                <w:color w:val="auto"/>
              </w:rPr>
              <w:t>GA</w:t>
            </w:r>
          </w:p>
        </w:tc>
      </w:tr>
      <w:tr>
        <w:trPr>
          <w:trHeight w:val="222"/>
        </w:trPr>
        <w:tc>
          <w:tcPr>
            <w:tcW w:w="5600" w:type="dxa"/>
            <w:vAlign w:val="bottom"/>
            <w:gridSpan w:val="2"/>
          </w:tcPr>
          <w:p>
            <w:pPr>
              <w:spacing w:after="0"/>
              <w:rPr>
                <w:sz w:val="20"/>
                <w:szCs w:val="20"/>
                <w:color w:val="auto"/>
              </w:rPr>
            </w:pPr>
            <w:r>
              <w:rPr>
                <w:rFonts w:ascii="Arial" w:cs="Arial" w:eastAsia="Arial" w:hAnsi="Arial"/>
                <w:sz w:val="18"/>
                <w:szCs w:val="18"/>
                <w:color w:val="auto"/>
              </w:rPr>
              <w:t>MacLean Surgical, Inc.</w:t>
            </w:r>
          </w:p>
        </w:tc>
        <w:tc>
          <w:tcPr>
            <w:tcW w:w="5380" w:type="dxa"/>
            <w:vAlign w:val="bottom"/>
            <w:gridSpan w:val="3"/>
          </w:tcPr>
          <w:p>
            <w:pPr>
              <w:ind w:left="3240"/>
              <w:spacing w:after="0"/>
              <w:rPr>
                <w:sz w:val="20"/>
                <w:szCs w:val="20"/>
                <w:color w:val="auto"/>
              </w:rPr>
            </w:pPr>
            <w:r>
              <w:rPr>
                <w:rFonts w:ascii="Arial" w:cs="Arial" w:eastAsia="Arial" w:hAnsi="Arial"/>
                <w:sz w:val="18"/>
                <w:szCs w:val="18"/>
                <w:color w:val="auto"/>
              </w:rPr>
              <w:t>Bourbonnais</w:t>
            </w:r>
          </w:p>
        </w:tc>
        <w:tc>
          <w:tcPr>
            <w:tcW w:w="440" w:type="dxa"/>
            <w:vAlign w:val="bottom"/>
          </w:tcPr>
          <w:p>
            <w:pPr>
              <w:spacing w:after="0"/>
              <w:rPr>
                <w:sz w:val="20"/>
                <w:szCs w:val="20"/>
                <w:color w:val="auto"/>
              </w:rPr>
            </w:pPr>
            <w:r>
              <w:rPr>
                <w:rFonts w:ascii="Arial" w:cs="Arial" w:eastAsia="Arial" w:hAnsi="Arial"/>
                <w:sz w:val="18"/>
                <w:szCs w:val="18"/>
                <w:color w:val="auto"/>
              </w:rPr>
              <w:t>IL</w:t>
            </w:r>
          </w:p>
        </w:tc>
      </w:tr>
    </w:tbl>
    <w:p>
      <w:pPr>
        <w:sectPr>
          <w:pgSz w:w="11900" w:h="16838" w:orient="portrait"/>
          <w:cols w:equalWidth="0" w:num="1">
            <w:col w:w="11420"/>
          </w:cols>
          <w:pgMar w:left="240" w:top="274" w:right="239" w:bottom="1440" w:gutter="0" w:footer="0" w:header="0"/>
        </w:sectPr>
      </w:pPr>
    </w:p>
    <w:bookmarkStart w:id="349" w:name="page350"/>
    <w:bookmarkEnd w:id="34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Mark Starring and Assoc., Inc</w:t>
            </w:r>
          </w:p>
        </w:tc>
        <w:tc>
          <w:tcPr>
            <w:tcW w:w="4980" w:type="dxa"/>
            <w:vAlign w:val="bottom"/>
          </w:tcPr>
          <w:p>
            <w:pPr>
              <w:ind w:left="3400"/>
              <w:spacing w:after="0"/>
              <w:rPr>
                <w:sz w:val="20"/>
                <w:szCs w:val="20"/>
                <w:color w:val="auto"/>
              </w:rPr>
            </w:pPr>
            <w:r>
              <w:rPr>
                <w:rFonts w:ascii="Arial" w:cs="Arial" w:eastAsia="Arial" w:hAnsi="Arial"/>
                <w:sz w:val="18"/>
                <w:szCs w:val="18"/>
                <w:color w:val="auto"/>
              </w:rPr>
              <w:t>Omaha</w:t>
            </w:r>
          </w:p>
        </w:tc>
        <w:tc>
          <w:tcPr>
            <w:tcW w:w="740" w:type="dxa"/>
            <w:vAlign w:val="bottom"/>
          </w:tcPr>
          <w:p>
            <w:pPr>
              <w:ind w:left="460"/>
              <w:spacing w:after="0"/>
              <w:rPr>
                <w:sz w:val="20"/>
                <w:szCs w:val="20"/>
                <w:color w:val="auto"/>
              </w:rPr>
            </w:pPr>
            <w:r>
              <w:rPr>
                <w:rFonts w:ascii="Arial" w:cs="Arial" w:eastAsia="Arial" w:hAnsi="Arial"/>
                <w:sz w:val="18"/>
                <w:szCs w:val="18"/>
                <w:color w:val="auto"/>
              </w:rPr>
              <w:t>NE</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MedCOR Professionals, Inc.</w:t>
            </w:r>
          </w:p>
        </w:tc>
        <w:tc>
          <w:tcPr>
            <w:tcW w:w="4980" w:type="dxa"/>
            <w:vAlign w:val="bottom"/>
          </w:tcPr>
          <w:p>
            <w:pPr>
              <w:ind w:left="3400"/>
              <w:spacing w:after="0"/>
              <w:rPr>
                <w:sz w:val="20"/>
                <w:szCs w:val="20"/>
                <w:color w:val="auto"/>
              </w:rPr>
            </w:pPr>
            <w:r>
              <w:rPr>
                <w:rFonts w:ascii="Arial" w:cs="Arial" w:eastAsia="Arial" w:hAnsi="Arial"/>
                <w:sz w:val="18"/>
                <w:szCs w:val="18"/>
                <w:color w:val="auto"/>
              </w:rPr>
              <w:t>Birmingham</w:t>
            </w:r>
          </w:p>
        </w:tc>
        <w:tc>
          <w:tcPr>
            <w:tcW w:w="740" w:type="dxa"/>
            <w:vAlign w:val="bottom"/>
          </w:tcPr>
          <w:p>
            <w:pPr>
              <w:ind w:left="460"/>
              <w:spacing w:after="0"/>
              <w:rPr>
                <w:sz w:val="20"/>
                <w:szCs w:val="20"/>
                <w:color w:val="auto"/>
              </w:rPr>
            </w:pPr>
            <w:r>
              <w:rPr>
                <w:rFonts w:ascii="Arial" w:cs="Arial" w:eastAsia="Arial" w:hAnsi="Arial"/>
                <w:sz w:val="18"/>
                <w:szCs w:val="18"/>
                <w:color w:val="auto"/>
              </w:rPr>
              <w:t>AL</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Medical Excellence SW, Inc-AZ</w:t>
            </w:r>
          </w:p>
        </w:tc>
        <w:tc>
          <w:tcPr>
            <w:tcW w:w="4980" w:type="dxa"/>
            <w:vAlign w:val="bottom"/>
          </w:tcPr>
          <w:p>
            <w:pPr>
              <w:ind w:left="3400"/>
              <w:spacing w:after="0"/>
              <w:rPr>
                <w:sz w:val="20"/>
                <w:szCs w:val="20"/>
                <w:color w:val="auto"/>
              </w:rPr>
            </w:pPr>
            <w:r>
              <w:rPr>
                <w:rFonts w:ascii="Arial" w:cs="Arial" w:eastAsia="Arial" w:hAnsi="Arial"/>
                <w:sz w:val="18"/>
                <w:szCs w:val="18"/>
                <w:color w:val="auto"/>
              </w:rPr>
              <w:t>Westerville</w:t>
            </w:r>
          </w:p>
        </w:tc>
        <w:tc>
          <w:tcPr>
            <w:tcW w:w="740" w:type="dxa"/>
            <w:vAlign w:val="bottom"/>
          </w:tcPr>
          <w:p>
            <w:pPr>
              <w:ind w:left="460"/>
              <w:spacing w:after="0"/>
              <w:rPr>
                <w:sz w:val="20"/>
                <w:szCs w:val="20"/>
                <w:color w:val="auto"/>
              </w:rPr>
            </w:pPr>
            <w:r>
              <w:rPr>
                <w:rFonts w:ascii="Arial" w:cs="Arial" w:eastAsia="Arial" w:hAnsi="Arial"/>
                <w:sz w:val="18"/>
                <w:szCs w:val="18"/>
                <w:color w:val="auto"/>
                <w:w w:val="96"/>
              </w:rPr>
              <w:t>OH</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Medlink Inc.</w:t>
            </w:r>
          </w:p>
        </w:tc>
        <w:tc>
          <w:tcPr>
            <w:tcW w:w="4980" w:type="dxa"/>
            <w:vAlign w:val="bottom"/>
          </w:tcPr>
          <w:p>
            <w:pPr>
              <w:ind w:left="3400"/>
              <w:spacing w:after="0"/>
              <w:rPr>
                <w:sz w:val="20"/>
                <w:szCs w:val="20"/>
                <w:color w:val="auto"/>
              </w:rPr>
            </w:pPr>
            <w:r>
              <w:rPr>
                <w:rFonts w:ascii="Arial" w:cs="Arial" w:eastAsia="Arial" w:hAnsi="Arial"/>
                <w:sz w:val="18"/>
                <w:szCs w:val="18"/>
                <w:color w:val="auto"/>
              </w:rPr>
              <w:t>Boise</w:t>
            </w:r>
          </w:p>
        </w:tc>
        <w:tc>
          <w:tcPr>
            <w:tcW w:w="740" w:type="dxa"/>
            <w:vAlign w:val="bottom"/>
          </w:tcPr>
          <w:p>
            <w:pPr>
              <w:ind w:left="460"/>
              <w:spacing w:after="0"/>
              <w:rPr>
                <w:sz w:val="20"/>
                <w:szCs w:val="20"/>
                <w:color w:val="auto"/>
              </w:rPr>
            </w:pPr>
            <w:r>
              <w:rPr>
                <w:rFonts w:ascii="Arial" w:cs="Arial" w:eastAsia="Arial" w:hAnsi="Arial"/>
                <w:sz w:val="18"/>
                <w:szCs w:val="18"/>
                <w:color w:val="auto"/>
              </w:rPr>
              <w:t>ID</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MedTrex Inc</w:t>
            </w:r>
          </w:p>
        </w:tc>
        <w:tc>
          <w:tcPr>
            <w:tcW w:w="4980" w:type="dxa"/>
            <w:vAlign w:val="bottom"/>
          </w:tcPr>
          <w:p>
            <w:pPr>
              <w:ind w:left="3400"/>
              <w:spacing w:after="0"/>
              <w:rPr>
                <w:sz w:val="20"/>
                <w:szCs w:val="20"/>
                <w:color w:val="auto"/>
              </w:rPr>
            </w:pPr>
            <w:r>
              <w:rPr>
                <w:rFonts w:ascii="Arial" w:cs="Arial" w:eastAsia="Arial" w:hAnsi="Arial"/>
                <w:sz w:val="18"/>
                <w:szCs w:val="18"/>
                <w:color w:val="auto"/>
              </w:rPr>
              <w:t>North Caldwell</w:t>
            </w:r>
          </w:p>
        </w:tc>
        <w:tc>
          <w:tcPr>
            <w:tcW w:w="740" w:type="dxa"/>
            <w:vAlign w:val="bottom"/>
          </w:tcPr>
          <w:p>
            <w:pPr>
              <w:ind w:left="460"/>
              <w:spacing w:after="0"/>
              <w:rPr>
                <w:sz w:val="20"/>
                <w:szCs w:val="20"/>
                <w:color w:val="auto"/>
              </w:rPr>
            </w:pPr>
            <w:r>
              <w:rPr>
                <w:rFonts w:ascii="Arial" w:cs="Arial" w:eastAsia="Arial" w:hAnsi="Arial"/>
                <w:sz w:val="18"/>
                <w:szCs w:val="18"/>
                <w:color w:val="auto"/>
              </w:rPr>
              <w:t>NJ</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Medtrex Surg and Orthobiologic</w:t>
            </w:r>
          </w:p>
        </w:tc>
        <w:tc>
          <w:tcPr>
            <w:tcW w:w="4980" w:type="dxa"/>
            <w:vAlign w:val="bottom"/>
          </w:tcPr>
          <w:p>
            <w:pPr>
              <w:ind w:left="3400"/>
              <w:spacing w:after="0"/>
              <w:rPr>
                <w:sz w:val="20"/>
                <w:szCs w:val="20"/>
                <w:color w:val="auto"/>
              </w:rPr>
            </w:pPr>
            <w:r>
              <w:rPr>
                <w:rFonts w:ascii="Arial" w:cs="Arial" w:eastAsia="Arial" w:hAnsi="Arial"/>
                <w:sz w:val="18"/>
                <w:szCs w:val="18"/>
                <w:color w:val="auto"/>
              </w:rPr>
              <w:t>Scottsdale</w:t>
            </w:r>
          </w:p>
        </w:tc>
        <w:tc>
          <w:tcPr>
            <w:tcW w:w="740" w:type="dxa"/>
            <w:vAlign w:val="bottom"/>
          </w:tcPr>
          <w:p>
            <w:pPr>
              <w:ind w:left="460"/>
              <w:spacing w:after="0"/>
              <w:rPr>
                <w:sz w:val="20"/>
                <w:szCs w:val="20"/>
                <w:color w:val="auto"/>
              </w:rPr>
            </w:pPr>
            <w:r>
              <w:rPr>
                <w:rFonts w:ascii="Arial" w:cs="Arial" w:eastAsia="Arial" w:hAnsi="Arial"/>
                <w:sz w:val="18"/>
                <w:szCs w:val="18"/>
                <w:color w:val="auto"/>
              </w:rPr>
              <w:t>AZ</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Mitts Medical, Inc. A2044</w:t>
            </w:r>
          </w:p>
        </w:tc>
        <w:tc>
          <w:tcPr>
            <w:tcW w:w="4980" w:type="dxa"/>
            <w:vAlign w:val="bottom"/>
          </w:tcPr>
          <w:p>
            <w:pPr>
              <w:ind w:left="3400"/>
              <w:spacing w:after="0"/>
              <w:rPr>
                <w:sz w:val="20"/>
                <w:szCs w:val="20"/>
                <w:color w:val="auto"/>
              </w:rPr>
            </w:pPr>
            <w:r>
              <w:rPr>
                <w:rFonts w:ascii="Arial" w:cs="Arial" w:eastAsia="Arial" w:hAnsi="Arial"/>
                <w:sz w:val="18"/>
                <w:szCs w:val="18"/>
                <w:color w:val="auto"/>
              </w:rPr>
              <w:t>Fishers</w:t>
            </w:r>
          </w:p>
        </w:tc>
        <w:tc>
          <w:tcPr>
            <w:tcW w:w="740" w:type="dxa"/>
            <w:vAlign w:val="bottom"/>
          </w:tcPr>
          <w:p>
            <w:pPr>
              <w:ind w:left="460"/>
              <w:spacing w:after="0"/>
              <w:rPr>
                <w:sz w:val="20"/>
                <w:szCs w:val="20"/>
                <w:color w:val="auto"/>
              </w:rPr>
            </w:pPr>
            <w:r>
              <w:rPr>
                <w:rFonts w:ascii="Arial" w:cs="Arial" w:eastAsia="Arial" w:hAnsi="Arial"/>
                <w:sz w:val="18"/>
                <w:szCs w:val="18"/>
                <w:color w:val="auto"/>
              </w:rPr>
              <w:t>IN</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Mitts Medical, Inc. A2047</w:t>
            </w:r>
          </w:p>
        </w:tc>
        <w:tc>
          <w:tcPr>
            <w:tcW w:w="4980" w:type="dxa"/>
            <w:vAlign w:val="bottom"/>
          </w:tcPr>
          <w:p>
            <w:pPr>
              <w:ind w:left="3400"/>
              <w:spacing w:after="0"/>
              <w:rPr>
                <w:sz w:val="20"/>
                <w:szCs w:val="20"/>
                <w:color w:val="auto"/>
              </w:rPr>
            </w:pPr>
            <w:r>
              <w:rPr>
                <w:rFonts w:ascii="Arial" w:cs="Arial" w:eastAsia="Arial" w:hAnsi="Arial"/>
                <w:sz w:val="18"/>
                <w:szCs w:val="18"/>
                <w:color w:val="auto"/>
              </w:rPr>
              <w:t>Birmingham</w:t>
            </w:r>
          </w:p>
        </w:tc>
        <w:tc>
          <w:tcPr>
            <w:tcW w:w="740" w:type="dxa"/>
            <w:vAlign w:val="bottom"/>
          </w:tcPr>
          <w:p>
            <w:pPr>
              <w:ind w:left="460"/>
              <w:spacing w:after="0"/>
              <w:rPr>
                <w:sz w:val="20"/>
                <w:szCs w:val="20"/>
                <w:color w:val="auto"/>
              </w:rPr>
            </w:pPr>
            <w:r>
              <w:rPr>
                <w:rFonts w:ascii="Arial" w:cs="Arial" w:eastAsia="Arial" w:hAnsi="Arial"/>
                <w:sz w:val="18"/>
                <w:szCs w:val="18"/>
                <w:color w:val="auto"/>
              </w:rPr>
              <w:t>AL</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Moore Medical Solutions, LLC</w:t>
            </w:r>
          </w:p>
        </w:tc>
        <w:tc>
          <w:tcPr>
            <w:tcW w:w="4980" w:type="dxa"/>
            <w:vAlign w:val="bottom"/>
          </w:tcPr>
          <w:p>
            <w:pPr>
              <w:ind w:left="3400"/>
              <w:spacing w:after="0"/>
              <w:rPr>
                <w:sz w:val="20"/>
                <w:szCs w:val="20"/>
                <w:color w:val="auto"/>
              </w:rPr>
            </w:pPr>
            <w:r>
              <w:rPr>
                <w:rFonts w:ascii="Arial" w:cs="Arial" w:eastAsia="Arial" w:hAnsi="Arial"/>
                <w:sz w:val="18"/>
                <w:szCs w:val="18"/>
                <w:color w:val="auto"/>
              </w:rPr>
              <w:t>Prospect</w:t>
            </w:r>
          </w:p>
        </w:tc>
        <w:tc>
          <w:tcPr>
            <w:tcW w:w="740" w:type="dxa"/>
            <w:vAlign w:val="bottom"/>
          </w:tcPr>
          <w:p>
            <w:pPr>
              <w:ind w:left="460"/>
              <w:spacing w:after="0"/>
              <w:rPr>
                <w:sz w:val="20"/>
                <w:szCs w:val="20"/>
                <w:color w:val="auto"/>
              </w:rPr>
            </w:pPr>
            <w:r>
              <w:rPr>
                <w:rFonts w:ascii="Arial" w:cs="Arial" w:eastAsia="Arial" w:hAnsi="Arial"/>
                <w:sz w:val="18"/>
                <w:szCs w:val="18"/>
                <w:color w:val="auto"/>
              </w:rPr>
              <w:t>KY</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Operating Room Specialty, LLC</w:t>
            </w:r>
          </w:p>
        </w:tc>
        <w:tc>
          <w:tcPr>
            <w:tcW w:w="4980" w:type="dxa"/>
            <w:vAlign w:val="bottom"/>
          </w:tcPr>
          <w:p>
            <w:pPr>
              <w:ind w:left="3400"/>
              <w:spacing w:after="0"/>
              <w:rPr>
                <w:sz w:val="20"/>
                <w:szCs w:val="20"/>
                <w:color w:val="auto"/>
              </w:rPr>
            </w:pPr>
            <w:r>
              <w:rPr>
                <w:rFonts w:ascii="Arial" w:cs="Arial" w:eastAsia="Arial" w:hAnsi="Arial"/>
                <w:sz w:val="18"/>
                <w:szCs w:val="18"/>
                <w:color w:val="auto"/>
              </w:rPr>
              <w:t>Prospect</w:t>
            </w:r>
          </w:p>
        </w:tc>
        <w:tc>
          <w:tcPr>
            <w:tcW w:w="740" w:type="dxa"/>
            <w:vAlign w:val="bottom"/>
          </w:tcPr>
          <w:p>
            <w:pPr>
              <w:ind w:left="460"/>
              <w:spacing w:after="0"/>
              <w:rPr>
                <w:sz w:val="20"/>
                <w:szCs w:val="20"/>
                <w:color w:val="auto"/>
              </w:rPr>
            </w:pPr>
            <w:r>
              <w:rPr>
                <w:rFonts w:ascii="Arial" w:cs="Arial" w:eastAsia="Arial" w:hAnsi="Arial"/>
                <w:sz w:val="18"/>
                <w:szCs w:val="18"/>
                <w:color w:val="auto"/>
              </w:rPr>
              <w:t>KY</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Ortho Endeavors, Inc.</w:t>
            </w:r>
          </w:p>
        </w:tc>
        <w:tc>
          <w:tcPr>
            <w:tcW w:w="4980" w:type="dxa"/>
            <w:vAlign w:val="bottom"/>
          </w:tcPr>
          <w:p>
            <w:pPr>
              <w:ind w:left="3400"/>
              <w:spacing w:after="0"/>
              <w:rPr>
                <w:sz w:val="20"/>
                <w:szCs w:val="20"/>
                <w:color w:val="auto"/>
              </w:rPr>
            </w:pPr>
            <w:r>
              <w:rPr>
                <w:rFonts w:ascii="Arial" w:cs="Arial" w:eastAsia="Arial" w:hAnsi="Arial"/>
                <w:sz w:val="18"/>
                <w:szCs w:val="18"/>
                <w:color w:val="auto"/>
              </w:rPr>
              <w:t>Annapolis</w:t>
            </w:r>
          </w:p>
        </w:tc>
        <w:tc>
          <w:tcPr>
            <w:tcW w:w="740" w:type="dxa"/>
            <w:vAlign w:val="bottom"/>
          </w:tcPr>
          <w:p>
            <w:pPr>
              <w:ind w:left="460"/>
              <w:spacing w:after="0"/>
              <w:rPr>
                <w:sz w:val="20"/>
                <w:szCs w:val="20"/>
                <w:color w:val="auto"/>
              </w:rPr>
            </w:pPr>
            <w:r>
              <w:rPr>
                <w:rFonts w:ascii="Arial" w:cs="Arial" w:eastAsia="Arial" w:hAnsi="Arial"/>
                <w:sz w:val="18"/>
                <w:szCs w:val="18"/>
                <w:color w:val="auto"/>
                <w:w w:val="92"/>
              </w:rPr>
              <w:t>MD</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OSS - Central Texas</w:t>
            </w:r>
          </w:p>
        </w:tc>
        <w:tc>
          <w:tcPr>
            <w:tcW w:w="4980" w:type="dxa"/>
            <w:vAlign w:val="bottom"/>
          </w:tcPr>
          <w:p>
            <w:pPr>
              <w:ind w:left="3400"/>
              <w:spacing w:after="0"/>
              <w:rPr>
                <w:sz w:val="20"/>
                <w:szCs w:val="20"/>
                <w:color w:val="auto"/>
              </w:rPr>
            </w:pPr>
            <w:r>
              <w:rPr>
                <w:rFonts w:ascii="Arial" w:cs="Arial" w:eastAsia="Arial" w:hAnsi="Arial"/>
                <w:sz w:val="18"/>
                <w:szCs w:val="18"/>
                <w:color w:val="auto"/>
              </w:rPr>
              <w:t>La Verne</w:t>
            </w:r>
          </w:p>
        </w:tc>
        <w:tc>
          <w:tcPr>
            <w:tcW w:w="740" w:type="dxa"/>
            <w:vAlign w:val="bottom"/>
          </w:tcPr>
          <w:p>
            <w:pPr>
              <w:ind w:left="460"/>
              <w:spacing w:after="0"/>
              <w:rPr>
                <w:sz w:val="20"/>
                <w:szCs w:val="20"/>
                <w:color w:val="auto"/>
              </w:rPr>
            </w:pPr>
            <w:r>
              <w:rPr>
                <w:rFonts w:ascii="Arial" w:cs="Arial" w:eastAsia="Arial" w:hAnsi="Arial"/>
                <w:sz w:val="18"/>
                <w:szCs w:val="18"/>
                <w:color w:val="auto"/>
              </w:rPr>
              <w:t>CA</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OSS - Dallas Fort Worth</w:t>
            </w:r>
          </w:p>
        </w:tc>
        <w:tc>
          <w:tcPr>
            <w:tcW w:w="4980" w:type="dxa"/>
            <w:vAlign w:val="bottom"/>
          </w:tcPr>
          <w:p>
            <w:pPr>
              <w:ind w:left="3400"/>
              <w:spacing w:after="0"/>
              <w:rPr>
                <w:sz w:val="20"/>
                <w:szCs w:val="20"/>
                <w:color w:val="auto"/>
              </w:rPr>
            </w:pPr>
            <w:r>
              <w:rPr>
                <w:rFonts w:ascii="Arial" w:cs="Arial" w:eastAsia="Arial" w:hAnsi="Arial"/>
                <w:sz w:val="18"/>
                <w:szCs w:val="18"/>
                <w:color w:val="auto"/>
              </w:rPr>
              <w:t>Dakota Dunes</w:t>
            </w:r>
          </w:p>
        </w:tc>
        <w:tc>
          <w:tcPr>
            <w:tcW w:w="740" w:type="dxa"/>
            <w:vAlign w:val="bottom"/>
          </w:tcPr>
          <w:p>
            <w:pPr>
              <w:ind w:left="460"/>
              <w:spacing w:after="0"/>
              <w:rPr>
                <w:sz w:val="20"/>
                <w:szCs w:val="20"/>
                <w:color w:val="auto"/>
              </w:rPr>
            </w:pPr>
            <w:r>
              <w:rPr>
                <w:rFonts w:ascii="Arial" w:cs="Arial" w:eastAsia="Arial" w:hAnsi="Arial"/>
                <w:sz w:val="18"/>
                <w:szCs w:val="18"/>
                <w:color w:val="auto"/>
              </w:rPr>
              <w:t>SD</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OSS - Houston</w:t>
            </w:r>
          </w:p>
        </w:tc>
        <w:tc>
          <w:tcPr>
            <w:tcW w:w="4980" w:type="dxa"/>
            <w:vAlign w:val="bottom"/>
          </w:tcPr>
          <w:p>
            <w:pPr>
              <w:ind w:left="3400"/>
              <w:spacing w:after="0"/>
              <w:rPr>
                <w:sz w:val="20"/>
                <w:szCs w:val="20"/>
                <w:color w:val="auto"/>
              </w:rPr>
            </w:pPr>
            <w:r>
              <w:rPr>
                <w:rFonts w:ascii="Arial" w:cs="Arial" w:eastAsia="Arial" w:hAnsi="Arial"/>
                <w:sz w:val="18"/>
                <w:szCs w:val="18"/>
                <w:color w:val="auto"/>
              </w:rPr>
              <w:t>Madison</w:t>
            </w:r>
          </w:p>
        </w:tc>
        <w:tc>
          <w:tcPr>
            <w:tcW w:w="740" w:type="dxa"/>
            <w:vAlign w:val="bottom"/>
          </w:tcPr>
          <w:p>
            <w:pPr>
              <w:ind w:left="460"/>
              <w:spacing w:after="0"/>
              <w:rPr>
                <w:sz w:val="20"/>
                <w:szCs w:val="20"/>
                <w:color w:val="auto"/>
              </w:rPr>
            </w:pPr>
            <w:r>
              <w:rPr>
                <w:rFonts w:ascii="Arial" w:cs="Arial" w:eastAsia="Arial" w:hAnsi="Arial"/>
                <w:sz w:val="18"/>
                <w:szCs w:val="18"/>
                <w:color w:val="auto"/>
                <w:w w:val="96"/>
              </w:rPr>
              <w:t>MS</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P.A.N.D.A Global Med Supply</w:t>
            </w:r>
          </w:p>
        </w:tc>
        <w:tc>
          <w:tcPr>
            <w:tcW w:w="4980" w:type="dxa"/>
            <w:vAlign w:val="bottom"/>
          </w:tcPr>
          <w:p>
            <w:pPr>
              <w:ind w:left="3400"/>
              <w:spacing w:after="0"/>
              <w:rPr>
                <w:sz w:val="20"/>
                <w:szCs w:val="20"/>
                <w:color w:val="auto"/>
              </w:rPr>
            </w:pPr>
            <w:r>
              <w:rPr>
                <w:rFonts w:ascii="Arial" w:cs="Arial" w:eastAsia="Arial" w:hAnsi="Arial"/>
                <w:sz w:val="18"/>
                <w:szCs w:val="18"/>
                <w:color w:val="auto"/>
              </w:rPr>
              <w:t>Durango</w:t>
            </w:r>
          </w:p>
        </w:tc>
        <w:tc>
          <w:tcPr>
            <w:tcW w:w="740" w:type="dxa"/>
            <w:vAlign w:val="bottom"/>
          </w:tcPr>
          <w:p>
            <w:pPr>
              <w:ind w:left="460"/>
              <w:spacing w:after="0"/>
              <w:rPr>
                <w:sz w:val="20"/>
                <w:szCs w:val="20"/>
                <w:color w:val="auto"/>
              </w:rPr>
            </w:pPr>
            <w:r>
              <w:rPr>
                <w:rFonts w:ascii="Arial" w:cs="Arial" w:eastAsia="Arial" w:hAnsi="Arial"/>
                <w:sz w:val="18"/>
                <w:szCs w:val="18"/>
                <w:color w:val="auto"/>
                <w:w w:val="96"/>
              </w:rPr>
              <w:t>CO</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Peak Medical</w:t>
            </w:r>
          </w:p>
        </w:tc>
        <w:tc>
          <w:tcPr>
            <w:tcW w:w="4980" w:type="dxa"/>
            <w:vAlign w:val="bottom"/>
          </w:tcPr>
          <w:p>
            <w:pPr>
              <w:ind w:left="3400"/>
              <w:spacing w:after="0"/>
              <w:rPr>
                <w:sz w:val="20"/>
                <w:szCs w:val="20"/>
                <w:color w:val="auto"/>
              </w:rPr>
            </w:pPr>
            <w:r>
              <w:rPr>
                <w:rFonts w:ascii="Arial" w:cs="Arial" w:eastAsia="Arial" w:hAnsi="Arial"/>
                <w:sz w:val="18"/>
                <w:szCs w:val="18"/>
                <w:color w:val="auto"/>
              </w:rPr>
              <w:t>Fayetteville</w:t>
            </w:r>
          </w:p>
        </w:tc>
        <w:tc>
          <w:tcPr>
            <w:tcW w:w="740" w:type="dxa"/>
            <w:vAlign w:val="bottom"/>
          </w:tcPr>
          <w:p>
            <w:pPr>
              <w:ind w:left="460"/>
              <w:spacing w:after="0"/>
              <w:rPr>
                <w:sz w:val="20"/>
                <w:szCs w:val="20"/>
                <w:color w:val="auto"/>
              </w:rPr>
            </w:pPr>
            <w:r>
              <w:rPr>
                <w:rFonts w:ascii="Arial" w:cs="Arial" w:eastAsia="Arial" w:hAnsi="Arial"/>
                <w:sz w:val="18"/>
                <w:szCs w:val="18"/>
                <w:color w:val="auto"/>
              </w:rPr>
              <w:t>NY</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Precision Orthopedics</w:t>
            </w:r>
          </w:p>
        </w:tc>
        <w:tc>
          <w:tcPr>
            <w:tcW w:w="4980" w:type="dxa"/>
            <w:vAlign w:val="bottom"/>
          </w:tcPr>
          <w:p>
            <w:pPr>
              <w:ind w:left="3400"/>
              <w:spacing w:after="0"/>
              <w:rPr>
                <w:sz w:val="20"/>
                <w:szCs w:val="20"/>
                <w:color w:val="auto"/>
              </w:rPr>
            </w:pPr>
            <w:r>
              <w:rPr>
                <w:rFonts w:ascii="Arial" w:cs="Arial" w:eastAsia="Arial" w:hAnsi="Arial"/>
                <w:sz w:val="18"/>
                <w:szCs w:val="18"/>
                <w:color w:val="auto"/>
              </w:rPr>
              <w:t>Salem</w:t>
            </w:r>
          </w:p>
        </w:tc>
        <w:tc>
          <w:tcPr>
            <w:tcW w:w="740" w:type="dxa"/>
            <w:vAlign w:val="bottom"/>
          </w:tcPr>
          <w:p>
            <w:pPr>
              <w:ind w:left="460"/>
              <w:spacing w:after="0"/>
              <w:rPr>
                <w:sz w:val="20"/>
                <w:szCs w:val="20"/>
                <w:color w:val="auto"/>
              </w:rPr>
            </w:pPr>
            <w:r>
              <w:rPr>
                <w:rFonts w:ascii="Arial" w:cs="Arial" w:eastAsia="Arial" w:hAnsi="Arial"/>
                <w:sz w:val="18"/>
                <w:szCs w:val="18"/>
                <w:color w:val="auto"/>
                <w:w w:val="99"/>
              </w:rPr>
              <w:t>NH</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Quest Orthopedics, LLC</w:t>
            </w:r>
          </w:p>
        </w:tc>
        <w:tc>
          <w:tcPr>
            <w:tcW w:w="4980" w:type="dxa"/>
            <w:vAlign w:val="bottom"/>
          </w:tcPr>
          <w:p>
            <w:pPr>
              <w:ind w:left="3400"/>
              <w:spacing w:after="0"/>
              <w:rPr>
                <w:sz w:val="20"/>
                <w:szCs w:val="20"/>
                <w:color w:val="auto"/>
              </w:rPr>
            </w:pPr>
            <w:r>
              <w:rPr>
                <w:rFonts w:ascii="Arial" w:cs="Arial" w:eastAsia="Arial" w:hAnsi="Arial"/>
                <w:sz w:val="18"/>
                <w:szCs w:val="18"/>
                <w:color w:val="auto"/>
              </w:rPr>
              <w:t>Beaverton</w:t>
            </w:r>
          </w:p>
        </w:tc>
        <w:tc>
          <w:tcPr>
            <w:tcW w:w="740" w:type="dxa"/>
            <w:vAlign w:val="bottom"/>
          </w:tcPr>
          <w:p>
            <w:pPr>
              <w:ind w:left="460"/>
              <w:spacing w:after="0"/>
              <w:rPr>
                <w:sz w:val="20"/>
                <w:szCs w:val="20"/>
                <w:color w:val="auto"/>
              </w:rPr>
            </w:pPr>
            <w:r>
              <w:rPr>
                <w:rFonts w:ascii="Arial" w:cs="Arial" w:eastAsia="Arial" w:hAnsi="Arial"/>
                <w:sz w:val="18"/>
                <w:szCs w:val="18"/>
                <w:color w:val="auto"/>
                <w:w w:val="96"/>
              </w:rPr>
              <w:t>OR</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Quest Orthopedics, LLC-PA</w:t>
            </w:r>
          </w:p>
        </w:tc>
        <w:tc>
          <w:tcPr>
            <w:tcW w:w="4980" w:type="dxa"/>
            <w:vAlign w:val="bottom"/>
          </w:tcPr>
          <w:p>
            <w:pPr>
              <w:ind w:left="3400"/>
              <w:spacing w:after="0"/>
              <w:rPr>
                <w:sz w:val="20"/>
                <w:szCs w:val="20"/>
                <w:color w:val="auto"/>
              </w:rPr>
            </w:pPr>
            <w:r>
              <w:rPr>
                <w:rFonts w:ascii="Arial" w:cs="Arial" w:eastAsia="Arial" w:hAnsi="Arial"/>
                <w:sz w:val="18"/>
                <w:szCs w:val="18"/>
                <w:color w:val="auto"/>
              </w:rPr>
              <w:t>Huntsville</w:t>
            </w:r>
          </w:p>
        </w:tc>
        <w:tc>
          <w:tcPr>
            <w:tcW w:w="740" w:type="dxa"/>
            <w:vAlign w:val="bottom"/>
          </w:tcPr>
          <w:p>
            <w:pPr>
              <w:ind w:left="460"/>
              <w:spacing w:after="0"/>
              <w:rPr>
                <w:sz w:val="20"/>
                <w:szCs w:val="20"/>
                <w:color w:val="auto"/>
              </w:rPr>
            </w:pPr>
            <w:r>
              <w:rPr>
                <w:rFonts w:ascii="Arial" w:cs="Arial" w:eastAsia="Arial" w:hAnsi="Arial"/>
                <w:sz w:val="18"/>
                <w:szCs w:val="18"/>
                <w:color w:val="auto"/>
              </w:rPr>
              <w:t>UT</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RAM Surgical Solutions, Inc.</w:t>
            </w:r>
          </w:p>
        </w:tc>
        <w:tc>
          <w:tcPr>
            <w:tcW w:w="4980" w:type="dxa"/>
            <w:vAlign w:val="bottom"/>
          </w:tcPr>
          <w:p>
            <w:pPr>
              <w:ind w:left="3400"/>
              <w:spacing w:after="0"/>
              <w:rPr>
                <w:sz w:val="20"/>
                <w:szCs w:val="20"/>
                <w:color w:val="auto"/>
              </w:rPr>
            </w:pPr>
            <w:r>
              <w:rPr>
                <w:rFonts w:ascii="Arial" w:cs="Arial" w:eastAsia="Arial" w:hAnsi="Arial"/>
                <w:sz w:val="18"/>
                <w:szCs w:val="18"/>
                <w:color w:val="auto"/>
              </w:rPr>
              <w:t>Greenville</w:t>
            </w:r>
          </w:p>
        </w:tc>
        <w:tc>
          <w:tcPr>
            <w:tcW w:w="740" w:type="dxa"/>
            <w:vAlign w:val="bottom"/>
          </w:tcPr>
          <w:p>
            <w:pPr>
              <w:ind w:left="460"/>
              <w:spacing w:after="0"/>
              <w:rPr>
                <w:sz w:val="20"/>
                <w:szCs w:val="20"/>
                <w:color w:val="auto"/>
              </w:rPr>
            </w:pPr>
            <w:r>
              <w:rPr>
                <w:rFonts w:ascii="Arial" w:cs="Arial" w:eastAsia="Arial" w:hAnsi="Arial"/>
                <w:sz w:val="18"/>
                <w:szCs w:val="18"/>
                <w:color w:val="auto"/>
              </w:rPr>
              <w:t>DE</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Red Mountain Surgical</w:t>
            </w:r>
          </w:p>
        </w:tc>
        <w:tc>
          <w:tcPr>
            <w:tcW w:w="4980" w:type="dxa"/>
            <w:vAlign w:val="bottom"/>
          </w:tcPr>
          <w:p>
            <w:pPr>
              <w:ind w:left="3400"/>
              <w:spacing w:after="0"/>
              <w:rPr>
                <w:sz w:val="20"/>
                <w:szCs w:val="20"/>
                <w:color w:val="auto"/>
              </w:rPr>
            </w:pPr>
            <w:r>
              <w:rPr>
                <w:rFonts w:ascii="Arial" w:cs="Arial" w:eastAsia="Arial" w:hAnsi="Arial"/>
                <w:sz w:val="18"/>
                <w:szCs w:val="18"/>
                <w:color w:val="auto"/>
              </w:rPr>
              <w:t>Honolulu</w:t>
            </w:r>
          </w:p>
        </w:tc>
        <w:tc>
          <w:tcPr>
            <w:tcW w:w="740" w:type="dxa"/>
            <w:vAlign w:val="bottom"/>
          </w:tcPr>
          <w:p>
            <w:pPr>
              <w:ind w:left="460"/>
              <w:spacing w:after="0"/>
              <w:rPr>
                <w:sz w:val="20"/>
                <w:szCs w:val="20"/>
                <w:color w:val="auto"/>
              </w:rPr>
            </w:pPr>
            <w:r>
              <w:rPr>
                <w:rFonts w:ascii="Arial" w:cs="Arial" w:eastAsia="Arial" w:hAnsi="Arial"/>
                <w:sz w:val="18"/>
                <w:szCs w:val="18"/>
                <w:color w:val="auto"/>
              </w:rPr>
              <w:t>HI</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Red Mountain Surgical - CO</w:t>
            </w:r>
          </w:p>
        </w:tc>
        <w:tc>
          <w:tcPr>
            <w:tcW w:w="4980" w:type="dxa"/>
            <w:vAlign w:val="bottom"/>
          </w:tcPr>
          <w:p>
            <w:pPr>
              <w:ind w:left="3400"/>
              <w:spacing w:after="0"/>
              <w:rPr>
                <w:sz w:val="20"/>
                <w:szCs w:val="20"/>
                <w:color w:val="auto"/>
              </w:rPr>
            </w:pPr>
            <w:r>
              <w:rPr>
                <w:rFonts w:ascii="Arial" w:cs="Arial" w:eastAsia="Arial" w:hAnsi="Arial"/>
                <w:sz w:val="18"/>
                <w:szCs w:val="18"/>
                <w:color w:val="auto"/>
              </w:rPr>
              <w:t>North Attleboro</w:t>
            </w:r>
          </w:p>
        </w:tc>
        <w:tc>
          <w:tcPr>
            <w:tcW w:w="740" w:type="dxa"/>
            <w:vAlign w:val="bottom"/>
          </w:tcPr>
          <w:p>
            <w:pPr>
              <w:ind w:left="460"/>
              <w:spacing w:after="0"/>
              <w:rPr>
                <w:sz w:val="20"/>
                <w:szCs w:val="20"/>
                <w:color w:val="auto"/>
              </w:rPr>
            </w:pPr>
            <w:r>
              <w:rPr>
                <w:rFonts w:ascii="Arial" w:cs="Arial" w:eastAsia="Arial" w:hAnsi="Arial"/>
                <w:sz w:val="18"/>
                <w:szCs w:val="18"/>
                <w:color w:val="auto"/>
                <w:w w:val="96"/>
              </w:rPr>
              <w:t>MA</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Rehab Specialists, Inc.</w:t>
            </w:r>
          </w:p>
        </w:tc>
        <w:tc>
          <w:tcPr>
            <w:tcW w:w="4980" w:type="dxa"/>
            <w:vAlign w:val="bottom"/>
          </w:tcPr>
          <w:p>
            <w:pPr>
              <w:ind w:left="3400"/>
              <w:spacing w:after="0"/>
              <w:rPr>
                <w:sz w:val="20"/>
                <w:szCs w:val="20"/>
                <w:color w:val="auto"/>
              </w:rPr>
            </w:pPr>
            <w:r>
              <w:rPr>
                <w:rFonts w:ascii="Arial" w:cs="Arial" w:eastAsia="Arial" w:hAnsi="Arial"/>
                <w:sz w:val="18"/>
                <w:szCs w:val="18"/>
                <w:color w:val="auto"/>
              </w:rPr>
              <w:t>Las Vegas</w:t>
            </w:r>
          </w:p>
        </w:tc>
        <w:tc>
          <w:tcPr>
            <w:tcW w:w="740" w:type="dxa"/>
            <w:vAlign w:val="bottom"/>
          </w:tcPr>
          <w:p>
            <w:pPr>
              <w:ind w:left="460"/>
              <w:spacing w:after="0"/>
              <w:rPr>
                <w:sz w:val="20"/>
                <w:szCs w:val="20"/>
                <w:color w:val="auto"/>
              </w:rPr>
            </w:pPr>
            <w:r>
              <w:rPr>
                <w:rFonts w:ascii="Arial" w:cs="Arial" w:eastAsia="Arial" w:hAnsi="Arial"/>
                <w:sz w:val="18"/>
                <w:szCs w:val="18"/>
                <w:color w:val="auto"/>
              </w:rPr>
              <w:t>NV</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RM Strategy, L.L.C.</w:t>
            </w:r>
          </w:p>
        </w:tc>
        <w:tc>
          <w:tcPr>
            <w:tcW w:w="4980" w:type="dxa"/>
            <w:vAlign w:val="bottom"/>
          </w:tcPr>
          <w:p>
            <w:pPr>
              <w:ind w:left="3400"/>
              <w:spacing w:after="0"/>
              <w:rPr>
                <w:sz w:val="20"/>
                <w:szCs w:val="20"/>
                <w:color w:val="auto"/>
              </w:rPr>
            </w:pPr>
            <w:r>
              <w:rPr>
                <w:rFonts w:ascii="Arial" w:cs="Arial" w:eastAsia="Arial" w:hAnsi="Arial"/>
                <w:sz w:val="18"/>
                <w:szCs w:val="18"/>
                <w:color w:val="auto"/>
              </w:rPr>
              <w:t>Los Angeles</w:t>
            </w:r>
          </w:p>
        </w:tc>
        <w:tc>
          <w:tcPr>
            <w:tcW w:w="740" w:type="dxa"/>
            <w:vAlign w:val="bottom"/>
          </w:tcPr>
          <w:p>
            <w:pPr>
              <w:ind w:left="460"/>
              <w:spacing w:after="0"/>
              <w:rPr>
                <w:sz w:val="20"/>
                <w:szCs w:val="20"/>
                <w:color w:val="auto"/>
              </w:rPr>
            </w:pPr>
            <w:r>
              <w:rPr>
                <w:rFonts w:ascii="Arial" w:cs="Arial" w:eastAsia="Arial" w:hAnsi="Arial"/>
                <w:sz w:val="18"/>
                <w:szCs w:val="18"/>
                <w:color w:val="auto"/>
              </w:rPr>
              <w:t>CA</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Rose &amp; Associates, Inc.</w:t>
            </w:r>
          </w:p>
        </w:tc>
        <w:tc>
          <w:tcPr>
            <w:tcW w:w="4980" w:type="dxa"/>
            <w:vAlign w:val="bottom"/>
          </w:tcPr>
          <w:p>
            <w:pPr>
              <w:ind w:left="3400"/>
              <w:spacing w:after="0"/>
              <w:rPr>
                <w:sz w:val="20"/>
                <w:szCs w:val="20"/>
                <w:color w:val="auto"/>
              </w:rPr>
            </w:pPr>
            <w:r>
              <w:rPr>
                <w:rFonts w:ascii="Arial" w:cs="Arial" w:eastAsia="Arial" w:hAnsi="Arial"/>
                <w:sz w:val="18"/>
                <w:szCs w:val="18"/>
                <w:color w:val="auto"/>
              </w:rPr>
              <w:t>Pickett</w:t>
            </w:r>
          </w:p>
        </w:tc>
        <w:tc>
          <w:tcPr>
            <w:tcW w:w="740" w:type="dxa"/>
            <w:vAlign w:val="bottom"/>
          </w:tcPr>
          <w:p>
            <w:pPr>
              <w:ind w:left="460"/>
              <w:spacing w:after="0"/>
              <w:rPr>
                <w:sz w:val="20"/>
                <w:szCs w:val="20"/>
                <w:color w:val="auto"/>
              </w:rPr>
            </w:pPr>
            <w:r>
              <w:rPr>
                <w:rFonts w:ascii="Arial" w:cs="Arial" w:eastAsia="Arial" w:hAnsi="Arial"/>
                <w:sz w:val="18"/>
                <w:szCs w:val="18"/>
                <w:color w:val="auto"/>
              </w:rPr>
              <w:t>WI</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Seacoast Surgical</w:t>
            </w:r>
          </w:p>
        </w:tc>
        <w:tc>
          <w:tcPr>
            <w:tcW w:w="4980" w:type="dxa"/>
            <w:vAlign w:val="bottom"/>
          </w:tcPr>
          <w:p>
            <w:pPr>
              <w:ind w:left="3400"/>
              <w:spacing w:after="0"/>
              <w:rPr>
                <w:sz w:val="20"/>
                <w:szCs w:val="20"/>
                <w:color w:val="auto"/>
              </w:rPr>
            </w:pPr>
            <w:r>
              <w:rPr>
                <w:rFonts w:ascii="Arial" w:cs="Arial" w:eastAsia="Arial" w:hAnsi="Arial"/>
                <w:sz w:val="18"/>
                <w:szCs w:val="18"/>
                <w:color w:val="auto"/>
              </w:rPr>
              <w:t>Nashville</w:t>
            </w:r>
          </w:p>
        </w:tc>
        <w:tc>
          <w:tcPr>
            <w:tcW w:w="740" w:type="dxa"/>
            <w:vAlign w:val="bottom"/>
          </w:tcPr>
          <w:p>
            <w:pPr>
              <w:ind w:left="460"/>
              <w:spacing w:after="0"/>
              <w:rPr>
                <w:sz w:val="20"/>
                <w:szCs w:val="20"/>
                <w:color w:val="auto"/>
              </w:rPr>
            </w:pPr>
            <w:r>
              <w:rPr>
                <w:rFonts w:ascii="Arial" w:cs="Arial" w:eastAsia="Arial" w:hAnsi="Arial"/>
                <w:sz w:val="18"/>
                <w:szCs w:val="18"/>
                <w:color w:val="auto"/>
              </w:rPr>
              <w:t>TN</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Spectra Surgical Supply, Inc</w:t>
            </w:r>
          </w:p>
        </w:tc>
        <w:tc>
          <w:tcPr>
            <w:tcW w:w="4980" w:type="dxa"/>
            <w:vAlign w:val="bottom"/>
          </w:tcPr>
          <w:p>
            <w:pPr>
              <w:ind w:left="3400"/>
              <w:spacing w:after="0"/>
              <w:rPr>
                <w:sz w:val="20"/>
                <w:szCs w:val="20"/>
                <w:color w:val="auto"/>
              </w:rPr>
            </w:pPr>
            <w:r>
              <w:rPr>
                <w:rFonts w:ascii="Arial" w:cs="Arial" w:eastAsia="Arial" w:hAnsi="Arial"/>
                <w:sz w:val="18"/>
                <w:szCs w:val="18"/>
                <w:color w:val="auto"/>
              </w:rPr>
              <w:t>Phoenix</w:t>
            </w:r>
          </w:p>
        </w:tc>
        <w:tc>
          <w:tcPr>
            <w:tcW w:w="740" w:type="dxa"/>
            <w:vAlign w:val="bottom"/>
          </w:tcPr>
          <w:p>
            <w:pPr>
              <w:ind w:left="460"/>
              <w:spacing w:after="0"/>
              <w:rPr>
                <w:sz w:val="20"/>
                <w:szCs w:val="20"/>
                <w:color w:val="auto"/>
              </w:rPr>
            </w:pPr>
            <w:r>
              <w:rPr>
                <w:rFonts w:ascii="Arial" w:cs="Arial" w:eastAsia="Arial" w:hAnsi="Arial"/>
                <w:sz w:val="18"/>
                <w:szCs w:val="18"/>
                <w:color w:val="auto"/>
              </w:rPr>
              <w:t>AZ</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Summit Surgical, Inc.</w:t>
            </w:r>
          </w:p>
        </w:tc>
        <w:tc>
          <w:tcPr>
            <w:tcW w:w="4980" w:type="dxa"/>
            <w:vAlign w:val="bottom"/>
          </w:tcPr>
          <w:p>
            <w:pPr>
              <w:ind w:left="3400"/>
              <w:spacing w:after="0"/>
              <w:rPr>
                <w:sz w:val="20"/>
                <w:szCs w:val="20"/>
                <w:color w:val="auto"/>
              </w:rPr>
            </w:pPr>
            <w:r>
              <w:rPr>
                <w:rFonts w:ascii="Arial" w:cs="Arial" w:eastAsia="Arial" w:hAnsi="Arial"/>
                <w:sz w:val="18"/>
                <w:szCs w:val="18"/>
                <w:color w:val="auto"/>
              </w:rPr>
              <w:t>Little Rock</w:t>
            </w:r>
          </w:p>
        </w:tc>
        <w:tc>
          <w:tcPr>
            <w:tcW w:w="740" w:type="dxa"/>
            <w:vAlign w:val="bottom"/>
          </w:tcPr>
          <w:p>
            <w:pPr>
              <w:ind w:left="460"/>
              <w:spacing w:after="0"/>
              <w:rPr>
                <w:sz w:val="20"/>
                <w:szCs w:val="20"/>
                <w:color w:val="auto"/>
              </w:rPr>
            </w:pPr>
            <w:r>
              <w:rPr>
                <w:rFonts w:ascii="Arial" w:cs="Arial" w:eastAsia="Arial" w:hAnsi="Arial"/>
                <w:sz w:val="18"/>
                <w:szCs w:val="18"/>
                <w:color w:val="auto"/>
              </w:rPr>
              <w:t>AR</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Summit Surgical, Inc.</w:t>
            </w:r>
          </w:p>
        </w:tc>
        <w:tc>
          <w:tcPr>
            <w:tcW w:w="4980" w:type="dxa"/>
            <w:vAlign w:val="bottom"/>
          </w:tcPr>
          <w:p>
            <w:pPr>
              <w:ind w:left="3400"/>
              <w:spacing w:after="0"/>
              <w:rPr>
                <w:sz w:val="20"/>
                <w:szCs w:val="20"/>
                <w:color w:val="auto"/>
              </w:rPr>
            </w:pPr>
            <w:r>
              <w:rPr>
                <w:rFonts w:ascii="Arial" w:cs="Arial" w:eastAsia="Arial" w:hAnsi="Arial"/>
                <w:sz w:val="18"/>
                <w:szCs w:val="18"/>
                <w:color w:val="auto"/>
              </w:rPr>
              <w:t>Bryant</w:t>
            </w:r>
          </w:p>
        </w:tc>
        <w:tc>
          <w:tcPr>
            <w:tcW w:w="740" w:type="dxa"/>
            <w:vAlign w:val="bottom"/>
          </w:tcPr>
          <w:p>
            <w:pPr>
              <w:ind w:left="460"/>
              <w:spacing w:after="0"/>
              <w:rPr>
                <w:sz w:val="20"/>
                <w:szCs w:val="20"/>
                <w:color w:val="auto"/>
              </w:rPr>
            </w:pPr>
            <w:r>
              <w:rPr>
                <w:rFonts w:ascii="Arial" w:cs="Arial" w:eastAsia="Arial" w:hAnsi="Arial"/>
                <w:sz w:val="18"/>
                <w:szCs w:val="18"/>
                <w:color w:val="auto"/>
              </w:rPr>
              <w:t>AR</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Summit Surgical, Inc.</w:t>
            </w:r>
          </w:p>
        </w:tc>
        <w:tc>
          <w:tcPr>
            <w:tcW w:w="4980" w:type="dxa"/>
            <w:vAlign w:val="bottom"/>
          </w:tcPr>
          <w:p>
            <w:pPr>
              <w:ind w:left="3400"/>
              <w:spacing w:after="0"/>
              <w:rPr>
                <w:sz w:val="20"/>
                <w:szCs w:val="20"/>
                <w:color w:val="auto"/>
              </w:rPr>
            </w:pPr>
            <w:r>
              <w:rPr>
                <w:rFonts w:ascii="Arial" w:cs="Arial" w:eastAsia="Arial" w:hAnsi="Arial"/>
                <w:sz w:val="18"/>
                <w:szCs w:val="18"/>
                <w:color w:val="auto"/>
              </w:rPr>
              <w:t>Lakewood</w:t>
            </w:r>
          </w:p>
        </w:tc>
        <w:tc>
          <w:tcPr>
            <w:tcW w:w="740" w:type="dxa"/>
            <w:vAlign w:val="bottom"/>
          </w:tcPr>
          <w:p>
            <w:pPr>
              <w:ind w:left="460"/>
              <w:spacing w:after="0"/>
              <w:rPr>
                <w:sz w:val="20"/>
                <w:szCs w:val="20"/>
                <w:color w:val="auto"/>
              </w:rPr>
            </w:pPr>
            <w:r>
              <w:rPr>
                <w:rFonts w:ascii="Arial" w:cs="Arial" w:eastAsia="Arial" w:hAnsi="Arial"/>
                <w:sz w:val="18"/>
                <w:szCs w:val="18"/>
                <w:color w:val="auto"/>
                <w:w w:val="96"/>
              </w:rPr>
              <w:t>CO</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Surgical Solutions</w:t>
            </w:r>
          </w:p>
        </w:tc>
        <w:tc>
          <w:tcPr>
            <w:tcW w:w="4980" w:type="dxa"/>
            <w:vAlign w:val="bottom"/>
          </w:tcPr>
          <w:p>
            <w:pPr>
              <w:ind w:left="3400"/>
              <w:spacing w:after="0"/>
              <w:rPr>
                <w:sz w:val="20"/>
                <w:szCs w:val="20"/>
                <w:color w:val="auto"/>
              </w:rPr>
            </w:pPr>
            <w:r>
              <w:rPr>
                <w:rFonts w:ascii="Arial" w:cs="Arial" w:eastAsia="Arial" w:hAnsi="Arial"/>
                <w:sz w:val="18"/>
                <w:szCs w:val="18"/>
                <w:color w:val="auto"/>
              </w:rPr>
              <w:t>Lakewood</w:t>
            </w:r>
          </w:p>
        </w:tc>
        <w:tc>
          <w:tcPr>
            <w:tcW w:w="740" w:type="dxa"/>
            <w:vAlign w:val="bottom"/>
          </w:tcPr>
          <w:p>
            <w:pPr>
              <w:ind w:left="460"/>
              <w:spacing w:after="0"/>
              <w:rPr>
                <w:sz w:val="20"/>
                <w:szCs w:val="20"/>
                <w:color w:val="auto"/>
              </w:rPr>
            </w:pPr>
            <w:r>
              <w:rPr>
                <w:rFonts w:ascii="Arial" w:cs="Arial" w:eastAsia="Arial" w:hAnsi="Arial"/>
                <w:sz w:val="18"/>
                <w:szCs w:val="18"/>
                <w:color w:val="auto"/>
                <w:w w:val="96"/>
              </w:rPr>
              <w:t>CO</w:t>
            </w:r>
          </w:p>
        </w:tc>
      </w:tr>
      <w:tr>
        <w:trPr>
          <w:trHeight w:val="222"/>
        </w:trPr>
        <w:tc>
          <w:tcPr>
            <w:tcW w:w="5700" w:type="dxa"/>
            <w:vAlign w:val="bottom"/>
          </w:tcPr>
          <w:p>
            <w:pPr>
              <w:spacing w:after="0"/>
              <w:rPr>
                <w:sz w:val="20"/>
                <w:szCs w:val="20"/>
                <w:color w:val="auto"/>
              </w:rPr>
            </w:pPr>
            <w:r>
              <w:rPr>
                <w:rFonts w:ascii="Arial" w:cs="Arial" w:eastAsia="Arial" w:hAnsi="Arial"/>
                <w:sz w:val="18"/>
                <w:szCs w:val="18"/>
                <w:color w:val="auto"/>
              </w:rPr>
              <w:t>Ten30, Inc.</w:t>
            </w:r>
          </w:p>
        </w:tc>
        <w:tc>
          <w:tcPr>
            <w:tcW w:w="4980" w:type="dxa"/>
            <w:vAlign w:val="bottom"/>
          </w:tcPr>
          <w:p>
            <w:pPr>
              <w:ind w:left="3400"/>
              <w:spacing w:after="0"/>
              <w:rPr>
                <w:sz w:val="20"/>
                <w:szCs w:val="20"/>
                <w:color w:val="auto"/>
              </w:rPr>
            </w:pPr>
            <w:r>
              <w:rPr>
                <w:rFonts w:ascii="Arial" w:cs="Arial" w:eastAsia="Arial" w:hAnsi="Arial"/>
                <w:sz w:val="18"/>
                <w:szCs w:val="18"/>
                <w:color w:val="auto"/>
              </w:rPr>
              <w:t>Lakewood</w:t>
            </w:r>
          </w:p>
        </w:tc>
        <w:tc>
          <w:tcPr>
            <w:tcW w:w="740" w:type="dxa"/>
            <w:vAlign w:val="bottom"/>
          </w:tcPr>
          <w:p>
            <w:pPr>
              <w:ind w:left="460"/>
              <w:spacing w:after="0"/>
              <w:rPr>
                <w:sz w:val="20"/>
                <w:szCs w:val="20"/>
                <w:color w:val="auto"/>
              </w:rPr>
            </w:pPr>
            <w:r>
              <w:rPr>
                <w:rFonts w:ascii="Arial" w:cs="Arial" w:eastAsia="Arial" w:hAnsi="Arial"/>
                <w:sz w:val="18"/>
                <w:szCs w:val="18"/>
                <w:color w:val="auto"/>
                <w:w w:val="96"/>
              </w:rPr>
              <w:t>CO</w:t>
            </w:r>
          </w:p>
        </w:tc>
      </w:tr>
    </w:tbl>
    <w:p>
      <w:pPr>
        <w:sectPr>
          <w:pgSz w:w="11900" w:h="16838" w:orient="portrait"/>
          <w:cols w:equalWidth="0" w:num="1">
            <w:col w:w="11420"/>
          </w:cols>
          <w:pgMar w:left="240" w:top="280" w:right="239" w:bottom="1440" w:gutter="0" w:footer="0" w:header="0"/>
        </w:sectPr>
      </w:pPr>
    </w:p>
    <w:bookmarkStart w:id="350" w:name="page351"/>
    <w:bookmarkEnd w:id="35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TKO Surgical, Inc.</w:t>
            </w:r>
          </w:p>
        </w:tc>
        <w:tc>
          <w:tcPr>
            <w:tcW w:w="5100" w:type="dxa"/>
            <w:vAlign w:val="bottom"/>
          </w:tcPr>
          <w:p>
            <w:pPr>
              <w:ind w:left="3400"/>
              <w:spacing w:after="0"/>
              <w:rPr>
                <w:sz w:val="20"/>
                <w:szCs w:val="20"/>
                <w:color w:val="auto"/>
              </w:rPr>
            </w:pPr>
            <w:r>
              <w:rPr>
                <w:rFonts w:ascii="Arial" w:cs="Arial" w:eastAsia="Arial" w:hAnsi="Arial"/>
                <w:sz w:val="18"/>
                <w:szCs w:val="18"/>
                <w:color w:val="auto"/>
              </w:rPr>
              <w:t>El Paso</w:t>
            </w:r>
          </w:p>
        </w:tc>
        <w:tc>
          <w:tcPr>
            <w:tcW w:w="740" w:type="dxa"/>
            <w:vAlign w:val="bottom"/>
          </w:tcPr>
          <w:p>
            <w:pPr>
              <w:ind w:left="460"/>
              <w:spacing w:after="0"/>
              <w:rPr>
                <w:sz w:val="20"/>
                <w:szCs w:val="20"/>
                <w:color w:val="auto"/>
              </w:rPr>
            </w:pPr>
            <w:r>
              <w:rPr>
                <w:rFonts w:ascii="Arial" w:cs="Arial" w:eastAsia="Arial" w:hAnsi="Arial"/>
                <w:sz w:val="18"/>
                <w:szCs w:val="18"/>
                <w:color w:val="auto"/>
              </w:rPr>
              <w:t>TX</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TriMedix, Inc.</w:t>
            </w:r>
          </w:p>
        </w:tc>
        <w:tc>
          <w:tcPr>
            <w:tcW w:w="5100" w:type="dxa"/>
            <w:vAlign w:val="bottom"/>
          </w:tcPr>
          <w:p>
            <w:pPr>
              <w:ind w:left="3400"/>
              <w:spacing w:after="0"/>
              <w:rPr>
                <w:sz w:val="20"/>
                <w:szCs w:val="20"/>
                <w:color w:val="auto"/>
              </w:rPr>
            </w:pPr>
            <w:r>
              <w:rPr>
                <w:rFonts w:ascii="Arial" w:cs="Arial" w:eastAsia="Arial" w:hAnsi="Arial"/>
                <w:sz w:val="18"/>
                <w:szCs w:val="18"/>
                <w:color w:val="auto"/>
              </w:rPr>
              <w:t>Tuscon</w:t>
            </w:r>
          </w:p>
        </w:tc>
        <w:tc>
          <w:tcPr>
            <w:tcW w:w="740" w:type="dxa"/>
            <w:vAlign w:val="bottom"/>
          </w:tcPr>
          <w:p>
            <w:pPr>
              <w:ind w:left="460"/>
              <w:spacing w:after="0"/>
              <w:rPr>
                <w:sz w:val="20"/>
                <w:szCs w:val="20"/>
                <w:color w:val="auto"/>
              </w:rPr>
            </w:pPr>
            <w:r>
              <w:rPr>
                <w:rFonts w:ascii="Arial" w:cs="Arial" w:eastAsia="Arial" w:hAnsi="Arial"/>
                <w:sz w:val="18"/>
                <w:szCs w:val="18"/>
                <w:color w:val="auto"/>
              </w:rPr>
              <w:t>AZ</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Trinity Medical, Inc.</w:t>
            </w:r>
          </w:p>
        </w:tc>
        <w:tc>
          <w:tcPr>
            <w:tcW w:w="5100" w:type="dxa"/>
            <w:vAlign w:val="bottom"/>
          </w:tcPr>
          <w:p>
            <w:pPr>
              <w:ind w:left="3400"/>
              <w:spacing w:after="0"/>
              <w:rPr>
                <w:sz w:val="20"/>
                <w:szCs w:val="20"/>
                <w:color w:val="auto"/>
              </w:rPr>
            </w:pPr>
            <w:r>
              <w:rPr>
                <w:rFonts w:ascii="Arial" w:cs="Arial" w:eastAsia="Arial" w:hAnsi="Arial"/>
                <w:sz w:val="18"/>
                <w:szCs w:val="18"/>
                <w:color w:val="auto"/>
              </w:rPr>
              <w:t>Tucson</w:t>
            </w:r>
          </w:p>
        </w:tc>
        <w:tc>
          <w:tcPr>
            <w:tcW w:w="740" w:type="dxa"/>
            <w:vAlign w:val="bottom"/>
          </w:tcPr>
          <w:p>
            <w:pPr>
              <w:ind w:left="460"/>
              <w:spacing w:after="0"/>
              <w:rPr>
                <w:sz w:val="20"/>
                <w:szCs w:val="20"/>
                <w:color w:val="auto"/>
              </w:rPr>
            </w:pPr>
            <w:r>
              <w:rPr>
                <w:rFonts w:ascii="Arial" w:cs="Arial" w:eastAsia="Arial" w:hAnsi="Arial"/>
                <w:sz w:val="18"/>
                <w:szCs w:val="18"/>
                <w:color w:val="auto"/>
              </w:rPr>
              <w:t>AZ</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Trinity Orthopedic &amp; Spine</w:t>
            </w:r>
          </w:p>
        </w:tc>
        <w:tc>
          <w:tcPr>
            <w:tcW w:w="5100" w:type="dxa"/>
            <w:vAlign w:val="bottom"/>
          </w:tcPr>
          <w:p>
            <w:pPr>
              <w:ind w:left="3400"/>
              <w:spacing w:after="0"/>
              <w:rPr>
                <w:sz w:val="20"/>
                <w:szCs w:val="20"/>
                <w:color w:val="auto"/>
              </w:rPr>
            </w:pPr>
            <w:r>
              <w:rPr>
                <w:rFonts w:ascii="Arial" w:cs="Arial" w:eastAsia="Arial" w:hAnsi="Arial"/>
                <w:sz w:val="18"/>
                <w:szCs w:val="18"/>
                <w:color w:val="auto"/>
              </w:rPr>
              <w:t>Muskego</w:t>
            </w:r>
          </w:p>
        </w:tc>
        <w:tc>
          <w:tcPr>
            <w:tcW w:w="740" w:type="dxa"/>
            <w:vAlign w:val="bottom"/>
          </w:tcPr>
          <w:p>
            <w:pPr>
              <w:ind w:left="460"/>
              <w:spacing w:after="0"/>
              <w:rPr>
                <w:sz w:val="20"/>
                <w:szCs w:val="20"/>
                <w:color w:val="auto"/>
              </w:rPr>
            </w:pPr>
            <w:r>
              <w:rPr>
                <w:rFonts w:ascii="Arial" w:cs="Arial" w:eastAsia="Arial" w:hAnsi="Arial"/>
                <w:sz w:val="18"/>
                <w:szCs w:val="18"/>
                <w:color w:val="auto"/>
              </w:rPr>
              <w:t>WI</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Undefeated, LLC</w:t>
            </w:r>
          </w:p>
        </w:tc>
        <w:tc>
          <w:tcPr>
            <w:tcW w:w="5100" w:type="dxa"/>
            <w:vAlign w:val="bottom"/>
          </w:tcPr>
          <w:p>
            <w:pPr>
              <w:ind w:left="3400"/>
              <w:spacing w:after="0"/>
              <w:rPr>
                <w:sz w:val="20"/>
                <w:szCs w:val="20"/>
                <w:color w:val="auto"/>
              </w:rPr>
            </w:pPr>
            <w:r>
              <w:rPr>
                <w:rFonts w:ascii="Arial" w:cs="Arial" w:eastAsia="Arial" w:hAnsi="Arial"/>
                <w:sz w:val="18"/>
                <w:szCs w:val="18"/>
                <w:color w:val="auto"/>
              </w:rPr>
              <w:t>Fishers</w:t>
            </w:r>
          </w:p>
        </w:tc>
        <w:tc>
          <w:tcPr>
            <w:tcW w:w="740" w:type="dxa"/>
            <w:vAlign w:val="bottom"/>
          </w:tcPr>
          <w:p>
            <w:pPr>
              <w:ind w:left="460"/>
              <w:spacing w:after="0"/>
              <w:rPr>
                <w:sz w:val="20"/>
                <w:szCs w:val="20"/>
                <w:color w:val="auto"/>
              </w:rPr>
            </w:pPr>
            <w:r>
              <w:rPr>
                <w:rFonts w:ascii="Arial" w:cs="Arial" w:eastAsia="Arial" w:hAnsi="Arial"/>
                <w:sz w:val="18"/>
                <w:szCs w:val="18"/>
                <w:color w:val="auto"/>
              </w:rPr>
              <w:t>IN</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Valley Surgical</w:t>
            </w:r>
          </w:p>
        </w:tc>
        <w:tc>
          <w:tcPr>
            <w:tcW w:w="5100" w:type="dxa"/>
            <w:vAlign w:val="bottom"/>
          </w:tcPr>
          <w:p>
            <w:pPr>
              <w:ind w:left="3400"/>
              <w:spacing w:after="0"/>
              <w:rPr>
                <w:sz w:val="20"/>
                <w:szCs w:val="20"/>
                <w:color w:val="auto"/>
              </w:rPr>
            </w:pPr>
            <w:r>
              <w:rPr>
                <w:rFonts w:ascii="Arial" w:cs="Arial" w:eastAsia="Arial" w:hAnsi="Arial"/>
                <w:sz w:val="18"/>
                <w:szCs w:val="18"/>
                <w:color w:val="auto"/>
              </w:rPr>
              <w:t>Prairieville</w:t>
            </w:r>
          </w:p>
        </w:tc>
        <w:tc>
          <w:tcPr>
            <w:tcW w:w="740" w:type="dxa"/>
            <w:vAlign w:val="bottom"/>
          </w:tcPr>
          <w:p>
            <w:pPr>
              <w:ind w:left="460"/>
              <w:spacing w:after="0"/>
              <w:rPr>
                <w:sz w:val="20"/>
                <w:szCs w:val="20"/>
                <w:color w:val="auto"/>
              </w:rPr>
            </w:pPr>
            <w:r>
              <w:rPr>
                <w:rFonts w:ascii="Arial" w:cs="Arial" w:eastAsia="Arial" w:hAnsi="Arial"/>
                <w:sz w:val="18"/>
                <w:szCs w:val="18"/>
                <w:color w:val="auto"/>
              </w:rPr>
              <w:t>LA</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West Coast Spine &amp; Ortho</w:t>
            </w:r>
          </w:p>
        </w:tc>
        <w:tc>
          <w:tcPr>
            <w:tcW w:w="5100" w:type="dxa"/>
            <w:vAlign w:val="bottom"/>
          </w:tcPr>
          <w:p>
            <w:pPr>
              <w:ind w:left="3400"/>
              <w:spacing w:after="0"/>
              <w:rPr>
                <w:sz w:val="20"/>
                <w:szCs w:val="20"/>
                <w:color w:val="auto"/>
              </w:rPr>
            </w:pPr>
            <w:r>
              <w:rPr>
                <w:rFonts w:ascii="Arial" w:cs="Arial" w:eastAsia="Arial" w:hAnsi="Arial"/>
                <w:sz w:val="18"/>
                <w:szCs w:val="18"/>
                <w:color w:val="auto"/>
              </w:rPr>
              <w:t>Little Rock</w:t>
            </w:r>
          </w:p>
        </w:tc>
        <w:tc>
          <w:tcPr>
            <w:tcW w:w="740" w:type="dxa"/>
            <w:vAlign w:val="bottom"/>
          </w:tcPr>
          <w:p>
            <w:pPr>
              <w:ind w:left="460"/>
              <w:spacing w:after="0"/>
              <w:rPr>
                <w:sz w:val="20"/>
                <w:szCs w:val="20"/>
                <w:color w:val="auto"/>
              </w:rPr>
            </w:pPr>
            <w:r>
              <w:rPr>
                <w:rFonts w:ascii="Arial" w:cs="Arial" w:eastAsia="Arial" w:hAnsi="Arial"/>
                <w:sz w:val="18"/>
                <w:szCs w:val="18"/>
                <w:color w:val="auto"/>
              </w:rPr>
              <w:t>AR</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Whitman &amp; Associates - KS</w:t>
            </w:r>
          </w:p>
        </w:tc>
        <w:tc>
          <w:tcPr>
            <w:tcW w:w="5100" w:type="dxa"/>
            <w:vAlign w:val="bottom"/>
          </w:tcPr>
          <w:p>
            <w:pPr>
              <w:ind w:left="3400"/>
              <w:spacing w:after="0"/>
              <w:rPr>
                <w:sz w:val="20"/>
                <w:szCs w:val="20"/>
                <w:color w:val="auto"/>
              </w:rPr>
            </w:pPr>
            <w:r>
              <w:rPr>
                <w:rFonts w:ascii="Arial" w:cs="Arial" w:eastAsia="Arial" w:hAnsi="Arial"/>
                <w:sz w:val="18"/>
                <w:szCs w:val="18"/>
                <w:color w:val="auto"/>
              </w:rPr>
              <w:t>Metairie</w:t>
            </w:r>
          </w:p>
        </w:tc>
        <w:tc>
          <w:tcPr>
            <w:tcW w:w="740" w:type="dxa"/>
            <w:vAlign w:val="bottom"/>
          </w:tcPr>
          <w:p>
            <w:pPr>
              <w:ind w:left="460"/>
              <w:spacing w:after="0"/>
              <w:rPr>
                <w:sz w:val="20"/>
                <w:szCs w:val="20"/>
                <w:color w:val="auto"/>
              </w:rPr>
            </w:pPr>
            <w:r>
              <w:rPr>
                <w:rFonts w:ascii="Arial" w:cs="Arial" w:eastAsia="Arial" w:hAnsi="Arial"/>
                <w:sz w:val="18"/>
                <w:szCs w:val="18"/>
                <w:color w:val="auto"/>
              </w:rPr>
              <w:t>LA</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Whitman &amp; Associates A1022</w:t>
            </w:r>
          </w:p>
        </w:tc>
        <w:tc>
          <w:tcPr>
            <w:tcW w:w="5100" w:type="dxa"/>
            <w:vAlign w:val="bottom"/>
          </w:tcPr>
          <w:p>
            <w:pPr>
              <w:ind w:left="3400"/>
              <w:spacing w:after="0"/>
              <w:rPr>
                <w:sz w:val="20"/>
                <w:szCs w:val="20"/>
                <w:color w:val="auto"/>
              </w:rPr>
            </w:pPr>
            <w:r>
              <w:rPr>
                <w:rFonts w:ascii="Arial" w:cs="Arial" w:eastAsia="Arial" w:hAnsi="Arial"/>
                <w:sz w:val="18"/>
                <w:szCs w:val="18"/>
                <w:color w:val="auto"/>
              </w:rPr>
              <w:t>Virginia Beach</w:t>
            </w:r>
          </w:p>
        </w:tc>
        <w:tc>
          <w:tcPr>
            <w:tcW w:w="740" w:type="dxa"/>
            <w:vAlign w:val="bottom"/>
          </w:tcPr>
          <w:p>
            <w:pPr>
              <w:ind w:left="460"/>
              <w:spacing w:after="0"/>
              <w:rPr>
                <w:sz w:val="20"/>
                <w:szCs w:val="20"/>
                <w:color w:val="auto"/>
              </w:rPr>
            </w:pPr>
            <w:r>
              <w:rPr>
                <w:rFonts w:ascii="Arial" w:cs="Arial" w:eastAsia="Arial" w:hAnsi="Arial"/>
                <w:sz w:val="18"/>
                <w:szCs w:val="18"/>
                <w:color w:val="auto"/>
              </w:rPr>
              <w:t>VA</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Whitman &amp; Associates A2036</w:t>
            </w:r>
          </w:p>
        </w:tc>
        <w:tc>
          <w:tcPr>
            <w:tcW w:w="5100" w:type="dxa"/>
            <w:vAlign w:val="bottom"/>
          </w:tcPr>
          <w:p>
            <w:pPr>
              <w:ind w:left="3400"/>
              <w:spacing w:after="0"/>
              <w:rPr>
                <w:sz w:val="20"/>
                <w:szCs w:val="20"/>
                <w:color w:val="auto"/>
              </w:rPr>
            </w:pPr>
            <w:r>
              <w:rPr>
                <w:rFonts w:ascii="Arial" w:cs="Arial" w:eastAsia="Arial" w:hAnsi="Arial"/>
                <w:sz w:val="18"/>
                <w:szCs w:val="18"/>
                <w:color w:val="auto"/>
              </w:rPr>
              <w:t>South Burlington</w:t>
            </w:r>
          </w:p>
        </w:tc>
        <w:tc>
          <w:tcPr>
            <w:tcW w:w="740" w:type="dxa"/>
            <w:vAlign w:val="bottom"/>
          </w:tcPr>
          <w:p>
            <w:pPr>
              <w:ind w:left="460"/>
              <w:spacing w:after="0"/>
              <w:rPr>
                <w:sz w:val="20"/>
                <w:szCs w:val="20"/>
                <w:color w:val="auto"/>
              </w:rPr>
            </w:pPr>
            <w:r>
              <w:rPr>
                <w:rFonts w:ascii="Arial" w:cs="Arial" w:eastAsia="Arial" w:hAnsi="Arial"/>
                <w:sz w:val="18"/>
                <w:szCs w:val="18"/>
                <w:color w:val="auto"/>
              </w:rPr>
              <w:t>VT</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Whitman &amp; Associates A2037</w:t>
            </w:r>
          </w:p>
        </w:tc>
        <w:tc>
          <w:tcPr>
            <w:tcW w:w="5100" w:type="dxa"/>
            <w:vAlign w:val="bottom"/>
          </w:tcPr>
          <w:p>
            <w:pPr>
              <w:ind w:left="3400"/>
              <w:spacing w:after="0"/>
              <w:rPr>
                <w:sz w:val="20"/>
                <w:szCs w:val="20"/>
                <w:color w:val="auto"/>
              </w:rPr>
            </w:pPr>
            <w:r>
              <w:rPr>
                <w:rFonts w:ascii="Arial" w:cs="Arial" w:eastAsia="Arial" w:hAnsi="Arial"/>
                <w:sz w:val="18"/>
                <w:szCs w:val="18"/>
                <w:color w:val="auto"/>
              </w:rPr>
              <w:t>East Petersburg</w:t>
            </w:r>
          </w:p>
        </w:tc>
        <w:tc>
          <w:tcPr>
            <w:tcW w:w="740" w:type="dxa"/>
            <w:vAlign w:val="bottom"/>
          </w:tcPr>
          <w:p>
            <w:pPr>
              <w:ind w:left="460"/>
              <w:spacing w:after="0"/>
              <w:rPr>
                <w:sz w:val="20"/>
                <w:szCs w:val="20"/>
                <w:color w:val="auto"/>
              </w:rPr>
            </w:pPr>
            <w:r>
              <w:rPr>
                <w:rFonts w:ascii="Arial" w:cs="Arial" w:eastAsia="Arial" w:hAnsi="Arial"/>
                <w:sz w:val="18"/>
                <w:szCs w:val="18"/>
                <w:color w:val="auto"/>
              </w:rPr>
              <w:t>PA</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Wild Country Surgical, Inc.</w:t>
            </w:r>
          </w:p>
        </w:tc>
        <w:tc>
          <w:tcPr>
            <w:tcW w:w="5100" w:type="dxa"/>
            <w:vAlign w:val="bottom"/>
          </w:tcPr>
          <w:p>
            <w:pPr>
              <w:ind w:left="3400"/>
              <w:spacing w:after="0"/>
              <w:rPr>
                <w:sz w:val="20"/>
                <w:szCs w:val="20"/>
                <w:color w:val="auto"/>
              </w:rPr>
            </w:pPr>
            <w:r>
              <w:rPr>
                <w:rFonts w:ascii="Arial" w:cs="Arial" w:eastAsia="Arial" w:hAnsi="Arial"/>
                <w:sz w:val="18"/>
                <w:szCs w:val="18"/>
                <w:color w:val="auto"/>
              </w:rPr>
              <w:t>Scottsdale</w:t>
            </w:r>
          </w:p>
        </w:tc>
        <w:tc>
          <w:tcPr>
            <w:tcW w:w="740" w:type="dxa"/>
            <w:vAlign w:val="bottom"/>
          </w:tcPr>
          <w:p>
            <w:pPr>
              <w:ind w:left="460"/>
              <w:spacing w:after="0"/>
              <w:rPr>
                <w:sz w:val="20"/>
                <w:szCs w:val="20"/>
                <w:color w:val="auto"/>
              </w:rPr>
            </w:pPr>
            <w:r>
              <w:rPr>
                <w:rFonts w:ascii="Arial" w:cs="Arial" w:eastAsia="Arial" w:hAnsi="Arial"/>
                <w:sz w:val="18"/>
                <w:szCs w:val="18"/>
                <w:color w:val="auto"/>
              </w:rPr>
              <w:t>AZ</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Y2K Spine, LLC</w:t>
            </w:r>
          </w:p>
        </w:tc>
        <w:tc>
          <w:tcPr>
            <w:tcW w:w="5100" w:type="dxa"/>
            <w:vAlign w:val="bottom"/>
          </w:tcPr>
          <w:p>
            <w:pPr>
              <w:ind w:left="3400"/>
              <w:spacing w:after="0"/>
              <w:rPr>
                <w:sz w:val="20"/>
                <w:szCs w:val="20"/>
                <w:color w:val="auto"/>
              </w:rPr>
            </w:pPr>
            <w:r>
              <w:rPr>
                <w:rFonts w:ascii="Arial" w:cs="Arial" w:eastAsia="Arial" w:hAnsi="Arial"/>
                <w:sz w:val="18"/>
                <w:szCs w:val="18"/>
                <w:color w:val="auto"/>
              </w:rPr>
              <w:t>Scarborough</w:t>
            </w:r>
          </w:p>
        </w:tc>
        <w:tc>
          <w:tcPr>
            <w:tcW w:w="740" w:type="dxa"/>
            <w:vAlign w:val="bottom"/>
          </w:tcPr>
          <w:p>
            <w:pPr>
              <w:ind w:left="460"/>
              <w:spacing w:after="0"/>
              <w:rPr>
                <w:sz w:val="20"/>
                <w:szCs w:val="20"/>
                <w:color w:val="auto"/>
              </w:rPr>
            </w:pPr>
            <w:r>
              <w:rPr>
                <w:rFonts w:ascii="Arial" w:cs="Arial" w:eastAsia="Arial" w:hAnsi="Arial"/>
                <w:sz w:val="18"/>
                <w:szCs w:val="18"/>
                <w:color w:val="auto"/>
                <w:w w:val="96"/>
              </w:rPr>
              <w:t>ME</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Zimmer Cook Associates Inc</w:t>
            </w:r>
          </w:p>
        </w:tc>
        <w:tc>
          <w:tcPr>
            <w:tcW w:w="5100" w:type="dxa"/>
            <w:vAlign w:val="bottom"/>
          </w:tcPr>
          <w:p>
            <w:pPr>
              <w:ind w:left="3400"/>
              <w:spacing w:after="0"/>
              <w:rPr>
                <w:sz w:val="20"/>
                <w:szCs w:val="20"/>
                <w:color w:val="auto"/>
              </w:rPr>
            </w:pPr>
            <w:r>
              <w:rPr>
                <w:rFonts w:ascii="Arial" w:cs="Arial" w:eastAsia="Arial" w:hAnsi="Arial"/>
                <w:sz w:val="18"/>
                <w:szCs w:val="18"/>
                <w:color w:val="auto"/>
              </w:rPr>
              <w:t>Valley Village</w:t>
            </w:r>
          </w:p>
        </w:tc>
        <w:tc>
          <w:tcPr>
            <w:tcW w:w="740" w:type="dxa"/>
            <w:vAlign w:val="bottom"/>
          </w:tcPr>
          <w:p>
            <w:pPr>
              <w:ind w:left="460"/>
              <w:spacing w:after="0"/>
              <w:rPr>
                <w:sz w:val="20"/>
                <w:szCs w:val="20"/>
                <w:color w:val="auto"/>
              </w:rPr>
            </w:pPr>
            <w:r>
              <w:rPr>
                <w:rFonts w:ascii="Arial" w:cs="Arial" w:eastAsia="Arial" w:hAnsi="Arial"/>
                <w:sz w:val="18"/>
                <w:szCs w:val="18"/>
                <w:color w:val="auto"/>
              </w:rPr>
              <w:t>CA</w:t>
            </w:r>
          </w:p>
        </w:tc>
      </w:tr>
      <w:tr>
        <w:trPr>
          <w:trHeight w:val="222"/>
        </w:trPr>
        <w:tc>
          <w:tcPr>
            <w:tcW w:w="5580" w:type="dxa"/>
            <w:vAlign w:val="bottom"/>
          </w:tcPr>
          <w:p>
            <w:pPr>
              <w:spacing w:after="0"/>
              <w:rPr>
                <w:sz w:val="20"/>
                <w:szCs w:val="20"/>
                <w:color w:val="auto"/>
              </w:rPr>
            </w:pPr>
            <w:r>
              <w:rPr>
                <w:rFonts w:ascii="Arial" w:cs="Arial" w:eastAsia="Arial" w:hAnsi="Arial"/>
                <w:sz w:val="18"/>
                <w:szCs w:val="18"/>
                <w:color w:val="auto"/>
              </w:rPr>
              <w:t>Zimmer InterMed</w:t>
            </w:r>
          </w:p>
        </w:tc>
        <w:tc>
          <w:tcPr>
            <w:tcW w:w="5100" w:type="dxa"/>
            <w:vAlign w:val="bottom"/>
          </w:tcPr>
          <w:p>
            <w:pPr>
              <w:ind w:left="3400"/>
              <w:spacing w:after="0"/>
              <w:rPr>
                <w:sz w:val="20"/>
                <w:szCs w:val="20"/>
                <w:color w:val="auto"/>
              </w:rPr>
            </w:pPr>
            <w:r>
              <w:rPr>
                <w:rFonts w:ascii="Arial" w:cs="Arial" w:eastAsia="Arial" w:hAnsi="Arial"/>
                <w:sz w:val="18"/>
                <w:szCs w:val="18"/>
                <w:color w:val="auto"/>
              </w:rPr>
              <w:t>Shreveport</w:t>
            </w:r>
          </w:p>
        </w:tc>
        <w:tc>
          <w:tcPr>
            <w:tcW w:w="740" w:type="dxa"/>
            <w:vAlign w:val="bottom"/>
          </w:tcPr>
          <w:p>
            <w:pPr>
              <w:ind w:left="460"/>
              <w:spacing w:after="0"/>
              <w:rPr>
                <w:sz w:val="20"/>
                <w:szCs w:val="20"/>
                <w:color w:val="auto"/>
              </w:rPr>
            </w:pPr>
            <w:r>
              <w:rPr>
                <w:rFonts w:ascii="Arial" w:cs="Arial" w:eastAsia="Arial" w:hAnsi="Arial"/>
                <w:sz w:val="18"/>
                <w:szCs w:val="18"/>
                <w:color w:val="auto"/>
              </w:rPr>
              <w:t>LA</w:t>
            </w:r>
          </w:p>
        </w:tc>
      </w:tr>
    </w:tbl>
    <w:p>
      <w:pPr>
        <w:sectPr>
          <w:pgSz w:w="11900" w:h="16838" w:orient="portrait"/>
          <w:cols w:equalWidth="0" w:num="1">
            <w:col w:w="11420"/>
          </w:cols>
          <w:pgMar w:left="240" w:top="279" w:right="239" w:bottom="1440" w:gutter="0" w:footer="0" w:header="0"/>
        </w:sectPr>
      </w:pPr>
    </w:p>
    <w:bookmarkStart w:id="351" w:name="page352"/>
    <w:bookmarkEnd w:id="3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Item C. </w:t>
      </w:r>
      <w:r>
        <w:rPr>
          <w:rFonts w:ascii="Arial" w:cs="Arial" w:eastAsia="Arial" w:hAnsi="Arial"/>
          <w:sz w:val="18"/>
          <w:szCs w:val="18"/>
          <w:b w:val="1"/>
          <w:bCs w:val="1"/>
          <w:color w:val="auto"/>
        </w:rPr>
        <w:t>Leased Property; Bailees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IV. List of consignments for Surgical Instruments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ind w:left="620"/>
              <w:spacing w:after="0"/>
              <w:rPr>
                <w:sz w:val="20"/>
                <w:szCs w:val="20"/>
                <w:color w:val="auto"/>
              </w:rPr>
            </w:pPr>
            <w:r>
              <w:rPr>
                <w:rFonts w:ascii="Arial" w:cs="Arial" w:eastAsia="Arial" w:hAnsi="Arial"/>
                <w:sz w:val="14"/>
                <w:szCs w:val="14"/>
                <w:b w:val="1"/>
                <w:bCs w:val="1"/>
                <w:color w:val="auto"/>
              </w:rPr>
              <w:t>Postal</w:t>
            </w:r>
          </w:p>
        </w:tc>
      </w:tr>
      <w:tr>
        <w:trPr>
          <w:trHeight w:val="18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2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20" w:type="dxa"/>
            <w:vAlign w:val="bottom"/>
          </w:tcPr>
          <w:p>
            <w:pPr>
              <w:ind w:left="1440"/>
              <w:spacing w:after="0"/>
              <w:rPr>
                <w:sz w:val="20"/>
                <w:szCs w:val="20"/>
                <w:color w:val="auto"/>
              </w:rPr>
            </w:pPr>
            <w:r>
              <w:rPr>
                <w:rFonts w:ascii="Arial" w:cs="Arial" w:eastAsia="Arial" w:hAnsi="Arial"/>
                <w:sz w:val="14"/>
                <w:szCs w:val="14"/>
                <w:b w:val="1"/>
                <w:bCs w:val="1"/>
                <w:color w:val="auto"/>
              </w:rPr>
              <w:t>Address1</w:t>
            </w:r>
          </w:p>
        </w:tc>
        <w:tc>
          <w:tcPr>
            <w:tcW w:w="120" w:type="dxa"/>
            <w:vAlign w:val="bottom"/>
          </w:tcPr>
          <w:p>
            <w:pPr>
              <w:spacing w:after="0"/>
              <w:rPr>
                <w:sz w:val="15"/>
                <w:szCs w:val="15"/>
                <w:color w:val="auto"/>
              </w:rPr>
            </w:pPr>
          </w:p>
        </w:tc>
        <w:tc>
          <w:tcPr>
            <w:tcW w:w="2160" w:type="dxa"/>
            <w:vAlign w:val="bottom"/>
            <w:gridSpan w:val="2"/>
          </w:tcPr>
          <w:p>
            <w:pPr>
              <w:ind w:left="900"/>
              <w:spacing w:after="0"/>
              <w:rPr>
                <w:sz w:val="20"/>
                <w:szCs w:val="20"/>
                <w:color w:val="auto"/>
              </w:rPr>
            </w:pPr>
            <w:r>
              <w:rPr>
                <w:rFonts w:ascii="Arial" w:cs="Arial" w:eastAsia="Arial" w:hAnsi="Arial"/>
                <w:sz w:val="14"/>
                <w:szCs w:val="14"/>
                <w:b w:val="1"/>
                <w:bCs w:val="1"/>
                <w:color w:val="auto"/>
              </w:rPr>
              <w:t>City</w:t>
            </w:r>
          </w:p>
        </w:tc>
        <w:tc>
          <w:tcPr>
            <w:tcW w:w="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State</w:t>
            </w:r>
          </w:p>
        </w:tc>
        <w:tc>
          <w:tcPr>
            <w:tcW w:w="1600" w:type="dxa"/>
            <w:vAlign w:val="bottom"/>
          </w:tcPr>
          <w:p>
            <w:pPr>
              <w:ind w:left="660"/>
              <w:spacing w:after="0"/>
              <w:rPr>
                <w:sz w:val="20"/>
                <w:szCs w:val="20"/>
                <w:color w:val="auto"/>
              </w:rPr>
            </w:pPr>
            <w:r>
              <w:rPr>
                <w:rFonts w:ascii="Arial" w:cs="Arial" w:eastAsia="Arial" w:hAnsi="Arial"/>
                <w:sz w:val="14"/>
                <w:szCs w:val="14"/>
                <w:b w:val="1"/>
                <w:bCs w:val="1"/>
                <w:color w:val="auto"/>
              </w:rPr>
              <w:t>Code</w:t>
            </w:r>
          </w:p>
        </w:tc>
      </w:tr>
      <w:tr>
        <w:trPr>
          <w:trHeight w:val="181"/>
        </w:trPr>
        <w:tc>
          <w:tcPr>
            <w:tcW w:w="3360" w:type="dxa"/>
            <w:vAlign w:val="bottom"/>
            <w:gridSpan w:val="2"/>
          </w:tcPr>
          <w:p>
            <w:pPr>
              <w:spacing w:after="0" w:line="182" w:lineRule="exact"/>
              <w:rPr>
                <w:sz w:val="20"/>
                <w:szCs w:val="20"/>
                <w:color w:val="auto"/>
              </w:rPr>
            </w:pPr>
            <w:r>
              <w:rPr>
                <w:rFonts w:ascii="Arial" w:cs="Arial" w:eastAsia="Arial" w:hAnsi="Arial"/>
                <w:sz w:val="18"/>
                <w:szCs w:val="18"/>
                <w:color w:val="auto"/>
              </w:rPr>
              <w:t>OHIO STATE UNIVERSITY HOSPITAL &amp;</w:t>
            </w:r>
          </w:p>
        </w:tc>
        <w:tc>
          <w:tcPr>
            <w:tcW w:w="100" w:type="dxa"/>
            <w:vAlign w:val="bottom"/>
          </w:tcPr>
          <w:p>
            <w:pPr>
              <w:spacing w:after="0"/>
              <w:rPr>
                <w:sz w:val="15"/>
                <w:szCs w:val="15"/>
                <w:color w:val="auto"/>
              </w:rPr>
            </w:pPr>
          </w:p>
        </w:tc>
        <w:tc>
          <w:tcPr>
            <w:tcW w:w="34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MEDICAL CENTER</w:t>
            </w: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452 W PENN ST</w:t>
            </w:r>
          </w:p>
        </w:tc>
        <w:tc>
          <w:tcPr>
            <w:tcW w:w="2280" w:type="dxa"/>
            <w:vAlign w:val="bottom"/>
            <w:gridSpan w:val="3"/>
          </w:tcPr>
          <w:p>
            <w:pPr>
              <w:ind w:left="120"/>
              <w:spacing w:after="0"/>
              <w:rPr>
                <w:sz w:val="20"/>
                <w:szCs w:val="20"/>
                <w:color w:val="auto"/>
              </w:rPr>
            </w:pPr>
            <w:r>
              <w:rPr>
                <w:rFonts w:ascii="Arial" w:cs="Arial" w:eastAsia="Arial" w:hAnsi="Arial"/>
                <w:sz w:val="18"/>
                <w:szCs w:val="18"/>
                <w:color w:val="auto"/>
              </w:rPr>
              <w:t>COLUMBUS</w:t>
            </w:r>
          </w:p>
        </w:tc>
        <w:tc>
          <w:tcPr>
            <w:tcW w:w="66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OH</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43210</w:t>
            </w: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98152 Porter Medical Sales</w:t>
            </w: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86 OLIVER ST</w:t>
            </w:r>
          </w:p>
        </w:tc>
        <w:tc>
          <w:tcPr>
            <w:tcW w:w="2280" w:type="dxa"/>
            <w:vAlign w:val="bottom"/>
            <w:gridSpan w:val="3"/>
          </w:tcPr>
          <w:p>
            <w:pPr>
              <w:ind w:left="120"/>
              <w:spacing w:after="0"/>
              <w:rPr>
                <w:sz w:val="20"/>
                <w:szCs w:val="20"/>
                <w:color w:val="auto"/>
              </w:rPr>
            </w:pPr>
            <w:r>
              <w:rPr>
                <w:rFonts w:ascii="Arial" w:cs="Arial" w:eastAsia="Arial" w:hAnsi="Arial"/>
                <w:sz w:val="18"/>
                <w:szCs w:val="18"/>
                <w:color w:val="auto"/>
              </w:rPr>
              <w:t>ROCHESTER</w:t>
            </w:r>
          </w:p>
        </w:tc>
        <w:tc>
          <w:tcPr>
            <w:tcW w:w="660" w:type="dxa"/>
            <w:vAlign w:val="bottom"/>
            <w:gridSpan w:val="2"/>
          </w:tcPr>
          <w:p>
            <w:pPr>
              <w:jc w:val="center"/>
              <w:ind w:right="120"/>
              <w:spacing w:after="0"/>
              <w:rPr>
                <w:sz w:val="20"/>
                <w:szCs w:val="20"/>
                <w:color w:val="auto"/>
              </w:rPr>
            </w:pPr>
            <w:r>
              <w:rPr>
                <w:rFonts w:ascii="Arial" w:cs="Arial" w:eastAsia="Arial" w:hAnsi="Arial"/>
                <w:sz w:val="18"/>
                <w:szCs w:val="18"/>
                <w:color w:val="auto"/>
              </w:rPr>
              <w:t>NY</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14607</w:t>
            </w: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HOSPITAL-Ransom Memorial Hospital</w:t>
            </w: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1301 S MAIN ST</w:t>
            </w:r>
          </w:p>
        </w:tc>
        <w:tc>
          <w:tcPr>
            <w:tcW w:w="2280" w:type="dxa"/>
            <w:vAlign w:val="bottom"/>
            <w:gridSpan w:val="3"/>
          </w:tcPr>
          <w:p>
            <w:pPr>
              <w:ind w:left="120"/>
              <w:spacing w:after="0"/>
              <w:rPr>
                <w:sz w:val="20"/>
                <w:szCs w:val="20"/>
                <w:color w:val="auto"/>
              </w:rPr>
            </w:pPr>
            <w:r>
              <w:rPr>
                <w:rFonts w:ascii="Arial" w:cs="Arial" w:eastAsia="Arial" w:hAnsi="Arial"/>
                <w:sz w:val="18"/>
                <w:szCs w:val="18"/>
                <w:color w:val="auto"/>
              </w:rPr>
              <w:t>OTTAWA</w:t>
            </w:r>
          </w:p>
        </w:tc>
        <w:tc>
          <w:tcPr>
            <w:tcW w:w="6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KS</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66067-3537</w:t>
            </w: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LSU MEDICAL CENTER/SHREVEPORT</w:t>
            </w: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1541 KINGS HWY</w:t>
            </w:r>
          </w:p>
        </w:tc>
        <w:tc>
          <w:tcPr>
            <w:tcW w:w="2280" w:type="dxa"/>
            <w:vAlign w:val="bottom"/>
            <w:gridSpan w:val="3"/>
          </w:tcPr>
          <w:p>
            <w:pPr>
              <w:ind w:left="120"/>
              <w:spacing w:after="0"/>
              <w:rPr>
                <w:sz w:val="20"/>
                <w:szCs w:val="20"/>
                <w:color w:val="auto"/>
              </w:rPr>
            </w:pPr>
            <w:r>
              <w:rPr>
                <w:rFonts w:ascii="Arial" w:cs="Arial" w:eastAsia="Arial" w:hAnsi="Arial"/>
                <w:sz w:val="18"/>
                <w:szCs w:val="18"/>
                <w:color w:val="auto"/>
              </w:rPr>
              <w:t>SHREVEPORT</w:t>
            </w:r>
          </w:p>
        </w:tc>
        <w:tc>
          <w:tcPr>
            <w:tcW w:w="660" w:type="dxa"/>
            <w:vAlign w:val="bottom"/>
            <w:gridSpan w:val="2"/>
          </w:tcPr>
          <w:p>
            <w:pPr>
              <w:jc w:val="center"/>
              <w:ind w:right="100"/>
              <w:spacing w:after="0"/>
              <w:rPr>
                <w:sz w:val="20"/>
                <w:szCs w:val="20"/>
                <w:color w:val="auto"/>
              </w:rPr>
            </w:pPr>
            <w:r>
              <w:rPr>
                <w:rFonts w:ascii="Arial" w:cs="Arial" w:eastAsia="Arial" w:hAnsi="Arial"/>
                <w:sz w:val="18"/>
                <w:szCs w:val="18"/>
                <w:color w:val="auto"/>
              </w:rPr>
              <w:t>LA</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71130</w:t>
            </w: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Springfield Hospital</w:t>
            </w: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190 W SPROUL RD</w:t>
            </w:r>
          </w:p>
        </w:tc>
        <w:tc>
          <w:tcPr>
            <w:tcW w:w="2280" w:type="dxa"/>
            <w:vAlign w:val="bottom"/>
            <w:gridSpan w:val="3"/>
          </w:tcPr>
          <w:p>
            <w:pPr>
              <w:ind w:left="120"/>
              <w:spacing w:after="0"/>
              <w:rPr>
                <w:sz w:val="20"/>
                <w:szCs w:val="20"/>
                <w:color w:val="auto"/>
              </w:rPr>
            </w:pPr>
            <w:r>
              <w:rPr>
                <w:rFonts w:ascii="Arial" w:cs="Arial" w:eastAsia="Arial" w:hAnsi="Arial"/>
                <w:sz w:val="18"/>
                <w:szCs w:val="18"/>
                <w:color w:val="auto"/>
              </w:rPr>
              <w:t>SPRINGFIELD</w:t>
            </w:r>
          </w:p>
        </w:tc>
        <w:tc>
          <w:tcPr>
            <w:tcW w:w="660" w:type="dxa"/>
            <w:vAlign w:val="bottom"/>
            <w:gridSpan w:val="2"/>
          </w:tcPr>
          <w:p>
            <w:pPr>
              <w:jc w:val="center"/>
              <w:ind w:right="100"/>
              <w:spacing w:after="0"/>
              <w:rPr>
                <w:sz w:val="20"/>
                <w:szCs w:val="20"/>
                <w:color w:val="auto"/>
              </w:rPr>
            </w:pPr>
            <w:r>
              <w:rPr>
                <w:rFonts w:ascii="Arial" w:cs="Arial" w:eastAsia="Arial" w:hAnsi="Arial"/>
                <w:sz w:val="18"/>
                <w:szCs w:val="18"/>
                <w:color w:val="auto"/>
                <w:w w:val="83"/>
              </w:rPr>
              <w:t>PA</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19064</w:t>
            </w: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NAPLES COMMUNITY HOSPITAL</w:t>
            </w: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350 7TH ST N</w:t>
            </w:r>
          </w:p>
        </w:tc>
        <w:tc>
          <w:tcPr>
            <w:tcW w:w="2280" w:type="dxa"/>
            <w:vAlign w:val="bottom"/>
            <w:gridSpan w:val="3"/>
          </w:tcPr>
          <w:p>
            <w:pPr>
              <w:ind w:left="120"/>
              <w:spacing w:after="0"/>
              <w:rPr>
                <w:sz w:val="20"/>
                <w:szCs w:val="20"/>
                <w:color w:val="auto"/>
              </w:rPr>
            </w:pPr>
            <w:r>
              <w:rPr>
                <w:rFonts w:ascii="Arial" w:cs="Arial" w:eastAsia="Arial" w:hAnsi="Arial"/>
                <w:sz w:val="18"/>
                <w:szCs w:val="18"/>
                <w:color w:val="auto"/>
              </w:rPr>
              <w:t>NAPLES</w:t>
            </w:r>
          </w:p>
        </w:tc>
        <w:tc>
          <w:tcPr>
            <w:tcW w:w="6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FL</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34102-5754</w:t>
            </w: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HOSPITAL-St. Lukes South Hospital</w:t>
            </w: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12300 METCALF AVE</w:t>
            </w:r>
          </w:p>
        </w:tc>
        <w:tc>
          <w:tcPr>
            <w:tcW w:w="2280" w:type="dxa"/>
            <w:vAlign w:val="bottom"/>
            <w:gridSpan w:val="3"/>
          </w:tcPr>
          <w:p>
            <w:pPr>
              <w:ind w:left="120"/>
              <w:spacing w:after="0"/>
              <w:rPr>
                <w:sz w:val="20"/>
                <w:szCs w:val="20"/>
                <w:color w:val="auto"/>
              </w:rPr>
            </w:pPr>
            <w:r>
              <w:rPr>
                <w:rFonts w:ascii="Arial" w:cs="Arial" w:eastAsia="Arial" w:hAnsi="Arial"/>
                <w:sz w:val="18"/>
                <w:szCs w:val="18"/>
                <w:color w:val="auto"/>
              </w:rPr>
              <w:t>OVERLAND PARK</w:t>
            </w:r>
          </w:p>
        </w:tc>
        <w:tc>
          <w:tcPr>
            <w:tcW w:w="6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KS</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66213</w:t>
            </w: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w w:val="97"/>
              </w:rPr>
              <w:t>MEDICAL COLLEGE OF PENNSYLVANIA</w:t>
            </w: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3300 HENRY AVE</w:t>
            </w:r>
          </w:p>
        </w:tc>
        <w:tc>
          <w:tcPr>
            <w:tcW w:w="2280" w:type="dxa"/>
            <w:vAlign w:val="bottom"/>
            <w:gridSpan w:val="3"/>
          </w:tcPr>
          <w:p>
            <w:pPr>
              <w:ind w:left="120"/>
              <w:spacing w:after="0"/>
              <w:rPr>
                <w:sz w:val="20"/>
                <w:szCs w:val="20"/>
                <w:color w:val="auto"/>
              </w:rPr>
            </w:pPr>
            <w:r>
              <w:rPr>
                <w:rFonts w:ascii="Arial" w:cs="Arial" w:eastAsia="Arial" w:hAnsi="Arial"/>
                <w:sz w:val="18"/>
                <w:szCs w:val="18"/>
                <w:color w:val="auto"/>
              </w:rPr>
              <w:t>PHILADELPHIA</w:t>
            </w:r>
          </w:p>
        </w:tc>
        <w:tc>
          <w:tcPr>
            <w:tcW w:w="660" w:type="dxa"/>
            <w:vAlign w:val="bottom"/>
            <w:gridSpan w:val="2"/>
          </w:tcPr>
          <w:p>
            <w:pPr>
              <w:jc w:val="center"/>
              <w:ind w:right="100"/>
              <w:spacing w:after="0"/>
              <w:rPr>
                <w:sz w:val="20"/>
                <w:szCs w:val="20"/>
                <w:color w:val="auto"/>
              </w:rPr>
            </w:pPr>
            <w:r>
              <w:rPr>
                <w:rFonts w:ascii="Arial" w:cs="Arial" w:eastAsia="Arial" w:hAnsi="Arial"/>
                <w:sz w:val="18"/>
                <w:szCs w:val="18"/>
                <w:color w:val="auto"/>
                <w:w w:val="83"/>
              </w:rPr>
              <w:t>PA</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19129</w:t>
            </w: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CULLMAN REGIONAL MEDICAL</w:t>
            </w: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CENTER</w:t>
            </w: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1912 ALABAMA HWY 157</w:t>
            </w:r>
          </w:p>
        </w:tc>
        <w:tc>
          <w:tcPr>
            <w:tcW w:w="2280" w:type="dxa"/>
            <w:vAlign w:val="bottom"/>
            <w:gridSpan w:val="3"/>
          </w:tcPr>
          <w:p>
            <w:pPr>
              <w:ind w:left="120"/>
              <w:spacing w:after="0"/>
              <w:rPr>
                <w:sz w:val="20"/>
                <w:szCs w:val="20"/>
                <w:color w:val="auto"/>
              </w:rPr>
            </w:pPr>
            <w:r>
              <w:rPr>
                <w:rFonts w:ascii="Arial" w:cs="Arial" w:eastAsia="Arial" w:hAnsi="Arial"/>
                <w:sz w:val="18"/>
                <w:szCs w:val="18"/>
                <w:color w:val="auto"/>
              </w:rPr>
              <w:t>CULLMAN</w:t>
            </w:r>
          </w:p>
        </w:tc>
        <w:tc>
          <w:tcPr>
            <w:tcW w:w="660" w:type="dxa"/>
            <w:vAlign w:val="bottom"/>
            <w:gridSpan w:val="2"/>
          </w:tcPr>
          <w:p>
            <w:pPr>
              <w:jc w:val="center"/>
              <w:ind w:right="100"/>
              <w:spacing w:after="0"/>
              <w:rPr>
                <w:sz w:val="20"/>
                <w:szCs w:val="20"/>
                <w:color w:val="auto"/>
              </w:rPr>
            </w:pPr>
            <w:r>
              <w:rPr>
                <w:rFonts w:ascii="Arial" w:cs="Arial" w:eastAsia="Arial" w:hAnsi="Arial"/>
                <w:sz w:val="18"/>
                <w:szCs w:val="18"/>
                <w:color w:val="auto"/>
              </w:rPr>
              <w:t>AL</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35058</w:t>
            </w: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PARK RIDGE HOSPITAL</w:t>
            </w: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1555 LONG POND RD</w:t>
            </w:r>
          </w:p>
        </w:tc>
        <w:tc>
          <w:tcPr>
            <w:tcW w:w="2280" w:type="dxa"/>
            <w:vAlign w:val="bottom"/>
            <w:gridSpan w:val="3"/>
          </w:tcPr>
          <w:p>
            <w:pPr>
              <w:ind w:left="120"/>
              <w:spacing w:after="0"/>
              <w:rPr>
                <w:sz w:val="20"/>
                <w:szCs w:val="20"/>
                <w:color w:val="auto"/>
              </w:rPr>
            </w:pPr>
            <w:r>
              <w:rPr>
                <w:rFonts w:ascii="Arial" w:cs="Arial" w:eastAsia="Arial" w:hAnsi="Arial"/>
                <w:sz w:val="18"/>
                <w:szCs w:val="18"/>
                <w:color w:val="auto"/>
              </w:rPr>
              <w:t>ROCHESTER</w:t>
            </w:r>
          </w:p>
        </w:tc>
        <w:tc>
          <w:tcPr>
            <w:tcW w:w="660" w:type="dxa"/>
            <w:vAlign w:val="bottom"/>
            <w:gridSpan w:val="2"/>
          </w:tcPr>
          <w:p>
            <w:pPr>
              <w:jc w:val="center"/>
              <w:ind w:right="120"/>
              <w:spacing w:after="0"/>
              <w:rPr>
                <w:sz w:val="20"/>
                <w:szCs w:val="20"/>
                <w:color w:val="auto"/>
              </w:rPr>
            </w:pPr>
            <w:r>
              <w:rPr>
                <w:rFonts w:ascii="Arial" w:cs="Arial" w:eastAsia="Arial" w:hAnsi="Arial"/>
                <w:sz w:val="18"/>
                <w:szCs w:val="18"/>
                <w:color w:val="auto"/>
              </w:rPr>
              <w:t>NY</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14626</w:t>
            </w: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VALLEY PRESBYTERIAN</w:t>
            </w: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15107 VANOWEN ST</w:t>
            </w:r>
          </w:p>
        </w:tc>
        <w:tc>
          <w:tcPr>
            <w:tcW w:w="2280" w:type="dxa"/>
            <w:vAlign w:val="bottom"/>
            <w:gridSpan w:val="3"/>
          </w:tcPr>
          <w:p>
            <w:pPr>
              <w:ind w:left="120"/>
              <w:spacing w:after="0"/>
              <w:rPr>
                <w:sz w:val="20"/>
                <w:szCs w:val="20"/>
                <w:color w:val="auto"/>
              </w:rPr>
            </w:pPr>
            <w:r>
              <w:rPr>
                <w:rFonts w:ascii="Arial" w:cs="Arial" w:eastAsia="Arial" w:hAnsi="Arial"/>
                <w:sz w:val="18"/>
                <w:szCs w:val="18"/>
                <w:color w:val="auto"/>
              </w:rPr>
              <w:t>VAN NUYS</w:t>
            </w:r>
          </w:p>
        </w:tc>
        <w:tc>
          <w:tcPr>
            <w:tcW w:w="6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CA</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91405</w:t>
            </w: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KAISER PERM FNDN HOSP&amp;MED CTR</w:t>
            </w: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4867 SUNSET BLVD</w:t>
            </w:r>
          </w:p>
        </w:tc>
        <w:tc>
          <w:tcPr>
            <w:tcW w:w="2280" w:type="dxa"/>
            <w:vAlign w:val="bottom"/>
            <w:gridSpan w:val="3"/>
          </w:tcPr>
          <w:p>
            <w:pPr>
              <w:ind w:left="120"/>
              <w:spacing w:after="0"/>
              <w:rPr>
                <w:sz w:val="20"/>
                <w:szCs w:val="20"/>
                <w:color w:val="auto"/>
              </w:rPr>
            </w:pPr>
            <w:r>
              <w:rPr>
                <w:rFonts w:ascii="Arial" w:cs="Arial" w:eastAsia="Arial" w:hAnsi="Arial"/>
                <w:sz w:val="18"/>
                <w:szCs w:val="18"/>
                <w:color w:val="auto"/>
              </w:rPr>
              <w:t>LOS ANGELES</w:t>
            </w:r>
          </w:p>
        </w:tc>
        <w:tc>
          <w:tcPr>
            <w:tcW w:w="6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CA</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90027</w:t>
            </w: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BAPTIST MEDICAL SYSTEM</w:t>
            </w: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9601 I630 EXIT 7</w:t>
            </w:r>
          </w:p>
        </w:tc>
        <w:tc>
          <w:tcPr>
            <w:tcW w:w="2280" w:type="dxa"/>
            <w:vAlign w:val="bottom"/>
            <w:gridSpan w:val="3"/>
          </w:tcPr>
          <w:p>
            <w:pPr>
              <w:ind w:left="120"/>
              <w:spacing w:after="0"/>
              <w:rPr>
                <w:sz w:val="20"/>
                <w:szCs w:val="20"/>
                <w:color w:val="auto"/>
              </w:rPr>
            </w:pPr>
            <w:r>
              <w:rPr>
                <w:rFonts w:ascii="Arial" w:cs="Arial" w:eastAsia="Arial" w:hAnsi="Arial"/>
                <w:sz w:val="18"/>
                <w:szCs w:val="18"/>
                <w:color w:val="auto"/>
              </w:rPr>
              <w:t>LITTLE ROCK</w:t>
            </w:r>
          </w:p>
        </w:tc>
        <w:tc>
          <w:tcPr>
            <w:tcW w:w="6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AR</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72205-7202</w:t>
            </w: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COX HEALTH SYSTEMS</w:t>
            </w: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3801 S NATIONAL AVE</w:t>
            </w:r>
          </w:p>
        </w:tc>
        <w:tc>
          <w:tcPr>
            <w:tcW w:w="2280" w:type="dxa"/>
            <w:vAlign w:val="bottom"/>
            <w:gridSpan w:val="3"/>
          </w:tcPr>
          <w:p>
            <w:pPr>
              <w:ind w:left="120"/>
              <w:spacing w:after="0"/>
              <w:rPr>
                <w:sz w:val="20"/>
                <w:szCs w:val="20"/>
                <w:color w:val="auto"/>
              </w:rPr>
            </w:pPr>
            <w:r>
              <w:rPr>
                <w:rFonts w:ascii="Arial" w:cs="Arial" w:eastAsia="Arial" w:hAnsi="Arial"/>
                <w:sz w:val="18"/>
                <w:szCs w:val="18"/>
                <w:color w:val="auto"/>
              </w:rPr>
              <w:t>SPRINGFIELD</w:t>
            </w:r>
          </w:p>
        </w:tc>
        <w:tc>
          <w:tcPr>
            <w:tcW w:w="66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MO</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65807</w:t>
            </w: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NORTH CENTRAL BRONX HOSP</w:t>
            </w: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3424 KOSSUTH AVE</w:t>
            </w:r>
          </w:p>
        </w:tc>
        <w:tc>
          <w:tcPr>
            <w:tcW w:w="2280" w:type="dxa"/>
            <w:vAlign w:val="bottom"/>
            <w:gridSpan w:val="3"/>
          </w:tcPr>
          <w:p>
            <w:pPr>
              <w:ind w:left="120"/>
              <w:spacing w:after="0"/>
              <w:rPr>
                <w:sz w:val="20"/>
                <w:szCs w:val="20"/>
                <w:color w:val="auto"/>
              </w:rPr>
            </w:pPr>
            <w:r>
              <w:rPr>
                <w:rFonts w:ascii="Arial" w:cs="Arial" w:eastAsia="Arial" w:hAnsi="Arial"/>
                <w:sz w:val="18"/>
                <w:szCs w:val="18"/>
                <w:color w:val="auto"/>
              </w:rPr>
              <w:t>BRONX</w:t>
            </w:r>
          </w:p>
        </w:tc>
        <w:tc>
          <w:tcPr>
            <w:tcW w:w="660" w:type="dxa"/>
            <w:vAlign w:val="bottom"/>
            <w:gridSpan w:val="2"/>
          </w:tcPr>
          <w:p>
            <w:pPr>
              <w:jc w:val="center"/>
              <w:ind w:right="120"/>
              <w:spacing w:after="0"/>
              <w:rPr>
                <w:sz w:val="20"/>
                <w:szCs w:val="20"/>
                <w:color w:val="auto"/>
              </w:rPr>
            </w:pPr>
            <w:r>
              <w:rPr>
                <w:rFonts w:ascii="Arial" w:cs="Arial" w:eastAsia="Arial" w:hAnsi="Arial"/>
                <w:sz w:val="18"/>
                <w:szCs w:val="18"/>
                <w:color w:val="auto"/>
              </w:rPr>
              <w:t>NY</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10467</w:t>
            </w: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ST VINCENT INFIRMARY MED</w:t>
            </w: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2 ST VINCENT CIR</w:t>
            </w:r>
          </w:p>
        </w:tc>
        <w:tc>
          <w:tcPr>
            <w:tcW w:w="2280" w:type="dxa"/>
            <w:vAlign w:val="bottom"/>
            <w:gridSpan w:val="3"/>
          </w:tcPr>
          <w:p>
            <w:pPr>
              <w:ind w:left="120"/>
              <w:spacing w:after="0"/>
              <w:rPr>
                <w:sz w:val="20"/>
                <w:szCs w:val="20"/>
                <w:color w:val="auto"/>
              </w:rPr>
            </w:pPr>
            <w:r>
              <w:rPr>
                <w:rFonts w:ascii="Arial" w:cs="Arial" w:eastAsia="Arial" w:hAnsi="Arial"/>
                <w:sz w:val="18"/>
                <w:szCs w:val="18"/>
                <w:color w:val="auto"/>
              </w:rPr>
              <w:t>LITTLE ROCK</w:t>
            </w:r>
          </w:p>
        </w:tc>
        <w:tc>
          <w:tcPr>
            <w:tcW w:w="6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AR</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72205</w:t>
            </w: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BROOKWOOD MEDICAL CENTER</w:t>
            </w:r>
          </w:p>
        </w:tc>
        <w:tc>
          <w:tcPr>
            <w:tcW w:w="5800" w:type="dxa"/>
            <w:vAlign w:val="bottom"/>
            <w:gridSpan w:val="5"/>
          </w:tcPr>
          <w:p>
            <w:pPr>
              <w:ind w:left="100"/>
              <w:spacing w:after="0"/>
              <w:rPr>
                <w:sz w:val="20"/>
                <w:szCs w:val="20"/>
                <w:color w:val="auto"/>
              </w:rPr>
            </w:pPr>
            <w:r>
              <w:rPr>
                <w:rFonts w:ascii="Arial" w:cs="Arial" w:eastAsia="Arial" w:hAnsi="Arial"/>
                <w:sz w:val="18"/>
                <w:szCs w:val="18"/>
                <w:color w:val="auto"/>
              </w:rPr>
              <w:t>2010 BROOKWOOD MEDICAL CENTER DR  HOMEWOOD</w:t>
            </w:r>
          </w:p>
        </w:tc>
        <w:tc>
          <w:tcPr>
            <w:tcW w:w="660" w:type="dxa"/>
            <w:vAlign w:val="bottom"/>
            <w:gridSpan w:val="2"/>
          </w:tcPr>
          <w:p>
            <w:pPr>
              <w:jc w:val="center"/>
              <w:ind w:right="100"/>
              <w:spacing w:after="0"/>
              <w:rPr>
                <w:sz w:val="20"/>
                <w:szCs w:val="20"/>
                <w:color w:val="auto"/>
              </w:rPr>
            </w:pPr>
            <w:r>
              <w:rPr>
                <w:rFonts w:ascii="Arial" w:cs="Arial" w:eastAsia="Arial" w:hAnsi="Arial"/>
                <w:sz w:val="18"/>
                <w:szCs w:val="18"/>
                <w:color w:val="auto"/>
              </w:rPr>
              <w:t>AL</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35209</w:t>
            </w: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FRESNO COMMUNITY HOSPITAL</w:t>
            </w: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2130 E ILLINOIS AVE</w:t>
            </w:r>
          </w:p>
        </w:tc>
        <w:tc>
          <w:tcPr>
            <w:tcW w:w="2280" w:type="dxa"/>
            <w:vAlign w:val="bottom"/>
            <w:gridSpan w:val="3"/>
          </w:tcPr>
          <w:p>
            <w:pPr>
              <w:ind w:left="120"/>
              <w:spacing w:after="0"/>
              <w:rPr>
                <w:sz w:val="20"/>
                <w:szCs w:val="20"/>
                <w:color w:val="auto"/>
              </w:rPr>
            </w:pPr>
            <w:r>
              <w:rPr>
                <w:rFonts w:ascii="Arial" w:cs="Arial" w:eastAsia="Arial" w:hAnsi="Arial"/>
                <w:sz w:val="18"/>
                <w:szCs w:val="18"/>
                <w:color w:val="auto"/>
              </w:rPr>
              <w:t>FRESNO</w:t>
            </w:r>
          </w:p>
        </w:tc>
        <w:tc>
          <w:tcPr>
            <w:tcW w:w="6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CA</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93701</w:t>
            </w: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OAKWOOD MEDICAL CENTER</w:t>
            </w: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18101 OAKWOOD BLVD</w:t>
            </w:r>
          </w:p>
        </w:tc>
        <w:tc>
          <w:tcPr>
            <w:tcW w:w="2280" w:type="dxa"/>
            <w:vAlign w:val="bottom"/>
            <w:gridSpan w:val="3"/>
          </w:tcPr>
          <w:p>
            <w:pPr>
              <w:ind w:left="120"/>
              <w:spacing w:after="0"/>
              <w:rPr>
                <w:sz w:val="20"/>
                <w:szCs w:val="20"/>
                <w:color w:val="auto"/>
              </w:rPr>
            </w:pPr>
            <w:r>
              <w:rPr>
                <w:rFonts w:ascii="Arial" w:cs="Arial" w:eastAsia="Arial" w:hAnsi="Arial"/>
                <w:sz w:val="18"/>
                <w:szCs w:val="18"/>
                <w:color w:val="auto"/>
              </w:rPr>
              <w:t>DEARBORN</w:t>
            </w:r>
          </w:p>
        </w:tc>
        <w:tc>
          <w:tcPr>
            <w:tcW w:w="660" w:type="dxa"/>
            <w:vAlign w:val="bottom"/>
            <w:gridSpan w:val="2"/>
          </w:tcPr>
          <w:p>
            <w:pPr>
              <w:jc w:val="center"/>
              <w:ind w:right="120"/>
              <w:spacing w:after="0"/>
              <w:rPr>
                <w:sz w:val="20"/>
                <w:szCs w:val="20"/>
                <w:color w:val="auto"/>
              </w:rPr>
            </w:pPr>
            <w:r>
              <w:rPr>
                <w:rFonts w:ascii="Arial" w:cs="Arial" w:eastAsia="Arial" w:hAnsi="Arial"/>
                <w:sz w:val="18"/>
                <w:szCs w:val="18"/>
                <w:color w:val="auto"/>
              </w:rPr>
              <w:t>MI</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48124</w:t>
            </w: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UNIVERSITY OF IOWA</w:t>
            </w: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200 HAWKINS DR</w:t>
            </w:r>
          </w:p>
        </w:tc>
        <w:tc>
          <w:tcPr>
            <w:tcW w:w="2280" w:type="dxa"/>
            <w:vAlign w:val="bottom"/>
            <w:gridSpan w:val="3"/>
          </w:tcPr>
          <w:p>
            <w:pPr>
              <w:ind w:left="120"/>
              <w:spacing w:after="0"/>
              <w:rPr>
                <w:sz w:val="20"/>
                <w:szCs w:val="20"/>
                <w:color w:val="auto"/>
              </w:rPr>
            </w:pPr>
            <w:r>
              <w:rPr>
                <w:rFonts w:ascii="Arial" w:cs="Arial" w:eastAsia="Arial" w:hAnsi="Arial"/>
                <w:sz w:val="18"/>
                <w:szCs w:val="18"/>
                <w:color w:val="auto"/>
              </w:rPr>
              <w:t>IOWA CITY</w:t>
            </w:r>
          </w:p>
        </w:tc>
        <w:tc>
          <w:tcPr>
            <w:tcW w:w="660" w:type="dxa"/>
            <w:vAlign w:val="bottom"/>
            <w:gridSpan w:val="2"/>
          </w:tcPr>
          <w:p>
            <w:pPr>
              <w:jc w:val="center"/>
              <w:ind w:right="120"/>
              <w:spacing w:after="0"/>
              <w:rPr>
                <w:sz w:val="20"/>
                <w:szCs w:val="20"/>
                <w:color w:val="auto"/>
              </w:rPr>
            </w:pPr>
            <w:r>
              <w:rPr>
                <w:rFonts w:ascii="Arial" w:cs="Arial" w:eastAsia="Arial" w:hAnsi="Arial"/>
                <w:sz w:val="18"/>
                <w:szCs w:val="18"/>
                <w:color w:val="auto"/>
              </w:rPr>
              <w:t>IA</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52242-1007</w:t>
            </w: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St. Bernards Regional Medical Center</w:t>
            </w: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225 E JACKSON AVE</w:t>
            </w:r>
          </w:p>
        </w:tc>
        <w:tc>
          <w:tcPr>
            <w:tcW w:w="2280" w:type="dxa"/>
            <w:vAlign w:val="bottom"/>
            <w:gridSpan w:val="3"/>
          </w:tcPr>
          <w:p>
            <w:pPr>
              <w:ind w:left="120"/>
              <w:spacing w:after="0"/>
              <w:rPr>
                <w:sz w:val="20"/>
                <w:szCs w:val="20"/>
                <w:color w:val="auto"/>
              </w:rPr>
            </w:pPr>
            <w:r>
              <w:rPr>
                <w:rFonts w:ascii="Arial" w:cs="Arial" w:eastAsia="Arial" w:hAnsi="Arial"/>
                <w:sz w:val="18"/>
                <w:szCs w:val="18"/>
                <w:color w:val="auto"/>
              </w:rPr>
              <w:t>JONESBORO</w:t>
            </w:r>
          </w:p>
        </w:tc>
        <w:tc>
          <w:tcPr>
            <w:tcW w:w="6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AR</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72401</w:t>
            </w: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POH MEDICAL CENTER</w:t>
            </w: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50 N PERRY ST</w:t>
            </w:r>
          </w:p>
        </w:tc>
        <w:tc>
          <w:tcPr>
            <w:tcW w:w="2280" w:type="dxa"/>
            <w:vAlign w:val="bottom"/>
            <w:gridSpan w:val="3"/>
          </w:tcPr>
          <w:p>
            <w:pPr>
              <w:ind w:left="120"/>
              <w:spacing w:after="0"/>
              <w:rPr>
                <w:sz w:val="20"/>
                <w:szCs w:val="20"/>
                <w:color w:val="auto"/>
              </w:rPr>
            </w:pPr>
            <w:r>
              <w:rPr>
                <w:rFonts w:ascii="Arial" w:cs="Arial" w:eastAsia="Arial" w:hAnsi="Arial"/>
                <w:sz w:val="18"/>
                <w:szCs w:val="18"/>
                <w:color w:val="auto"/>
              </w:rPr>
              <w:t>PONTIAC</w:t>
            </w:r>
          </w:p>
        </w:tc>
        <w:tc>
          <w:tcPr>
            <w:tcW w:w="660" w:type="dxa"/>
            <w:vAlign w:val="bottom"/>
            <w:gridSpan w:val="2"/>
          </w:tcPr>
          <w:p>
            <w:pPr>
              <w:jc w:val="center"/>
              <w:ind w:right="120"/>
              <w:spacing w:after="0"/>
              <w:rPr>
                <w:sz w:val="20"/>
                <w:szCs w:val="20"/>
                <w:color w:val="auto"/>
              </w:rPr>
            </w:pPr>
            <w:r>
              <w:rPr>
                <w:rFonts w:ascii="Arial" w:cs="Arial" w:eastAsia="Arial" w:hAnsi="Arial"/>
                <w:sz w:val="18"/>
                <w:szCs w:val="18"/>
                <w:color w:val="auto"/>
              </w:rPr>
              <w:t>MI</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48342</w:t>
            </w: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TAYLOR HOSPITAL</w:t>
            </w: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175 E CHESTER PIKE</w:t>
            </w:r>
          </w:p>
        </w:tc>
        <w:tc>
          <w:tcPr>
            <w:tcW w:w="2280" w:type="dxa"/>
            <w:vAlign w:val="bottom"/>
            <w:gridSpan w:val="3"/>
          </w:tcPr>
          <w:p>
            <w:pPr>
              <w:ind w:left="120"/>
              <w:spacing w:after="0"/>
              <w:rPr>
                <w:sz w:val="20"/>
                <w:szCs w:val="20"/>
                <w:color w:val="auto"/>
              </w:rPr>
            </w:pPr>
            <w:r>
              <w:rPr>
                <w:rFonts w:ascii="Arial" w:cs="Arial" w:eastAsia="Arial" w:hAnsi="Arial"/>
                <w:sz w:val="18"/>
                <w:szCs w:val="18"/>
                <w:color w:val="auto"/>
              </w:rPr>
              <w:t>RIDLEY PARK</w:t>
            </w:r>
          </w:p>
        </w:tc>
        <w:tc>
          <w:tcPr>
            <w:tcW w:w="660" w:type="dxa"/>
            <w:vAlign w:val="bottom"/>
            <w:gridSpan w:val="2"/>
          </w:tcPr>
          <w:p>
            <w:pPr>
              <w:jc w:val="center"/>
              <w:ind w:right="100"/>
              <w:spacing w:after="0"/>
              <w:rPr>
                <w:sz w:val="20"/>
                <w:szCs w:val="20"/>
                <w:color w:val="auto"/>
              </w:rPr>
            </w:pPr>
            <w:r>
              <w:rPr>
                <w:rFonts w:ascii="Arial" w:cs="Arial" w:eastAsia="Arial" w:hAnsi="Arial"/>
                <w:sz w:val="18"/>
                <w:szCs w:val="18"/>
                <w:color w:val="auto"/>
                <w:w w:val="83"/>
              </w:rPr>
              <w:t>PA</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19078</w:t>
            </w: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JACOBI MEDICAL CENTER</w:t>
            </w: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1400 PELHAM PKWY S</w:t>
            </w:r>
          </w:p>
        </w:tc>
        <w:tc>
          <w:tcPr>
            <w:tcW w:w="2280" w:type="dxa"/>
            <w:vAlign w:val="bottom"/>
            <w:gridSpan w:val="3"/>
          </w:tcPr>
          <w:p>
            <w:pPr>
              <w:ind w:left="120"/>
              <w:spacing w:after="0"/>
              <w:rPr>
                <w:sz w:val="20"/>
                <w:szCs w:val="20"/>
                <w:color w:val="auto"/>
              </w:rPr>
            </w:pPr>
            <w:r>
              <w:rPr>
                <w:rFonts w:ascii="Arial" w:cs="Arial" w:eastAsia="Arial" w:hAnsi="Arial"/>
                <w:sz w:val="18"/>
                <w:szCs w:val="18"/>
                <w:color w:val="auto"/>
              </w:rPr>
              <w:t>BRONX</w:t>
            </w:r>
          </w:p>
        </w:tc>
        <w:tc>
          <w:tcPr>
            <w:tcW w:w="660" w:type="dxa"/>
            <w:vAlign w:val="bottom"/>
            <w:gridSpan w:val="2"/>
          </w:tcPr>
          <w:p>
            <w:pPr>
              <w:jc w:val="center"/>
              <w:ind w:right="120"/>
              <w:spacing w:after="0"/>
              <w:rPr>
                <w:sz w:val="20"/>
                <w:szCs w:val="20"/>
                <w:color w:val="auto"/>
              </w:rPr>
            </w:pPr>
            <w:r>
              <w:rPr>
                <w:rFonts w:ascii="Arial" w:cs="Arial" w:eastAsia="Arial" w:hAnsi="Arial"/>
                <w:sz w:val="18"/>
                <w:szCs w:val="18"/>
                <w:color w:val="auto"/>
              </w:rPr>
              <w:t>NY</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10461</w:t>
            </w:r>
          </w:p>
        </w:tc>
      </w:tr>
      <w:tr>
        <w:trPr>
          <w:trHeight w:val="222"/>
        </w:trPr>
        <w:tc>
          <w:tcPr>
            <w:tcW w:w="3360" w:type="dxa"/>
            <w:vAlign w:val="bottom"/>
            <w:gridSpan w:val="2"/>
          </w:tcPr>
          <w:p>
            <w:pPr>
              <w:spacing w:after="0"/>
              <w:rPr>
                <w:sz w:val="20"/>
                <w:szCs w:val="20"/>
                <w:color w:val="auto"/>
              </w:rPr>
            </w:pPr>
            <w:r>
              <w:rPr>
                <w:rFonts w:ascii="Arial" w:cs="Arial" w:eastAsia="Arial" w:hAnsi="Arial"/>
                <w:sz w:val="18"/>
                <w:szCs w:val="18"/>
                <w:color w:val="auto"/>
              </w:rPr>
              <w:t>HOSPITAL - HAHNEMANN HOSPITAL</w:t>
            </w: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1400 RACE ST</w:t>
            </w:r>
          </w:p>
        </w:tc>
        <w:tc>
          <w:tcPr>
            <w:tcW w:w="2280" w:type="dxa"/>
            <w:vAlign w:val="bottom"/>
            <w:gridSpan w:val="3"/>
          </w:tcPr>
          <w:p>
            <w:pPr>
              <w:ind w:left="120"/>
              <w:spacing w:after="0"/>
              <w:rPr>
                <w:sz w:val="20"/>
                <w:szCs w:val="20"/>
                <w:color w:val="auto"/>
              </w:rPr>
            </w:pPr>
            <w:r>
              <w:rPr>
                <w:rFonts w:ascii="Arial" w:cs="Arial" w:eastAsia="Arial" w:hAnsi="Arial"/>
                <w:sz w:val="18"/>
                <w:szCs w:val="18"/>
                <w:color w:val="auto"/>
              </w:rPr>
              <w:t>PHILADELPHIA</w:t>
            </w:r>
          </w:p>
        </w:tc>
        <w:tc>
          <w:tcPr>
            <w:tcW w:w="660" w:type="dxa"/>
            <w:vAlign w:val="bottom"/>
            <w:gridSpan w:val="2"/>
          </w:tcPr>
          <w:p>
            <w:pPr>
              <w:jc w:val="center"/>
              <w:ind w:right="100"/>
              <w:spacing w:after="0"/>
              <w:rPr>
                <w:sz w:val="20"/>
                <w:szCs w:val="20"/>
                <w:color w:val="auto"/>
              </w:rPr>
            </w:pPr>
            <w:r>
              <w:rPr>
                <w:rFonts w:ascii="Arial" w:cs="Arial" w:eastAsia="Arial" w:hAnsi="Arial"/>
                <w:sz w:val="18"/>
                <w:szCs w:val="18"/>
                <w:color w:val="auto"/>
                <w:w w:val="83"/>
              </w:rPr>
              <w:t>PA</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19102</w:t>
            </w:r>
          </w:p>
        </w:tc>
      </w:tr>
    </w:tbl>
    <w:p>
      <w:pPr>
        <w:sectPr>
          <w:pgSz w:w="11900" w:h="16838" w:orient="portrait"/>
          <w:cols w:equalWidth="0" w:num="1">
            <w:col w:w="11420"/>
          </w:cols>
          <w:pgMar w:left="240" w:top="274" w:right="239" w:bottom="1440" w:gutter="0" w:footer="0" w:header="0"/>
        </w:sectPr>
      </w:pPr>
    </w:p>
    <w:bookmarkStart w:id="352" w:name="page353"/>
    <w:bookmarkEnd w:id="35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ST CLAIR HOSPITAL</w:t>
            </w:r>
          </w:p>
        </w:tc>
        <w:tc>
          <w:tcPr>
            <w:tcW w:w="4080" w:type="dxa"/>
            <w:vAlign w:val="bottom"/>
          </w:tcPr>
          <w:p>
            <w:pPr>
              <w:ind w:left="60"/>
              <w:spacing w:after="0"/>
              <w:rPr>
                <w:sz w:val="20"/>
                <w:szCs w:val="20"/>
                <w:color w:val="auto"/>
              </w:rPr>
            </w:pPr>
            <w:r>
              <w:rPr>
                <w:rFonts w:ascii="Arial" w:cs="Arial" w:eastAsia="Arial" w:hAnsi="Arial"/>
                <w:sz w:val="18"/>
                <w:szCs w:val="18"/>
                <w:color w:val="auto"/>
              </w:rPr>
              <w:t>1000 BOWER HILL RD</w:t>
            </w:r>
          </w:p>
        </w:tc>
        <w:tc>
          <w:tcPr>
            <w:tcW w:w="1620" w:type="dxa"/>
            <w:vAlign w:val="bottom"/>
          </w:tcPr>
          <w:p>
            <w:pPr>
              <w:ind w:left="80"/>
              <w:spacing w:after="0"/>
              <w:rPr>
                <w:sz w:val="20"/>
                <w:szCs w:val="20"/>
                <w:color w:val="auto"/>
              </w:rPr>
            </w:pPr>
            <w:r>
              <w:rPr>
                <w:rFonts w:ascii="Arial" w:cs="Arial" w:eastAsia="Arial" w:hAnsi="Arial"/>
                <w:sz w:val="18"/>
                <w:szCs w:val="18"/>
                <w:color w:val="auto"/>
              </w:rPr>
              <w:t>PITTSBURGH</w:t>
            </w:r>
          </w:p>
        </w:tc>
        <w:tc>
          <w:tcPr>
            <w:tcW w:w="520" w:type="dxa"/>
            <w:vAlign w:val="bottom"/>
          </w:tcPr>
          <w:p>
            <w:pPr>
              <w:ind w:left="160"/>
              <w:spacing w:after="0"/>
              <w:rPr>
                <w:sz w:val="20"/>
                <w:szCs w:val="20"/>
                <w:color w:val="auto"/>
              </w:rPr>
            </w:pPr>
            <w:r>
              <w:rPr>
                <w:rFonts w:ascii="Arial" w:cs="Arial" w:eastAsia="Arial" w:hAnsi="Arial"/>
                <w:sz w:val="18"/>
                <w:szCs w:val="18"/>
                <w:color w:val="auto"/>
              </w:rPr>
              <w:t>PA</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15243</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MEDICAL CENTER EAST</w:t>
            </w:r>
          </w:p>
        </w:tc>
        <w:tc>
          <w:tcPr>
            <w:tcW w:w="4080" w:type="dxa"/>
            <w:vAlign w:val="bottom"/>
          </w:tcPr>
          <w:p>
            <w:pPr>
              <w:ind w:left="60"/>
              <w:spacing w:after="0"/>
              <w:rPr>
                <w:sz w:val="20"/>
                <w:szCs w:val="20"/>
                <w:color w:val="auto"/>
              </w:rPr>
            </w:pPr>
            <w:r>
              <w:rPr>
                <w:rFonts w:ascii="Arial" w:cs="Arial" w:eastAsia="Arial" w:hAnsi="Arial"/>
                <w:sz w:val="18"/>
                <w:szCs w:val="18"/>
                <w:color w:val="auto"/>
              </w:rPr>
              <w:t>50 MEDICAL PARK E DR</w:t>
            </w:r>
          </w:p>
        </w:tc>
        <w:tc>
          <w:tcPr>
            <w:tcW w:w="1620" w:type="dxa"/>
            <w:vAlign w:val="bottom"/>
          </w:tcPr>
          <w:p>
            <w:pPr>
              <w:ind w:left="80"/>
              <w:spacing w:after="0"/>
              <w:rPr>
                <w:sz w:val="20"/>
                <w:szCs w:val="20"/>
                <w:color w:val="auto"/>
              </w:rPr>
            </w:pPr>
            <w:r>
              <w:rPr>
                <w:rFonts w:ascii="Arial" w:cs="Arial" w:eastAsia="Arial" w:hAnsi="Arial"/>
                <w:sz w:val="18"/>
                <w:szCs w:val="18"/>
                <w:color w:val="auto"/>
              </w:rPr>
              <w:t>BIRMINGHAM</w:t>
            </w:r>
          </w:p>
        </w:tc>
        <w:tc>
          <w:tcPr>
            <w:tcW w:w="520" w:type="dxa"/>
            <w:vAlign w:val="bottom"/>
          </w:tcPr>
          <w:p>
            <w:pPr>
              <w:ind w:left="160"/>
              <w:spacing w:after="0"/>
              <w:rPr>
                <w:sz w:val="20"/>
                <w:szCs w:val="20"/>
                <w:color w:val="auto"/>
              </w:rPr>
            </w:pPr>
            <w:r>
              <w:rPr>
                <w:rFonts w:ascii="Arial" w:cs="Arial" w:eastAsia="Arial" w:hAnsi="Arial"/>
                <w:sz w:val="18"/>
                <w:szCs w:val="18"/>
                <w:color w:val="auto"/>
              </w:rPr>
              <w:t>AL</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35235</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EAST ALABAMA MEDICAL CENTER</w:t>
            </w:r>
          </w:p>
        </w:tc>
        <w:tc>
          <w:tcPr>
            <w:tcW w:w="4080" w:type="dxa"/>
            <w:vAlign w:val="bottom"/>
          </w:tcPr>
          <w:p>
            <w:pPr>
              <w:ind w:left="60"/>
              <w:spacing w:after="0"/>
              <w:rPr>
                <w:sz w:val="20"/>
                <w:szCs w:val="20"/>
                <w:color w:val="auto"/>
              </w:rPr>
            </w:pPr>
            <w:r>
              <w:rPr>
                <w:rFonts w:ascii="Arial" w:cs="Arial" w:eastAsia="Arial" w:hAnsi="Arial"/>
                <w:sz w:val="18"/>
                <w:szCs w:val="18"/>
                <w:color w:val="auto"/>
              </w:rPr>
              <w:t>2000 PEPPERELL PKWY</w:t>
            </w:r>
          </w:p>
        </w:tc>
        <w:tc>
          <w:tcPr>
            <w:tcW w:w="1620" w:type="dxa"/>
            <w:vAlign w:val="bottom"/>
          </w:tcPr>
          <w:p>
            <w:pPr>
              <w:ind w:left="80"/>
              <w:spacing w:after="0"/>
              <w:rPr>
                <w:sz w:val="20"/>
                <w:szCs w:val="20"/>
                <w:color w:val="auto"/>
              </w:rPr>
            </w:pPr>
            <w:r>
              <w:rPr>
                <w:rFonts w:ascii="Arial" w:cs="Arial" w:eastAsia="Arial" w:hAnsi="Arial"/>
                <w:sz w:val="18"/>
                <w:szCs w:val="18"/>
                <w:color w:val="auto"/>
              </w:rPr>
              <w:t>OPELIKA</w:t>
            </w:r>
          </w:p>
        </w:tc>
        <w:tc>
          <w:tcPr>
            <w:tcW w:w="520" w:type="dxa"/>
            <w:vAlign w:val="bottom"/>
          </w:tcPr>
          <w:p>
            <w:pPr>
              <w:ind w:left="160"/>
              <w:spacing w:after="0"/>
              <w:rPr>
                <w:sz w:val="20"/>
                <w:szCs w:val="20"/>
                <w:color w:val="auto"/>
              </w:rPr>
            </w:pPr>
            <w:r>
              <w:rPr>
                <w:rFonts w:ascii="Arial" w:cs="Arial" w:eastAsia="Arial" w:hAnsi="Arial"/>
                <w:sz w:val="18"/>
                <w:szCs w:val="18"/>
                <w:color w:val="auto"/>
              </w:rPr>
              <w:t>AL</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36801</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ST LUKES HOSPITAL</w:t>
            </w:r>
          </w:p>
        </w:tc>
        <w:tc>
          <w:tcPr>
            <w:tcW w:w="4080" w:type="dxa"/>
            <w:vAlign w:val="bottom"/>
          </w:tcPr>
          <w:p>
            <w:pPr>
              <w:ind w:left="60"/>
              <w:spacing w:after="0"/>
              <w:rPr>
                <w:sz w:val="20"/>
                <w:szCs w:val="20"/>
                <w:color w:val="auto"/>
              </w:rPr>
            </w:pPr>
            <w:r>
              <w:rPr>
                <w:rFonts w:ascii="Arial" w:cs="Arial" w:eastAsia="Arial" w:hAnsi="Arial"/>
                <w:sz w:val="18"/>
                <w:szCs w:val="18"/>
                <w:color w:val="auto"/>
              </w:rPr>
              <w:t>512 S 11TH ST</w:t>
            </w:r>
          </w:p>
        </w:tc>
        <w:tc>
          <w:tcPr>
            <w:tcW w:w="1620" w:type="dxa"/>
            <w:vAlign w:val="bottom"/>
          </w:tcPr>
          <w:p>
            <w:pPr>
              <w:ind w:left="80"/>
              <w:spacing w:after="0"/>
              <w:rPr>
                <w:sz w:val="20"/>
                <w:szCs w:val="20"/>
                <w:color w:val="auto"/>
              </w:rPr>
            </w:pPr>
            <w:r>
              <w:rPr>
                <w:rFonts w:ascii="Arial" w:cs="Arial" w:eastAsia="Arial" w:hAnsi="Arial"/>
                <w:sz w:val="18"/>
                <w:szCs w:val="18"/>
                <w:color w:val="auto"/>
              </w:rPr>
              <w:t>BOISE</w:t>
            </w:r>
          </w:p>
        </w:tc>
        <w:tc>
          <w:tcPr>
            <w:tcW w:w="520" w:type="dxa"/>
            <w:vAlign w:val="bottom"/>
          </w:tcPr>
          <w:p>
            <w:pPr>
              <w:ind w:left="160"/>
              <w:spacing w:after="0"/>
              <w:rPr>
                <w:sz w:val="20"/>
                <w:szCs w:val="20"/>
                <w:color w:val="auto"/>
              </w:rPr>
            </w:pPr>
            <w:r>
              <w:rPr>
                <w:rFonts w:ascii="Arial" w:cs="Arial" w:eastAsia="Arial" w:hAnsi="Arial"/>
                <w:sz w:val="18"/>
                <w:szCs w:val="18"/>
                <w:color w:val="auto"/>
              </w:rPr>
              <w:t>ID</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83702</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SOUTHERN NH REG MEDICAL CENTER</w:t>
            </w:r>
          </w:p>
        </w:tc>
        <w:tc>
          <w:tcPr>
            <w:tcW w:w="4080" w:type="dxa"/>
            <w:vAlign w:val="bottom"/>
          </w:tcPr>
          <w:p>
            <w:pPr>
              <w:ind w:left="60"/>
              <w:spacing w:after="0"/>
              <w:rPr>
                <w:sz w:val="20"/>
                <w:szCs w:val="20"/>
                <w:color w:val="auto"/>
              </w:rPr>
            </w:pPr>
            <w:r>
              <w:rPr>
                <w:rFonts w:ascii="Arial" w:cs="Arial" w:eastAsia="Arial" w:hAnsi="Arial"/>
                <w:sz w:val="18"/>
                <w:szCs w:val="18"/>
                <w:color w:val="auto"/>
              </w:rPr>
              <w:t>8 PROSPECT ST</w:t>
            </w:r>
          </w:p>
        </w:tc>
        <w:tc>
          <w:tcPr>
            <w:tcW w:w="1620" w:type="dxa"/>
            <w:vAlign w:val="bottom"/>
          </w:tcPr>
          <w:p>
            <w:pPr>
              <w:ind w:left="80"/>
              <w:spacing w:after="0"/>
              <w:rPr>
                <w:sz w:val="20"/>
                <w:szCs w:val="20"/>
                <w:color w:val="auto"/>
              </w:rPr>
            </w:pPr>
            <w:r>
              <w:rPr>
                <w:rFonts w:ascii="Arial" w:cs="Arial" w:eastAsia="Arial" w:hAnsi="Arial"/>
                <w:sz w:val="18"/>
                <w:szCs w:val="18"/>
                <w:color w:val="auto"/>
              </w:rPr>
              <w:t>NASHUA</w:t>
            </w:r>
          </w:p>
        </w:tc>
        <w:tc>
          <w:tcPr>
            <w:tcW w:w="520" w:type="dxa"/>
            <w:vAlign w:val="bottom"/>
          </w:tcPr>
          <w:p>
            <w:pPr>
              <w:ind w:left="160"/>
              <w:spacing w:after="0"/>
              <w:rPr>
                <w:sz w:val="20"/>
                <w:szCs w:val="20"/>
                <w:color w:val="auto"/>
              </w:rPr>
            </w:pPr>
            <w:r>
              <w:rPr>
                <w:rFonts w:ascii="Arial" w:cs="Arial" w:eastAsia="Arial" w:hAnsi="Arial"/>
                <w:sz w:val="18"/>
                <w:szCs w:val="18"/>
                <w:color w:val="auto"/>
              </w:rPr>
              <w:t>NH</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03060</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ATLANTIC CITY MEDICAL CENTER</w:t>
            </w:r>
          </w:p>
        </w:tc>
        <w:tc>
          <w:tcPr>
            <w:tcW w:w="4080" w:type="dxa"/>
            <w:vAlign w:val="bottom"/>
          </w:tcPr>
          <w:p>
            <w:pPr>
              <w:ind w:left="60"/>
              <w:spacing w:after="0"/>
              <w:rPr>
                <w:sz w:val="20"/>
                <w:szCs w:val="20"/>
                <w:color w:val="auto"/>
              </w:rPr>
            </w:pPr>
            <w:r>
              <w:rPr>
                <w:rFonts w:ascii="Arial" w:cs="Arial" w:eastAsia="Arial" w:hAnsi="Arial"/>
                <w:sz w:val="18"/>
                <w:szCs w:val="18"/>
                <w:color w:val="auto"/>
              </w:rPr>
              <w:t>JIM LEEDS RD</w:t>
            </w:r>
          </w:p>
        </w:tc>
        <w:tc>
          <w:tcPr>
            <w:tcW w:w="1620" w:type="dxa"/>
            <w:vAlign w:val="bottom"/>
          </w:tcPr>
          <w:p>
            <w:pPr>
              <w:ind w:left="80"/>
              <w:spacing w:after="0"/>
              <w:rPr>
                <w:sz w:val="20"/>
                <w:szCs w:val="20"/>
                <w:color w:val="auto"/>
              </w:rPr>
            </w:pPr>
            <w:r>
              <w:rPr>
                <w:rFonts w:ascii="Arial" w:cs="Arial" w:eastAsia="Arial" w:hAnsi="Arial"/>
                <w:sz w:val="18"/>
                <w:szCs w:val="18"/>
                <w:color w:val="auto"/>
              </w:rPr>
              <w:t>POMONA</w:t>
            </w:r>
          </w:p>
        </w:tc>
        <w:tc>
          <w:tcPr>
            <w:tcW w:w="520" w:type="dxa"/>
            <w:vAlign w:val="bottom"/>
          </w:tcPr>
          <w:p>
            <w:pPr>
              <w:ind w:left="160"/>
              <w:spacing w:after="0"/>
              <w:rPr>
                <w:sz w:val="20"/>
                <w:szCs w:val="20"/>
                <w:color w:val="auto"/>
              </w:rPr>
            </w:pPr>
            <w:r>
              <w:rPr>
                <w:rFonts w:ascii="Arial" w:cs="Arial" w:eastAsia="Arial" w:hAnsi="Arial"/>
                <w:sz w:val="18"/>
                <w:szCs w:val="18"/>
                <w:color w:val="auto"/>
              </w:rPr>
              <w:t>NJ</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08240</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Kennedy Memorial Hospital Cherry Hill</w:t>
            </w:r>
          </w:p>
        </w:tc>
        <w:tc>
          <w:tcPr>
            <w:tcW w:w="4080" w:type="dxa"/>
            <w:vAlign w:val="bottom"/>
          </w:tcPr>
          <w:p>
            <w:pPr>
              <w:ind w:left="60"/>
              <w:spacing w:after="0"/>
              <w:rPr>
                <w:sz w:val="20"/>
                <w:szCs w:val="20"/>
                <w:color w:val="auto"/>
              </w:rPr>
            </w:pPr>
            <w:r>
              <w:rPr>
                <w:rFonts w:ascii="Arial" w:cs="Arial" w:eastAsia="Arial" w:hAnsi="Arial"/>
                <w:sz w:val="18"/>
                <w:szCs w:val="18"/>
                <w:color w:val="auto"/>
              </w:rPr>
              <w:t>2201 CHAPEL AVE W</w:t>
            </w:r>
          </w:p>
        </w:tc>
        <w:tc>
          <w:tcPr>
            <w:tcW w:w="1620" w:type="dxa"/>
            <w:vAlign w:val="bottom"/>
          </w:tcPr>
          <w:p>
            <w:pPr>
              <w:ind w:left="80"/>
              <w:spacing w:after="0"/>
              <w:rPr>
                <w:sz w:val="20"/>
                <w:szCs w:val="20"/>
                <w:color w:val="auto"/>
              </w:rPr>
            </w:pPr>
            <w:r>
              <w:rPr>
                <w:rFonts w:ascii="Arial" w:cs="Arial" w:eastAsia="Arial" w:hAnsi="Arial"/>
                <w:sz w:val="18"/>
                <w:szCs w:val="18"/>
                <w:color w:val="auto"/>
              </w:rPr>
              <w:t>CHERRY HILL</w:t>
            </w:r>
          </w:p>
        </w:tc>
        <w:tc>
          <w:tcPr>
            <w:tcW w:w="520" w:type="dxa"/>
            <w:vAlign w:val="bottom"/>
          </w:tcPr>
          <w:p>
            <w:pPr>
              <w:ind w:left="160"/>
              <w:spacing w:after="0"/>
              <w:rPr>
                <w:sz w:val="20"/>
                <w:szCs w:val="20"/>
                <w:color w:val="auto"/>
              </w:rPr>
            </w:pPr>
            <w:r>
              <w:rPr>
                <w:rFonts w:ascii="Arial" w:cs="Arial" w:eastAsia="Arial" w:hAnsi="Arial"/>
                <w:sz w:val="18"/>
                <w:szCs w:val="18"/>
                <w:color w:val="auto"/>
              </w:rPr>
              <w:t>NJ</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08002</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KENNEDY MEMORIAL HOSPITAL -STRATFORD</w:t>
            </w:r>
          </w:p>
        </w:tc>
        <w:tc>
          <w:tcPr>
            <w:tcW w:w="4080" w:type="dxa"/>
            <w:vAlign w:val="bottom"/>
          </w:tcPr>
          <w:p>
            <w:pPr>
              <w:ind w:left="60"/>
              <w:spacing w:after="0"/>
              <w:rPr>
                <w:sz w:val="20"/>
                <w:szCs w:val="20"/>
                <w:color w:val="auto"/>
              </w:rPr>
            </w:pPr>
            <w:r>
              <w:rPr>
                <w:rFonts w:ascii="Arial" w:cs="Arial" w:eastAsia="Arial" w:hAnsi="Arial"/>
                <w:sz w:val="18"/>
                <w:szCs w:val="18"/>
                <w:color w:val="auto"/>
              </w:rPr>
              <w:t>18 E LAUREL RD STRATFORD DIVISION</w:t>
            </w:r>
          </w:p>
        </w:tc>
        <w:tc>
          <w:tcPr>
            <w:tcW w:w="1620" w:type="dxa"/>
            <w:vAlign w:val="bottom"/>
          </w:tcPr>
          <w:p>
            <w:pPr>
              <w:ind w:left="80"/>
              <w:spacing w:after="0"/>
              <w:rPr>
                <w:sz w:val="20"/>
                <w:szCs w:val="20"/>
                <w:color w:val="auto"/>
              </w:rPr>
            </w:pPr>
            <w:r>
              <w:rPr>
                <w:rFonts w:ascii="Arial" w:cs="Arial" w:eastAsia="Arial" w:hAnsi="Arial"/>
                <w:sz w:val="18"/>
                <w:szCs w:val="18"/>
                <w:color w:val="auto"/>
              </w:rPr>
              <w:t>STRATFORD</w:t>
            </w:r>
          </w:p>
        </w:tc>
        <w:tc>
          <w:tcPr>
            <w:tcW w:w="520" w:type="dxa"/>
            <w:vAlign w:val="bottom"/>
          </w:tcPr>
          <w:p>
            <w:pPr>
              <w:ind w:left="160"/>
              <w:spacing w:after="0"/>
              <w:rPr>
                <w:sz w:val="20"/>
                <w:szCs w:val="20"/>
                <w:color w:val="auto"/>
              </w:rPr>
            </w:pPr>
            <w:r>
              <w:rPr>
                <w:rFonts w:ascii="Arial" w:cs="Arial" w:eastAsia="Arial" w:hAnsi="Arial"/>
                <w:sz w:val="18"/>
                <w:szCs w:val="18"/>
                <w:color w:val="auto"/>
              </w:rPr>
              <w:t>NJ</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08084</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DIVISION</w:t>
            </w:r>
          </w:p>
        </w:tc>
        <w:tc>
          <w:tcPr>
            <w:tcW w:w="40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HOSPITAL-Kennedy Hospital-Washington Division</w:t>
            </w:r>
          </w:p>
        </w:tc>
        <w:tc>
          <w:tcPr>
            <w:tcW w:w="4080" w:type="dxa"/>
            <w:vAlign w:val="bottom"/>
          </w:tcPr>
          <w:p>
            <w:pPr>
              <w:ind w:left="60"/>
              <w:spacing w:after="0"/>
              <w:rPr>
                <w:sz w:val="20"/>
                <w:szCs w:val="20"/>
                <w:color w:val="auto"/>
              </w:rPr>
            </w:pPr>
            <w:r>
              <w:rPr>
                <w:rFonts w:ascii="Arial" w:cs="Arial" w:eastAsia="Arial" w:hAnsi="Arial"/>
                <w:sz w:val="18"/>
                <w:szCs w:val="18"/>
                <w:color w:val="auto"/>
                <w:w w:val="94"/>
              </w:rPr>
              <w:t>435 HURFFVILLE CROSSKEYS RD WASHINGTON</w:t>
            </w:r>
          </w:p>
        </w:tc>
        <w:tc>
          <w:tcPr>
            <w:tcW w:w="1620" w:type="dxa"/>
            <w:vAlign w:val="bottom"/>
          </w:tcPr>
          <w:p>
            <w:pPr>
              <w:ind w:left="80"/>
              <w:spacing w:after="0"/>
              <w:rPr>
                <w:sz w:val="20"/>
                <w:szCs w:val="20"/>
                <w:color w:val="auto"/>
              </w:rPr>
            </w:pPr>
            <w:r>
              <w:rPr>
                <w:rFonts w:ascii="Arial" w:cs="Arial" w:eastAsia="Arial" w:hAnsi="Arial"/>
                <w:sz w:val="18"/>
                <w:szCs w:val="18"/>
                <w:color w:val="auto"/>
              </w:rPr>
              <w:t>TURNERSVILLE</w:t>
            </w:r>
          </w:p>
        </w:tc>
        <w:tc>
          <w:tcPr>
            <w:tcW w:w="520" w:type="dxa"/>
            <w:vAlign w:val="bottom"/>
          </w:tcPr>
          <w:p>
            <w:pPr>
              <w:ind w:left="160"/>
              <w:spacing w:after="0"/>
              <w:rPr>
                <w:sz w:val="20"/>
                <w:szCs w:val="20"/>
                <w:color w:val="auto"/>
              </w:rPr>
            </w:pPr>
            <w:r>
              <w:rPr>
                <w:rFonts w:ascii="Arial" w:cs="Arial" w:eastAsia="Arial" w:hAnsi="Arial"/>
                <w:sz w:val="18"/>
                <w:szCs w:val="18"/>
                <w:color w:val="auto"/>
              </w:rPr>
              <w:t>NJ</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08012</w:t>
            </w:r>
          </w:p>
        </w:tc>
      </w:tr>
      <w:tr>
        <w:trPr>
          <w:trHeight w:val="216"/>
        </w:trPr>
        <w:tc>
          <w:tcPr>
            <w:tcW w:w="4260" w:type="dxa"/>
            <w:vAlign w:val="bottom"/>
          </w:tcPr>
          <w:p>
            <w:pPr>
              <w:spacing w:after="0"/>
              <w:rPr>
                <w:sz w:val="18"/>
                <w:szCs w:val="18"/>
                <w:color w:val="auto"/>
              </w:rPr>
            </w:pPr>
          </w:p>
        </w:tc>
        <w:tc>
          <w:tcPr>
            <w:tcW w:w="4080" w:type="dxa"/>
            <w:vAlign w:val="bottom"/>
          </w:tcPr>
          <w:p>
            <w:pPr>
              <w:ind w:left="60"/>
              <w:spacing w:after="0"/>
              <w:rPr>
                <w:sz w:val="20"/>
                <w:szCs w:val="20"/>
                <w:color w:val="auto"/>
              </w:rPr>
            </w:pPr>
            <w:r>
              <w:rPr>
                <w:rFonts w:ascii="Arial" w:cs="Arial" w:eastAsia="Arial" w:hAnsi="Arial"/>
                <w:sz w:val="18"/>
                <w:szCs w:val="18"/>
                <w:color w:val="auto"/>
              </w:rPr>
              <w:t>DIV</w:t>
            </w:r>
          </w:p>
        </w:tc>
        <w:tc>
          <w:tcPr>
            <w:tcW w:w="1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UNDERWOOD HOSPITAL</w:t>
            </w:r>
          </w:p>
        </w:tc>
        <w:tc>
          <w:tcPr>
            <w:tcW w:w="4080" w:type="dxa"/>
            <w:vAlign w:val="bottom"/>
          </w:tcPr>
          <w:p>
            <w:pPr>
              <w:ind w:left="60"/>
              <w:spacing w:after="0"/>
              <w:rPr>
                <w:sz w:val="20"/>
                <w:szCs w:val="20"/>
                <w:color w:val="auto"/>
              </w:rPr>
            </w:pPr>
            <w:r>
              <w:rPr>
                <w:rFonts w:ascii="Arial" w:cs="Arial" w:eastAsia="Arial" w:hAnsi="Arial"/>
                <w:sz w:val="18"/>
                <w:szCs w:val="18"/>
                <w:color w:val="auto"/>
              </w:rPr>
              <w:t>509 N BROAD ST</w:t>
            </w:r>
          </w:p>
        </w:tc>
        <w:tc>
          <w:tcPr>
            <w:tcW w:w="1620" w:type="dxa"/>
            <w:vAlign w:val="bottom"/>
          </w:tcPr>
          <w:p>
            <w:pPr>
              <w:ind w:left="80"/>
              <w:spacing w:after="0"/>
              <w:rPr>
                <w:sz w:val="20"/>
                <w:szCs w:val="20"/>
                <w:color w:val="auto"/>
              </w:rPr>
            </w:pPr>
            <w:r>
              <w:rPr>
                <w:rFonts w:ascii="Arial" w:cs="Arial" w:eastAsia="Arial" w:hAnsi="Arial"/>
                <w:sz w:val="18"/>
                <w:szCs w:val="18"/>
                <w:color w:val="auto"/>
              </w:rPr>
              <w:t>WOODBURY</w:t>
            </w:r>
          </w:p>
        </w:tc>
        <w:tc>
          <w:tcPr>
            <w:tcW w:w="520" w:type="dxa"/>
            <w:vAlign w:val="bottom"/>
          </w:tcPr>
          <w:p>
            <w:pPr>
              <w:ind w:left="160"/>
              <w:spacing w:after="0"/>
              <w:rPr>
                <w:sz w:val="20"/>
                <w:szCs w:val="20"/>
                <w:color w:val="auto"/>
              </w:rPr>
            </w:pPr>
            <w:r>
              <w:rPr>
                <w:rFonts w:ascii="Arial" w:cs="Arial" w:eastAsia="Arial" w:hAnsi="Arial"/>
                <w:sz w:val="18"/>
                <w:szCs w:val="18"/>
                <w:color w:val="auto"/>
              </w:rPr>
              <w:t>NJ</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08096-7359</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Crozer Chester Hospital</w:t>
            </w:r>
          </w:p>
        </w:tc>
        <w:tc>
          <w:tcPr>
            <w:tcW w:w="4080" w:type="dxa"/>
            <w:vAlign w:val="bottom"/>
          </w:tcPr>
          <w:p>
            <w:pPr>
              <w:ind w:left="60"/>
              <w:spacing w:after="0"/>
              <w:rPr>
                <w:sz w:val="20"/>
                <w:szCs w:val="20"/>
                <w:color w:val="auto"/>
              </w:rPr>
            </w:pPr>
            <w:r>
              <w:rPr>
                <w:rFonts w:ascii="Arial" w:cs="Arial" w:eastAsia="Arial" w:hAnsi="Arial"/>
                <w:sz w:val="18"/>
                <w:szCs w:val="18"/>
                <w:color w:val="auto"/>
              </w:rPr>
              <w:t>1 MED CTR BLVD</w:t>
            </w:r>
          </w:p>
        </w:tc>
        <w:tc>
          <w:tcPr>
            <w:tcW w:w="1620" w:type="dxa"/>
            <w:vAlign w:val="bottom"/>
          </w:tcPr>
          <w:p>
            <w:pPr>
              <w:ind w:left="80"/>
              <w:spacing w:after="0"/>
              <w:rPr>
                <w:sz w:val="20"/>
                <w:szCs w:val="20"/>
                <w:color w:val="auto"/>
              </w:rPr>
            </w:pPr>
            <w:r>
              <w:rPr>
                <w:rFonts w:ascii="Arial" w:cs="Arial" w:eastAsia="Arial" w:hAnsi="Arial"/>
                <w:sz w:val="18"/>
                <w:szCs w:val="18"/>
                <w:color w:val="auto"/>
              </w:rPr>
              <w:t>UPLAND</w:t>
            </w:r>
          </w:p>
        </w:tc>
        <w:tc>
          <w:tcPr>
            <w:tcW w:w="520" w:type="dxa"/>
            <w:vAlign w:val="bottom"/>
          </w:tcPr>
          <w:p>
            <w:pPr>
              <w:ind w:left="160"/>
              <w:spacing w:after="0"/>
              <w:rPr>
                <w:sz w:val="20"/>
                <w:szCs w:val="20"/>
                <w:color w:val="auto"/>
              </w:rPr>
            </w:pPr>
            <w:r>
              <w:rPr>
                <w:rFonts w:ascii="Arial" w:cs="Arial" w:eastAsia="Arial" w:hAnsi="Arial"/>
                <w:sz w:val="18"/>
                <w:szCs w:val="18"/>
                <w:color w:val="auto"/>
              </w:rPr>
              <w:t>PA</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19013</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PHOENIXVILLE HOSPITAL</w:t>
            </w:r>
          </w:p>
        </w:tc>
        <w:tc>
          <w:tcPr>
            <w:tcW w:w="4080" w:type="dxa"/>
            <w:vAlign w:val="bottom"/>
          </w:tcPr>
          <w:p>
            <w:pPr>
              <w:ind w:left="60"/>
              <w:spacing w:after="0"/>
              <w:rPr>
                <w:sz w:val="20"/>
                <w:szCs w:val="20"/>
                <w:color w:val="auto"/>
              </w:rPr>
            </w:pPr>
            <w:r>
              <w:rPr>
                <w:rFonts w:ascii="Arial" w:cs="Arial" w:eastAsia="Arial" w:hAnsi="Arial"/>
                <w:sz w:val="18"/>
                <w:szCs w:val="18"/>
                <w:color w:val="auto"/>
              </w:rPr>
              <w:t>140 NUTT RD</w:t>
            </w:r>
          </w:p>
        </w:tc>
        <w:tc>
          <w:tcPr>
            <w:tcW w:w="1620" w:type="dxa"/>
            <w:vAlign w:val="bottom"/>
          </w:tcPr>
          <w:p>
            <w:pPr>
              <w:ind w:left="80"/>
              <w:spacing w:after="0"/>
              <w:rPr>
                <w:sz w:val="20"/>
                <w:szCs w:val="20"/>
                <w:color w:val="auto"/>
              </w:rPr>
            </w:pPr>
            <w:r>
              <w:rPr>
                <w:rFonts w:ascii="Arial" w:cs="Arial" w:eastAsia="Arial" w:hAnsi="Arial"/>
                <w:sz w:val="18"/>
                <w:szCs w:val="18"/>
                <w:color w:val="auto"/>
              </w:rPr>
              <w:t>PHOENIXVILLE</w:t>
            </w:r>
          </w:p>
        </w:tc>
        <w:tc>
          <w:tcPr>
            <w:tcW w:w="520" w:type="dxa"/>
            <w:vAlign w:val="bottom"/>
          </w:tcPr>
          <w:p>
            <w:pPr>
              <w:ind w:left="160"/>
              <w:spacing w:after="0"/>
              <w:rPr>
                <w:sz w:val="20"/>
                <w:szCs w:val="20"/>
                <w:color w:val="auto"/>
              </w:rPr>
            </w:pPr>
            <w:r>
              <w:rPr>
                <w:rFonts w:ascii="Arial" w:cs="Arial" w:eastAsia="Arial" w:hAnsi="Arial"/>
                <w:sz w:val="18"/>
                <w:szCs w:val="18"/>
                <w:color w:val="auto"/>
              </w:rPr>
              <w:t>PA</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19460</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w w:val="95"/>
              </w:rPr>
              <w:t>HOSPITAL - ACCT # 80036 UNION MEMORIAL HOSP</w:t>
            </w:r>
          </w:p>
        </w:tc>
        <w:tc>
          <w:tcPr>
            <w:tcW w:w="4080" w:type="dxa"/>
            <w:vAlign w:val="bottom"/>
          </w:tcPr>
          <w:p>
            <w:pPr>
              <w:ind w:left="60"/>
              <w:spacing w:after="0"/>
              <w:rPr>
                <w:sz w:val="20"/>
                <w:szCs w:val="20"/>
                <w:color w:val="auto"/>
              </w:rPr>
            </w:pPr>
            <w:r>
              <w:rPr>
                <w:rFonts w:ascii="Arial" w:cs="Arial" w:eastAsia="Arial" w:hAnsi="Arial"/>
                <w:sz w:val="18"/>
                <w:szCs w:val="18"/>
                <w:color w:val="auto"/>
              </w:rPr>
              <w:t>201 E UNIVERSITY PKWY</w:t>
            </w:r>
          </w:p>
        </w:tc>
        <w:tc>
          <w:tcPr>
            <w:tcW w:w="1620" w:type="dxa"/>
            <w:vAlign w:val="bottom"/>
          </w:tcPr>
          <w:p>
            <w:pPr>
              <w:ind w:left="80"/>
              <w:spacing w:after="0"/>
              <w:rPr>
                <w:sz w:val="20"/>
                <w:szCs w:val="20"/>
                <w:color w:val="auto"/>
              </w:rPr>
            </w:pPr>
            <w:r>
              <w:rPr>
                <w:rFonts w:ascii="Arial" w:cs="Arial" w:eastAsia="Arial" w:hAnsi="Arial"/>
                <w:sz w:val="18"/>
                <w:szCs w:val="18"/>
                <w:color w:val="auto"/>
              </w:rPr>
              <w:t>BALTIMORE</w:t>
            </w:r>
          </w:p>
        </w:tc>
        <w:tc>
          <w:tcPr>
            <w:tcW w:w="520" w:type="dxa"/>
            <w:vAlign w:val="bottom"/>
          </w:tcPr>
          <w:p>
            <w:pPr>
              <w:ind w:left="160"/>
              <w:spacing w:after="0"/>
              <w:rPr>
                <w:sz w:val="20"/>
                <w:szCs w:val="20"/>
                <w:color w:val="auto"/>
              </w:rPr>
            </w:pPr>
            <w:r>
              <w:rPr>
                <w:rFonts w:ascii="Arial" w:cs="Arial" w:eastAsia="Arial" w:hAnsi="Arial"/>
                <w:sz w:val="18"/>
                <w:szCs w:val="18"/>
                <w:color w:val="auto"/>
              </w:rPr>
              <w:t>MD</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21218</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LENOIR MEMORIAL HOSPITAL</w:t>
            </w:r>
          </w:p>
        </w:tc>
        <w:tc>
          <w:tcPr>
            <w:tcW w:w="4080" w:type="dxa"/>
            <w:vAlign w:val="bottom"/>
          </w:tcPr>
          <w:p>
            <w:pPr>
              <w:ind w:left="60"/>
              <w:spacing w:after="0"/>
              <w:rPr>
                <w:sz w:val="20"/>
                <w:szCs w:val="20"/>
                <w:color w:val="auto"/>
              </w:rPr>
            </w:pPr>
            <w:r>
              <w:rPr>
                <w:rFonts w:ascii="Arial" w:cs="Arial" w:eastAsia="Arial" w:hAnsi="Arial"/>
                <w:sz w:val="18"/>
                <w:szCs w:val="18"/>
                <w:color w:val="auto"/>
              </w:rPr>
              <w:t>100 AIRPORT RD</w:t>
            </w:r>
          </w:p>
        </w:tc>
        <w:tc>
          <w:tcPr>
            <w:tcW w:w="1620" w:type="dxa"/>
            <w:vAlign w:val="bottom"/>
          </w:tcPr>
          <w:p>
            <w:pPr>
              <w:ind w:left="80"/>
              <w:spacing w:after="0"/>
              <w:rPr>
                <w:sz w:val="20"/>
                <w:szCs w:val="20"/>
                <w:color w:val="auto"/>
              </w:rPr>
            </w:pPr>
            <w:r>
              <w:rPr>
                <w:rFonts w:ascii="Arial" w:cs="Arial" w:eastAsia="Arial" w:hAnsi="Arial"/>
                <w:sz w:val="18"/>
                <w:szCs w:val="18"/>
                <w:color w:val="auto"/>
              </w:rPr>
              <w:t>KINSTON</w:t>
            </w:r>
          </w:p>
        </w:tc>
        <w:tc>
          <w:tcPr>
            <w:tcW w:w="520" w:type="dxa"/>
            <w:vAlign w:val="bottom"/>
          </w:tcPr>
          <w:p>
            <w:pPr>
              <w:ind w:left="160"/>
              <w:spacing w:after="0"/>
              <w:rPr>
                <w:sz w:val="20"/>
                <w:szCs w:val="20"/>
                <w:color w:val="auto"/>
              </w:rPr>
            </w:pPr>
            <w:r>
              <w:rPr>
                <w:rFonts w:ascii="Arial" w:cs="Arial" w:eastAsia="Arial" w:hAnsi="Arial"/>
                <w:sz w:val="18"/>
                <w:szCs w:val="18"/>
                <w:color w:val="auto"/>
              </w:rPr>
              <w:t>NC</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28501</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PHOEBE PUTNEY MEMORIAL HOSP</w:t>
            </w:r>
          </w:p>
        </w:tc>
        <w:tc>
          <w:tcPr>
            <w:tcW w:w="4080" w:type="dxa"/>
            <w:vAlign w:val="bottom"/>
          </w:tcPr>
          <w:p>
            <w:pPr>
              <w:ind w:left="60"/>
              <w:spacing w:after="0"/>
              <w:rPr>
                <w:sz w:val="20"/>
                <w:szCs w:val="20"/>
                <w:color w:val="auto"/>
              </w:rPr>
            </w:pPr>
            <w:r>
              <w:rPr>
                <w:rFonts w:ascii="Arial" w:cs="Arial" w:eastAsia="Arial" w:hAnsi="Arial"/>
                <w:sz w:val="18"/>
                <w:szCs w:val="18"/>
                <w:color w:val="auto"/>
              </w:rPr>
              <w:t>1008 N MONROE ST</w:t>
            </w:r>
          </w:p>
        </w:tc>
        <w:tc>
          <w:tcPr>
            <w:tcW w:w="1620" w:type="dxa"/>
            <w:vAlign w:val="bottom"/>
          </w:tcPr>
          <w:p>
            <w:pPr>
              <w:ind w:left="80"/>
              <w:spacing w:after="0"/>
              <w:rPr>
                <w:sz w:val="20"/>
                <w:szCs w:val="20"/>
                <w:color w:val="auto"/>
              </w:rPr>
            </w:pPr>
            <w:r>
              <w:rPr>
                <w:rFonts w:ascii="Arial" w:cs="Arial" w:eastAsia="Arial" w:hAnsi="Arial"/>
                <w:sz w:val="18"/>
                <w:szCs w:val="18"/>
                <w:color w:val="auto"/>
              </w:rPr>
              <w:t>ALBANY</w:t>
            </w:r>
          </w:p>
        </w:tc>
        <w:tc>
          <w:tcPr>
            <w:tcW w:w="520" w:type="dxa"/>
            <w:vAlign w:val="bottom"/>
          </w:tcPr>
          <w:p>
            <w:pPr>
              <w:ind w:left="160"/>
              <w:spacing w:after="0"/>
              <w:rPr>
                <w:sz w:val="20"/>
                <w:szCs w:val="20"/>
                <w:color w:val="auto"/>
              </w:rPr>
            </w:pPr>
            <w:r>
              <w:rPr>
                <w:rFonts w:ascii="Arial" w:cs="Arial" w:eastAsia="Arial" w:hAnsi="Arial"/>
                <w:sz w:val="18"/>
                <w:szCs w:val="18"/>
                <w:color w:val="auto"/>
              </w:rPr>
              <w:t>GA</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31701-1904</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w w:val="94"/>
              </w:rPr>
              <w:t>EGLESTON CHILDRENS HEALTHCARE - acct# 80193</w:t>
            </w:r>
          </w:p>
        </w:tc>
        <w:tc>
          <w:tcPr>
            <w:tcW w:w="4080" w:type="dxa"/>
            <w:vAlign w:val="bottom"/>
          </w:tcPr>
          <w:p>
            <w:pPr>
              <w:ind w:left="60"/>
              <w:spacing w:after="0"/>
              <w:rPr>
                <w:sz w:val="20"/>
                <w:szCs w:val="20"/>
                <w:color w:val="auto"/>
              </w:rPr>
            </w:pPr>
            <w:r>
              <w:rPr>
                <w:rFonts w:ascii="Arial" w:cs="Arial" w:eastAsia="Arial" w:hAnsi="Arial"/>
                <w:sz w:val="18"/>
                <w:szCs w:val="18"/>
                <w:color w:val="auto"/>
              </w:rPr>
              <w:t>1405 CLIFTON RD NE</w:t>
            </w:r>
          </w:p>
        </w:tc>
        <w:tc>
          <w:tcPr>
            <w:tcW w:w="1620" w:type="dxa"/>
            <w:vAlign w:val="bottom"/>
          </w:tcPr>
          <w:p>
            <w:pPr>
              <w:ind w:left="80"/>
              <w:spacing w:after="0"/>
              <w:rPr>
                <w:sz w:val="20"/>
                <w:szCs w:val="20"/>
                <w:color w:val="auto"/>
              </w:rPr>
            </w:pPr>
            <w:r>
              <w:rPr>
                <w:rFonts w:ascii="Arial" w:cs="Arial" w:eastAsia="Arial" w:hAnsi="Arial"/>
                <w:sz w:val="18"/>
                <w:szCs w:val="18"/>
                <w:color w:val="auto"/>
              </w:rPr>
              <w:t>ATLANTA</w:t>
            </w:r>
          </w:p>
        </w:tc>
        <w:tc>
          <w:tcPr>
            <w:tcW w:w="520" w:type="dxa"/>
            <w:vAlign w:val="bottom"/>
          </w:tcPr>
          <w:p>
            <w:pPr>
              <w:ind w:left="160"/>
              <w:spacing w:after="0"/>
              <w:rPr>
                <w:sz w:val="20"/>
                <w:szCs w:val="20"/>
                <w:color w:val="auto"/>
              </w:rPr>
            </w:pPr>
            <w:r>
              <w:rPr>
                <w:rFonts w:ascii="Arial" w:cs="Arial" w:eastAsia="Arial" w:hAnsi="Arial"/>
                <w:sz w:val="18"/>
                <w:szCs w:val="18"/>
                <w:color w:val="auto"/>
              </w:rPr>
              <w:t>GA</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30322</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Floyd Medical Center</w:t>
            </w:r>
          </w:p>
        </w:tc>
        <w:tc>
          <w:tcPr>
            <w:tcW w:w="4080" w:type="dxa"/>
            <w:vAlign w:val="bottom"/>
          </w:tcPr>
          <w:p>
            <w:pPr>
              <w:ind w:left="60"/>
              <w:spacing w:after="0"/>
              <w:rPr>
                <w:sz w:val="20"/>
                <w:szCs w:val="20"/>
                <w:color w:val="auto"/>
              </w:rPr>
            </w:pPr>
            <w:r>
              <w:rPr>
                <w:rFonts w:ascii="Arial" w:cs="Arial" w:eastAsia="Arial" w:hAnsi="Arial"/>
                <w:sz w:val="18"/>
                <w:szCs w:val="18"/>
                <w:color w:val="auto"/>
              </w:rPr>
              <w:t>304 TURNER MCCALL BLVD</w:t>
            </w:r>
          </w:p>
        </w:tc>
        <w:tc>
          <w:tcPr>
            <w:tcW w:w="1620" w:type="dxa"/>
            <w:vAlign w:val="bottom"/>
          </w:tcPr>
          <w:p>
            <w:pPr>
              <w:ind w:left="80"/>
              <w:spacing w:after="0"/>
              <w:rPr>
                <w:sz w:val="20"/>
                <w:szCs w:val="20"/>
                <w:color w:val="auto"/>
              </w:rPr>
            </w:pPr>
            <w:r>
              <w:rPr>
                <w:rFonts w:ascii="Arial" w:cs="Arial" w:eastAsia="Arial" w:hAnsi="Arial"/>
                <w:sz w:val="18"/>
                <w:szCs w:val="18"/>
                <w:color w:val="auto"/>
              </w:rPr>
              <w:t>ROME</w:t>
            </w:r>
          </w:p>
        </w:tc>
        <w:tc>
          <w:tcPr>
            <w:tcW w:w="520" w:type="dxa"/>
            <w:vAlign w:val="bottom"/>
          </w:tcPr>
          <w:p>
            <w:pPr>
              <w:ind w:left="160"/>
              <w:spacing w:after="0"/>
              <w:rPr>
                <w:sz w:val="20"/>
                <w:szCs w:val="20"/>
                <w:color w:val="auto"/>
              </w:rPr>
            </w:pPr>
            <w:r>
              <w:rPr>
                <w:rFonts w:ascii="Arial" w:cs="Arial" w:eastAsia="Arial" w:hAnsi="Arial"/>
                <w:sz w:val="18"/>
                <w:szCs w:val="18"/>
                <w:color w:val="auto"/>
              </w:rPr>
              <w:t>GA</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30165</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74436-ROCKDALE HOSPITAL</w:t>
            </w:r>
          </w:p>
        </w:tc>
        <w:tc>
          <w:tcPr>
            <w:tcW w:w="4080" w:type="dxa"/>
            <w:vAlign w:val="bottom"/>
          </w:tcPr>
          <w:p>
            <w:pPr>
              <w:ind w:left="60"/>
              <w:spacing w:after="0"/>
              <w:rPr>
                <w:sz w:val="20"/>
                <w:szCs w:val="20"/>
                <w:color w:val="auto"/>
              </w:rPr>
            </w:pPr>
            <w:r>
              <w:rPr>
                <w:rFonts w:ascii="Arial" w:cs="Arial" w:eastAsia="Arial" w:hAnsi="Arial"/>
                <w:sz w:val="18"/>
                <w:szCs w:val="18"/>
                <w:color w:val="auto"/>
              </w:rPr>
              <w:t>1412 MILSTEAD AVE SE</w:t>
            </w:r>
          </w:p>
        </w:tc>
        <w:tc>
          <w:tcPr>
            <w:tcW w:w="1620" w:type="dxa"/>
            <w:vAlign w:val="bottom"/>
          </w:tcPr>
          <w:p>
            <w:pPr>
              <w:ind w:left="80"/>
              <w:spacing w:after="0"/>
              <w:rPr>
                <w:sz w:val="20"/>
                <w:szCs w:val="20"/>
                <w:color w:val="auto"/>
              </w:rPr>
            </w:pPr>
            <w:r>
              <w:rPr>
                <w:rFonts w:ascii="Arial" w:cs="Arial" w:eastAsia="Arial" w:hAnsi="Arial"/>
                <w:sz w:val="18"/>
                <w:szCs w:val="18"/>
                <w:color w:val="auto"/>
              </w:rPr>
              <w:t>CONYERS</w:t>
            </w:r>
          </w:p>
        </w:tc>
        <w:tc>
          <w:tcPr>
            <w:tcW w:w="520" w:type="dxa"/>
            <w:vAlign w:val="bottom"/>
          </w:tcPr>
          <w:p>
            <w:pPr>
              <w:ind w:left="160"/>
              <w:spacing w:after="0"/>
              <w:rPr>
                <w:sz w:val="20"/>
                <w:szCs w:val="20"/>
                <w:color w:val="auto"/>
              </w:rPr>
            </w:pPr>
            <w:r>
              <w:rPr>
                <w:rFonts w:ascii="Arial" w:cs="Arial" w:eastAsia="Arial" w:hAnsi="Arial"/>
                <w:sz w:val="18"/>
                <w:szCs w:val="18"/>
                <w:color w:val="auto"/>
              </w:rPr>
              <w:t>GA</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30012</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HOSPITAL-Lakeland Regional Medical Center</w:t>
            </w:r>
          </w:p>
        </w:tc>
        <w:tc>
          <w:tcPr>
            <w:tcW w:w="4080" w:type="dxa"/>
            <w:vAlign w:val="bottom"/>
          </w:tcPr>
          <w:p>
            <w:pPr>
              <w:ind w:left="60"/>
              <w:spacing w:after="0"/>
              <w:rPr>
                <w:sz w:val="20"/>
                <w:szCs w:val="20"/>
                <w:color w:val="auto"/>
              </w:rPr>
            </w:pPr>
            <w:r>
              <w:rPr>
                <w:rFonts w:ascii="Arial" w:cs="Arial" w:eastAsia="Arial" w:hAnsi="Arial"/>
                <w:sz w:val="18"/>
                <w:szCs w:val="18"/>
                <w:color w:val="auto"/>
              </w:rPr>
              <w:t>1324 LAKELAND HILLS BLVD</w:t>
            </w:r>
          </w:p>
        </w:tc>
        <w:tc>
          <w:tcPr>
            <w:tcW w:w="1620" w:type="dxa"/>
            <w:vAlign w:val="bottom"/>
          </w:tcPr>
          <w:p>
            <w:pPr>
              <w:ind w:left="80"/>
              <w:spacing w:after="0"/>
              <w:rPr>
                <w:sz w:val="20"/>
                <w:szCs w:val="20"/>
                <w:color w:val="auto"/>
              </w:rPr>
            </w:pPr>
            <w:r>
              <w:rPr>
                <w:rFonts w:ascii="Arial" w:cs="Arial" w:eastAsia="Arial" w:hAnsi="Arial"/>
                <w:sz w:val="18"/>
                <w:szCs w:val="18"/>
                <w:color w:val="auto"/>
              </w:rPr>
              <w:t>LAKELAND</w:t>
            </w:r>
          </w:p>
        </w:tc>
        <w:tc>
          <w:tcPr>
            <w:tcW w:w="520" w:type="dxa"/>
            <w:vAlign w:val="bottom"/>
          </w:tcPr>
          <w:p>
            <w:pPr>
              <w:ind w:left="160"/>
              <w:spacing w:after="0"/>
              <w:rPr>
                <w:sz w:val="20"/>
                <w:szCs w:val="20"/>
                <w:color w:val="auto"/>
              </w:rPr>
            </w:pPr>
            <w:r>
              <w:rPr>
                <w:rFonts w:ascii="Arial" w:cs="Arial" w:eastAsia="Arial" w:hAnsi="Arial"/>
                <w:sz w:val="18"/>
                <w:szCs w:val="18"/>
                <w:color w:val="auto"/>
              </w:rPr>
              <w:t>FL</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33805</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ST MARY’S MEDICAL CENTER</w:t>
            </w:r>
          </w:p>
        </w:tc>
        <w:tc>
          <w:tcPr>
            <w:tcW w:w="4080" w:type="dxa"/>
            <w:vAlign w:val="bottom"/>
          </w:tcPr>
          <w:p>
            <w:pPr>
              <w:ind w:left="60"/>
              <w:spacing w:after="0"/>
              <w:rPr>
                <w:sz w:val="20"/>
                <w:szCs w:val="20"/>
                <w:color w:val="auto"/>
              </w:rPr>
            </w:pPr>
            <w:r>
              <w:rPr>
                <w:rFonts w:ascii="Arial" w:cs="Arial" w:eastAsia="Arial" w:hAnsi="Arial"/>
                <w:sz w:val="18"/>
                <w:szCs w:val="18"/>
                <w:color w:val="auto"/>
              </w:rPr>
              <w:t>800 S WASHINGTON AVE</w:t>
            </w:r>
          </w:p>
        </w:tc>
        <w:tc>
          <w:tcPr>
            <w:tcW w:w="1620" w:type="dxa"/>
            <w:vAlign w:val="bottom"/>
          </w:tcPr>
          <w:p>
            <w:pPr>
              <w:ind w:left="80"/>
              <w:spacing w:after="0"/>
              <w:rPr>
                <w:sz w:val="20"/>
                <w:szCs w:val="20"/>
                <w:color w:val="auto"/>
              </w:rPr>
            </w:pPr>
            <w:r>
              <w:rPr>
                <w:rFonts w:ascii="Arial" w:cs="Arial" w:eastAsia="Arial" w:hAnsi="Arial"/>
                <w:sz w:val="18"/>
                <w:szCs w:val="18"/>
                <w:color w:val="auto"/>
              </w:rPr>
              <w:t>SAGINAW</w:t>
            </w:r>
          </w:p>
        </w:tc>
        <w:tc>
          <w:tcPr>
            <w:tcW w:w="520" w:type="dxa"/>
            <w:vAlign w:val="bottom"/>
          </w:tcPr>
          <w:p>
            <w:pPr>
              <w:ind w:left="160"/>
              <w:spacing w:after="0"/>
              <w:rPr>
                <w:sz w:val="20"/>
                <w:szCs w:val="20"/>
                <w:color w:val="auto"/>
              </w:rPr>
            </w:pPr>
            <w:r>
              <w:rPr>
                <w:rFonts w:ascii="Arial" w:cs="Arial" w:eastAsia="Arial" w:hAnsi="Arial"/>
                <w:sz w:val="18"/>
                <w:szCs w:val="18"/>
                <w:color w:val="auto"/>
              </w:rPr>
              <w:t>MI</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48601</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Suburban Medical</w:t>
            </w:r>
          </w:p>
        </w:tc>
        <w:tc>
          <w:tcPr>
            <w:tcW w:w="4080" w:type="dxa"/>
            <w:vAlign w:val="bottom"/>
          </w:tcPr>
          <w:p>
            <w:pPr>
              <w:ind w:left="60"/>
              <w:spacing w:after="0"/>
              <w:rPr>
                <w:sz w:val="20"/>
                <w:szCs w:val="20"/>
                <w:color w:val="auto"/>
              </w:rPr>
            </w:pPr>
            <w:r>
              <w:rPr>
                <w:rFonts w:ascii="Arial" w:cs="Arial" w:eastAsia="Arial" w:hAnsi="Arial"/>
                <w:sz w:val="18"/>
                <w:szCs w:val="18"/>
                <w:color w:val="auto"/>
              </w:rPr>
              <w:t>4001 DUTCHMANS LN</w:t>
            </w:r>
          </w:p>
        </w:tc>
        <w:tc>
          <w:tcPr>
            <w:tcW w:w="1620" w:type="dxa"/>
            <w:vAlign w:val="bottom"/>
          </w:tcPr>
          <w:p>
            <w:pPr>
              <w:ind w:left="80"/>
              <w:spacing w:after="0"/>
              <w:rPr>
                <w:sz w:val="20"/>
                <w:szCs w:val="20"/>
                <w:color w:val="auto"/>
              </w:rPr>
            </w:pPr>
            <w:r>
              <w:rPr>
                <w:rFonts w:ascii="Arial" w:cs="Arial" w:eastAsia="Arial" w:hAnsi="Arial"/>
                <w:sz w:val="18"/>
                <w:szCs w:val="18"/>
                <w:color w:val="auto"/>
              </w:rPr>
              <w:t>LOUISVILLE</w:t>
            </w:r>
          </w:p>
        </w:tc>
        <w:tc>
          <w:tcPr>
            <w:tcW w:w="520" w:type="dxa"/>
            <w:vAlign w:val="bottom"/>
          </w:tcPr>
          <w:p>
            <w:pPr>
              <w:ind w:left="160"/>
              <w:spacing w:after="0"/>
              <w:rPr>
                <w:sz w:val="20"/>
                <w:szCs w:val="20"/>
                <w:color w:val="auto"/>
              </w:rPr>
            </w:pPr>
            <w:r>
              <w:rPr>
                <w:rFonts w:ascii="Arial" w:cs="Arial" w:eastAsia="Arial" w:hAnsi="Arial"/>
                <w:sz w:val="18"/>
                <w:szCs w:val="18"/>
                <w:color w:val="auto"/>
              </w:rPr>
              <w:t>KY</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40207</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Baptist Memorial Health Care</w:t>
            </w:r>
          </w:p>
        </w:tc>
        <w:tc>
          <w:tcPr>
            <w:tcW w:w="4080" w:type="dxa"/>
            <w:vAlign w:val="bottom"/>
          </w:tcPr>
          <w:p>
            <w:pPr>
              <w:ind w:left="60"/>
              <w:spacing w:after="0"/>
              <w:rPr>
                <w:sz w:val="20"/>
                <w:szCs w:val="20"/>
                <w:color w:val="auto"/>
              </w:rPr>
            </w:pPr>
            <w:r>
              <w:rPr>
                <w:rFonts w:ascii="Arial" w:cs="Arial" w:eastAsia="Arial" w:hAnsi="Arial"/>
                <w:sz w:val="18"/>
                <w:szCs w:val="18"/>
                <w:color w:val="auto"/>
              </w:rPr>
              <w:t>6019 WALNUT GROVE RD</w:t>
            </w:r>
          </w:p>
        </w:tc>
        <w:tc>
          <w:tcPr>
            <w:tcW w:w="1620" w:type="dxa"/>
            <w:vAlign w:val="bottom"/>
          </w:tcPr>
          <w:p>
            <w:pPr>
              <w:ind w:left="80"/>
              <w:spacing w:after="0"/>
              <w:rPr>
                <w:sz w:val="20"/>
                <w:szCs w:val="20"/>
                <w:color w:val="auto"/>
              </w:rPr>
            </w:pPr>
            <w:r>
              <w:rPr>
                <w:rFonts w:ascii="Arial" w:cs="Arial" w:eastAsia="Arial" w:hAnsi="Arial"/>
                <w:sz w:val="18"/>
                <w:szCs w:val="18"/>
                <w:color w:val="auto"/>
              </w:rPr>
              <w:t>MEMPHIS</w:t>
            </w:r>
          </w:p>
        </w:tc>
        <w:tc>
          <w:tcPr>
            <w:tcW w:w="520" w:type="dxa"/>
            <w:vAlign w:val="bottom"/>
          </w:tcPr>
          <w:p>
            <w:pPr>
              <w:ind w:left="160"/>
              <w:spacing w:after="0"/>
              <w:rPr>
                <w:sz w:val="20"/>
                <w:szCs w:val="20"/>
                <w:color w:val="auto"/>
              </w:rPr>
            </w:pPr>
            <w:r>
              <w:rPr>
                <w:rFonts w:ascii="Arial" w:cs="Arial" w:eastAsia="Arial" w:hAnsi="Arial"/>
                <w:sz w:val="18"/>
                <w:szCs w:val="18"/>
                <w:color w:val="auto"/>
              </w:rPr>
              <w:t>TN</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38120</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METHODIST HEALTHCARE -MEMPHIS</w:t>
            </w:r>
          </w:p>
        </w:tc>
        <w:tc>
          <w:tcPr>
            <w:tcW w:w="4080" w:type="dxa"/>
            <w:vAlign w:val="bottom"/>
          </w:tcPr>
          <w:p>
            <w:pPr>
              <w:ind w:left="60"/>
              <w:spacing w:after="0"/>
              <w:rPr>
                <w:sz w:val="20"/>
                <w:szCs w:val="20"/>
                <w:color w:val="auto"/>
              </w:rPr>
            </w:pPr>
            <w:r>
              <w:rPr>
                <w:rFonts w:ascii="Arial" w:cs="Arial" w:eastAsia="Arial" w:hAnsi="Arial"/>
                <w:sz w:val="18"/>
                <w:szCs w:val="18"/>
                <w:color w:val="auto"/>
              </w:rPr>
              <w:t>7691 POPLAR AVE</w:t>
            </w:r>
          </w:p>
        </w:tc>
        <w:tc>
          <w:tcPr>
            <w:tcW w:w="1620" w:type="dxa"/>
            <w:vAlign w:val="bottom"/>
          </w:tcPr>
          <w:p>
            <w:pPr>
              <w:ind w:left="80"/>
              <w:spacing w:after="0"/>
              <w:rPr>
                <w:sz w:val="20"/>
                <w:szCs w:val="20"/>
                <w:color w:val="auto"/>
              </w:rPr>
            </w:pPr>
            <w:r>
              <w:rPr>
                <w:rFonts w:ascii="Arial" w:cs="Arial" w:eastAsia="Arial" w:hAnsi="Arial"/>
                <w:sz w:val="18"/>
                <w:szCs w:val="18"/>
                <w:color w:val="auto"/>
              </w:rPr>
              <w:t>GERMANTOWN</w:t>
            </w:r>
          </w:p>
        </w:tc>
        <w:tc>
          <w:tcPr>
            <w:tcW w:w="520" w:type="dxa"/>
            <w:vAlign w:val="bottom"/>
          </w:tcPr>
          <w:p>
            <w:pPr>
              <w:ind w:left="160"/>
              <w:spacing w:after="0"/>
              <w:rPr>
                <w:sz w:val="20"/>
                <w:szCs w:val="20"/>
                <w:color w:val="auto"/>
              </w:rPr>
            </w:pPr>
            <w:r>
              <w:rPr>
                <w:rFonts w:ascii="Arial" w:cs="Arial" w:eastAsia="Arial" w:hAnsi="Arial"/>
                <w:sz w:val="18"/>
                <w:szCs w:val="18"/>
                <w:color w:val="auto"/>
              </w:rPr>
              <w:t>TN</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38138</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FORREST COUNTY GENERAL HOSPITAL</w:t>
            </w:r>
          </w:p>
        </w:tc>
        <w:tc>
          <w:tcPr>
            <w:tcW w:w="4080" w:type="dxa"/>
            <w:vAlign w:val="bottom"/>
          </w:tcPr>
          <w:p>
            <w:pPr>
              <w:ind w:left="60"/>
              <w:spacing w:after="0"/>
              <w:rPr>
                <w:sz w:val="20"/>
                <w:szCs w:val="20"/>
                <w:color w:val="auto"/>
              </w:rPr>
            </w:pPr>
            <w:r>
              <w:rPr>
                <w:rFonts w:ascii="Arial" w:cs="Arial" w:eastAsia="Arial" w:hAnsi="Arial"/>
                <w:sz w:val="18"/>
                <w:szCs w:val="18"/>
                <w:color w:val="auto"/>
              </w:rPr>
              <w:t>6051 US HWY 49</w:t>
            </w:r>
          </w:p>
        </w:tc>
        <w:tc>
          <w:tcPr>
            <w:tcW w:w="1620" w:type="dxa"/>
            <w:vAlign w:val="bottom"/>
          </w:tcPr>
          <w:p>
            <w:pPr>
              <w:ind w:left="80"/>
              <w:spacing w:after="0"/>
              <w:rPr>
                <w:sz w:val="20"/>
                <w:szCs w:val="20"/>
                <w:color w:val="auto"/>
              </w:rPr>
            </w:pPr>
            <w:r>
              <w:rPr>
                <w:rFonts w:ascii="Arial" w:cs="Arial" w:eastAsia="Arial" w:hAnsi="Arial"/>
                <w:sz w:val="18"/>
                <w:szCs w:val="18"/>
                <w:color w:val="auto"/>
              </w:rPr>
              <w:t>HATTIESBURG</w:t>
            </w:r>
          </w:p>
        </w:tc>
        <w:tc>
          <w:tcPr>
            <w:tcW w:w="520" w:type="dxa"/>
            <w:vAlign w:val="bottom"/>
          </w:tcPr>
          <w:p>
            <w:pPr>
              <w:ind w:left="160"/>
              <w:spacing w:after="0"/>
              <w:rPr>
                <w:sz w:val="20"/>
                <w:szCs w:val="20"/>
                <w:color w:val="auto"/>
              </w:rPr>
            </w:pPr>
            <w:r>
              <w:rPr>
                <w:rFonts w:ascii="Arial" w:cs="Arial" w:eastAsia="Arial" w:hAnsi="Arial"/>
                <w:sz w:val="18"/>
                <w:szCs w:val="18"/>
                <w:color w:val="auto"/>
              </w:rPr>
              <w:t>MS</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39401</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HOSPITAL - Ocean Springs Hospital</w:t>
            </w:r>
          </w:p>
        </w:tc>
        <w:tc>
          <w:tcPr>
            <w:tcW w:w="4080" w:type="dxa"/>
            <w:vAlign w:val="bottom"/>
          </w:tcPr>
          <w:p>
            <w:pPr>
              <w:ind w:left="60"/>
              <w:spacing w:after="0"/>
              <w:rPr>
                <w:sz w:val="20"/>
                <w:szCs w:val="20"/>
                <w:color w:val="auto"/>
              </w:rPr>
            </w:pPr>
            <w:r>
              <w:rPr>
                <w:rFonts w:ascii="Arial" w:cs="Arial" w:eastAsia="Arial" w:hAnsi="Arial"/>
                <w:sz w:val="18"/>
                <w:szCs w:val="18"/>
                <w:color w:val="auto"/>
              </w:rPr>
              <w:t>3109 BIENVILLE BLVD</w:t>
            </w:r>
          </w:p>
        </w:tc>
        <w:tc>
          <w:tcPr>
            <w:tcW w:w="1620" w:type="dxa"/>
            <w:vAlign w:val="bottom"/>
          </w:tcPr>
          <w:p>
            <w:pPr>
              <w:ind w:left="80"/>
              <w:spacing w:after="0"/>
              <w:rPr>
                <w:sz w:val="20"/>
                <w:szCs w:val="20"/>
                <w:color w:val="auto"/>
              </w:rPr>
            </w:pPr>
            <w:r>
              <w:rPr>
                <w:rFonts w:ascii="Arial" w:cs="Arial" w:eastAsia="Arial" w:hAnsi="Arial"/>
                <w:sz w:val="18"/>
                <w:szCs w:val="18"/>
                <w:color w:val="auto"/>
              </w:rPr>
              <w:t>OCEAN SPRINGS</w:t>
            </w:r>
          </w:p>
        </w:tc>
        <w:tc>
          <w:tcPr>
            <w:tcW w:w="520" w:type="dxa"/>
            <w:vAlign w:val="bottom"/>
          </w:tcPr>
          <w:p>
            <w:pPr>
              <w:ind w:left="160"/>
              <w:spacing w:after="0"/>
              <w:rPr>
                <w:sz w:val="20"/>
                <w:szCs w:val="20"/>
                <w:color w:val="auto"/>
              </w:rPr>
            </w:pPr>
            <w:r>
              <w:rPr>
                <w:rFonts w:ascii="Arial" w:cs="Arial" w:eastAsia="Arial" w:hAnsi="Arial"/>
                <w:sz w:val="18"/>
                <w:szCs w:val="18"/>
                <w:color w:val="auto"/>
              </w:rPr>
              <w:t>MS</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39564</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w w:val="99"/>
              </w:rPr>
              <w:t>HOSPITAL-N. Central Methodist Ambulatory Surg Ctr</w:t>
            </w:r>
          </w:p>
        </w:tc>
        <w:tc>
          <w:tcPr>
            <w:tcW w:w="4080" w:type="dxa"/>
            <w:vAlign w:val="bottom"/>
          </w:tcPr>
          <w:p>
            <w:pPr>
              <w:ind w:left="60"/>
              <w:spacing w:after="0"/>
              <w:rPr>
                <w:sz w:val="20"/>
                <w:szCs w:val="20"/>
                <w:color w:val="auto"/>
              </w:rPr>
            </w:pPr>
            <w:r>
              <w:rPr>
                <w:rFonts w:ascii="Arial" w:cs="Arial" w:eastAsia="Arial" w:hAnsi="Arial"/>
                <w:sz w:val="18"/>
                <w:szCs w:val="18"/>
                <w:color w:val="auto"/>
              </w:rPr>
              <w:t>19010 STONE OAK PKWY</w:t>
            </w:r>
          </w:p>
        </w:tc>
        <w:tc>
          <w:tcPr>
            <w:tcW w:w="1620" w:type="dxa"/>
            <w:vAlign w:val="bottom"/>
          </w:tcPr>
          <w:p>
            <w:pPr>
              <w:ind w:left="80"/>
              <w:spacing w:after="0"/>
              <w:rPr>
                <w:sz w:val="20"/>
                <w:szCs w:val="20"/>
                <w:color w:val="auto"/>
              </w:rPr>
            </w:pPr>
            <w:r>
              <w:rPr>
                <w:rFonts w:ascii="Arial" w:cs="Arial" w:eastAsia="Arial" w:hAnsi="Arial"/>
                <w:sz w:val="18"/>
                <w:szCs w:val="18"/>
                <w:color w:val="auto"/>
              </w:rPr>
              <w:t>SAN ANTONIO</w:t>
            </w:r>
          </w:p>
        </w:tc>
        <w:tc>
          <w:tcPr>
            <w:tcW w:w="520" w:type="dxa"/>
            <w:vAlign w:val="bottom"/>
          </w:tcPr>
          <w:p>
            <w:pPr>
              <w:ind w:left="160"/>
              <w:spacing w:after="0"/>
              <w:rPr>
                <w:sz w:val="20"/>
                <w:szCs w:val="20"/>
                <w:color w:val="auto"/>
              </w:rPr>
            </w:pPr>
            <w:r>
              <w:rPr>
                <w:rFonts w:ascii="Arial" w:cs="Arial" w:eastAsia="Arial" w:hAnsi="Arial"/>
                <w:sz w:val="18"/>
                <w:szCs w:val="18"/>
                <w:color w:val="auto"/>
              </w:rPr>
              <w:t>TX</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78258</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HOSPITAL FOR SPECIAL SURGERY</w:t>
            </w:r>
          </w:p>
        </w:tc>
        <w:tc>
          <w:tcPr>
            <w:tcW w:w="4080" w:type="dxa"/>
            <w:vAlign w:val="bottom"/>
          </w:tcPr>
          <w:p>
            <w:pPr>
              <w:ind w:left="60"/>
              <w:spacing w:after="0"/>
              <w:rPr>
                <w:sz w:val="20"/>
                <w:szCs w:val="20"/>
                <w:color w:val="auto"/>
              </w:rPr>
            </w:pPr>
            <w:r>
              <w:rPr>
                <w:rFonts w:ascii="Arial" w:cs="Arial" w:eastAsia="Arial" w:hAnsi="Arial"/>
                <w:sz w:val="18"/>
                <w:szCs w:val="18"/>
                <w:color w:val="auto"/>
              </w:rPr>
              <w:t>535 E 70TH ST</w:t>
            </w:r>
          </w:p>
        </w:tc>
        <w:tc>
          <w:tcPr>
            <w:tcW w:w="1620" w:type="dxa"/>
            <w:vAlign w:val="bottom"/>
          </w:tcPr>
          <w:p>
            <w:pPr>
              <w:ind w:left="80"/>
              <w:spacing w:after="0"/>
              <w:rPr>
                <w:sz w:val="20"/>
                <w:szCs w:val="20"/>
                <w:color w:val="auto"/>
              </w:rPr>
            </w:pPr>
            <w:r>
              <w:rPr>
                <w:rFonts w:ascii="Arial" w:cs="Arial" w:eastAsia="Arial" w:hAnsi="Arial"/>
                <w:sz w:val="18"/>
                <w:szCs w:val="18"/>
                <w:color w:val="auto"/>
              </w:rPr>
              <w:t>NEW YORK</w:t>
            </w:r>
          </w:p>
        </w:tc>
        <w:tc>
          <w:tcPr>
            <w:tcW w:w="520" w:type="dxa"/>
            <w:vAlign w:val="bottom"/>
          </w:tcPr>
          <w:p>
            <w:pPr>
              <w:ind w:left="160"/>
              <w:spacing w:after="0"/>
              <w:rPr>
                <w:sz w:val="20"/>
                <w:szCs w:val="20"/>
                <w:color w:val="auto"/>
              </w:rPr>
            </w:pPr>
            <w:r>
              <w:rPr>
                <w:rFonts w:ascii="Arial" w:cs="Arial" w:eastAsia="Arial" w:hAnsi="Arial"/>
                <w:sz w:val="18"/>
                <w:szCs w:val="18"/>
                <w:color w:val="auto"/>
              </w:rPr>
              <w:t>NY</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10021-4823</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HOSPITAL - New England Baptist Hospital</w:t>
            </w:r>
          </w:p>
        </w:tc>
        <w:tc>
          <w:tcPr>
            <w:tcW w:w="4080" w:type="dxa"/>
            <w:vAlign w:val="bottom"/>
          </w:tcPr>
          <w:p>
            <w:pPr>
              <w:ind w:left="60"/>
              <w:spacing w:after="0"/>
              <w:rPr>
                <w:sz w:val="20"/>
                <w:szCs w:val="20"/>
                <w:color w:val="auto"/>
              </w:rPr>
            </w:pPr>
            <w:r>
              <w:rPr>
                <w:rFonts w:ascii="Arial" w:cs="Arial" w:eastAsia="Arial" w:hAnsi="Arial"/>
                <w:sz w:val="18"/>
                <w:szCs w:val="18"/>
                <w:color w:val="auto"/>
              </w:rPr>
              <w:t>125 PARKER HILL AVE</w:t>
            </w:r>
          </w:p>
        </w:tc>
        <w:tc>
          <w:tcPr>
            <w:tcW w:w="1620" w:type="dxa"/>
            <w:vAlign w:val="bottom"/>
          </w:tcPr>
          <w:p>
            <w:pPr>
              <w:ind w:left="80"/>
              <w:spacing w:after="0"/>
              <w:rPr>
                <w:sz w:val="20"/>
                <w:szCs w:val="20"/>
                <w:color w:val="auto"/>
              </w:rPr>
            </w:pPr>
            <w:r>
              <w:rPr>
                <w:rFonts w:ascii="Arial" w:cs="Arial" w:eastAsia="Arial" w:hAnsi="Arial"/>
                <w:sz w:val="18"/>
                <w:szCs w:val="18"/>
                <w:color w:val="auto"/>
              </w:rPr>
              <w:t>BOSTON</w:t>
            </w:r>
          </w:p>
        </w:tc>
        <w:tc>
          <w:tcPr>
            <w:tcW w:w="520" w:type="dxa"/>
            <w:vAlign w:val="bottom"/>
          </w:tcPr>
          <w:p>
            <w:pPr>
              <w:ind w:left="160"/>
              <w:spacing w:after="0"/>
              <w:rPr>
                <w:sz w:val="20"/>
                <w:szCs w:val="20"/>
                <w:color w:val="auto"/>
              </w:rPr>
            </w:pPr>
            <w:r>
              <w:rPr>
                <w:rFonts w:ascii="Arial" w:cs="Arial" w:eastAsia="Arial" w:hAnsi="Arial"/>
                <w:sz w:val="18"/>
                <w:szCs w:val="18"/>
                <w:color w:val="auto"/>
              </w:rPr>
              <w:t>MA</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02120</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HOSPITAL - Virginia Regional MC</w:t>
            </w:r>
          </w:p>
        </w:tc>
        <w:tc>
          <w:tcPr>
            <w:tcW w:w="4080" w:type="dxa"/>
            <w:vAlign w:val="bottom"/>
          </w:tcPr>
          <w:p>
            <w:pPr>
              <w:ind w:left="60"/>
              <w:spacing w:after="0"/>
              <w:rPr>
                <w:sz w:val="20"/>
                <w:szCs w:val="20"/>
                <w:color w:val="auto"/>
              </w:rPr>
            </w:pPr>
            <w:r>
              <w:rPr>
                <w:rFonts w:ascii="Arial" w:cs="Arial" w:eastAsia="Arial" w:hAnsi="Arial"/>
                <w:sz w:val="18"/>
                <w:szCs w:val="18"/>
                <w:color w:val="auto"/>
              </w:rPr>
              <w:t>901 9TH ST N</w:t>
            </w:r>
          </w:p>
        </w:tc>
        <w:tc>
          <w:tcPr>
            <w:tcW w:w="1620" w:type="dxa"/>
            <w:vAlign w:val="bottom"/>
          </w:tcPr>
          <w:p>
            <w:pPr>
              <w:ind w:left="80"/>
              <w:spacing w:after="0"/>
              <w:rPr>
                <w:sz w:val="20"/>
                <w:szCs w:val="20"/>
                <w:color w:val="auto"/>
              </w:rPr>
            </w:pPr>
            <w:r>
              <w:rPr>
                <w:rFonts w:ascii="Arial" w:cs="Arial" w:eastAsia="Arial" w:hAnsi="Arial"/>
                <w:sz w:val="18"/>
                <w:szCs w:val="18"/>
                <w:color w:val="auto"/>
              </w:rPr>
              <w:t>VIRGINIA</w:t>
            </w:r>
          </w:p>
        </w:tc>
        <w:tc>
          <w:tcPr>
            <w:tcW w:w="520" w:type="dxa"/>
            <w:vAlign w:val="bottom"/>
          </w:tcPr>
          <w:p>
            <w:pPr>
              <w:ind w:left="160"/>
              <w:spacing w:after="0"/>
              <w:rPr>
                <w:sz w:val="20"/>
                <w:szCs w:val="20"/>
                <w:color w:val="auto"/>
              </w:rPr>
            </w:pPr>
            <w:r>
              <w:rPr>
                <w:rFonts w:ascii="Arial" w:cs="Arial" w:eastAsia="Arial" w:hAnsi="Arial"/>
                <w:sz w:val="18"/>
                <w:szCs w:val="18"/>
                <w:color w:val="auto"/>
              </w:rPr>
              <w:t>MN</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55792</w:t>
            </w:r>
          </w:p>
        </w:tc>
      </w:tr>
      <w:tr>
        <w:trPr>
          <w:trHeight w:val="222"/>
        </w:trPr>
        <w:tc>
          <w:tcPr>
            <w:tcW w:w="4260" w:type="dxa"/>
            <w:vAlign w:val="bottom"/>
          </w:tcPr>
          <w:p>
            <w:pPr>
              <w:spacing w:after="0"/>
              <w:rPr>
                <w:sz w:val="20"/>
                <w:szCs w:val="20"/>
                <w:color w:val="auto"/>
              </w:rPr>
            </w:pPr>
            <w:r>
              <w:rPr>
                <w:rFonts w:ascii="Arial" w:cs="Arial" w:eastAsia="Arial" w:hAnsi="Arial"/>
                <w:sz w:val="18"/>
                <w:szCs w:val="18"/>
                <w:color w:val="auto"/>
              </w:rPr>
              <w:t>ST FRANCIS HOSPITAL</w:t>
            </w:r>
          </w:p>
        </w:tc>
        <w:tc>
          <w:tcPr>
            <w:tcW w:w="4080" w:type="dxa"/>
            <w:vAlign w:val="bottom"/>
          </w:tcPr>
          <w:p>
            <w:pPr>
              <w:ind w:left="60"/>
              <w:spacing w:after="0"/>
              <w:rPr>
                <w:sz w:val="20"/>
                <w:szCs w:val="20"/>
                <w:color w:val="auto"/>
              </w:rPr>
            </w:pPr>
            <w:r>
              <w:rPr>
                <w:rFonts w:ascii="Arial" w:cs="Arial" w:eastAsia="Arial" w:hAnsi="Arial"/>
                <w:sz w:val="18"/>
                <w:szCs w:val="18"/>
                <w:color w:val="auto"/>
              </w:rPr>
              <w:t>2122 MANCHESTER EXPY</w:t>
            </w:r>
          </w:p>
        </w:tc>
        <w:tc>
          <w:tcPr>
            <w:tcW w:w="1620" w:type="dxa"/>
            <w:vAlign w:val="bottom"/>
          </w:tcPr>
          <w:p>
            <w:pPr>
              <w:ind w:left="80"/>
              <w:spacing w:after="0"/>
              <w:rPr>
                <w:sz w:val="20"/>
                <w:szCs w:val="20"/>
                <w:color w:val="auto"/>
              </w:rPr>
            </w:pPr>
            <w:r>
              <w:rPr>
                <w:rFonts w:ascii="Arial" w:cs="Arial" w:eastAsia="Arial" w:hAnsi="Arial"/>
                <w:sz w:val="18"/>
                <w:szCs w:val="18"/>
                <w:color w:val="auto"/>
              </w:rPr>
              <w:t>COLUMBUS</w:t>
            </w:r>
          </w:p>
        </w:tc>
        <w:tc>
          <w:tcPr>
            <w:tcW w:w="520" w:type="dxa"/>
            <w:vAlign w:val="bottom"/>
          </w:tcPr>
          <w:p>
            <w:pPr>
              <w:ind w:left="160"/>
              <w:spacing w:after="0"/>
              <w:rPr>
                <w:sz w:val="20"/>
                <w:szCs w:val="20"/>
                <w:color w:val="auto"/>
              </w:rPr>
            </w:pPr>
            <w:r>
              <w:rPr>
                <w:rFonts w:ascii="Arial" w:cs="Arial" w:eastAsia="Arial" w:hAnsi="Arial"/>
                <w:sz w:val="18"/>
                <w:szCs w:val="18"/>
                <w:color w:val="auto"/>
              </w:rPr>
              <w:t>GA</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31904</w:t>
            </w:r>
          </w:p>
        </w:tc>
      </w:tr>
    </w:tbl>
    <w:p>
      <w:pPr>
        <w:sectPr>
          <w:pgSz w:w="11900" w:h="16838" w:orient="portrait"/>
          <w:cols w:equalWidth="0" w:num="1">
            <w:col w:w="11400"/>
          </w:cols>
          <w:pgMar w:left="240" w:top="279" w:right="259" w:bottom="1440" w:gutter="0" w:footer="0" w:header="0"/>
        </w:sectPr>
      </w:pPr>
    </w:p>
    <w:bookmarkStart w:id="353" w:name="page354"/>
    <w:bookmarkEnd w:id="35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PROVIDENCE HOSPITAL</w:t>
            </w:r>
          </w:p>
        </w:tc>
        <w:tc>
          <w:tcPr>
            <w:tcW w:w="4000" w:type="dxa"/>
            <w:vAlign w:val="bottom"/>
          </w:tcPr>
          <w:p>
            <w:pPr>
              <w:ind w:left="600"/>
              <w:spacing w:after="0"/>
              <w:rPr>
                <w:sz w:val="20"/>
                <w:szCs w:val="20"/>
                <w:color w:val="auto"/>
              </w:rPr>
            </w:pPr>
            <w:r>
              <w:rPr>
                <w:rFonts w:ascii="Arial" w:cs="Arial" w:eastAsia="Arial" w:hAnsi="Arial"/>
                <w:sz w:val="18"/>
                <w:szCs w:val="18"/>
                <w:color w:val="auto"/>
              </w:rPr>
              <w:t>6801 AIRPORT BLVD</w:t>
            </w:r>
          </w:p>
        </w:tc>
        <w:tc>
          <w:tcPr>
            <w:tcW w:w="2280" w:type="dxa"/>
            <w:vAlign w:val="bottom"/>
          </w:tcPr>
          <w:p>
            <w:pPr>
              <w:ind w:left="840"/>
              <w:spacing w:after="0"/>
              <w:rPr>
                <w:sz w:val="20"/>
                <w:szCs w:val="20"/>
                <w:color w:val="auto"/>
              </w:rPr>
            </w:pPr>
            <w:r>
              <w:rPr>
                <w:rFonts w:ascii="Arial" w:cs="Arial" w:eastAsia="Arial" w:hAnsi="Arial"/>
                <w:sz w:val="18"/>
                <w:szCs w:val="18"/>
                <w:color w:val="auto"/>
              </w:rPr>
              <w:t>MOBILE</w:t>
            </w:r>
          </w:p>
        </w:tc>
        <w:tc>
          <w:tcPr>
            <w:tcW w:w="720" w:type="dxa"/>
            <w:vAlign w:val="bottom"/>
          </w:tcPr>
          <w:p>
            <w:pPr>
              <w:ind w:left="360"/>
              <w:spacing w:after="0"/>
              <w:rPr>
                <w:sz w:val="20"/>
                <w:szCs w:val="20"/>
                <w:color w:val="auto"/>
              </w:rPr>
            </w:pPr>
            <w:r>
              <w:rPr>
                <w:rFonts w:ascii="Arial" w:cs="Arial" w:eastAsia="Arial" w:hAnsi="Arial"/>
                <w:sz w:val="18"/>
                <w:szCs w:val="18"/>
                <w:color w:val="auto"/>
              </w:rPr>
              <w:t>AL</w:t>
            </w:r>
          </w:p>
        </w:tc>
        <w:tc>
          <w:tcPr>
            <w:tcW w:w="540" w:type="dxa"/>
            <w:vAlign w:val="bottom"/>
          </w:tcPr>
          <w:p>
            <w:pPr>
              <w:jc w:val="right"/>
              <w:spacing w:after="0"/>
              <w:rPr>
                <w:sz w:val="20"/>
                <w:szCs w:val="20"/>
                <w:color w:val="auto"/>
              </w:rPr>
            </w:pPr>
            <w:r>
              <w:rPr>
                <w:rFonts w:ascii="Arial" w:cs="Arial" w:eastAsia="Arial" w:hAnsi="Arial"/>
                <w:sz w:val="18"/>
                <w:szCs w:val="18"/>
                <w:color w:val="auto"/>
              </w:rPr>
              <w:t>36608</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GRADY MEMORIAL HOSPITAL</w:t>
            </w:r>
          </w:p>
        </w:tc>
        <w:tc>
          <w:tcPr>
            <w:tcW w:w="4000" w:type="dxa"/>
            <w:vAlign w:val="bottom"/>
          </w:tcPr>
          <w:p>
            <w:pPr>
              <w:ind w:left="600"/>
              <w:spacing w:after="0"/>
              <w:rPr>
                <w:sz w:val="20"/>
                <w:szCs w:val="20"/>
                <w:color w:val="auto"/>
              </w:rPr>
            </w:pPr>
            <w:r>
              <w:rPr>
                <w:rFonts w:ascii="Arial" w:cs="Arial" w:eastAsia="Arial" w:hAnsi="Arial"/>
                <w:sz w:val="18"/>
                <w:szCs w:val="18"/>
                <w:color w:val="auto"/>
              </w:rPr>
              <w:t>80 BUTLER ST SE</w:t>
            </w:r>
          </w:p>
        </w:tc>
        <w:tc>
          <w:tcPr>
            <w:tcW w:w="2280" w:type="dxa"/>
            <w:vAlign w:val="bottom"/>
          </w:tcPr>
          <w:p>
            <w:pPr>
              <w:ind w:left="840"/>
              <w:spacing w:after="0"/>
              <w:rPr>
                <w:sz w:val="20"/>
                <w:szCs w:val="20"/>
                <w:color w:val="auto"/>
              </w:rPr>
            </w:pPr>
            <w:r>
              <w:rPr>
                <w:rFonts w:ascii="Arial" w:cs="Arial" w:eastAsia="Arial" w:hAnsi="Arial"/>
                <w:sz w:val="18"/>
                <w:szCs w:val="18"/>
                <w:color w:val="auto"/>
              </w:rPr>
              <w:t>ATLANTA</w:t>
            </w:r>
          </w:p>
        </w:tc>
        <w:tc>
          <w:tcPr>
            <w:tcW w:w="720" w:type="dxa"/>
            <w:vAlign w:val="bottom"/>
          </w:tcPr>
          <w:p>
            <w:pPr>
              <w:ind w:left="360"/>
              <w:spacing w:after="0"/>
              <w:rPr>
                <w:sz w:val="20"/>
                <w:szCs w:val="20"/>
                <w:color w:val="auto"/>
              </w:rPr>
            </w:pPr>
            <w:r>
              <w:rPr>
                <w:rFonts w:ascii="Arial" w:cs="Arial" w:eastAsia="Arial" w:hAnsi="Arial"/>
                <w:sz w:val="18"/>
                <w:szCs w:val="18"/>
                <w:color w:val="auto"/>
              </w:rPr>
              <w:t>GA</w:t>
            </w:r>
          </w:p>
        </w:tc>
        <w:tc>
          <w:tcPr>
            <w:tcW w:w="540" w:type="dxa"/>
            <w:vAlign w:val="bottom"/>
          </w:tcPr>
          <w:p>
            <w:pPr>
              <w:jc w:val="right"/>
              <w:spacing w:after="0"/>
              <w:rPr>
                <w:sz w:val="20"/>
                <w:szCs w:val="20"/>
                <w:color w:val="auto"/>
              </w:rPr>
            </w:pPr>
            <w:r>
              <w:rPr>
                <w:rFonts w:ascii="Arial" w:cs="Arial" w:eastAsia="Arial" w:hAnsi="Arial"/>
                <w:sz w:val="18"/>
                <w:szCs w:val="18"/>
                <w:color w:val="auto"/>
              </w:rPr>
              <w:t>30336</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Lakewood Ranch Medical Center</w:t>
            </w:r>
          </w:p>
        </w:tc>
        <w:tc>
          <w:tcPr>
            <w:tcW w:w="4000" w:type="dxa"/>
            <w:vAlign w:val="bottom"/>
          </w:tcPr>
          <w:p>
            <w:pPr>
              <w:ind w:left="600"/>
              <w:spacing w:after="0"/>
              <w:rPr>
                <w:sz w:val="20"/>
                <w:szCs w:val="20"/>
                <w:color w:val="auto"/>
              </w:rPr>
            </w:pPr>
            <w:r>
              <w:rPr>
                <w:rFonts w:ascii="Arial" w:cs="Arial" w:eastAsia="Arial" w:hAnsi="Arial"/>
                <w:sz w:val="18"/>
                <w:szCs w:val="18"/>
                <w:color w:val="auto"/>
              </w:rPr>
              <w:t>8330 LAKEWOOD RANCH BLVD</w:t>
            </w:r>
          </w:p>
        </w:tc>
        <w:tc>
          <w:tcPr>
            <w:tcW w:w="2280" w:type="dxa"/>
            <w:vAlign w:val="bottom"/>
          </w:tcPr>
          <w:p>
            <w:pPr>
              <w:ind w:left="840"/>
              <w:spacing w:after="0"/>
              <w:rPr>
                <w:sz w:val="20"/>
                <w:szCs w:val="20"/>
                <w:color w:val="auto"/>
              </w:rPr>
            </w:pPr>
            <w:r>
              <w:rPr>
                <w:rFonts w:ascii="Arial" w:cs="Arial" w:eastAsia="Arial" w:hAnsi="Arial"/>
                <w:sz w:val="18"/>
                <w:szCs w:val="18"/>
                <w:color w:val="auto"/>
              </w:rPr>
              <w:t>BRADENTON</w:t>
            </w:r>
          </w:p>
        </w:tc>
        <w:tc>
          <w:tcPr>
            <w:tcW w:w="720" w:type="dxa"/>
            <w:vAlign w:val="bottom"/>
          </w:tcPr>
          <w:p>
            <w:pPr>
              <w:ind w:left="360"/>
              <w:spacing w:after="0"/>
              <w:rPr>
                <w:sz w:val="20"/>
                <w:szCs w:val="20"/>
                <w:color w:val="auto"/>
              </w:rPr>
            </w:pPr>
            <w:r>
              <w:rPr>
                <w:rFonts w:ascii="Arial" w:cs="Arial" w:eastAsia="Arial" w:hAnsi="Arial"/>
                <w:sz w:val="18"/>
                <w:szCs w:val="18"/>
                <w:color w:val="auto"/>
              </w:rPr>
              <w:t>FL</w:t>
            </w:r>
          </w:p>
        </w:tc>
        <w:tc>
          <w:tcPr>
            <w:tcW w:w="540" w:type="dxa"/>
            <w:vAlign w:val="bottom"/>
          </w:tcPr>
          <w:p>
            <w:pPr>
              <w:jc w:val="right"/>
              <w:spacing w:after="0"/>
              <w:rPr>
                <w:sz w:val="20"/>
                <w:szCs w:val="20"/>
                <w:color w:val="auto"/>
              </w:rPr>
            </w:pPr>
            <w:r>
              <w:rPr>
                <w:rFonts w:ascii="Arial" w:cs="Arial" w:eastAsia="Arial" w:hAnsi="Arial"/>
                <w:sz w:val="18"/>
                <w:szCs w:val="18"/>
                <w:color w:val="auto"/>
              </w:rPr>
              <w:t>34202</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HOSPITAL - KAISER FOUNDATION HOSP</w:t>
            </w:r>
          </w:p>
        </w:tc>
        <w:tc>
          <w:tcPr>
            <w:tcW w:w="4000" w:type="dxa"/>
            <w:vAlign w:val="bottom"/>
          </w:tcPr>
          <w:p>
            <w:pPr>
              <w:ind w:left="600"/>
              <w:spacing w:after="0"/>
              <w:rPr>
                <w:sz w:val="20"/>
                <w:szCs w:val="20"/>
                <w:color w:val="auto"/>
              </w:rPr>
            </w:pPr>
            <w:r>
              <w:rPr>
                <w:rFonts w:ascii="Arial" w:cs="Arial" w:eastAsia="Arial" w:hAnsi="Arial"/>
                <w:sz w:val="18"/>
                <w:szCs w:val="18"/>
                <w:color w:val="auto"/>
              </w:rPr>
              <w:t>2295 VINEYARD AVE</w:t>
            </w:r>
          </w:p>
        </w:tc>
        <w:tc>
          <w:tcPr>
            <w:tcW w:w="2280" w:type="dxa"/>
            <w:vAlign w:val="bottom"/>
          </w:tcPr>
          <w:p>
            <w:pPr>
              <w:ind w:left="840"/>
              <w:spacing w:after="0"/>
              <w:rPr>
                <w:sz w:val="20"/>
                <w:szCs w:val="20"/>
                <w:color w:val="auto"/>
              </w:rPr>
            </w:pPr>
            <w:r>
              <w:rPr>
                <w:rFonts w:ascii="Arial" w:cs="Arial" w:eastAsia="Arial" w:hAnsi="Arial"/>
                <w:sz w:val="18"/>
                <w:szCs w:val="18"/>
                <w:color w:val="auto"/>
              </w:rPr>
              <w:t>ONTARIO</w:t>
            </w:r>
          </w:p>
        </w:tc>
        <w:tc>
          <w:tcPr>
            <w:tcW w:w="720" w:type="dxa"/>
            <w:vAlign w:val="bottom"/>
          </w:tcPr>
          <w:p>
            <w:pPr>
              <w:ind w:left="360"/>
              <w:spacing w:after="0"/>
              <w:rPr>
                <w:sz w:val="20"/>
                <w:szCs w:val="20"/>
                <w:color w:val="auto"/>
              </w:rPr>
            </w:pPr>
            <w:r>
              <w:rPr>
                <w:rFonts w:ascii="Arial" w:cs="Arial" w:eastAsia="Arial" w:hAnsi="Arial"/>
                <w:sz w:val="18"/>
                <w:szCs w:val="18"/>
                <w:color w:val="auto"/>
              </w:rPr>
              <w:t>CA</w:t>
            </w:r>
          </w:p>
        </w:tc>
        <w:tc>
          <w:tcPr>
            <w:tcW w:w="540" w:type="dxa"/>
            <w:vAlign w:val="bottom"/>
          </w:tcPr>
          <w:p>
            <w:pPr>
              <w:jc w:val="right"/>
              <w:spacing w:after="0"/>
              <w:rPr>
                <w:sz w:val="20"/>
                <w:szCs w:val="20"/>
                <w:color w:val="auto"/>
              </w:rPr>
            </w:pPr>
            <w:r>
              <w:rPr>
                <w:rFonts w:ascii="Arial" w:cs="Arial" w:eastAsia="Arial" w:hAnsi="Arial"/>
                <w:sz w:val="18"/>
                <w:szCs w:val="18"/>
                <w:color w:val="auto"/>
              </w:rPr>
              <w:t>91761</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HOSPITAL-University of Miami</w:t>
            </w:r>
          </w:p>
        </w:tc>
        <w:tc>
          <w:tcPr>
            <w:tcW w:w="4000" w:type="dxa"/>
            <w:vAlign w:val="bottom"/>
          </w:tcPr>
          <w:p>
            <w:pPr>
              <w:ind w:left="600"/>
              <w:spacing w:after="0"/>
              <w:rPr>
                <w:sz w:val="20"/>
                <w:szCs w:val="20"/>
                <w:color w:val="auto"/>
              </w:rPr>
            </w:pPr>
            <w:r>
              <w:rPr>
                <w:rFonts w:ascii="Arial" w:cs="Arial" w:eastAsia="Arial" w:hAnsi="Arial"/>
                <w:sz w:val="18"/>
                <w:szCs w:val="18"/>
                <w:color w:val="auto"/>
              </w:rPr>
              <w:t>1400 NW 12TH AVE</w:t>
            </w:r>
          </w:p>
        </w:tc>
        <w:tc>
          <w:tcPr>
            <w:tcW w:w="2280" w:type="dxa"/>
            <w:vAlign w:val="bottom"/>
          </w:tcPr>
          <w:p>
            <w:pPr>
              <w:ind w:left="840"/>
              <w:spacing w:after="0"/>
              <w:rPr>
                <w:sz w:val="20"/>
                <w:szCs w:val="20"/>
                <w:color w:val="auto"/>
              </w:rPr>
            </w:pPr>
            <w:r>
              <w:rPr>
                <w:rFonts w:ascii="Arial" w:cs="Arial" w:eastAsia="Arial" w:hAnsi="Arial"/>
                <w:sz w:val="18"/>
                <w:szCs w:val="18"/>
                <w:color w:val="auto"/>
              </w:rPr>
              <w:t>MIAMI</w:t>
            </w:r>
          </w:p>
        </w:tc>
        <w:tc>
          <w:tcPr>
            <w:tcW w:w="720" w:type="dxa"/>
            <w:vAlign w:val="bottom"/>
          </w:tcPr>
          <w:p>
            <w:pPr>
              <w:ind w:left="360"/>
              <w:spacing w:after="0"/>
              <w:rPr>
                <w:sz w:val="20"/>
                <w:szCs w:val="20"/>
                <w:color w:val="auto"/>
              </w:rPr>
            </w:pPr>
            <w:r>
              <w:rPr>
                <w:rFonts w:ascii="Arial" w:cs="Arial" w:eastAsia="Arial" w:hAnsi="Arial"/>
                <w:sz w:val="18"/>
                <w:szCs w:val="18"/>
                <w:color w:val="auto"/>
              </w:rPr>
              <w:t>FL</w:t>
            </w:r>
          </w:p>
        </w:tc>
        <w:tc>
          <w:tcPr>
            <w:tcW w:w="540" w:type="dxa"/>
            <w:vAlign w:val="bottom"/>
          </w:tcPr>
          <w:p>
            <w:pPr>
              <w:jc w:val="right"/>
              <w:spacing w:after="0"/>
              <w:rPr>
                <w:sz w:val="20"/>
                <w:szCs w:val="20"/>
                <w:color w:val="auto"/>
              </w:rPr>
            </w:pPr>
            <w:r>
              <w:rPr>
                <w:rFonts w:ascii="Arial" w:cs="Arial" w:eastAsia="Arial" w:hAnsi="Arial"/>
                <w:sz w:val="18"/>
                <w:szCs w:val="18"/>
                <w:color w:val="auto"/>
              </w:rPr>
              <w:t>33136</w:t>
            </w:r>
          </w:p>
        </w:tc>
      </w:tr>
      <w:tr>
        <w:trPr>
          <w:trHeight w:val="222"/>
        </w:trPr>
        <w:tc>
          <w:tcPr>
            <w:tcW w:w="3880" w:type="dxa"/>
            <w:vAlign w:val="bottom"/>
          </w:tcPr>
          <w:p>
            <w:pPr>
              <w:spacing w:after="0"/>
              <w:rPr>
                <w:sz w:val="20"/>
                <w:szCs w:val="20"/>
                <w:color w:val="auto"/>
              </w:rPr>
            </w:pPr>
            <w:r>
              <w:rPr>
                <w:rFonts w:ascii="Arial" w:cs="Arial" w:eastAsia="Arial" w:hAnsi="Arial"/>
                <w:sz w:val="18"/>
                <w:szCs w:val="18"/>
                <w:color w:val="auto"/>
              </w:rPr>
              <w:t>UNIVERSITY OF COLORADO HOSPITAL</w:t>
            </w:r>
          </w:p>
        </w:tc>
        <w:tc>
          <w:tcPr>
            <w:tcW w:w="4000" w:type="dxa"/>
            <w:vAlign w:val="bottom"/>
          </w:tcPr>
          <w:p>
            <w:pPr>
              <w:ind w:left="600"/>
              <w:spacing w:after="0"/>
              <w:rPr>
                <w:sz w:val="20"/>
                <w:szCs w:val="20"/>
                <w:color w:val="auto"/>
              </w:rPr>
            </w:pPr>
            <w:r>
              <w:rPr>
                <w:rFonts w:ascii="Arial" w:cs="Arial" w:eastAsia="Arial" w:hAnsi="Arial"/>
                <w:sz w:val="18"/>
                <w:szCs w:val="18"/>
                <w:color w:val="auto"/>
              </w:rPr>
              <w:t>4200 E 9TH AVE</w:t>
            </w:r>
          </w:p>
        </w:tc>
        <w:tc>
          <w:tcPr>
            <w:tcW w:w="2280" w:type="dxa"/>
            <w:vAlign w:val="bottom"/>
          </w:tcPr>
          <w:p>
            <w:pPr>
              <w:ind w:left="840"/>
              <w:spacing w:after="0"/>
              <w:rPr>
                <w:sz w:val="20"/>
                <w:szCs w:val="20"/>
                <w:color w:val="auto"/>
              </w:rPr>
            </w:pPr>
            <w:r>
              <w:rPr>
                <w:rFonts w:ascii="Arial" w:cs="Arial" w:eastAsia="Arial" w:hAnsi="Arial"/>
                <w:sz w:val="18"/>
                <w:szCs w:val="18"/>
                <w:color w:val="auto"/>
              </w:rPr>
              <w:t>DENVER</w:t>
            </w:r>
          </w:p>
        </w:tc>
        <w:tc>
          <w:tcPr>
            <w:tcW w:w="720" w:type="dxa"/>
            <w:vAlign w:val="bottom"/>
          </w:tcPr>
          <w:p>
            <w:pPr>
              <w:ind w:left="360"/>
              <w:spacing w:after="0"/>
              <w:rPr>
                <w:sz w:val="20"/>
                <w:szCs w:val="20"/>
                <w:color w:val="auto"/>
              </w:rPr>
            </w:pPr>
            <w:r>
              <w:rPr>
                <w:rFonts w:ascii="Arial" w:cs="Arial" w:eastAsia="Arial" w:hAnsi="Arial"/>
                <w:sz w:val="18"/>
                <w:szCs w:val="18"/>
                <w:color w:val="auto"/>
              </w:rPr>
              <w:t>CO</w:t>
            </w:r>
          </w:p>
        </w:tc>
        <w:tc>
          <w:tcPr>
            <w:tcW w:w="540" w:type="dxa"/>
            <w:vAlign w:val="bottom"/>
          </w:tcPr>
          <w:p>
            <w:pPr>
              <w:jc w:val="right"/>
              <w:spacing w:after="0"/>
              <w:rPr>
                <w:sz w:val="20"/>
                <w:szCs w:val="20"/>
                <w:color w:val="auto"/>
              </w:rPr>
            </w:pPr>
            <w:r>
              <w:rPr>
                <w:rFonts w:ascii="Arial" w:cs="Arial" w:eastAsia="Arial" w:hAnsi="Arial"/>
                <w:sz w:val="18"/>
                <w:szCs w:val="18"/>
                <w:color w:val="auto"/>
              </w:rPr>
              <w:t>80262</w:t>
            </w:r>
          </w:p>
        </w:tc>
      </w:tr>
    </w:tbl>
    <w:p>
      <w:pPr>
        <w:sectPr>
          <w:pgSz w:w="11900" w:h="16838" w:orient="portrait"/>
          <w:cols w:equalWidth="0" w:num="1">
            <w:col w:w="11420"/>
          </w:cols>
          <w:pgMar w:left="240" w:top="280" w:right="239" w:bottom="1440" w:gutter="0" w:footer="0" w:header="0"/>
        </w:sectPr>
      </w:pPr>
    </w:p>
    <w:bookmarkStart w:id="354" w:name="page355"/>
    <w:bookmarkEnd w:id="35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A-1</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Security Agreement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ACCOUNT CONTROL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ACCOUNT CONTROL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Accounts and Deposit Accounts)</w:t>
      </w:r>
    </w:p>
    <w:p>
      <w:pPr>
        <w:spacing w:after="0" w:line="165"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This ACCOUNT CONTROL AGREEMENT, dated as of , (this “</w:t>
      </w:r>
      <w:r>
        <w:rPr>
          <w:rFonts w:ascii="Arial" w:cs="Arial" w:eastAsia="Arial" w:hAnsi="Arial"/>
          <w:sz w:val="18"/>
          <w:szCs w:val="18"/>
          <w:u w:val="single" w:color="auto"/>
          <w:color w:val="auto"/>
        </w:rPr>
        <w:t>Agreement</w:t>
      </w:r>
      <w:r>
        <w:rPr>
          <w:rFonts w:ascii="Arial" w:cs="Arial" w:eastAsia="Arial" w:hAnsi="Arial"/>
          <w:sz w:val="18"/>
          <w:szCs w:val="18"/>
          <w:color w:val="auto"/>
        </w:rPr>
        <w:t>”), among INTEGRA LIFESCIENCES HOLDINGS CORPORATION,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affiliates of the Borrower identified as “Grantors” on the signature page of this Agreement (the Borrower and such affiliates are each referred to herein, individually, as a “</w:t>
      </w:r>
      <w:r>
        <w:rPr>
          <w:rFonts w:ascii="Arial" w:cs="Arial" w:eastAsia="Arial" w:hAnsi="Arial"/>
          <w:sz w:val="18"/>
          <w:szCs w:val="18"/>
          <w:u w:val="single" w:color="auto"/>
          <w:color w:val="auto"/>
        </w:rPr>
        <w:t>Grantor</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Grantors</w:t>
      </w:r>
      <w:r>
        <w:rPr>
          <w:rFonts w:ascii="Arial" w:cs="Arial" w:eastAsia="Arial" w:hAnsi="Arial"/>
          <w:sz w:val="18"/>
          <w:szCs w:val="18"/>
          <w:color w:val="auto"/>
        </w:rPr>
        <w:t>”), BANK OF AMERICA, N.A., as administrative agent and collateral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xml:space="preserve">) for the Secured Parties (as defined in the Security Agreement referred to below), and </w:t>
      </w:r>
      <w:r>
        <w:rPr>
          <w:rFonts w:ascii="Arial" w:cs="Arial" w:eastAsia="Arial" w:hAnsi="Arial"/>
          <w:sz w:val="18"/>
          <w:szCs w:val="18"/>
          <w:b w:val="1"/>
          <w:bCs w:val="1"/>
          <w:color w:val="auto"/>
        </w:rPr>
        <w:t>[NAME OF SECURITIES INTERMEDIARY]</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Securities Intermediary</w:t>
      </w:r>
      <w:r>
        <w:rPr>
          <w:rFonts w:ascii="Arial" w:cs="Arial" w:eastAsia="Arial" w:hAnsi="Arial"/>
          <w:sz w:val="18"/>
          <w:szCs w:val="18"/>
          <w:color w:val="auto"/>
        </w:rPr>
        <w:t>”).</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171" w:lineRule="exact"/>
        <w:rPr>
          <w:sz w:val="20"/>
          <w:szCs w:val="20"/>
          <w:color w:val="auto"/>
        </w:rPr>
      </w:pPr>
    </w:p>
    <w:p>
      <w:pPr>
        <w:jc w:val="both"/>
        <w:ind w:firstLine="913"/>
        <w:spacing w:after="0" w:line="296"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pursuant to an Amended and Restated Security Agreement dated as of August 10, 2010 (as such agreement may be amended, amended</w:t>
      </w:r>
      <w:r>
        <w:rPr>
          <w:rFonts w:ascii="Arial" w:cs="Arial" w:eastAsia="Arial" w:hAnsi="Arial"/>
          <w:sz w:val="16"/>
          <w:szCs w:val="16"/>
          <w:b w:val="1"/>
          <w:bCs w:val="1"/>
          <w:color w:val="auto"/>
        </w:rPr>
        <w:t xml:space="preserve"> </w:t>
      </w:r>
      <w:r>
        <w:rPr>
          <w:rFonts w:ascii="Arial" w:cs="Arial" w:eastAsia="Arial" w:hAnsi="Arial"/>
          <w:sz w:val="16"/>
          <w:szCs w:val="16"/>
          <w:color w:val="auto"/>
        </w:rPr>
        <w:t>and restated, supplemented or otherwise modified from time to time, the “</w:t>
      </w:r>
      <w:r>
        <w:rPr>
          <w:rFonts w:ascii="Arial" w:cs="Arial" w:eastAsia="Arial" w:hAnsi="Arial"/>
          <w:sz w:val="16"/>
          <w:szCs w:val="16"/>
          <w:u w:val="single" w:color="auto"/>
          <w:color w:val="auto"/>
        </w:rPr>
        <w:t>Security Agreement</w:t>
      </w:r>
      <w:r>
        <w:rPr>
          <w:rFonts w:ascii="Arial" w:cs="Arial" w:eastAsia="Arial" w:hAnsi="Arial"/>
          <w:sz w:val="16"/>
          <w:szCs w:val="16"/>
          <w:color w:val="auto"/>
        </w:rPr>
        <w:t>”), among the Grantors and the Administrative Agent and in order to obtain the benefits referred to therein, each Grantor has granted to the Administrative Agent a security interest in, among other things, each Account (as defined below) of such Grantor, all funds deposited to such Account, all financial assets (as defined in the Uniform Commercial Code as from time to time in effect in the State of New York) maintained in such Account, all proceeds thereof and distributions in connection therewith (collectively, the “</w:t>
      </w:r>
      <w:r>
        <w:rPr>
          <w:rFonts w:ascii="Arial" w:cs="Arial" w:eastAsia="Arial" w:hAnsi="Arial"/>
          <w:sz w:val="16"/>
          <w:szCs w:val="16"/>
          <w:u w:val="single" w:color="auto"/>
          <w:color w:val="auto"/>
        </w:rPr>
        <w:t>Collateral</w:t>
      </w:r>
      <w:r>
        <w:rPr>
          <w:rFonts w:ascii="Arial" w:cs="Arial" w:eastAsia="Arial" w:hAnsi="Arial"/>
          <w:sz w:val="16"/>
          <w:szCs w:val="16"/>
          <w:color w:val="auto"/>
        </w:rPr>
        <w:t>”);</w:t>
      </w:r>
    </w:p>
    <w:p>
      <w:pPr>
        <w:spacing w:after="0" w:line="108" w:lineRule="exact"/>
        <w:rPr>
          <w:sz w:val="20"/>
          <w:szCs w:val="20"/>
          <w:color w:val="auto"/>
        </w:rPr>
      </w:pPr>
    </w:p>
    <w:p>
      <w:pPr>
        <w:jc w:val="both"/>
        <w:ind w:firstLine="913"/>
        <w:spacing w:after="0" w:line="301"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each Grantor has agreed with the Administrative Agent to maintain subject to the provisions of the Security Agreement each demand,</w:t>
      </w:r>
      <w:r>
        <w:rPr>
          <w:rFonts w:ascii="Arial" w:cs="Arial" w:eastAsia="Arial" w:hAnsi="Arial"/>
          <w:sz w:val="16"/>
          <w:szCs w:val="16"/>
          <w:b w:val="1"/>
          <w:bCs w:val="1"/>
          <w:color w:val="auto"/>
        </w:rPr>
        <w:t xml:space="preserve"> </w:t>
      </w:r>
      <w:r>
        <w:rPr>
          <w:rFonts w:ascii="Arial" w:cs="Arial" w:eastAsia="Arial" w:hAnsi="Arial"/>
          <w:sz w:val="16"/>
          <w:szCs w:val="16"/>
          <w:color w:val="auto"/>
        </w:rPr>
        <w:t>time, savings, passbook or similar account of such Grantor maintained with the Securities Intermediary (each a “</w:t>
      </w:r>
      <w:r>
        <w:rPr>
          <w:rFonts w:ascii="Arial" w:cs="Arial" w:eastAsia="Arial" w:hAnsi="Arial"/>
          <w:sz w:val="16"/>
          <w:szCs w:val="16"/>
          <w:u w:val="single" w:color="auto"/>
          <w:color w:val="auto"/>
        </w:rPr>
        <w:t>Deposit Account</w:t>
      </w:r>
      <w:r>
        <w:rPr>
          <w:rFonts w:ascii="Arial" w:cs="Arial" w:eastAsia="Arial" w:hAnsi="Arial"/>
          <w:sz w:val="16"/>
          <w:szCs w:val="16"/>
          <w:color w:val="auto"/>
        </w:rPr>
        <w:t>”) and each securities account of such Grantor maintained with the Securities Intermediary (each a “</w:t>
      </w:r>
      <w:r>
        <w:rPr>
          <w:rFonts w:ascii="Arial" w:cs="Arial" w:eastAsia="Arial" w:hAnsi="Arial"/>
          <w:sz w:val="16"/>
          <w:szCs w:val="16"/>
          <w:u w:val="single" w:color="auto"/>
          <w:color w:val="auto"/>
        </w:rPr>
        <w:t>Securities Account</w:t>
      </w:r>
      <w:r>
        <w:rPr>
          <w:rFonts w:ascii="Arial" w:cs="Arial" w:eastAsia="Arial" w:hAnsi="Arial"/>
          <w:sz w:val="16"/>
          <w:szCs w:val="16"/>
          <w:color w:val="auto"/>
        </w:rPr>
        <w:t>”; each Deposit Account and each Securities Account is referred to herein, individually, as an “</w:t>
      </w:r>
      <w:r>
        <w:rPr>
          <w:rFonts w:ascii="Arial" w:cs="Arial" w:eastAsia="Arial" w:hAnsi="Arial"/>
          <w:sz w:val="16"/>
          <w:szCs w:val="16"/>
          <w:u w:val="single" w:color="auto"/>
          <w:color w:val="auto"/>
        </w:rPr>
        <w:t>Account</w:t>
      </w:r>
      <w:r>
        <w:rPr>
          <w:rFonts w:ascii="Arial" w:cs="Arial" w:eastAsia="Arial" w:hAnsi="Arial"/>
          <w:sz w:val="16"/>
          <w:szCs w:val="16"/>
          <w:color w:val="auto"/>
        </w:rPr>
        <w:t>” and, collectively, as the “</w:t>
      </w:r>
      <w:r>
        <w:rPr>
          <w:rFonts w:ascii="Arial" w:cs="Arial" w:eastAsia="Arial" w:hAnsi="Arial"/>
          <w:sz w:val="16"/>
          <w:szCs w:val="16"/>
          <w:u w:val="single" w:color="auto"/>
          <w:color w:val="auto"/>
        </w:rPr>
        <w:t>Accounts</w:t>
      </w:r>
      <w:r>
        <w:rPr>
          <w:rFonts w:ascii="Arial" w:cs="Arial" w:eastAsia="Arial" w:hAnsi="Arial"/>
          <w:sz w:val="16"/>
          <w:szCs w:val="16"/>
          <w:color w:val="auto"/>
        </w:rPr>
        <w:t xml:space="preserve">”), each of which is described opposite the name of such Grantor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and</w:t>
      </w:r>
    </w:p>
    <w:p>
      <w:pPr>
        <w:spacing w:after="0" w:line="103" w:lineRule="exact"/>
        <w:rPr>
          <w:sz w:val="20"/>
          <w:szCs w:val="20"/>
          <w:color w:val="auto"/>
        </w:rPr>
      </w:pPr>
    </w:p>
    <w:p>
      <w:pPr>
        <w:jc w:val="both"/>
        <w:ind w:firstLine="913"/>
        <w:spacing w:after="0" w:line="310"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each Grantor, the Administrative Agent and the Securities Intermediary are entering into this Agreement to provide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Administrative Agent shall have the right to exercise exclusive control over the Accounts and all amounts and financial assets maintained therein as herein provided at any time after the occurrence and during the continuance of an Event of Default (as defined in the Security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Account Control Agreement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Accounts and Deposit Accounts)</w:t>
      </w:r>
    </w:p>
    <w:p>
      <w:pPr>
        <w:sectPr>
          <w:pgSz w:w="11900" w:h="16838" w:orient="portrait"/>
          <w:cols w:equalWidth="0" w:num="1">
            <w:col w:w="11420"/>
          </w:cols>
          <w:pgMar w:left="240" w:top="274" w:right="239" w:bottom="1440" w:gutter="0" w:footer="0" w:header="0"/>
        </w:sectPr>
      </w:pPr>
    </w:p>
    <w:bookmarkStart w:id="355" w:name="page356"/>
    <w:bookmarkEnd w:id="355"/>
    <w:p>
      <w:pPr>
        <w:ind w:left="9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NOW, THEREFORE, </w:t>
      </w:r>
      <w:r>
        <w:rPr>
          <w:rFonts w:ascii="Arial" w:cs="Arial" w:eastAsia="Arial" w:hAnsi="Arial"/>
          <w:sz w:val="16"/>
          <w:szCs w:val="16"/>
          <w:color w:val="auto"/>
        </w:rPr>
        <w:t>in consideration of the premises and the mutual covenants and agreements hereinafter set forth, each Grantor,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and the Securities Intermediary agree as follows:</w:t>
      </w:r>
    </w:p>
    <w:p>
      <w:pPr>
        <w:spacing w:after="0" w:line="165" w:lineRule="exact"/>
        <w:rPr>
          <w:sz w:val="20"/>
          <w:szCs w:val="20"/>
          <w:color w:val="auto"/>
        </w:rPr>
      </w:pPr>
    </w:p>
    <w:p>
      <w:pPr>
        <w:ind w:right="20" w:firstLine="921"/>
        <w:spacing w:after="0" w:line="268" w:lineRule="auto"/>
        <w:tabs>
          <w:tab w:leader="none" w:pos="111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The following terms (whether or not underscored) when used in this Agreement, including its preamble and recitals shall have the following meanings (such definitions to be equally applicable to the singular and plural forms thereof):</w:t>
      </w:r>
    </w:p>
    <w:p>
      <w:pPr>
        <w:spacing w:after="0" w:line="132"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 Agreement</w:t>
      </w:r>
      <w:r>
        <w:rPr>
          <w:rFonts w:ascii="Arial" w:cs="Arial" w:eastAsia="Arial" w:hAnsi="Arial"/>
          <w:sz w:val="18"/>
          <w:szCs w:val="18"/>
          <w:color w:val="auto"/>
        </w:rPr>
        <w:t xml:space="preserve">” means, with respect to each Account of a Grantor, the agreement in respect of such Account between such Grantor and the Securities Intermediary, as such agreement may be amended, supplemented or otherwise modified from time to time pursuant to the terms thereof and, except as provided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hereof, with the prior written consent of the Administrative Agent.</w:t>
      </w:r>
    </w:p>
    <w:p>
      <w:pPr>
        <w:spacing w:after="0" w:line="140"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Activation Period</w:t>
      </w:r>
      <w:r>
        <w:rPr>
          <w:rFonts w:ascii="Arial" w:cs="Arial" w:eastAsia="Arial" w:hAnsi="Arial"/>
          <w:sz w:val="18"/>
          <w:szCs w:val="18"/>
          <w:color w:val="auto"/>
        </w:rPr>
        <w:t>” means the period commencing within a reasonable period of time not to exceed two Business Days after the Securities Intermediary’s receipt of the Notice and ending on the date the Notice is withdrawn or rescinded by a further written notice delivered by the Administrative Agent to the Securities Intermediary.</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each Monday through Friday, excluding any holiday on which the Securities Intermediary is customarily closed for business.</w:t>
      </w:r>
    </w:p>
    <w:p>
      <w:pPr>
        <w:spacing w:after="0" w:line="194"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Account</w:t>
      </w:r>
      <w:r>
        <w:rPr>
          <w:rFonts w:ascii="Arial" w:cs="Arial" w:eastAsia="Arial" w:hAnsi="Arial"/>
          <w:sz w:val="18"/>
          <w:szCs w:val="18"/>
          <w:color w:val="auto"/>
        </w:rPr>
        <w:t>” means an account controlled by the Administrative Agent as designated to the Securities Intermediary in the Notice or other written notice delivered to the Securities Intermediary by the Administrative Agent.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Damages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6(a)</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Grantors’ Agent</w:t>
      </w:r>
      <w:r>
        <w:rPr>
          <w:rFonts w:ascii="Arial" w:cs="Arial" w:eastAsia="Arial" w:hAnsi="Arial"/>
          <w:sz w:val="16"/>
          <w:szCs w:val="16"/>
          <w:color w:val="auto"/>
        </w:rPr>
        <w:t>” means the Borrower acting in its capacity as agent for itself and the other Grantors for purposes of administering this Agreement.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Any notices delivered to the Grantors’ Agent hereunder shall be deemed to have been delivered to each Grantor.</w:t>
      </w:r>
    </w:p>
    <w:p>
      <w:pPr>
        <w:spacing w:after="0" w:line="165"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w:t>
      </w:r>
      <w:r>
        <w:rPr>
          <w:rFonts w:ascii="Arial" w:cs="Arial" w:eastAsia="Arial" w:hAnsi="Arial"/>
          <w:sz w:val="18"/>
          <w:szCs w:val="18"/>
          <w:color w:val="auto"/>
        </w:rPr>
        <w:t xml:space="preserve">” means written notice from Administrative Agent to the Securities Intermediary in the form of </w:t>
      </w:r>
      <w:r>
        <w:rPr>
          <w:rFonts w:ascii="Arial" w:cs="Arial" w:eastAsia="Arial" w:hAnsi="Arial"/>
          <w:sz w:val="18"/>
          <w:szCs w:val="18"/>
          <w:u w:val="single" w:color="auto"/>
          <w:color w:val="auto"/>
        </w:rPr>
        <w:t>Attachment I</w:t>
      </w:r>
      <w:r>
        <w:rPr>
          <w:rFonts w:ascii="Arial" w:cs="Arial" w:eastAsia="Arial" w:hAnsi="Arial"/>
          <w:sz w:val="18"/>
          <w:szCs w:val="18"/>
          <w:color w:val="auto"/>
        </w:rPr>
        <w:t xml:space="preserve"> hereto. The Administrative Agent shall also deliver a copy of each Notice to the Grantors’ Agent as and when delivered to the Securities Intermediary.</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w:t>
      </w:r>
      <w:r>
        <w:rPr>
          <w:rFonts w:ascii="Arial" w:cs="Arial" w:eastAsia="Arial" w:hAnsi="Arial"/>
          <w:sz w:val="18"/>
          <w:szCs w:val="18"/>
          <w:color w:val="auto"/>
        </w:rPr>
        <w:t>” means any writ, levy, order or other similar judicial or regulatory order or process.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Retained Balance</w:t>
      </w:r>
      <w:r>
        <w:rPr>
          <w:rFonts w:ascii="Arial" w:cs="Arial" w:eastAsia="Arial" w:hAnsi="Arial"/>
          <w:sz w:val="16"/>
          <w:szCs w:val="16"/>
          <w:color w:val="auto"/>
        </w:rPr>
        <w:t>” means, on any date, the aggregate of the available cash balances in all the Accounts on such date which is less than $5,000.</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 The Securities Intermediary is hereby authorized as follows:</w:t>
      </w:r>
    </w:p>
    <w:p>
      <w:pPr>
        <w:spacing w:after="0" w:line="171" w:lineRule="exact"/>
        <w:rPr>
          <w:sz w:val="20"/>
          <w:szCs w:val="20"/>
          <w:color w:val="auto"/>
        </w:rPr>
      </w:pPr>
    </w:p>
    <w:p>
      <w:pPr>
        <w:jc w:val="both"/>
        <w:ind w:firstLine="1484"/>
        <w:spacing w:after="0" w:line="259" w:lineRule="auto"/>
        <w:rPr>
          <w:sz w:val="20"/>
          <w:szCs w:val="20"/>
          <w:color w:val="auto"/>
        </w:rPr>
      </w:pPr>
      <w:r>
        <w:rPr>
          <w:rFonts w:ascii="Arial" w:cs="Arial" w:eastAsia="Arial" w:hAnsi="Arial"/>
          <w:sz w:val="18"/>
          <w:szCs w:val="18"/>
          <w:color w:val="auto"/>
        </w:rPr>
        <w:t>(a)(i) Prior to the Activation Period the Securities Intermediary may follow the Securities Intermediary’s usual procedures as may be more particularly provided in the applicable Account Agreement in the event any Account or any check, draft or other order for payment of money or financial asset maintained therein should be or become the subject of any Order.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Account Control Agreement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Accounts and Deposit Accounts)</w:t>
      </w:r>
    </w:p>
    <w:p>
      <w:pPr>
        <w:sectPr>
          <w:pgSz w:w="11900" w:h="16838" w:orient="portrait"/>
          <w:cols w:equalWidth="0" w:num="1">
            <w:col w:w="11420"/>
          </w:cols>
          <w:pgMar w:left="240" w:top="273" w:right="239" w:bottom="1440" w:gutter="0" w:footer="0" w:header="0"/>
        </w:sectPr>
      </w:pPr>
    </w:p>
    <w:bookmarkStart w:id="356" w:name="page357"/>
    <w:bookmarkEnd w:id="356"/>
    <w:p>
      <w:pPr>
        <w:jc w:val="both"/>
        <w:ind w:firstLine="1492"/>
        <w:spacing w:after="0" w:line="289" w:lineRule="auto"/>
        <w:tabs>
          <w:tab w:leader="none" w:pos="1747" w:val="left"/>
        </w:tabs>
        <w:numPr>
          <w:ilvl w:val="0"/>
          <w:numId w:val="36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Prior to the Activation Period, the Securities Intermediary may permit each Grantor (i) to sell financial assets in any Account of such Grantor and invest the proceeds of such sales, as well as other funds in such Account in other financial assets, in each case as otherwise permitted pursuant to the applicable Account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until so sold or invested all such financial assets, proceeds thereof or other funds shall be maintained in such Account subject to the terms of this Agreement (and all property held by the Securities Intermediary for the account of a Grantor is, and will continue to be, credited to an Account of such Grantor until transferred as permitted by this Agreement); and (ii) to otherwise operate and transact business through any Account of such Grantor in its normal fashion, including making withdrawals from any such Account in accordance with the applicable Account Agreement. (Each Grantor confirms to the Administrative Agent that it will also operate each Account in accordance with any investment restrictions contained in the other Loan Documents (as defined in the Security Agreement)).</w:t>
      </w:r>
    </w:p>
    <w:p>
      <w:pPr>
        <w:spacing w:after="0" w:line="118" w:lineRule="exact"/>
        <w:rPr>
          <w:rFonts w:ascii="Arial" w:cs="Arial" w:eastAsia="Arial" w:hAnsi="Arial"/>
          <w:sz w:val="16"/>
          <w:szCs w:val="16"/>
          <w:color w:val="auto"/>
        </w:rPr>
      </w:pPr>
    </w:p>
    <w:p>
      <w:pPr>
        <w:jc w:val="both"/>
        <w:ind w:firstLine="1492"/>
        <w:spacing w:after="0" w:line="253" w:lineRule="auto"/>
        <w:tabs>
          <w:tab w:leader="none" w:pos="1744" w:val="left"/>
        </w:tabs>
        <w:numPr>
          <w:ilvl w:val="0"/>
          <w:numId w:val="363"/>
        </w:numPr>
        <w:rPr>
          <w:rFonts w:ascii="Arial" w:cs="Arial" w:eastAsia="Arial" w:hAnsi="Arial"/>
          <w:sz w:val="18"/>
          <w:szCs w:val="18"/>
          <w:color w:val="auto"/>
        </w:rPr>
      </w:pPr>
      <w:r>
        <w:rPr>
          <w:rFonts w:ascii="Arial" w:cs="Arial" w:eastAsia="Arial" w:hAnsi="Arial"/>
          <w:sz w:val="18"/>
          <w:szCs w:val="18"/>
          <w:color w:val="auto"/>
        </w:rPr>
        <w:t>During the Activation Period, the Securities Intermediary shall (i) transfer by wire transfer to the Collateral Account pursuant to the Administrative Agent’s instructions any collected and available cash credit balances in each Account each Business Day to the extent that the aggregate of the available cash credit balances in all the Accounts on such Business Day exceeds the Retained Balance and (ii) manage each Account and all financial assets and other items therein as the Administrative Agent may direct in writing from time to time (including using the Securities Intermediary’s best efforts to place or negotiate orders to sell securities in such Account and to transfer the proceeds of any such sale which are in excess of the Retained Balance to the Collateral Account). Funds are not available if, in the reasonable determination of Securities Intermediary, they are subject to an Order preventing their withdrawal. The Administrative Agent will give the Securities Intermediary sufficient advance written notice of any change in the instructions for Securities Intermediary to act upon such changes.</w:t>
      </w:r>
    </w:p>
    <w:p>
      <w:pPr>
        <w:spacing w:after="0" w:line="145" w:lineRule="exact"/>
        <w:rPr>
          <w:rFonts w:ascii="Arial" w:cs="Arial" w:eastAsia="Arial" w:hAnsi="Arial"/>
          <w:sz w:val="18"/>
          <w:szCs w:val="18"/>
          <w:color w:val="auto"/>
        </w:rPr>
      </w:pPr>
    </w:p>
    <w:p>
      <w:pPr>
        <w:jc w:val="both"/>
        <w:ind w:firstLine="1492"/>
        <w:spacing w:after="0" w:line="259" w:lineRule="auto"/>
        <w:tabs>
          <w:tab w:leader="none" w:pos="1734" w:val="left"/>
        </w:tabs>
        <w:numPr>
          <w:ilvl w:val="0"/>
          <w:numId w:val="363"/>
        </w:numPr>
        <w:rPr>
          <w:rFonts w:ascii="Arial" w:cs="Arial" w:eastAsia="Arial" w:hAnsi="Arial"/>
          <w:sz w:val="18"/>
          <w:szCs w:val="18"/>
          <w:color w:val="auto"/>
        </w:rPr>
      </w:pPr>
      <w:r>
        <w:rPr>
          <w:rFonts w:ascii="Arial" w:cs="Arial" w:eastAsia="Arial" w:hAnsi="Arial"/>
          <w:sz w:val="18"/>
          <w:szCs w:val="18"/>
          <w:color w:val="auto"/>
        </w:rPr>
        <w:t>During the Activation Period, (i) no Grantor shall have any right (and the Securities Intermediary will not permit any Grantor) to trade or in any manner withdraw or transfer any or all financial assets or credit balances in any Account and (ii) the Securities Intermediary shall not accept or honor any instructions from or on behalf of any Grantor in respect of any Account or any other Collateral.</w:t>
      </w:r>
    </w:p>
    <w:p>
      <w:pPr>
        <w:spacing w:after="0" w:line="140" w:lineRule="exact"/>
        <w:rPr>
          <w:rFonts w:ascii="Arial" w:cs="Arial" w:eastAsia="Arial" w:hAnsi="Arial"/>
          <w:sz w:val="18"/>
          <w:szCs w:val="18"/>
          <w:color w:val="auto"/>
        </w:rPr>
      </w:pPr>
    </w:p>
    <w:p>
      <w:pPr>
        <w:ind w:left="1760" w:hanging="268"/>
        <w:spacing w:after="0"/>
        <w:tabs>
          <w:tab w:leader="none" w:pos="1760" w:val="left"/>
        </w:tabs>
        <w:numPr>
          <w:ilvl w:val="0"/>
          <w:numId w:val="363"/>
        </w:numPr>
        <w:rPr>
          <w:rFonts w:ascii="Arial" w:cs="Arial" w:eastAsia="Arial" w:hAnsi="Arial"/>
          <w:sz w:val="16"/>
          <w:szCs w:val="16"/>
          <w:color w:val="auto"/>
        </w:rPr>
      </w:pPr>
      <w:r>
        <w:rPr>
          <w:rFonts w:ascii="Arial" w:cs="Arial" w:eastAsia="Arial" w:hAnsi="Arial"/>
          <w:sz w:val="16"/>
          <w:szCs w:val="16"/>
          <w:color w:val="auto"/>
        </w:rPr>
        <w:t>Each Grantor hereby irrevocably authorizes and instructs the Securities Intermediary to perform and comply with the terms of this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164" w:lineRule="exact"/>
        <w:rPr>
          <w:rFonts w:ascii="Arial" w:cs="Arial" w:eastAsia="Arial" w:hAnsi="Arial"/>
          <w:sz w:val="16"/>
          <w:szCs w:val="16"/>
          <w:color w:val="auto"/>
        </w:rPr>
      </w:pPr>
    </w:p>
    <w:p>
      <w:pPr>
        <w:jc w:val="both"/>
        <w:ind w:firstLine="1492"/>
        <w:spacing w:after="0" w:line="298" w:lineRule="auto"/>
        <w:tabs>
          <w:tab w:leader="none" w:pos="1716" w:val="left"/>
        </w:tabs>
        <w:numPr>
          <w:ilvl w:val="0"/>
          <w:numId w:val="363"/>
        </w:numPr>
        <w:rPr>
          <w:rFonts w:ascii="Arial" w:cs="Arial" w:eastAsia="Arial" w:hAnsi="Arial"/>
          <w:sz w:val="16"/>
          <w:szCs w:val="16"/>
          <w:color w:val="auto"/>
        </w:rPr>
      </w:pPr>
      <w:r>
        <w:rPr>
          <w:rFonts w:ascii="Arial" w:cs="Arial" w:eastAsia="Arial" w:hAnsi="Arial"/>
          <w:sz w:val="16"/>
          <w:szCs w:val="16"/>
          <w:color w:val="auto"/>
        </w:rPr>
        <w:t xml:space="preserve">The Administrative Agent acknowledges and agrees that the Securities Intermediary has the right to charge each Account from time to time, as set forth in </w:t>
      </w:r>
      <w:r>
        <w:rPr>
          <w:rFonts w:ascii="Arial" w:cs="Arial" w:eastAsia="Arial" w:hAnsi="Arial"/>
          <w:sz w:val="16"/>
          <w:szCs w:val="16"/>
          <w:u w:val="single" w:color="auto"/>
          <w:color w:val="auto"/>
        </w:rPr>
        <w:t>Section 4(a)</w:t>
      </w:r>
      <w:r>
        <w:rPr>
          <w:rFonts w:ascii="Arial" w:cs="Arial" w:eastAsia="Arial" w:hAnsi="Arial"/>
          <w:sz w:val="16"/>
          <w:szCs w:val="16"/>
          <w:color w:val="auto"/>
        </w:rPr>
        <w:t xml:space="preserve"> of this Agreement, and that Administrative Agent has no right to the sums so withdrawn by the Securities Intermediary. During the Activation Period, the Administrative Agent and the Grantors agree that the Securities Intermediary has the right to apply the Retained Balance to pay the accrued and unpaid obligations of the Grantors pursuant to </w:t>
      </w:r>
      <w:r>
        <w:rPr>
          <w:rFonts w:ascii="Arial" w:cs="Arial" w:eastAsia="Arial" w:hAnsi="Arial"/>
          <w:sz w:val="16"/>
          <w:szCs w:val="16"/>
          <w:u w:val="single" w:color="auto"/>
          <w:color w:val="auto"/>
        </w:rPr>
        <w:t>Sections 4(a)</w:t>
      </w:r>
      <w:r>
        <w:rPr>
          <w:rFonts w:ascii="Arial" w:cs="Arial" w:eastAsia="Arial" w:hAnsi="Arial"/>
          <w:sz w:val="16"/>
          <w:szCs w:val="16"/>
          <w:color w:val="auto"/>
        </w:rPr>
        <w:t xml:space="preserve">, </w:t>
      </w:r>
      <w:r>
        <w:rPr>
          <w:rFonts w:ascii="Arial" w:cs="Arial" w:eastAsia="Arial" w:hAnsi="Arial"/>
          <w:sz w:val="16"/>
          <w:szCs w:val="16"/>
          <w:u w:val="single" w:color="auto"/>
          <w:color w:val="auto"/>
        </w:rPr>
        <w:t>4(b)</w:t>
      </w:r>
      <w:r>
        <w:rPr>
          <w:rFonts w:ascii="Arial" w:cs="Arial" w:eastAsia="Arial" w:hAnsi="Arial"/>
          <w:sz w:val="16"/>
          <w:szCs w:val="16"/>
          <w:color w:val="auto"/>
        </w:rPr>
        <w:t xml:space="preserve">, </w:t>
      </w:r>
      <w:r>
        <w:rPr>
          <w:rFonts w:ascii="Arial" w:cs="Arial" w:eastAsia="Arial" w:hAnsi="Arial"/>
          <w:sz w:val="16"/>
          <w:szCs w:val="16"/>
          <w:u w:val="single" w:color="auto"/>
          <w:color w:val="auto"/>
        </w:rPr>
        <w:t>7(a)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w:t>
      </w:r>
      <w:r>
        <w:rPr>
          <w:rFonts w:ascii="Arial" w:cs="Arial" w:eastAsia="Arial" w:hAnsi="Arial"/>
          <w:sz w:val="16"/>
          <w:szCs w:val="16"/>
          <w:color w:val="auto"/>
        </w:rPr>
        <w:t xml:space="preserve"> of this Agreement.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Account Control Agreement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Accounts and Deposit Accounts)</w:t>
      </w:r>
    </w:p>
    <w:p>
      <w:pPr>
        <w:sectPr>
          <w:pgSz w:w="11900" w:h="16838" w:orient="portrait"/>
          <w:cols w:equalWidth="0" w:num="1">
            <w:col w:w="11420"/>
          </w:cols>
          <w:pgMar w:left="240" w:top="280" w:right="239" w:bottom="1440" w:gutter="0" w:footer="0" w:header="0"/>
        </w:sectPr>
      </w:pPr>
    </w:p>
    <w:bookmarkStart w:id="357" w:name="page358"/>
    <w:bookmarkEnd w:id="357"/>
    <w:p>
      <w:pPr>
        <w:ind w:left="1100" w:hanging="179"/>
        <w:spacing w:after="0"/>
        <w:tabs>
          <w:tab w:leader="none" w:pos="1100" w:val="left"/>
        </w:tabs>
        <w:numPr>
          <w:ilvl w:val="0"/>
          <w:numId w:val="3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Securities Intermediary hereby represents and warrants, acknowledges and agrees, as follows:</w:t>
      </w:r>
    </w:p>
    <w:p>
      <w:pPr>
        <w:spacing w:after="0" w:line="171" w:lineRule="exact"/>
        <w:rPr>
          <w:rFonts w:ascii="Arial" w:cs="Arial" w:eastAsia="Arial" w:hAnsi="Arial"/>
          <w:sz w:val="18"/>
          <w:szCs w:val="18"/>
          <w:color w:val="auto"/>
        </w:rPr>
      </w:pPr>
    </w:p>
    <w:p>
      <w:pPr>
        <w:jc w:val="both"/>
        <w:ind w:firstLine="1492"/>
        <w:spacing w:after="0" w:line="256" w:lineRule="auto"/>
        <w:tabs>
          <w:tab w:leader="none" w:pos="1746" w:val="left"/>
        </w:tabs>
        <w:numPr>
          <w:ilvl w:val="1"/>
          <w:numId w:val="364"/>
        </w:numPr>
        <w:rPr>
          <w:rFonts w:ascii="Arial" w:cs="Arial" w:eastAsia="Arial" w:hAnsi="Arial"/>
          <w:sz w:val="18"/>
          <w:szCs w:val="18"/>
          <w:color w:val="auto"/>
        </w:rPr>
      </w:pPr>
      <w:r>
        <w:rPr>
          <w:rFonts w:ascii="Arial" w:cs="Arial" w:eastAsia="Arial" w:hAnsi="Arial"/>
          <w:sz w:val="18"/>
          <w:szCs w:val="18"/>
          <w:color w:val="auto"/>
        </w:rPr>
        <w:t xml:space="preserve">at all times during the Activation Period without further instructions from any Grantor it will comply with (i) all entitlement orders originated by the Administrative Agent in respect of the Accounts and all financial assets maintained therein, and (ii) all instructions originated by the Administrative Agent directing disposition of any funds maintained in any Account, in each case, which are delivered in accordance with </w:t>
      </w:r>
      <w:r>
        <w:rPr>
          <w:rFonts w:ascii="Arial" w:cs="Arial" w:eastAsia="Arial" w:hAnsi="Arial"/>
          <w:sz w:val="18"/>
          <w:szCs w:val="18"/>
          <w:u w:val="single" w:color="auto"/>
          <w:color w:val="auto"/>
        </w:rPr>
        <w:t>Section 2(c)</w:t>
      </w:r>
      <w:r>
        <w:rPr>
          <w:rFonts w:ascii="Arial" w:cs="Arial" w:eastAsia="Arial" w:hAnsi="Arial"/>
          <w:sz w:val="18"/>
          <w:szCs w:val="18"/>
          <w:color w:val="auto"/>
        </w:rPr>
        <w:t xml:space="preserve"> of this Agreement;</w:t>
      </w:r>
    </w:p>
    <w:p>
      <w:pPr>
        <w:spacing w:after="0" w:line="143" w:lineRule="exact"/>
        <w:rPr>
          <w:rFonts w:ascii="Arial" w:cs="Arial" w:eastAsia="Arial" w:hAnsi="Arial"/>
          <w:sz w:val="18"/>
          <w:szCs w:val="18"/>
          <w:color w:val="auto"/>
        </w:rPr>
      </w:pPr>
    </w:p>
    <w:p>
      <w:pPr>
        <w:ind w:firstLine="1492"/>
        <w:spacing w:after="0" w:line="268" w:lineRule="auto"/>
        <w:tabs>
          <w:tab w:leader="none" w:pos="1740" w:val="left"/>
        </w:tabs>
        <w:numPr>
          <w:ilvl w:val="1"/>
          <w:numId w:val="364"/>
        </w:numPr>
        <w:rPr>
          <w:rFonts w:ascii="Arial" w:cs="Arial" w:eastAsia="Arial" w:hAnsi="Arial"/>
          <w:sz w:val="18"/>
          <w:szCs w:val="18"/>
          <w:color w:val="auto"/>
        </w:rPr>
      </w:pPr>
      <w:r>
        <w:rPr>
          <w:rFonts w:ascii="Arial" w:cs="Arial" w:eastAsia="Arial" w:hAnsi="Arial"/>
          <w:sz w:val="18"/>
          <w:szCs w:val="18"/>
          <w:color w:val="auto"/>
        </w:rPr>
        <w:t>at all times it will treat all cash, amounts, balances and other property maintained in any Account as a financial asset under Article 8 of the Uniform Commercial Code;</w:t>
      </w:r>
    </w:p>
    <w:p>
      <w:pPr>
        <w:spacing w:after="0" w:line="131" w:lineRule="exact"/>
        <w:rPr>
          <w:rFonts w:ascii="Arial" w:cs="Arial" w:eastAsia="Arial" w:hAnsi="Arial"/>
          <w:sz w:val="18"/>
          <w:szCs w:val="18"/>
          <w:color w:val="auto"/>
        </w:rPr>
      </w:pPr>
    </w:p>
    <w:p>
      <w:pPr>
        <w:ind w:left="1740" w:hanging="248"/>
        <w:spacing w:after="0"/>
        <w:tabs>
          <w:tab w:leader="none" w:pos="1740" w:val="left"/>
        </w:tabs>
        <w:numPr>
          <w:ilvl w:val="1"/>
          <w:numId w:val="364"/>
        </w:numPr>
        <w:rPr>
          <w:rFonts w:ascii="Arial" w:cs="Arial" w:eastAsia="Arial" w:hAnsi="Arial"/>
          <w:sz w:val="18"/>
          <w:szCs w:val="18"/>
          <w:color w:val="auto"/>
        </w:rPr>
      </w:pPr>
      <w:r>
        <w:rPr>
          <w:rFonts w:ascii="Arial" w:cs="Arial" w:eastAsia="Arial" w:hAnsi="Arial"/>
          <w:sz w:val="18"/>
          <w:szCs w:val="18"/>
          <w:color w:val="auto"/>
        </w:rPr>
        <w:t>it is the securities intermediary with respect to any property credited from time to time to each Account;</w:t>
      </w:r>
    </w:p>
    <w:p>
      <w:pPr>
        <w:spacing w:after="0" w:line="171" w:lineRule="exact"/>
        <w:rPr>
          <w:rFonts w:ascii="Arial" w:cs="Arial" w:eastAsia="Arial" w:hAnsi="Arial"/>
          <w:sz w:val="18"/>
          <w:szCs w:val="18"/>
          <w:color w:val="auto"/>
        </w:rPr>
      </w:pPr>
    </w:p>
    <w:p>
      <w:pPr>
        <w:ind w:firstLine="1492"/>
        <w:spacing w:after="0" w:line="268" w:lineRule="auto"/>
        <w:tabs>
          <w:tab w:leader="none" w:pos="1756" w:val="left"/>
        </w:tabs>
        <w:numPr>
          <w:ilvl w:val="1"/>
          <w:numId w:val="364"/>
        </w:numPr>
        <w:rPr>
          <w:rFonts w:ascii="Arial" w:cs="Arial" w:eastAsia="Arial" w:hAnsi="Arial"/>
          <w:sz w:val="18"/>
          <w:szCs w:val="18"/>
          <w:color w:val="auto"/>
        </w:rPr>
      </w:pPr>
      <w:r>
        <w:rPr>
          <w:rFonts w:ascii="Arial" w:cs="Arial" w:eastAsia="Arial" w:hAnsi="Arial"/>
          <w:sz w:val="18"/>
          <w:szCs w:val="18"/>
          <w:color w:val="auto"/>
        </w:rPr>
        <w:t>at all times the location of the Bank and the location of each Account under this Agreement (and each Account Agreement) for all purposes of the Uniform Commercial Code shall be the State of New York;</w:t>
      </w:r>
    </w:p>
    <w:p>
      <w:pPr>
        <w:spacing w:after="0" w:line="131" w:lineRule="exact"/>
        <w:rPr>
          <w:rFonts w:ascii="Arial" w:cs="Arial" w:eastAsia="Arial" w:hAnsi="Arial"/>
          <w:sz w:val="18"/>
          <w:szCs w:val="18"/>
          <w:color w:val="auto"/>
        </w:rPr>
      </w:pPr>
    </w:p>
    <w:p>
      <w:pPr>
        <w:ind w:right="20" w:firstLine="1492"/>
        <w:spacing w:after="0" w:line="268" w:lineRule="auto"/>
        <w:tabs>
          <w:tab w:leader="none" w:pos="1735" w:val="left"/>
        </w:tabs>
        <w:numPr>
          <w:ilvl w:val="1"/>
          <w:numId w:val="364"/>
        </w:numPr>
        <w:rPr>
          <w:rFonts w:ascii="Arial" w:cs="Arial" w:eastAsia="Arial" w:hAnsi="Arial"/>
          <w:sz w:val="18"/>
          <w:szCs w:val="18"/>
          <w:color w:val="auto"/>
        </w:rPr>
      </w:pPr>
      <w:r>
        <w:rPr>
          <w:rFonts w:ascii="Arial" w:cs="Arial" w:eastAsia="Arial" w:hAnsi="Arial"/>
          <w:sz w:val="18"/>
          <w:szCs w:val="18"/>
          <w:color w:val="auto"/>
        </w:rPr>
        <w:t>(i) it has been notified of the Administrative Agent’s security interest in the Accounts and the other Collateral granted by the Grantors under the Security Agreement;</w:t>
      </w:r>
    </w:p>
    <w:p>
      <w:pPr>
        <w:spacing w:after="0" w:line="50" w:lineRule="exact"/>
        <w:rPr>
          <w:rFonts w:ascii="Arial" w:cs="Arial" w:eastAsia="Arial" w:hAnsi="Arial"/>
          <w:sz w:val="18"/>
          <w:szCs w:val="18"/>
          <w:color w:val="auto"/>
        </w:rPr>
      </w:pPr>
    </w:p>
    <w:p>
      <w:pPr>
        <w:ind w:left="2020" w:hanging="259"/>
        <w:spacing w:after="0"/>
        <w:tabs>
          <w:tab w:leader="none" w:pos="2020" w:val="left"/>
        </w:tabs>
        <w:numPr>
          <w:ilvl w:val="2"/>
          <w:numId w:val="364"/>
        </w:numPr>
        <w:rPr>
          <w:rFonts w:ascii="Arial" w:cs="Arial" w:eastAsia="Arial" w:hAnsi="Arial"/>
          <w:sz w:val="18"/>
          <w:szCs w:val="18"/>
          <w:color w:val="auto"/>
        </w:rPr>
      </w:pPr>
      <w:r>
        <w:rPr>
          <w:rFonts w:ascii="Arial" w:cs="Arial" w:eastAsia="Arial" w:hAnsi="Arial"/>
          <w:sz w:val="18"/>
          <w:szCs w:val="18"/>
          <w:color w:val="auto"/>
        </w:rPr>
        <w:t>it has recorded such security interest on its books and records;</w:t>
      </w:r>
    </w:p>
    <w:p>
      <w:pPr>
        <w:spacing w:after="0" w:line="90" w:lineRule="exact"/>
        <w:rPr>
          <w:rFonts w:ascii="Arial" w:cs="Arial" w:eastAsia="Arial" w:hAnsi="Arial"/>
          <w:sz w:val="18"/>
          <w:szCs w:val="18"/>
          <w:color w:val="auto"/>
        </w:rPr>
      </w:pPr>
    </w:p>
    <w:p>
      <w:pPr>
        <w:ind w:left="920" w:firstLine="841"/>
        <w:spacing w:after="0" w:line="268" w:lineRule="auto"/>
        <w:tabs>
          <w:tab w:leader="none" w:pos="2084" w:val="left"/>
        </w:tabs>
        <w:numPr>
          <w:ilvl w:val="2"/>
          <w:numId w:val="364"/>
        </w:numPr>
        <w:rPr>
          <w:rFonts w:ascii="Arial" w:cs="Arial" w:eastAsia="Arial" w:hAnsi="Arial"/>
          <w:sz w:val="18"/>
          <w:szCs w:val="18"/>
          <w:color w:val="auto"/>
        </w:rPr>
      </w:pPr>
      <w:r>
        <w:rPr>
          <w:rFonts w:ascii="Arial" w:cs="Arial" w:eastAsia="Arial" w:hAnsi="Arial"/>
          <w:sz w:val="18"/>
          <w:szCs w:val="18"/>
          <w:color w:val="auto"/>
        </w:rPr>
        <w:t>as of the date hereof it has received no notice of any other security interest or any Order in respect of any Account or any other Collateral (except for the interest of the Securities Intermediary contemplated by this Agreement); and</w:t>
      </w:r>
    </w:p>
    <w:p>
      <w:pPr>
        <w:spacing w:after="0" w:line="50" w:lineRule="exact"/>
        <w:rPr>
          <w:rFonts w:ascii="Arial" w:cs="Arial" w:eastAsia="Arial" w:hAnsi="Arial"/>
          <w:sz w:val="18"/>
          <w:szCs w:val="18"/>
          <w:color w:val="auto"/>
        </w:rPr>
      </w:pPr>
    </w:p>
    <w:p>
      <w:pPr>
        <w:ind w:left="2080" w:hanging="319"/>
        <w:spacing w:after="0"/>
        <w:tabs>
          <w:tab w:leader="none" w:pos="2080" w:val="left"/>
        </w:tabs>
        <w:numPr>
          <w:ilvl w:val="2"/>
          <w:numId w:val="364"/>
        </w:numPr>
        <w:rPr>
          <w:rFonts w:ascii="Arial" w:cs="Arial" w:eastAsia="Arial" w:hAnsi="Arial"/>
          <w:sz w:val="16"/>
          <w:szCs w:val="16"/>
          <w:color w:val="auto"/>
        </w:rPr>
      </w:pPr>
      <w:r>
        <w:rPr>
          <w:rFonts w:ascii="Arial" w:cs="Arial" w:eastAsia="Arial" w:hAnsi="Arial"/>
          <w:sz w:val="16"/>
          <w:szCs w:val="16"/>
          <w:color w:val="auto"/>
        </w:rPr>
        <w:t>it will advise the Administrative Agent in writing promptly following its receipt of notice of any such other security interest or</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Order;</w:t>
      </w:r>
    </w:p>
    <w:p>
      <w:pPr>
        <w:spacing w:after="0" w:line="164" w:lineRule="exact"/>
        <w:rPr>
          <w:rFonts w:ascii="Arial" w:cs="Arial" w:eastAsia="Arial" w:hAnsi="Arial"/>
          <w:sz w:val="16"/>
          <w:szCs w:val="16"/>
          <w:color w:val="auto"/>
        </w:rPr>
      </w:pPr>
    </w:p>
    <w:p>
      <w:pPr>
        <w:ind w:left="1720" w:hanging="228"/>
        <w:spacing w:after="0"/>
        <w:tabs>
          <w:tab w:leader="none" w:pos="1720" w:val="left"/>
        </w:tabs>
        <w:numPr>
          <w:ilvl w:val="1"/>
          <w:numId w:val="364"/>
        </w:numPr>
        <w:rPr>
          <w:rFonts w:ascii="Arial" w:cs="Arial" w:eastAsia="Arial" w:hAnsi="Arial"/>
          <w:sz w:val="16"/>
          <w:szCs w:val="16"/>
          <w:color w:val="auto"/>
        </w:rPr>
      </w:pPr>
      <w:r>
        <w:rPr>
          <w:rFonts w:ascii="Arial" w:cs="Arial" w:eastAsia="Arial" w:hAnsi="Arial"/>
          <w:sz w:val="16"/>
          <w:szCs w:val="16"/>
          <w:color w:val="auto"/>
        </w:rPr>
        <w:t>it will not advance margin or other credit against any Account or any other Collateral or hypothecate any financial assets or other items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carried in any Account;</w:t>
      </w:r>
    </w:p>
    <w:p>
      <w:pPr>
        <w:spacing w:after="0" w:line="164" w:lineRule="exact"/>
        <w:rPr>
          <w:rFonts w:ascii="Arial" w:cs="Arial" w:eastAsia="Arial" w:hAnsi="Arial"/>
          <w:sz w:val="16"/>
          <w:szCs w:val="16"/>
          <w:color w:val="auto"/>
        </w:rPr>
      </w:pPr>
    </w:p>
    <w:p>
      <w:pPr>
        <w:jc w:val="both"/>
        <w:ind w:firstLine="1492"/>
        <w:spacing w:after="0" w:line="259" w:lineRule="auto"/>
        <w:tabs>
          <w:tab w:leader="none" w:pos="1735" w:val="left"/>
        </w:tabs>
        <w:numPr>
          <w:ilvl w:val="1"/>
          <w:numId w:val="364"/>
        </w:numPr>
        <w:rPr>
          <w:rFonts w:ascii="Arial" w:cs="Arial" w:eastAsia="Arial" w:hAnsi="Arial"/>
          <w:sz w:val="18"/>
          <w:szCs w:val="18"/>
          <w:color w:val="auto"/>
        </w:rPr>
      </w:pPr>
      <w:r>
        <w:rPr>
          <w:rFonts w:ascii="Arial" w:cs="Arial" w:eastAsia="Arial" w:hAnsi="Arial"/>
          <w:sz w:val="18"/>
          <w:szCs w:val="18"/>
          <w:color w:val="auto"/>
        </w:rPr>
        <w:t>it will not agree with any person or entity (other than a Grantor or the Administrative Agent) that it will comply (and it shall not comply) with any withdrawal, transfer, payment, or redemption instruction, or any other entitlement order or other order, from such other person or entity concerning any Account or any financial asset or other items therein; and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Account Control Agreement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Accounts and Deposit Accounts)</w:t>
      </w:r>
    </w:p>
    <w:p>
      <w:pPr>
        <w:sectPr>
          <w:pgSz w:w="11900" w:h="16838" w:orient="portrait"/>
          <w:cols w:equalWidth="0" w:num="1">
            <w:col w:w="11420"/>
          </w:cols>
          <w:pgMar w:left="240" w:top="280" w:right="239" w:bottom="1440" w:gutter="0" w:footer="0" w:header="0"/>
        </w:sectPr>
      </w:pPr>
    </w:p>
    <w:bookmarkStart w:id="358" w:name="page359"/>
    <w:bookmarkEnd w:id="358"/>
    <w:p>
      <w:pPr>
        <w:ind w:left="1740" w:hanging="248"/>
        <w:spacing w:after="0"/>
        <w:tabs>
          <w:tab w:leader="none" w:pos="1740" w:val="left"/>
        </w:tabs>
        <w:numPr>
          <w:ilvl w:val="1"/>
          <w:numId w:val="3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it will not offset against any Account, except as permitted under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of this Agreement.</w:t>
      </w:r>
    </w:p>
    <w:p>
      <w:pPr>
        <w:spacing w:after="0" w:line="171" w:lineRule="exact"/>
        <w:rPr>
          <w:rFonts w:ascii="Arial" w:cs="Arial" w:eastAsia="Arial" w:hAnsi="Arial"/>
          <w:sz w:val="18"/>
          <w:szCs w:val="18"/>
          <w:color w:val="auto"/>
        </w:rPr>
      </w:pPr>
    </w:p>
    <w:p>
      <w:pPr>
        <w:jc w:val="both"/>
        <w:ind w:firstLine="921"/>
        <w:spacing w:after="0" w:line="259" w:lineRule="auto"/>
        <w:tabs>
          <w:tab w:leader="none" w:pos="1101" w:val="left"/>
        </w:tabs>
        <w:numPr>
          <w:ilvl w:val="0"/>
          <w:numId w:val="366"/>
        </w:numPr>
        <w:rPr>
          <w:rFonts w:ascii="Arial" w:cs="Arial" w:eastAsia="Arial" w:hAnsi="Arial"/>
          <w:sz w:val="18"/>
          <w:szCs w:val="18"/>
          <w:color w:val="auto"/>
        </w:rPr>
      </w:pPr>
      <w:r>
        <w:rPr>
          <w:rFonts w:ascii="Arial" w:cs="Arial" w:eastAsia="Arial" w:hAnsi="Arial"/>
          <w:sz w:val="18"/>
          <w:szCs w:val="18"/>
          <w:color w:val="auto"/>
        </w:rPr>
        <w:t xml:space="preserve">(a) The Securities Intermediary may charge each Account of any Grantor for all returned checks of such Grantor, all service charges, and other fees and charges associated with such Account as provided in the applicable Account Agreement and all other amounts due to the Securities Intermediary from any Grantor under </w:t>
      </w:r>
      <w:r>
        <w:rPr>
          <w:rFonts w:ascii="Arial" w:cs="Arial" w:eastAsia="Arial" w:hAnsi="Arial"/>
          <w:sz w:val="18"/>
          <w:szCs w:val="18"/>
          <w:u w:val="single" w:color="auto"/>
          <w:color w:val="auto"/>
        </w:rPr>
        <w:t>Sections 4(b)</w:t>
      </w:r>
      <w:r>
        <w:rPr>
          <w:rFonts w:ascii="Arial" w:cs="Arial" w:eastAsia="Arial" w:hAnsi="Arial"/>
          <w:sz w:val="18"/>
          <w:szCs w:val="18"/>
          <w:color w:val="auto"/>
        </w:rPr>
        <w:t xml:space="preserve">, </w:t>
      </w:r>
      <w:r>
        <w:rPr>
          <w:rFonts w:ascii="Arial" w:cs="Arial" w:eastAsia="Arial" w:hAnsi="Arial"/>
          <w:sz w:val="18"/>
          <w:szCs w:val="18"/>
          <w:u w:val="single" w:color="auto"/>
          <w:color w:val="auto"/>
        </w:rPr>
        <w:t>7(a)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w:t>
      </w:r>
      <w:r>
        <w:rPr>
          <w:rFonts w:ascii="Arial" w:cs="Arial" w:eastAsia="Arial" w:hAnsi="Arial"/>
          <w:sz w:val="18"/>
          <w:szCs w:val="18"/>
          <w:color w:val="auto"/>
        </w:rPr>
        <w:t xml:space="preserve"> of this Agreement.</w:t>
      </w:r>
    </w:p>
    <w:p>
      <w:pPr>
        <w:spacing w:after="0" w:line="140" w:lineRule="exact"/>
        <w:rPr>
          <w:rFonts w:ascii="Arial" w:cs="Arial" w:eastAsia="Arial" w:hAnsi="Arial"/>
          <w:sz w:val="18"/>
          <w:szCs w:val="18"/>
          <w:color w:val="auto"/>
        </w:rPr>
      </w:pPr>
    </w:p>
    <w:p>
      <w:pPr>
        <w:jc w:val="both"/>
        <w:ind w:firstLine="1492"/>
        <w:spacing w:after="0" w:line="255" w:lineRule="auto"/>
        <w:tabs>
          <w:tab w:leader="none" w:pos="1737" w:val="left"/>
        </w:tabs>
        <w:numPr>
          <w:ilvl w:val="1"/>
          <w:numId w:val="366"/>
        </w:numPr>
        <w:rPr>
          <w:rFonts w:ascii="Arial" w:cs="Arial" w:eastAsia="Arial" w:hAnsi="Arial"/>
          <w:sz w:val="18"/>
          <w:szCs w:val="18"/>
          <w:color w:val="auto"/>
        </w:rPr>
      </w:pPr>
      <w:r>
        <w:rPr>
          <w:rFonts w:ascii="Arial" w:cs="Arial" w:eastAsia="Arial" w:hAnsi="Arial"/>
          <w:sz w:val="18"/>
          <w:szCs w:val="18"/>
          <w:color w:val="auto"/>
        </w:rPr>
        <w:t xml:space="preserve">If the balances in any Account of any Grantor are not sufficient to compensate the Securities Intermediary for any fees or charges due to the Securities Intermediary under the applicable Account Agreement in respect of such Account or any other amounts due to the Securities Intermediary pursuant to </w:t>
      </w:r>
      <w:r>
        <w:rPr>
          <w:rFonts w:ascii="Arial" w:cs="Arial" w:eastAsia="Arial" w:hAnsi="Arial"/>
          <w:sz w:val="18"/>
          <w:szCs w:val="18"/>
          <w:u w:val="single" w:color="auto"/>
          <w:color w:val="auto"/>
        </w:rPr>
        <w:t>Sections 7(a)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w:t>
      </w:r>
      <w:r>
        <w:rPr>
          <w:rFonts w:ascii="Arial" w:cs="Arial" w:eastAsia="Arial" w:hAnsi="Arial"/>
          <w:sz w:val="18"/>
          <w:szCs w:val="18"/>
          <w:color w:val="auto"/>
        </w:rPr>
        <w:t xml:space="preserve"> of this Agreement, each Grantor jointly and severally agrees to pay Securities Intermediary on demand the amount due Securities Intermediary. A Grantor will have breached this Agreement if such Grantor has not paid the Securities Intermediary, within 30 days after any such demand, the amount due Securities Intermediary.</w:t>
      </w:r>
    </w:p>
    <w:p>
      <w:pPr>
        <w:spacing w:after="0" w:line="142" w:lineRule="exact"/>
        <w:rPr>
          <w:rFonts w:ascii="Arial" w:cs="Arial" w:eastAsia="Arial" w:hAnsi="Arial"/>
          <w:sz w:val="18"/>
          <w:szCs w:val="18"/>
          <w:color w:val="auto"/>
        </w:rPr>
      </w:pPr>
    </w:p>
    <w:p>
      <w:pPr>
        <w:jc w:val="both"/>
        <w:ind w:firstLine="1492"/>
        <w:spacing w:after="0" w:line="291" w:lineRule="auto"/>
        <w:tabs>
          <w:tab w:leader="none" w:pos="1742" w:val="left"/>
        </w:tabs>
        <w:numPr>
          <w:ilvl w:val="1"/>
          <w:numId w:val="366"/>
        </w:numPr>
        <w:rPr>
          <w:rFonts w:ascii="Arial" w:cs="Arial" w:eastAsia="Arial" w:hAnsi="Arial"/>
          <w:sz w:val="16"/>
          <w:szCs w:val="16"/>
          <w:color w:val="auto"/>
        </w:rPr>
      </w:pPr>
      <w:r>
        <w:rPr>
          <w:rFonts w:ascii="Arial" w:cs="Arial" w:eastAsia="Arial" w:hAnsi="Arial"/>
          <w:sz w:val="16"/>
          <w:szCs w:val="16"/>
          <w:color w:val="auto"/>
        </w:rPr>
        <w:t xml:space="preserve">If the Grantors have breached their obligations to the Securities Intermediary pursuant to </w:t>
      </w:r>
      <w:r>
        <w:rPr>
          <w:rFonts w:ascii="Arial" w:cs="Arial" w:eastAsia="Arial" w:hAnsi="Arial"/>
          <w:sz w:val="16"/>
          <w:szCs w:val="16"/>
          <w:u w:val="single" w:color="auto"/>
          <w:color w:val="auto"/>
        </w:rPr>
        <w:t>Section 4(b)</w:t>
      </w:r>
      <w:r>
        <w:rPr>
          <w:rFonts w:ascii="Arial" w:cs="Arial" w:eastAsia="Arial" w:hAnsi="Arial"/>
          <w:sz w:val="16"/>
          <w:szCs w:val="16"/>
          <w:color w:val="auto"/>
        </w:rPr>
        <w:t xml:space="preserve"> of this Agreement at any time during the Activation Period, then the Administrative Agent shall pay the Securities Intermediary (i) the amount of any unpaid fees or other charges in respect to any Account under the applicable Account Agreement incurred during the Activation Period and (ii) if any amount in respect any returned check, draft or other order for payment shall have been transferred by the Securities Intermediary to the Administrative Agent during the Activation Period pursuant to </w:t>
      </w:r>
      <w:r>
        <w:rPr>
          <w:rFonts w:ascii="Arial" w:cs="Arial" w:eastAsia="Arial" w:hAnsi="Arial"/>
          <w:sz w:val="16"/>
          <w:szCs w:val="16"/>
          <w:u w:val="single" w:color="auto"/>
          <w:color w:val="auto"/>
        </w:rPr>
        <w:t>Section 2(c)</w:t>
      </w:r>
      <w:r>
        <w:rPr>
          <w:rFonts w:ascii="Arial" w:cs="Arial" w:eastAsia="Arial" w:hAnsi="Arial"/>
          <w:sz w:val="16"/>
          <w:szCs w:val="16"/>
          <w:color w:val="auto"/>
        </w:rPr>
        <w:t xml:space="preserve"> of this Agreement, the amount in respect of any such returned item so received by the Administrative Agent. The Administrative Agent will have breached this Agreement if the Administrative Agent has not paid any such amount to the Securities Intermediary within 30 days after any such demand.</w:t>
      </w:r>
    </w:p>
    <w:p>
      <w:pPr>
        <w:spacing w:after="0" w:line="120" w:lineRule="exact"/>
        <w:rPr>
          <w:rFonts w:ascii="Arial" w:cs="Arial" w:eastAsia="Arial" w:hAnsi="Arial"/>
          <w:sz w:val="16"/>
          <w:szCs w:val="16"/>
          <w:color w:val="auto"/>
        </w:rPr>
      </w:pPr>
    </w:p>
    <w:p>
      <w:pPr>
        <w:ind w:left="1100" w:hanging="179"/>
        <w:spacing w:after="0"/>
        <w:tabs>
          <w:tab w:leader="none" w:pos="110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Termination of this Agreement shall be as follows:</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1"/>
          <w:numId w:val="367"/>
        </w:numPr>
        <w:rPr>
          <w:rFonts w:ascii="Arial" w:cs="Arial" w:eastAsia="Arial" w:hAnsi="Arial"/>
          <w:sz w:val="16"/>
          <w:szCs w:val="16"/>
          <w:color w:val="auto"/>
        </w:rPr>
      </w:pPr>
      <w:r>
        <w:rPr>
          <w:rFonts w:ascii="Arial" w:cs="Arial" w:eastAsia="Arial" w:hAnsi="Arial"/>
          <w:sz w:val="16"/>
          <w:szCs w:val="16"/>
          <w:color w:val="auto"/>
        </w:rPr>
        <w:t>(i) The Securities Intermediary may terminate this Agreement upon 30 days’ prior written notice to the Administrative Agent and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Grantors’ Agent.</w:t>
      </w:r>
    </w:p>
    <w:p>
      <w:pPr>
        <w:spacing w:after="0" w:line="83" w:lineRule="exact"/>
        <w:rPr>
          <w:rFonts w:ascii="Arial" w:cs="Arial" w:eastAsia="Arial" w:hAnsi="Arial"/>
          <w:sz w:val="16"/>
          <w:szCs w:val="16"/>
          <w:color w:val="auto"/>
        </w:rPr>
      </w:pPr>
    </w:p>
    <w:p>
      <w:pPr>
        <w:ind w:left="2020" w:hanging="259"/>
        <w:spacing w:after="0"/>
        <w:tabs>
          <w:tab w:leader="none" w:pos="2020" w:val="left"/>
        </w:tabs>
        <w:numPr>
          <w:ilvl w:val="2"/>
          <w:numId w:val="367"/>
        </w:numPr>
        <w:rPr>
          <w:rFonts w:ascii="Arial" w:cs="Arial" w:eastAsia="Arial" w:hAnsi="Arial"/>
          <w:sz w:val="16"/>
          <w:szCs w:val="16"/>
          <w:color w:val="auto"/>
        </w:rPr>
      </w:pPr>
      <w:r>
        <w:rPr>
          <w:rFonts w:ascii="Arial" w:cs="Arial" w:eastAsia="Arial" w:hAnsi="Arial"/>
          <w:sz w:val="16"/>
          <w:szCs w:val="16"/>
          <w:color w:val="auto"/>
        </w:rPr>
        <w:t>The Administrative Agent may terminate this Agreement upon 30 days’ prior written notice to the Grantors’ Agent and the Securities</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Intermediary.</w:t>
      </w:r>
    </w:p>
    <w:p>
      <w:pPr>
        <w:spacing w:after="0" w:line="83" w:lineRule="exact"/>
        <w:rPr>
          <w:rFonts w:ascii="Arial" w:cs="Arial" w:eastAsia="Arial" w:hAnsi="Arial"/>
          <w:sz w:val="16"/>
          <w:szCs w:val="16"/>
          <w:color w:val="auto"/>
        </w:rPr>
      </w:pPr>
    </w:p>
    <w:p>
      <w:pPr>
        <w:ind w:left="920" w:firstLine="841"/>
        <w:spacing w:after="0" w:line="268" w:lineRule="auto"/>
        <w:tabs>
          <w:tab w:leader="none" w:pos="2067" w:val="left"/>
        </w:tabs>
        <w:numPr>
          <w:ilvl w:val="2"/>
          <w:numId w:val="367"/>
        </w:numPr>
        <w:rPr>
          <w:rFonts w:ascii="Arial" w:cs="Arial" w:eastAsia="Arial" w:hAnsi="Arial"/>
          <w:sz w:val="18"/>
          <w:szCs w:val="18"/>
          <w:color w:val="auto"/>
        </w:rPr>
      </w:pPr>
      <w:r>
        <w:rPr>
          <w:rFonts w:ascii="Arial" w:cs="Arial" w:eastAsia="Arial" w:hAnsi="Arial"/>
          <w:sz w:val="18"/>
          <w:szCs w:val="18"/>
          <w:color w:val="auto"/>
        </w:rPr>
        <w:t>The Grantors may not terminate this Agreement except with the prior written consent of the Administrative Agent and upon 30 days’ prior written notice to the Securities Intermediary.</w:t>
      </w:r>
    </w:p>
    <w:p>
      <w:pPr>
        <w:spacing w:after="0" w:line="131" w:lineRule="exact"/>
        <w:rPr>
          <w:rFonts w:ascii="Arial" w:cs="Arial" w:eastAsia="Arial" w:hAnsi="Arial"/>
          <w:sz w:val="18"/>
          <w:szCs w:val="18"/>
          <w:color w:val="auto"/>
        </w:rPr>
      </w:pPr>
    </w:p>
    <w:p>
      <w:pPr>
        <w:jc w:val="both"/>
        <w:ind w:firstLine="1492"/>
        <w:spacing w:after="0" w:line="306" w:lineRule="auto"/>
        <w:tabs>
          <w:tab w:leader="none" w:pos="1737" w:val="left"/>
        </w:tabs>
        <w:numPr>
          <w:ilvl w:val="1"/>
          <w:numId w:val="367"/>
        </w:numPr>
        <w:rPr>
          <w:rFonts w:ascii="Arial" w:cs="Arial" w:eastAsia="Arial" w:hAnsi="Arial"/>
          <w:sz w:val="16"/>
          <w:szCs w:val="16"/>
          <w:color w:val="auto"/>
        </w:rPr>
      </w:pPr>
      <w:r>
        <w:rPr>
          <w:rFonts w:ascii="Arial" w:cs="Arial" w:eastAsia="Arial" w:hAnsi="Arial"/>
          <w:sz w:val="16"/>
          <w:szCs w:val="16"/>
          <w:color w:val="auto"/>
        </w:rPr>
        <w:t>Notwithstanding subsection 5(a), the Securities Intermediary may terminate this Agreement upon 10 Business Days’ prior written notice to the Grantors’ Agent and the Administrative Agent if: (i) any Grantor or the Administrative Agent breaches any of the terms of this Agreement; (ii) any Grantor breaches any other agreement with the Securities Intermediary or any agreement involving the borrowing of money or extension of credit; (iii) any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Account Control Agreement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Accounts and Deposit Accounts)</w:t>
      </w:r>
    </w:p>
    <w:p>
      <w:pPr>
        <w:sectPr>
          <w:pgSz w:w="11900" w:h="16838" w:orient="portrait"/>
          <w:cols w:equalWidth="0" w:num="1">
            <w:col w:w="11420"/>
          </w:cols>
          <w:pgMar w:left="240" w:top="280" w:right="239" w:bottom="1440" w:gutter="0" w:footer="0" w:header="0"/>
        </w:sectPr>
      </w:pPr>
    </w:p>
    <w:bookmarkStart w:id="359" w:name="page360"/>
    <w:bookmarkEnd w:id="35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Grantor liquidates, dissolves, merges with or into or consolidates with another entity or sells, leases or disposes of a substantial portion of its business or assets;</w:t>
      </w:r>
    </w:p>
    <w:p>
      <w:pPr>
        <w:spacing w:after="0" w:line="38" w:lineRule="exact"/>
        <w:rPr>
          <w:sz w:val="20"/>
          <w:szCs w:val="20"/>
          <w:color w:val="auto"/>
        </w:rPr>
      </w:pPr>
    </w:p>
    <w:p>
      <w:pPr>
        <w:jc w:val="both"/>
        <w:ind w:firstLine="8"/>
        <w:spacing w:after="0" w:line="253" w:lineRule="auto"/>
        <w:tabs>
          <w:tab w:leader="none" w:pos="316" w:val="left"/>
        </w:tabs>
        <w:numPr>
          <w:ilvl w:val="0"/>
          <w:numId w:val="368"/>
        </w:numPr>
        <w:rPr>
          <w:rFonts w:ascii="Arial" w:cs="Arial" w:eastAsia="Arial" w:hAnsi="Arial"/>
          <w:sz w:val="18"/>
          <w:szCs w:val="18"/>
          <w:color w:val="auto"/>
        </w:rPr>
      </w:pPr>
      <w:r>
        <w:rPr>
          <w:rFonts w:ascii="Arial" w:cs="Arial" w:eastAsia="Arial" w:hAnsi="Arial"/>
          <w:sz w:val="18"/>
          <w:szCs w:val="18"/>
          <w:color w:val="auto"/>
        </w:rPr>
        <w:t>any Grantor terminates its business, fails generally or admits in writing its inability to pay its debts as they become due; any bankruptcy, reorganization, arrangement, insolvency, dissolution or similar proceeding is instituted with respect to such Grantor; any Grantor makes any assignment for the benefit of creditors or enters into any composition with creditors or takes any action in furtherance of any of the foregoing; or (v) any material adverse change occurs in any Grantor’s financial condition, results of operations or ability to perform its obligations under this Agreement. Grantors’ Agent shall promptly give written notice to Securities Intermediary of the occurrence of any of the foregoing events.</w:t>
      </w:r>
    </w:p>
    <w:p>
      <w:pPr>
        <w:spacing w:after="0" w:line="145" w:lineRule="exact"/>
        <w:rPr>
          <w:rFonts w:ascii="Arial" w:cs="Arial" w:eastAsia="Arial" w:hAnsi="Arial"/>
          <w:sz w:val="18"/>
          <w:szCs w:val="18"/>
          <w:color w:val="auto"/>
        </w:rPr>
      </w:pPr>
    </w:p>
    <w:p>
      <w:pPr>
        <w:jc w:val="both"/>
        <w:ind w:firstLine="1492"/>
        <w:spacing w:after="0" w:line="256" w:lineRule="auto"/>
        <w:tabs>
          <w:tab w:leader="none" w:pos="1726" w:val="left"/>
        </w:tabs>
        <w:numPr>
          <w:ilvl w:val="2"/>
          <w:numId w:val="368"/>
        </w:numPr>
        <w:rPr>
          <w:rFonts w:ascii="Arial" w:cs="Arial" w:eastAsia="Arial" w:hAnsi="Arial"/>
          <w:sz w:val="18"/>
          <w:szCs w:val="18"/>
          <w:color w:val="auto"/>
        </w:rPr>
      </w:pPr>
      <w:r>
        <w:rPr>
          <w:rFonts w:ascii="Arial" w:cs="Arial" w:eastAsia="Arial" w:hAnsi="Arial"/>
          <w:sz w:val="18"/>
          <w:szCs w:val="18"/>
          <w:color w:val="auto"/>
        </w:rPr>
        <w:t xml:space="preserve">Upon any termination of this Agreement, the Securities Intermediary shall close each Account and transfer all funds, financial assets and other items in the Accounts (i) if during the Activation Period, to the Collateral Account designated in writing by the Administrative Agent to the Securities Intermediary pursuant to </w:t>
      </w:r>
      <w:r>
        <w:rPr>
          <w:rFonts w:ascii="Arial" w:cs="Arial" w:eastAsia="Arial" w:hAnsi="Arial"/>
          <w:sz w:val="18"/>
          <w:szCs w:val="18"/>
          <w:u w:val="single" w:color="auto"/>
          <w:color w:val="auto"/>
        </w:rPr>
        <w:t>Section 2(c)</w:t>
      </w:r>
      <w:r>
        <w:rPr>
          <w:rFonts w:ascii="Arial" w:cs="Arial" w:eastAsia="Arial" w:hAnsi="Arial"/>
          <w:sz w:val="18"/>
          <w:szCs w:val="18"/>
          <w:color w:val="auto"/>
        </w:rPr>
        <w:t xml:space="preserve"> (or otherwise) and (ii) at all other times, as directed by the Grantors’ Agent in writing with a copy to the Administrative Agent.</w:t>
      </w:r>
    </w:p>
    <w:p>
      <w:pPr>
        <w:spacing w:after="0" w:line="143" w:lineRule="exact"/>
        <w:rPr>
          <w:rFonts w:ascii="Arial" w:cs="Arial" w:eastAsia="Arial" w:hAnsi="Arial"/>
          <w:sz w:val="18"/>
          <w:szCs w:val="18"/>
          <w:color w:val="auto"/>
        </w:rPr>
      </w:pPr>
    </w:p>
    <w:p>
      <w:pPr>
        <w:jc w:val="both"/>
        <w:ind w:firstLine="921"/>
        <w:spacing w:after="0" w:line="259" w:lineRule="auto"/>
        <w:tabs>
          <w:tab w:leader="none" w:pos="1117" w:val="left"/>
        </w:tabs>
        <w:numPr>
          <w:ilvl w:val="1"/>
          <w:numId w:val="368"/>
        </w:numPr>
        <w:rPr>
          <w:rFonts w:ascii="Arial" w:cs="Arial" w:eastAsia="Arial" w:hAnsi="Arial"/>
          <w:sz w:val="18"/>
          <w:szCs w:val="18"/>
          <w:color w:val="auto"/>
        </w:rPr>
      </w:pPr>
      <w:r>
        <w:rPr>
          <w:rFonts w:ascii="Arial" w:cs="Arial" w:eastAsia="Arial" w:hAnsi="Arial"/>
          <w:sz w:val="18"/>
          <w:szCs w:val="18"/>
          <w:color w:val="auto"/>
        </w:rPr>
        <w:t>(a) The Securities Intermediary will not be liable to any Grantor or the Administrative Agent for any expense, claim, loss, damage or cost (“</w:t>
      </w:r>
      <w:r>
        <w:rPr>
          <w:rFonts w:ascii="Arial" w:cs="Arial" w:eastAsia="Arial" w:hAnsi="Arial"/>
          <w:sz w:val="18"/>
          <w:szCs w:val="18"/>
          <w:u w:val="single" w:color="auto"/>
          <w:color w:val="auto"/>
        </w:rPr>
        <w:t>Damages</w:t>
      </w:r>
      <w:r>
        <w:rPr>
          <w:rFonts w:ascii="Arial" w:cs="Arial" w:eastAsia="Arial" w:hAnsi="Arial"/>
          <w:sz w:val="18"/>
          <w:szCs w:val="18"/>
          <w:color w:val="auto"/>
        </w:rPr>
        <w:t>”) arising out of or relating to its performance under this Agreement other than those Damages which result directly from its acts or omissions constituting negligence.</w:t>
      </w:r>
    </w:p>
    <w:p>
      <w:pPr>
        <w:spacing w:after="0" w:line="140" w:lineRule="exact"/>
        <w:rPr>
          <w:rFonts w:ascii="Arial" w:cs="Arial" w:eastAsia="Arial" w:hAnsi="Arial"/>
          <w:sz w:val="18"/>
          <w:szCs w:val="18"/>
          <w:color w:val="auto"/>
        </w:rPr>
      </w:pPr>
    </w:p>
    <w:p>
      <w:pPr>
        <w:ind w:left="1760" w:hanging="268"/>
        <w:spacing w:after="0"/>
        <w:tabs>
          <w:tab w:leader="none" w:pos="1760" w:val="left"/>
        </w:tabs>
        <w:numPr>
          <w:ilvl w:val="2"/>
          <w:numId w:val="369"/>
        </w:numPr>
        <w:rPr>
          <w:rFonts w:ascii="Arial" w:cs="Arial" w:eastAsia="Arial" w:hAnsi="Arial"/>
          <w:sz w:val="16"/>
          <w:szCs w:val="16"/>
          <w:color w:val="auto"/>
        </w:rPr>
      </w:pPr>
      <w:r>
        <w:rPr>
          <w:rFonts w:ascii="Arial" w:cs="Arial" w:eastAsia="Arial" w:hAnsi="Arial"/>
          <w:sz w:val="16"/>
          <w:szCs w:val="16"/>
          <w:color w:val="auto"/>
        </w:rPr>
        <w:t>In no event will the Securities Intermediary be liable for any special, indirect, exemplary or consequential damages, including but not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limited to lost profits.</w:t>
      </w:r>
    </w:p>
    <w:p>
      <w:pPr>
        <w:spacing w:after="0" w:line="164" w:lineRule="exact"/>
        <w:rPr>
          <w:rFonts w:ascii="Arial" w:cs="Arial" w:eastAsia="Arial" w:hAnsi="Arial"/>
          <w:sz w:val="16"/>
          <w:szCs w:val="16"/>
          <w:color w:val="auto"/>
        </w:rPr>
      </w:pPr>
    </w:p>
    <w:p>
      <w:pPr>
        <w:jc w:val="both"/>
        <w:ind w:firstLine="1492"/>
        <w:spacing w:after="0" w:line="291" w:lineRule="auto"/>
        <w:tabs>
          <w:tab w:leader="none" w:pos="1724" w:val="left"/>
        </w:tabs>
        <w:numPr>
          <w:ilvl w:val="2"/>
          <w:numId w:val="369"/>
        </w:numPr>
        <w:rPr>
          <w:rFonts w:ascii="Arial" w:cs="Arial" w:eastAsia="Arial" w:hAnsi="Arial"/>
          <w:sz w:val="16"/>
          <w:szCs w:val="16"/>
          <w:color w:val="auto"/>
        </w:rPr>
      </w:pPr>
      <w:r>
        <w:rPr>
          <w:rFonts w:ascii="Arial" w:cs="Arial" w:eastAsia="Arial" w:hAnsi="Arial"/>
          <w:sz w:val="16"/>
          <w:szCs w:val="16"/>
          <w:color w:val="auto"/>
        </w:rPr>
        <w:t>The Securities Intermediary will be excused from failing to act or delay in acting, and no such failure or delay shall constitute a breach of this Agreement or otherwise give rise to any liability of the Securities Intermediary, if (i) such failure or delay is caused by circumstances beyond Securities Intermediary’s reasonable control, including but not limited to legal constraint, emergency conditions, action or inaction of governmental, civil or military authority, fire, strike, lockout or other labor dispute, war, riot, theft, flood, earthquake or other natural disaster, breakdown of public or private or common carrier communications or transmission facilities, equipment failure, or act, negligence or default of any Grantor or Administrative Agent or (ii) such failure or delay resulted from Securities Intermediary’s reasonable belief that the action would have violated any guideline, rule or regulation of any governmental authority.</w:t>
      </w:r>
    </w:p>
    <w:p>
      <w:pPr>
        <w:spacing w:after="0" w:line="120" w:lineRule="exact"/>
        <w:rPr>
          <w:rFonts w:ascii="Arial" w:cs="Arial" w:eastAsia="Arial" w:hAnsi="Arial"/>
          <w:sz w:val="16"/>
          <w:szCs w:val="16"/>
          <w:color w:val="auto"/>
        </w:rPr>
      </w:pPr>
    </w:p>
    <w:p>
      <w:pPr>
        <w:jc w:val="both"/>
        <w:ind w:firstLine="1492"/>
        <w:spacing w:after="0" w:line="259" w:lineRule="auto"/>
        <w:tabs>
          <w:tab w:leader="none" w:pos="1740" w:val="left"/>
        </w:tabs>
        <w:numPr>
          <w:ilvl w:val="2"/>
          <w:numId w:val="369"/>
        </w:numPr>
        <w:rPr>
          <w:rFonts w:ascii="Arial" w:cs="Arial" w:eastAsia="Arial" w:hAnsi="Arial"/>
          <w:sz w:val="18"/>
          <w:szCs w:val="18"/>
          <w:color w:val="auto"/>
        </w:rPr>
      </w:pPr>
      <w:r>
        <w:rPr>
          <w:rFonts w:ascii="Arial" w:cs="Arial" w:eastAsia="Arial" w:hAnsi="Arial"/>
          <w:sz w:val="18"/>
          <w:szCs w:val="18"/>
          <w:color w:val="auto"/>
        </w:rPr>
        <w:t>The Securities Intermediary shall not be held responsible for (i) any decline in the market value of the Collateral or the failure to notify any Grantor or the Administrative Agent thereof or (ii) the failure to take any action with respect to the Collateral, except as expressly provided in this Agreement.</w:t>
      </w:r>
    </w:p>
    <w:p>
      <w:pPr>
        <w:spacing w:after="0" w:line="140" w:lineRule="exact"/>
        <w:rPr>
          <w:rFonts w:ascii="Arial" w:cs="Arial" w:eastAsia="Arial" w:hAnsi="Arial"/>
          <w:sz w:val="18"/>
          <w:szCs w:val="18"/>
          <w:color w:val="auto"/>
        </w:rPr>
      </w:pPr>
    </w:p>
    <w:p>
      <w:pPr>
        <w:ind w:right="20" w:firstLine="1492"/>
        <w:spacing w:after="0" w:line="332" w:lineRule="auto"/>
        <w:tabs>
          <w:tab w:leader="none" w:pos="1749" w:val="left"/>
        </w:tabs>
        <w:numPr>
          <w:ilvl w:val="2"/>
          <w:numId w:val="369"/>
        </w:numPr>
        <w:rPr>
          <w:rFonts w:ascii="Arial" w:cs="Arial" w:eastAsia="Arial" w:hAnsi="Arial"/>
          <w:sz w:val="16"/>
          <w:szCs w:val="16"/>
          <w:color w:val="auto"/>
        </w:rPr>
      </w:pPr>
      <w:r>
        <w:rPr>
          <w:rFonts w:ascii="Arial" w:cs="Arial" w:eastAsia="Arial" w:hAnsi="Arial"/>
          <w:sz w:val="16"/>
          <w:szCs w:val="16"/>
          <w:color w:val="auto"/>
        </w:rPr>
        <w:t>Except with respect to obligations and duties expressly provided in this Agreement, this Agreement shall not impose or create any obligations or duties upon the Securities Intermediary that are greater than or in addition to those provided in the Account Agreements.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Account Control Agreement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Accounts and Deposit Accounts)</w:t>
      </w:r>
    </w:p>
    <w:p>
      <w:pPr>
        <w:sectPr>
          <w:pgSz w:w="11900" w:h="16838" w:orient="portrait"/>
          <w:cols w:equalWidth="0" w:num="1">
            <w:col w:w="11420"/>
          </w:cols>
          <w:pgMar w:left="240" w:top="280" w:right="239" w:bottom="1440" w:gutter="0" w:footer="0" w:header="0"/>
        </w:sectPr>
      </w:pPr>
    </w:p>
    <w:bookmarkStart w:id="360" w:name="page361"/>
    <w:bookmarkEnd w:id="360"/>
    <w:p>
      <w:pPr>
        <w:ind w:right="20" w:firstLine="1492"/>
        <w:spacing w:after="0" w:line="268" w:lineRule="auto"/>
        <w:tabs>
          <w:tab w:leader="none" w:pos="1717" w:val="left"/>
        </w:tabs>
        <w:numPr>
          <w:ilvl w:val="1"/>
          <w:numId w:val="3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Securities Intermediary may act upon any instrument or other writing believed by it in good faith to be genuine and to have been signed or presented by a person purporting to be an authorized officer of a Grantor or the Administrative Agent, as the case may be.</w:t>
      </w:r>
    </w:p>
    <w:p>
      <w:pPr>
        <w:spacing w:after="0" w:line="131" w:lineRule="exact"/>
        <w:rPr>
          <w:rFonts w:ascii="Arial" w:cs="Arial" w:eastAsia="Arial" w:hAnsi="Arial"/>
          <w:sz w:val="18"/>
          <w:szCs w:val="18"/>
          <w:color w:val="auto"/>
        </w:rPr>
      </w:pPr>
    </w:p>
    <w:p>
      <w:pPr>
        <w:ind w:firstLine="1492"/>
        <w:spacing w:after="0" w:line="268" w:lineRule="auto"/>
        <w:tabs>
          <w:tab w:leader="none" w:pos="1738" w:val="left"/>
        </w:tabs>
        <w:numPr>
          <w:ilvl w:val="1"/>
          <w:numId w:val="370"/>
        </w:numPr>
        <w:rPr>
          <w:rFonts w:ascii="Arial" w:cs="Arial" w:eastAsia="Arial" w:hAnsi="Arial"/>
          <w:sz w:val="18"/>
          <w:szCs w:val="18"/>
          <w:color w:val="auto"/>
        </w:rPr>
      </w:pPr>
      <w:r>
        <w:rPr>
          <w:rFonts w:ascii="Arial" w:cs="Arial" w:eastAsia="Arial" w:hAnsi="Arial"/>
          <w:sz w:val="18"/>
          <w:szCs w:val="18"/>
          <w:color w:val="auto"/>
        </w:rPr>
        <w:t>If in doubt as to its duties and responsibilities hereunder, the Securities Intermediary may consult with counsel of its choice and shall be protected in any action taken or omitted to be taken in connection with the advice or opinion of such counsel.</w:t>
      </w:r>
    </w:p>
    <w:p>
      <w:pPr>
        <w:spacing w:after="0" w:line="131" w:lineRule="exact"/>
        <w:rPr>
          <w:rFonts w:ascii="Arial" w:cs="Arial" w:eastAsia="Arial" w:hAnsi="Arial"/>
          <w:sz w:val="18"/>
          <w:szCs w:val="18"/>
          <w:color w:val="auto"/>
        </w:rPr>
      </w:pPr>
    </w:p>
    <w:p>
      <w:pPr>
        <w:jc w:val="both"/>
        <w:ind w:firstLine="921"/>
        <w:spacing w:after="0" w:line="298" w:lineRule="auto"/>
        <w:tabs>
          <w:tab w:leader="none" w:pos="1101" w:val="left"/>
        </w:tabs>
        <w:numPr>
          <w:ilvl w:val="0"/>
          <w:numId w:val="371"/>
        </w:numPr>
        <w:rPr>
          <w:rFonts w:ascii="Arial" w:cs="Arial" w:eastAsia="Arial" w:hAnsi="Arial"/>
          <w:sz w:val="16"/>
          <w:szCs w:val="16"/>
          <w:color w:val="auto"/>
        </w:rPr>
      </w:pPr>
      <w:r>
        <w:rPr>
          <w:rFonts w:ascii="Arial" w:cs="Arial" w:eastAsia="Arial" w:hAnsi="Arial"/>
          <w:sz w:val="16"/>
          <w:szCs w:val="16"/>
          <w:color w:val="auto"/>
        </w:rPr>
        <w:t>(a) Each Grantor shall jointly and severally indemnify Securities Intermediary against, and hold it harmless from, any and all liabilities, claims, costs, expenses and damages of any nature (including but not limited to reasonable attorneys’ fees and expenses incurred in enforcing this Agreement) in any way arising out of or relating to disputes or legal actions concerning this Agreement. This section does not apply to any cost or damage attributable to the gross negligence or intentional misconduct of Securities Intermediary. Grantors’ obligations under this section shall survive termination of this Agreement.</w:t>
      </w:r>
    </w:p>
    <w:p>
      <w:pPr>
        <w:spacing w:after="0" w:line="112" w:lineRule="exact"/>
        <w:rPr>
          <w:rFonts w:ascii="Arial" w:cs="Arial" w:eastAsia="Arial" w:hAnsi="Arial"/>
          <w:sz w:val="16"/>
          <w:szCs w:val="16"/>
          <w:color w:val="auto"/>
        </w:rPr>
      </w:pPr>
    </w:p>
    <w:p>
      <w:pPr>
        <w:jc w:val="both"/>
        <w:ind w:firstLine="1492"/>
        <w:spacing w:after="0" w:line="254" w:lineRule="auto"/>
        <w:tabs>
          <w:tab w:leader="none" w:pos="176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 xml:space="preserve">To the extent the Grantors shall fail to fully indemnify the Securities Intermediary pursuant to </w:t>
      </w:r>
      <w:r>
        <w:rPr>
          <w:rFonts w:ascii="Arial" w:cs="Arial" w:eastAsia="Arial" w:hAnsi="Arial"/>
          <w:sz w:val="18"/>
          <w:szCs w:val="18"/>
          <w:u w:val="single" w:color="auto"/>
          <w:color w:val="auto"/>
        </w:rPr>
        <w:t>Section 7(a)</w:t>
      </w:r>
      <w:r>
        <w:rPr>
          <w:rFonts w:ascii="Arial" w:cs="Arial" w:eastAsia="Arial" w:hAnsi="Arial"/>
          <w:sz w:val="18"/>
          <w:szCs w:val="18"/>
          <w:color w:val="auto"/>
        </w:rPr>
        <w:t xml:space="preserve"> of this Agreement, the Administrative Agent shall indemnify the Securities Intermediary against, and hold it harmless from, any and all liabilities, claims, costs, expenses and damages of any nature (including but not limited to reasonable attorneys’ fees and expenses incurred in enforcing this </w:t>
      </w:r>
      <w:r>
        <w:rPr>
          <w:rFonts w:ascii="Arial" w:cs="Arial" w:eastAsia="Arial" w:hAnsi="Arial"/>
          <w:sz w:val="18"/>
          <w:szCs w:val="18"/>
          <w:u w:val="single" w:color="auto"/>
          <w:color w:val="auto"/>
        </w:rPr>
        <w:t>Section 7(b)</w:t>
      </w:r>
      <w:r>
        <w:rPr>
          <w:rFonts w:ascii="Arial" w:cs="Arial" w:eastAsia="Arial" w:hAnsi="Arial"/>
          <w:sz w:val="18"/>
          <w:szCs w:val="18"/>
          <w:color w:val="auto"/>
        </w:rPr>
        <w:t>) in any way arising out of or relating to the Securities Intermediary complying with instructions or requests of the Administrative Agent during the Activation Period. This section does not apply to any cost or damage attributable to the gross negligence or intentional misconduct of Securities Intermediary. The Administrative Agent’s obligations under this section shall survive termination of this Agreement.</w:t>
      </w:r>
    </w:p>
    <w:p>
      <w:pPr>
        <w:spacing w:after="0" w:line="144" w:lineRule="exact"/>
        <w:rPr>
          <w:rFonts w:ascii="Arial" w:cs="Arial" w:eastAsia="Arial" w:hAnsi="Arial"/>
          <w:sz w:val="18"/>
          <w:szCs w:val="18"/>
          <w:color w:val="auto"/>
        </w:rPr>
      </w:pPr>
    </w:p>
    <w:p>
      <w:pPr>
        <w:jc w:val="both"/>
        <w:ind w:firstLine="921"/>
        <w:spacing w:after="0" w:line="290" w:lineRule="auto"/>
        <w:tabs>
          <w:tab w:leader="none" w:pos="1104" w:val="left"/>
        </w:tabs>
        <w:numPr>
          <w:ilvl w:val="0"/>
          <w:numId w:val="371"/>
        </w:numPr>
        <w:rPr>
          <w:rFonts w:ascii="Arial" w:cs="Arial" w:eastAsia="Arial" w:hAnsi="Arial"/>
          <w:sz w:val="16"/>
          <w:szCs w:val="16"/>
          <w:color w:val="auto"/>
        </w:rPr>
      </w:pPr>
      <w:r>
        <w:rPr>
          <w:rFonts w:ascii="Arial" w:cs="Arial" w:eastAsia="Arial" w:hAnsi="Arial"/>
          <w:sz w:val="16"/>
          <w:szCs w:val="16"/>
          <w:color w:val="auto"/>
        </w:rPr>
        <w:t>Each Grantor agrees to pay to the Securities Intermediary, upon receipt of Securities Intermediary’s invoice, all reasonable costs, expenses and reasonable attorneys’ fees and expenses incurred by Securities Intermediary in connection with the enforcement of this Agreement and any instrument or agreement required hereunder, including but not limited to any such reasonable costs, expenses and fees arising out of the resolution of any conflict, dispute, motion regarding entitlement to rights or rights of action, or other action to enforce Securities Intermediary’s rights hereunder in a case arising under Title 11, United States Code. Each Grantor agrees to pay Securities Intermediary, upon receipt of Securities Intermediary’s invoice, all costs, expenses and reasonable attorneys’ fees and expenses incurred by Securities Intermediary in the preparation and administration of this Agreement (including any amendments hereto or instruments or agreements required hereunder).</w:t>
      </w:r>
    </w:p>
    <w:p>
      <w:pPr>
        <w:spacing w:after="0" w:line="118" w:lineRule="exact"/>
        <w:rPr>
          <w:rFonts w:ascii="Arial" w:cs="Arial" w:eastAsia="Arial" w:hAnsi="Arial"/>
          <w:sz w:val="16"/>
          <w:szCs w:val="16"/>
          <w:color w:val="auto"/>
        </w:rPr>
      </w:pPr>
    </w:p>
    <w:p>
      <w:pPr>
        <w:ind w:firstLine="921"/>
        <w:spacing w:after="0" w:line="268" w:lineRule="auto"/>
        <w:tabs>
          <w:tab w:leader="none" w:pos="111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Each Grantor represents and warrants that: (a) this Agreement constitutes its duly authorized, legal, valid, binding and enforceable obligation subject to bankruptcy laws and equitable principles; (b) the performance of its obligations under this Agreement and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Account Control Agreement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Accounts and Deposit Accounts)</w:t>
      </w:r>
    </w:p>
    <w:p>
      <w:pPr>
        <w:sectPr>
          <w:pgSz w:w="11900" w:h="16838" w:orient="portrait"/>
          <w:cols w:equalWidth="0" w:num="1">
            <w:col w:w="11420"/>
          </w:cols>
          <w:pgMar w:left="240" w:top="279" w:right="239" w:bottom="1440" w:gutter="0" w:footer="0" w:header="0"/>
        </w:sectPr>
      </w:pPr>
    </w:p>
    <w:bookmarkStart w:id="361" w:name="page362"/>
    <w:bookmarkEnd w:id="361"/>
    <w:p>
      <w:pPr>
        <w:jc w:val="both"/>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consummation of the transactions contemplated hereunder will not (i) constitute or result in a breach of its certificate or articles of incorporation, by-laws or partnership agreement, as applicable, or the provisions of any material contract to which it is a party or by which it is bound or (ii) result in the violation of any law, regulation, judgment, decree or governmental order applicable to it; (c) all approvals and authorizations required to permit the execution, delivery, performance and consummation of this Agreement and the transactions contemplated hereunder have been obtained; and (d) it has not assigned or granted a security interest in any Account or any other Collateral, except to Administrative Agent and the Securities Intermediary as contemplated by this Agreement and the applicable Account Agreement.</w:t>
      </w:r>
    </w:p>
    <w:p>
      <w:pPr>
        <w:spacing w:after="0" w:line="144" w:lineRule="exact"/>
        <w:rPr>
          <w:sz w:val="20"/>
          <w:szCs w:val="20"/>
          <w:color w:val="auto"/>
        </w:rPr>
      </w:pPr>
    </w:p>
    <w:p>
      <w:pPr>
        <w:jc w:val="both"/>
        <w:ind w:firstLine="921"/>
        <w:spacing w:after="0" w:line="256" w:lineRule="auto"/>
        <w:tabs>
          <w:tab w:leader="none" w:pos="1177" w:val="left"/>
        </w:tabs>
        <w:numPr>
          <w:ilvl w:val="0"/>
          <w:numId w:val="372"/>
        </w:numPr>
        <w:rPr>
          <w:rFonts w:ascii="Arial" w:cs="Arial" w:eastAsia="Arial" w:hAnsi="Arial"/>
          <w:sz w:val="18"/>
          <w:szCs w:val="18"/>
          <w:color w:val="auto"/>
        </w:rPr>
      </w:pPr>
      <w:r>
        <w:rPr>
          <w:rFonts w:ascii="Arial" w:cs="Arial" w:eastAsia="Arial" w:hAnsi="Arial"/>
          <w:sz w:val="18"/>
          <w:szCs w:val="18"/>
          <w:color w:val="auto"/>
        </w:rPr>
        <w:t>In addition to the original statements, which will be provided to Grantors’ Agent on behalf of the applicable Grantor, Securities Intermediary will provide Administrative Agent with a duplicate statement and such other account information reasonably requested by Administrative Agent relative to any Account and the financial assets and credit balances therein. Each Grantor authorizes Securities Intermediary to provide any account information requested by Administrative Agent.</w:t>
      </w:r>
    </w:p>
    <w:p>
      <w:pPr>
        <w:spacing w:after="0" w:line="143" w:lineRule="exact"/>
        <w:rPr>
          <w:rFonts w:ascii="Arial" w:cs="Arial" w:eastAsia="Arial" w:hAnsi="Arial"/>
          <w:sz w:val="18"/>
          <w:szCs w:val="18"/>
          <w:color w:val="auto"/>
        </w:rPr>
      </w:pPr>
    </w:p>
    <w:p>
      <w:pPr>
        <w:jc w:val="both"/>
        <w:ind w:firstLine="921"/>
        <w:spacing w:after="0" w:line="259" w:lineRule="auto"/>
        <w:tabs>
          <w:tab w:leader="none" w:pos="1175"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This Agreement may be amended only by a writing signed by each Grantor, Administrative Agent and Securities Intermediary; except that prior to the Activation Period Securities Intermediary’s charges pursuant to each Account Agreement are subject to change by Securities Intermediary upon 30 days’ prior written notice to Grantors’ Agent, with a copy to the Administrative Agent.</w:t>
      </w:r>
    </w:p>
    <w:p>
      <w:pPr>
        <w:spacing w:after="0" w:line="140" w:lineRule="exact"/>
        <w:rPr>
          <w:rFonts w:ascii="Arial" w:cs="Arial" w:eastAsia="Arial" w:hAnsi="Arial"/>
          <w:sz w:val="18"/>
          <w:szCs w:val="18"/>
          <w:color w:val="auto"/>
        </w:rPr>
      </w:pPr>
    </w:p>
    <w:p>
      <w:pPr>
        <w:ind w:left="1180" w:hanging="259"/>
        <w:spacing w:after="0"/>
        <w:tabs>
          <w:tab w:leader="none" w:pos="11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This Agreement may be executed in counterparts; all such counterparts shall constitute but one and the same agreement.</w:t>
      </w:r>
    </w:p>
    <w:p>
      <w:pPr>
        <w:spacing w:after="0" w:line="171" w:lineRule="exact"/>
        <w:rPr>
          <w:rFonts w:ascii="Arial" w:cs="Arial" w:eastAsia="Arial" w:hAnsi="Arial"/>
          <w:sz w:val="18"/>
          <w:szCs w:val="18"/>
          <w:color w:val="auto"/>
        </w:rPr>
      </w:pPr>
    </w:p>
    <w:p>
      <w:pPr>
        <w:jc w:val="both"/>
        <w:ind w:firstLine="921"/>
        <w:spacing w:after="0" w:line="259" w:lineRule="auto"/>
        <w:tabs>
          <w:tab w:leader="none" w:pos="1177" w:val="left"/>
        </w:tabs>
        <w:numPr>
          <w:ilvl w:val="0"/>
          <w:numId w:val="372"/>
        </w:numPr>
        <w:rPr>
          <w:rFonts w:ascii="Arial" w:cs="Arial" w:eastAsia="Arial" w:hAnsi="Arial"/>
          <w:sz w:val="18"/>
          <w:szCs w:val="18"/>
          <w:color w:val="auto"/>
        </w:rPr>
      </w:pPr>
      <w:r>
        <w:rPr>
          <w:rFonts w:ascii="Arial" w:cs="Arial" w:eastAsia="Arial" w:hAnsi="Arial"/>
          <w:sz w:val="18"/>
          <w:szCs w:val="18"/>
          <w:color w:val="auto"/>
        </w:rPr>
        <w:t>Any written notice or other written communication to be given to each party under this Agreement shall be addressed to the person at the address set forth on the signature page of this Agreement or to such other person or address as a party may specify in writing. Except as otherwise expressly provided herein, any such notice shall be effective upon receipt.</w:t>
      </w:r>
    </w:p>
    <w:p>
      <w:pPr>
        <w:spacing w:after="0" w:line="140" w:lineRule="exact"/>
        <w:rPr>
          <w:rFonts w:ascii="Arial" w:cs="Arial" w:eastAsia="Arial" w:hAnsi="Arial"/>
          <w:sz w:val="18"/>
          <w:szCs w:val="18"/>
          <w:color w:val="auto"/>
        </w:rPr>
      </w:pPr>
    </w:p>
    <w:p>
      <w:pPr>
        <w:jc w:val="both"/>
        <w:ind w:firstLine="921"/>
        <w:spacing w:after="0" w:line="259" w:lineRule="auto"/>
        <w:tabs>
          <w:tab w:leader="none" w:pos="1209"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This Agreement controls in the event of any conflict between this Agreement and any other document or written or oral statement. This Agreement supersedes all prior understandings, writings, proposals, representations and communications, oral or written, of any party relating to the subject matter hereof.</w:t>
      </w:r>
    </w:p>
    <w:p>
      <w:pPr>
        <w:spacing w:after="0" w:line="140" w:lineRule="exact"/>
        <w:rPr>
          <w:rFonts w:ascii="Arial" w:cs="Arial" w:eastAsia="Arial" w:hAnsi="Arial"/>
          <w:sz w:val="18"/>
          <w:szCs w:val="18"/>
          <w:color w:val="auto"/>
        </w:rPr>
      </w:pPr>
    </w:p>
    <w:p>
      <w:pPr>
        <w:ind w:left="1220" w:hanging="299"/>
        <w:spacing w:after="0"/>
        <w:tabs>
          <w:tab w:leader="none" w:pos="1220" w:val="left"/>
        </w:tabs>
        <w:numPr>
          <w:ilvl w:val="0"/>
          <w:numId w:val="372"/>
        </w:numPr>
        <w:rPr>
          <w:rFonts w:ascii="Arial" w:cs="Arial" w:eastAsia="Arial" w:hAnsi="Arial"/>
          <w:sz w:val="16"/>
          <w:szCs w:val="16"/>
          <w:color w:val="auto"/>
        </w:rPr>
      </w:pPr>
      <w:r>
        <w:rPr>
          <w:rFonts w:ascii="Arial" w:cs="Arial" w:eastAsia="Arial" w:hAnsi="Arial"/>
          <w:sz w:val="16"/>
          <w:szCs w:val="16"/>
          <w:color w:val="auto"/>
        </w:rPr>
        <w:t>No Grantor or the Administrative Agent may assign any of its rights under this Agreement without the prior written consent of Securities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Intermediary.</w:t>
      </w:r>
    </w:p>
    <w:p>
      <w:pPr>
        <w:spacing w:after="0" w:line="164" w:lineRule="exact"/>
        <w:rPr>
          <w:rFonts w:ascii="Arial" w:cs="Arial" w:eastAsia="Arial" w:hAnsi="Arial"/>
          <w:sz w:val="16"/>
          <w:szCs w:val="16"/>
          <w:color w:val="auto"/>
        </w:rPr>
      </w:pPr>
    </w:p>
    <w:p>
      <w:pPr>
        <w:ind w:firstLine="921"/>
        <w:spacing w:after="0" w:line="268" w:lineRule="auto"/>
        <w:tabs>
          <w:tab w:leader="none" w:pos="1224" w:val="left"/>
        </w:tabs>
        <w:numPr>
          <w:ilvl w:val="0"/>
          <w:numId w:val="372"/>
        </w:numPr>
        <w:rPr>
          <w:rFonts w:ascii="Arial" w:cs="Arial" w:eastAsia="Arial" w:hAnsi="Arial"/>
          <w:sz w:val="18"/>
          <w:szCs w:val="18"/>
          <w:color w:val="auto"/>
        </w:rPr>
      </w:pPr>
      <w:r>
        <w:rPr>
          <w:rFonts w:ascii="Arial" w:cs="Arial" w:eastAsia="Arial" w:hAnsi="Arial"/>
          <w:sz w:val="18"/>
          <w:szCs w:val="18"/>
          <w:color w:val="auto"/>
        </w:rPr>
        <w:t>Nothing contained in the Agreement shall create any agency, fiduciary, joint venture or partnership relationship between any Grantor, Administrative Agent and Securities Intermediary.</w:t>
      </w:r>
    </w:p>
    <w:p>
      <w:pPr>
        <w:spacing w:after="0" w:line="131" w:lineRule="exact"/>
        <w:rPr>
          <w:rFonts w:ascii="Arial" w:cs="Arial" w:eastAsia="Arial" w:hAnsi="Arial"/>
          <w:sz w:val="18"/>
          <w:szCs w:val="18"/>
          <w:color w:val="auto"/>
        </w:rPr>
      </w:pPr>
    </w:p>
    <w:p>
      <w:pPr>
        <w:ind w:left="1180" w:hanging="259"/>
        <w:spacing w:after="0"/>
        <w:tabs>
          <w:tab w:leader="none" w:pos="11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This Agreement shall be interpreted in accordance with New York law.</w:t>
      </w:r>
    </w:p>
    <w:p>
      <w:pPr>
        <w:spacing w:after="0" w:line="171" w:lineRule="exact"/>
        <w:rPr>
          <w:sz w:val="20"/>
          <w:szCs w:val="20"/>
          <w:color w:val="auto"/>
        </w:rPr>
      </w:pPr>
    </w:p>
    <w:p>
      <w:pPr>
        <w:ind w:left="5020"/>
        <w:spacing w:after="0"/>
        <w:rPr>
          <w:sz w:val="20"/>
          <w:szCs w:val="20"/>
          <w:color w:val="auto"/>
        </w:rPr>
      </w:pPr>
      <w:r>
        <w:rPr>
          <w:rFonts w:ascii="Arial" w:cs="Arial" w:eastAsia="Arial" w:hAnsi="Arial"/>
          <w:sz w:val="18"/>
          <w:szCs w:val="18"/>
          <w:i w:val="1"/>
          <w:iCs w:val="1"/>
          <w:color w:val="auto"/>
        </w:rPr>
        <w:t>[Signatures follow.]</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- 8 -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Account Control Agreement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Accounts and Deposit Accounts)</w:t>
      </w:r>
    </w:p>
    <w:p>
      <w:pPr>
        <w:sectPr>
          <w:pgSz w:w="11900" w:h="16838" w:orient="portrait"/>
          <w:cols w:equalWidth="0" w:num="1">
            <w:col w:w="11420"/>
          </w:cols>
          <w:pgMar w:left="240" w:top="280" w:right="239" w:bottom="1440" w:gutter="0" w:footer="0" w:header="0"/>
        </w:sectPr>
      </w:pPr>
    </w:p>
    <w:bookmarkStart w:id="362" w:name="page363"/>
    <w:bookmarkEnd w:id="362"/>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this Agreement by their duly authorized officers as of the day and year first above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ectPr>
          <w:pgSz w:w="11900" w:h="16838" w:orient="portrait"/>
          <w:cols w:equalWidth="0" w:num="1">
            <w:col w:w="11400"/>
          </w:cols>
          <w:pgMar w:left="240" w:top="280" w:right="259" w:bottom="1440" w:gutter="0" w:footer="0" w:header="0"/>
        </w:sectPr>
      </w:pPr>
    </w:p>
    <w:p>
      <w:pPr>
        <w:spacing w:after="0" w:line="321" w:lineRule="exact"/>
        <w:rPr>
          <w:sz w:val="20"/>
          <w:szCs w:val="20"/>
          <w:color w:val="auto"/>
        </w:rPr>
      </w:pPr>
    </w:p>
    <w:p>
      <w:pPr>
        <w:ind w:right="1960"/>
        <w:spacing w:after="0" w:line="257" w:lineRule="auto"/>
        <w:rPr>
          <w:sz w:val="20"/>
          <w:szCs w:val="20"/>
          <w:color w:val="auto"/>
        </w:rPr>
      </w:pPr>
      <w:r>
        <w:rPr>
          <w:rFonts w:ascii="Arial" w:cs="Arial" w:eastAsia="Arial" w:hAnsi="Arial"/>
          <w:sz w:val="18"/>
          <w:szCs w:val="18"/>
          <w:b w:val="1"/>
          <w:bCs w:val="1"/>
          <w:color w:val="auto"/>
        </w:rPr>
        <w:t>INTEGRA LIFESCIENCES HOLDINGS CORPORATION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Grantor</w:t>
      </w:r>
      <w:r>
        <w:rPr>
          <w:rFonts w:ascii="Arial" w:cs="Arial" w:eastAsia="Arial" w:hAnsi="Arial"/>
          <w:sz w:val="18"/>
          <w:szCs w:val="18"/>
          <w:color w:val="auto"/>
        </w:rPr>
        <w: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10795</wp:posOffset>
            </wp:positionV>
            <wp:extent cx="325882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OTHER GRANTOR]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Grantor</w:t>
      </w:r>
      <w:r>
        <w:rPr>
          <w:rFonts w:ascii="Arial" w:cs="Arial" w:eastAsia="Arial" w:hAnsi="Arial"/>
          <w:sz w:val="18"/>
          <w:szCs w:val="18"/>
          <w:color w:val="auto"/>
        </w:rPr>
        <w: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10795</wp:posOffset>
            </wp:positionV>
            <wp:extent cx="325882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AMERICA, N.A.,</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Administrative Agent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Address for notices to any Grantor:</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c/o Integra LifeSciences Holdings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290195</wp:posOffset>
            </wp:positionV>
            <wp:extent cx="347345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47345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469900</wp:posOffset>
            </wp:positionV>
            <wp:extent cx="347345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Telephone: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Facsimile: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 for notices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281305</wp:posOffset>
            </wp:positionV>
            <wp:extent cx="347345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8" w:lineRule="exact"/>
        <w:rPr>
          <w:sz w:val="20"/>
          <w:szCs w:val="20"/>
          <w:color w:val="auto"/>
        </w:rPr>
      </w:pPr>
    </w:p>
    <w:p>
      <w:pPr>
        <w:sectPr>
          <w:pgSz w:w="11900" w:h="16838" w:orient="portrait"/>
          <w:cols w:equalWidth="0" w:num="2">
            <w:col w:w="5100" w:space="720"/>
            <w:col w:w="5580"/>
          </w:cols>
          <w:pgMar w:left="240" w:top="280" w:right="259" w:bottom="1440" w:gutter="0" w:footer="0" w:header="0"/>
          <w:type w:val="continuous"/>
        </w:sectPr>
      </w:pP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89"/>
        </w:trPr>
        <w:tc>
          <w:tcPr>
            <w:tcW w:w="340" w:type="dxa"/>
            <w:vAlign w:val="bottom"/>
            <w:gridSpan w:val="2"/>
            <w:vMerge w:val="restart"/>
          </w:tcPr>
          <w:p>
            <w:pPr>
              <w:spacing w:after="0"/>
              <w:rPr>
                <w:sz w:val="20"/>
                <w:szCs w:val="20"/>
                <w:color w:val="auto"/>
              </w:rPr>
            </w:pPr>
            <w:r>
              <w:rPr>
                <w:rFonts w:ascii="Arial" w:cs="Arial" w:eastAsia="Arial" w:hAnsi="Arial"/>
                <w:sz w:val="18"/>
                <w:szCs w:val="18"/>
                <w:color w:val="auto"/>
              </w:rPr>
              <w:t>By:</w:t>
            </w:r>
          </w:p>
        </w:tc>
        <w:tc>
          <w:tcPr>
            <w:tcW w:w="3500" w:type="dxa"/>
            <w:vAlign w:val="bottom"/>
            <w:gridSpan w:val="2"/>
            <w:vMerge w:val="restart"/>
          </w:tcPr>
          <w:p>
            <w:pPr>
              <w:spacing w:after="0"/>
              <w:rPr>
                <w:sz w:val="7"/>
                <w:szCs w:val="7"/>
                <w:color w:val="auto"/>
              </w:rPr>
            </w:pPr>
          </w:p>
        </w:tc>
        <w:tc>
          <w:tcPr>
            <w:tcW w:w="1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340" w:type="dxa"/>
            <w:vAlign w:val="bottom"/>
            <w:gridSpan w:val="2"/>
            <w:vMerge w:val="continue"/>
          </w:tcPr>
          <w:p>
            <w:pPr>
              <w:spacing w:after="0"/>
              <w:rPr>
                <w:sz w:val="9"/>
                <w:szCs w:val="9"/>
                <w:color w:val="auto"/>
              </w:rPr>
            </w:pPr>
          </w:p>
        </w:tc>
        <w:tc>
          <w:tcPr>
            <w:tcW w:w="3500" w:type="dxa"/>
            <w:vAlign w:val="bottom"/>
            <w:tcBorders>
              <w:bottom w:val="single" w:sz="8" w:color="auto"/>
            </w:tcBorders>
            <w:gridSpan w:val="2"/>
            <w:vMerge w:val="continue"/>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5460" w:type="dxa"/>
            <w:vAlign w:val="bottom"/>
            <w:vMerge w:val="restart"/>
          </w:tcPr>
          <w:p>
            <w:pPr>
              <w:spacing w:after="0"/>
              <w:rPr>
                <w:sz w:val="20"/>
                <w:szCs w:val="20"/>
                <w:color w:val="auto"/>
              </w:rPr>
            </w:pPr>
            <w:r>
              <w:rPr>
                <w:rFonts w:ascii="Arial" w:cs="Arial" w:eastAsia="Arial" w:hAnsi="Arial"/>
                <w:sz w:val="18"/>
                <w:szCs w:val="18"/>
                <w:color w:val="auto"/>
              </w:rPr>
              <w:t>Attention:</w:t>
            </w:r>
          </w:p>
        </w:tc>
        <w:tc>
          <w:tcPr>
            <w:tcW w:w="0" w:type="dxa"/>
            <w:vAlign w:val="bottom"/>
          </w:tcPr>
          <w:p>
            <w:pPr>
              <w:spacing w:after="0"/>
              <w:rPr>
                <w:sz w:val="1"/>
                <w:szCs w:val="1"/>
                <w:color w:val="auto"/>
              </w:rPr>
            </w:pPr>
          </w:p>
        </w:tc>
      </w:tr>
      <w:tr>
        <w:trPr>
          <w:trHeight w:val="82"/>
        </w:trPr>
        <w:tc>
          <w:tcPr>
            <w:tcW w:w="140" w:type="dxa"/>
            <w:vAlign w:val="bottom"/>
          </w:tcPr>
          <w:p>
            <w:pPr>
              <w:spacing w:after="0"/>
              <w:rPr>
                <w:sz w:val="7"/>
                <w:szCs w:val="7"/>
                <w:color w:val="auto"/>
              </w:rPr>
            </w:pPr>
          </w:p>
        </w:tc>
        <w:tc>
          <w:tcPr>
            <w:tcW w:w="3700" w:type="dxa"/>
            <w:vAlign w:val="bottom"/>
            <w:gridSpan w:val="3"/>
            <w:vMerge w:val="restart"/>
          </w:tcPr>
          <w:p>
            <w:pPr>
              <w:ind w:left="200"/>
              <w:spacing w:after="0"/>
              <w:rPr>
                <w:sz w:val="20"/>
                <w:szCs w:val="20"/>
                <w:color w:val="auto"/>
              </w:rPr>
            </w:pPr>
            <w:r>
              <w:rPr>
                <w:rFonts w:ascii="Arial" w:cs="Arial" w:eastAsia="Arial" w:hAnsi="Arial"/>
                <w:sz w:val="18"/>
                <w:szCs w:val="18"/>
                <w:color w:val="auto"/>
              </w:rPr>
              <w:t>Name:</w:t>
            </w:r>
          </w:p>
        </w:tc>
        <w:tc>
          <w:tcPr>
            <w:tcW w:w="1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3700" w:type="dxa"/>
            <w:vAlign w:val="bottom"/>
            <w:gridSpan w:val="3"/>
            <w:vMerge w:val="continue"/>
          </w:tcPr>
          <w:p>
            <w:pPr>
              <w:spacing w:after="0"/>
              <w:rPr>
                <w:sz w:val="11"/>
                <w:szCs w:val="11"/>
                <w:color w:val="auto"/>
              </w:rPr>
            </w:pPr>
          </w:p>
        </w:tc>
        <w:tc>
          <w:tcPr>
            <w:tcW w:w="1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60" w:type="dxa"/>
            <w:vAlign w:val="bottom"/>
            <w:vMerge w:val="restart"/>
          </w:tcPr>
          <w:p>
            <w:pPr>
              <w:spacing w:after="0"/>
              <w:rPr>
                <w:sz w:val="20"/>
                <w:szCs w:val="20"/>
                <w:color w:val="auto"/>
              </w:rPr>
            </w:pPr>
            <w:r>
              <w:rPr>
                <w:rFonts w:ascii="Arial" w:cs="Arial" w:eastAsia="Arial" w:hAnsi="Arial"/>
                <w:sz w:val="18"/>
                <w:szCs w:val="18"/>
                <w:color w:val="auto"/>
              </w:rPr>
              <w:t>Telephone:</w:t>
            </w:r>
          </w:p>
        </w:tc>
        <w:tc>
          <w:tcPr>
            <w:tcW w:w="0" w:type="dxa"/>
            <w:vAlign w:val="bottom"/>
          </w:tcPr>
          <w:p>
            <w:pPr>
              <w:spacing w:after="0"/>
              <w:rPr>
                <w:sz w:val="1"/>
                <w:szCs w:val="1"/>
                <w:color w:val="auto"/>
              </w:rPr>
            </w:pPr>
          </w:p>
        </w:tc>
      </w:tr>
      <w:tr>
        <w:trPr>
          <w:trHeight w:val="81"/>
        </w:trPr>
        <w:tc>
          <w:tcPr>
            <w:tcW w:w="140" w:type="dxa"/>
            <w:vAlign w:val="bottom"/>
          </w:tcPr>
          <w:p>
            <w:pPr>
              <w:spacing w:after="0"/>
              <w:rPr>
                <w:sz w:val="7"/>
                <w:szCs w:val="7"/>
                <w:color w:val="auto"/>
              </w:rPr>
            </w:pPr>
          </w:p>
        </w:tc>
        <w:tc>
          <w:tcPr>
            <w:tcW w:w="3700" w:type="dxa"/>
            <w:vAlign w:val="bottom"/>
            <w:gridSpan w:val="3"/>
            <w:vMerge w:val="restart"/>
          </w:tcPr>
          <w:p>
            <w:pPr>
              <w:ind w:left="200"/>
              <w:spacing w:after="0"/>
              <w:rPr>
                <w:sz w:val="20"/>
                <w:szCs w:val="20"/>
                <w:color w:val="auto"/>
              </w:rPr>
            </w:pPr>
            <w:r>
              <w:rPr>
                <w:rFonts w:ascii="Arial" w:cs="Arial" w:eastAsia="Arial" w:hAnsi="Arial"/>
                <w:sz w:val="18"/>
                <w:szCs w:val="18"/>
                <w:color w:val="auto"/>
              </w:rPr>
              <w:t>Title:</w:t>
            </w:r>
          </w:p>
        </w:tc>
        <w:tc>
          <w:tcPr>
            <w:tcW w:w="1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140" w:type="dxa"/>
            <w:vAlign w:val="bottom"/>
          </w:tcPr>
          <w:p>
            <w:pPr>
              <w:spacing w:after="0"/>
              <w:rPr>
                <w:sz w:val="12"/>
                <w:szCs w:val="12"/>
                <w:color w:val="auto"/>
              </w:rPr>
            </w:pPr>
          </w:p>
        </w:tc>
        <w:tc>
          <w:tcPr>
            <w:tcW w:w="370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60" w:type="dxa"/>
            <w:vAlign w:val="bottom"/>
            <w:vMerge w:val="restart"/>
          </w:tcPr>
          <w:p>
            <w:pPr>
              <w:spacing w:after="0"/>
              <w:rPr>
                <w:sz w:val="20"/>
                <w:szCs w:val="20"/>
                <w:color w:val="auto"/>
              </w:rPr>
            </w:pPr>
            <w:r>
              <w:rPr>
                <w:rFonts w:ascii="Arial" w:cs="Arial" w:eastAsia="Arial" w:hAnsi="Arial"/>
                <w:sz w:val="18"/>
                <w:szCs w:val="18"/>
                <w:color w:val="auto"/>
              </w:rPr>
              <w:t>Facsimile:</w:t>
            </w:r>
          </w:p>
        </w:tc>
        <w:tc>
          <w:tcPr>
            <w:tcW w:w="0" w:type="dxa"/>
            <w:vAlign w:val="bottom"/>
          </w:tcPr>
          <w:p>
            <w:pPr>
              <w:spacing w:after="0"/>
              <w:rPr>
                <w:sz w:val="1"/>
                <w:szCs w:val="1"/>
                <w:color w:val="auto"/>
              </w:rPr>
            </w:pPr>
          </w:p>
        </w:tc>
      </w:tr>
      <w:tr>
        <w:trPr>
          <w:trHeight w:val="81"/>
        </w:trPr>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20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32"/>
        </w:trPr>
        <w:tc>
          <w:tcPr>
            <w:tcW w:w="38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[NAME OF SECURITIES INTERMEDIARY]</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b w:val="1"/>
                <w:bCs w:val="1"/>
                <w:color w:val="auto"/>
              </w:rPr>
              <w:t>Address for notices to Securities Intermediary:</w:t>
            </w:r>
          </w:p>
        </w:tc>
        <w:tc>
          <w:tcPr>
            <w:tcW w:w="0" w:type="dxa"/>
            <w:vAlign w:val="bottom"/>
          </w:tcPr>
          <w:p>
            <w:pPr>
              <w:spacing w:after="0"/>
              <w:rPr>
                <w:sz w:val="1"/>
                <w:szCs w:val="1"/>
                <w:color w:val="auto"/>
              </w:rPr>
            </w:pPr>
          </w:p>
        </w:tc>
      </w:tr>
      <w:tr>
        <w:trPr>
          <w:trHeight w:val="129"/>
        </w:trPr>
        <w:tc>
          <w:tcPr>
            <w:tcW w:w="3840" w:type="dxa"/>
            <w:vAlign w:val="bottom"/>
            <w:gridSpan w:val="4"/>
            <w:vMerge w:val="continue"/>
          </w:tcPr>
          <w:p>
            <w:pPr>
              <w:spacing w:after="0"/>
              <w:rPr>
                <w:sz w:val="11"/>
                <w:szCs w:val="11"/>
                <w:color w:val="auto"/>
              </w:rPr>
            </w:pPr>
          </w:p>
        </w:tc>
        <w:tc>
          <w:tcPr>
            <w:tcW w:w="1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840" w:type="dxa"/>
            <w:vAlign w:val="bottom"/>
            <w:gridSpan w:val="4"/>
          </w:tcPr>
          <w:p>
            <w:pPr>
              <w:spacing w:after="0" w:line="184" w:lineRule="exact"/>
              <w:rPr>
                <w:sz w:val="20"/>
                <w:szCs w:val="20"/>
                <w:color w:val="auto"/>
              </w:rPr>
            </w:pPr>
            <w:r>
              <w:rPr>
                <w:rFonts w:ascii="Arial" w:cs="Arial" w:eastAsia="Arial" w:hAnsi="Arial"/>
                <w:sz w:val="18"/>
                <w:szCs w:val="18"/>
                <w:color w:val="auto"/>
              </w:rPr>
              <w:t>(“Securities Intermediary”)</w:t>
            </w:r>
          </w:p>
        </w:tc>
        <w:tc>
          <w:tcPr>
            <w:tcW w:w="1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640" w:type="dxa"/>
            <w:vAlign w:val="bottom"/>
            <w:gridSpan w:val="2"/>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40" w:type="dxa"/>
            <w:vAlign w:val="bottom"/>
            <w:gridSpan w:val="2"/>
            <w:vMerge w:val="restart"/>
          </w:tcPr>
          <w:p>
            <w:pPr>
              <w:spacing w:after="0"/>
              <w:rPr>
                <w:sz w:val="20"/>
                <w:szCs w:val="20"/>
                <w:color w:val="auto"/>
              </w:rPr>
            </w:pPr>
            <w:r>
              <w:rPr>
                <w:rFonts w:ascii="Arial" w:cs="Arial" w:eastAsia="Arial" w:hAnsi="Arial"/>
                <w:sz w:val="18"/>
                <w:szCs w:val="18"/>
                <w:color w:val="auto"/>
              </w:rPr>
              <w:t>By:</w:t>
            </w:r>
          </w:p>
        </w:tc>
        <w:tc>
          <w:tcPr>
            <w:tcW w:w="3500" w:type="dxa"/>
            <w:vAlign w:val="bottom"/>
            <w:gridSpan w:val="2"/>
            <w:vMerge w:val="restart"/>
          </w:tcPr>
          <w:p>
            <w:pPr>
              <w:spacing w:after="0"/>
              <w:rPr>
                <w:sz w:val="8"/>
                <w:szCs w:val="8"/>
                <w:color w:val="auto"/>
              </w:rPr>
            </w:pPr>
          </w:p>
        </w:tc>
        <w:tc>
          <w:tcPr>
            <w:tcW w:w="1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340" w:type="dxa"/>
            <w:vAlign w:val="bottom"/>
            <w:gridSpan w:val="2"/>
            <w:vMerge w:val="continue"/>
          </w:tcPr>
          <w:p>
            <w:pPr>
              <w:spacing w:after="0"/>
              <w:rPr>
                <w:sz w:val="22"/>
                <w:szCs w:val="22"/>
                <w:color w:val="auto"/>
              </w:rPr>
            </w:pPr>
          </w:p>
        </w:tc>
        <w:tc>
          <w:tcPr>
            <w:tcW w:w="3500" w:type="dxa"/>
            <w:vAlign w:val="bottom"/>
            <w:gridSpan w:val="2"/>
            <w:vMerge w:val="continue"/>
          </w:tcPr>
          <w:p>
            <w:pPr>
              <w:spacing w:after="0"/>
              <w:rPr>
                <w:sz w:val="22"/>
                <w:szCs w:val="22"/>
                <w:color w:val="auto"/>
              </w:rPr>
            </w:pPr>
          </w:p>
        </w:tc>
        <w:tc>
          <w:tcPr>
            <w:tcW w:w="1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340" w:type="dxa"/>
            <w:vAlign w:val="bottom"/>
            <w:gridSpan w:val="2"/>
            <w:vMerge w:val="continue"/>
          </w:tcPr>
          <w:p>
            <w:pPr>
              <w:spacing w:after="0"/>
              <w:rPr>
                <w:sz w:val="5"/>
                <w:szCs w:val="5"/>
                <w:color w:val="auto"/>
              </w:rPr>
            </w:pPr>
          </w:p>
        </w:tc>
        <w:tc>
          <w:tcPr>
            <w:tcW w:w="3500" w:type="dxa"/>
            <w:vAlign w:val="bottom"/>
            <w:tcBorders>
              <w:bottom w:val="single" w:sz="8" w:color="auto"/>
            </w:tcBorders>
            <w:gridSpan w:val="2"/>
            <w:vMerge w:val="continue"/>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5460" w:type="dxa"/>
            <w:vAlign w:val="bottom"/>
            <w:vMerge w:val="restart"/>
          </w:tcPr>
          <w:p>
            <w:pPr>
              <w:spacing w:after="0"/>
              <w:rPr>
                <w:sz w:val="20"/>
                <w:szCs w:val="20"/>
                <w:color w:val="auto"/>
              </w:rPr>
            </w:pPr>
            <w:r>
              <w:rPr>
                <w:rFonts w:ascii="Arial" w:cs="Arial" w:eastAsia="Arial" w:hAnsi="Arial"/>
                <w:sz w:val="18"/>
                <w:szCs w:val="18"/>
                <w:color w:val="auto"/>
              </w:rPr>
              <w:t>Attention</w:t>
            </w: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3700" w:type="dxa"/>
            <w:vAlign w:val="bottom"/>
            <w:gridSpan w:val="3"/>
            <w:vMerge w:val="restart"/>
          </w:tcPr>
          <w:p>
            <w:pPr>
              <w:ind w:left="200"/>
              <w:spacing w:after="0"/>
              <w:rPr>
                <w:sz w:val="20"/>
                <w:szCs w:val="20"/>
                <w:color w:val="auto"/>
              </w:rPr>
            </w:pPr>
            <w:r>
              <w:rPr>
                <w:rFonts w:ascii="Arial" w:cs="Arial" w:eastAsia="Arial" w:hAnsi="Arial"/>
                <w:sz w:val="18"/>
                <w:szCs w:val="18"/>
                <w:color w:val="auto"/>
              </w:rPr>
              <w:t>Name:</w:t>
            </w:r>
          </w:p>
        </w:tc>
        <w:tc>
          <w:tcPr>
            <w:tcW w:w="1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40" w:type="dxa"/>
            <w:vAlign w:val="bottom"/>
          </w:tcPr>
          <w:p>
            <w:pPr>
              <w:spacing w:after="0"/>
              <w:rPr>
                <w:sz w:val="5"/>
                <w:szCs w:val="5"/>
                <w:color w:val="auto"/>
              </w:rPr>
            </w:pPr>
          </w:p>
        </w:tc>
        <w:tc>
          <w:tcPr>
            <w:tcW w:w="37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60" w:type="dxa"/>
            <w:vAlign w:val="bottom"/>
            <w:vMerge w:val="restart"/>
          </w:tcPr>
          <w:p>
            <w:pPr>
              <w:spacing w:after="0"/>
              <w:rPr>
                <w:sz w:val="20"/>
                <w:szCs w:val="20"/>
                <w:color w:val="auto"/>
              </w:rPr>
            </w:pPr>
            <w:r>
              <w:rPr>
                <w:rFonts w:ascii="Arial" w:cs="Arial" w:eastAsia="Arial" w:hAnsi="Arial"/>
                <w:sz w:val="18"/>
                <w:szCs w:val="18"/>
                <w:color w:val="auto"/>
              </w:rPr>
              <w:t>Telephone:</w:t>
            </w: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3700" w:type="dxa"/>
            <w:vAlign w:val="bottom"/>
            <w:gridSpan w:val="3"/>
            <w:vMerge w:val="restart"/>
          </w:tcPr>
          <w:p>
            <w:pPr>
              <w:ind w:left="200"/>
              <w:spacing w:after="0"/>
              <w:rPr>
                <w:sz w:val="20"/>
                <w:szCs w:val="20"/>
                <w:color w:val="auto"/>
              </w:rPr>
            </w:pPr>
            <w:r>
              <w:rPr>
                <w:rFonts w:ascii="Arial" w:cs="Arial" w:eastAsia="Arial" w:hAnsi="Arial"/>
                <w:sz w:val="18"/>
                <w:szCs w:val="18"/>
                <w:color w:val="auto"/>
              </w:rPr>
              <w:t>Title:</w:t>
            </w:r>
          </w:p>
        </w:tc>
        <w:tc>
          <w:tcPr>
            <w:tcW w:w="1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40" w:type="dxa"/>
            <w:vAlign w:val="bottom"/>
          </w:tcPr>
          <w:p>
            <w:pPr>
              <w:spacing w:after="0"/>
              <w:rPr>
                <w:sz w:val="6"/>
                <w:szCs w:val="6"/>
                <w:color w:val="auto"/>
              </w:rPr>
            </w:pPr>
          </w:p>
        </w:tc>
        <w:tc>
          <w:tcPr>
            <w:tcW w:w="37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60" w:type="dxa"/>
            <w:vAlign w:val="bottom"/>
            <w:vMerge w:val="restart"/>
          </w:tcPr>
          <w:p>
            <w:pPr>
              <w:spacing w:after="0"/>
              <w:rPr>
                <w:sz w:val="20"/>
                <w:szCs w:val="20"/>
                <w:color w:val="auto"/>
              </w:rPr>
            </w:pPr>
            <w:r>
              <w:rPr>
                <w:rFonts w:ascii="Arial" w:cs="Arial" w:eastAsia="Arial" w:hAnsi="Arial"/>
                <w:sz w:val="18"/>
                <w:szCs w:val="18"/>
                <w:color w:val="auto"/>
              </w:rPr>
              <w:t>Facsimile:</w:t>
            </w: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20"/>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440" w:type="dxa"/>
            <w:vAlign w:val="bottom"/>
            <w:gridSpan w:val="3"/>
          </w:tcPr>
          <w:p>
            <w:pPr>
              <w:jc w:val="center"/>
              <w:ind w:right="3612"/>
              <w:spacing w:after="0"/>
              <w:rPr>
                <w:sz w:val="20"/>
                <w:szCs w:val="20"/>
                <w:color w:val="auto"/>
              </w:rPr>
            </w:pPr>
            <w:r>
              <w:rPr>
                <w:rFonts w:ascii="Arial" w:cs="Arial" w:eastAsia="Arial" w:hAnsi="Arial"/>
                <w:sz w:val="18"/>
                <w:szCs w:val="18"/>
                <w:color w:val="auto"/>
                <w:w w:val="85"/>
              </w:rPr>
              <w:t>Signature Page</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440" w:type="dxa"/>
            <w:vAlign w:val="bottom"/>
            <w:gridSpan w:val="3"/>
          </w:tcPr>
          <w:p>
            <w:pPr>
              <w:jc w:val="center"/>
              <w:ind w:right="3592"/>
              <w:spacing w:after="0"/>
              <w:rPr>
                <w:sz w:val="20"/>
                <w:szCs w:val="20"/>
                <w:color w:val="auto"/>
              </w:rPr>
            </w:pPr>
            <w:r>
              <w:rPr>
                <w:rFonts w:ascii="Arial" w:cs="Arial" w:eastAsia="Arial" w:hAnsi="Arial"/>
                <w:sz w:val="18"/>
                <w:szCs w:val="18"/>
                <w:color w:val="auto"/>
                <w:w w:val="90"/>
              </w:rPr>
              <w:t>Account Control Agreement</w:t>
            </w:r>
          </w:p>
        </w:tc>
        <w:tc>
          <w:tcPr>
            <w:tcW w:w="0" w:type="dxa"/>
            <w:vAlign w:val="bottom"/>
          </w:tcPr>
          <w:p>
            <w:pPr>
              <w:spacing w:after="0"/>
              <w:rPr>
                <w:sz w:val="1"/>
                <w:szCs w:val="1"/>
                <w:color w:val="auto"/>
              </w:rPr>
            </w:pPr>
          </w:p>
        </w:tc>
      </w:tr>
      <w:tr>
        <w:trPr>
          <w:trHeight w:val="222"/>
        </w:trPr>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7440" w:type="dxa"/>
            <w:vAlign w:val="bottom"/>
            <w:gridSpan w:val="3"/>
          </w:tcPr>
          <w:p>
            <w:pPr>
              <w:jc w:val="center"/>
              <w:ind w:right="3612"/>
              <w:spacing w:after="0"/>
              <w:rPr>
                <w:sz w:val="20"/>
                <w:szCs w:val="20"/>
                <w:color w:val="auto"/>
              </w:rPr>
            </w:pPr>
            <w:r>
              <w:rPr>
                <w:rFonts w:ascii="Arial" w:cs="Arial" w:eastAsia="Arial" w:hAnsi="Arial"/>
                <w:sz w:val="18"/>
                <w:szCs w:val="18"/>
                <w:color w:val="auto"/>
                <w:w w:val="88"/>
              </w:rPr>
              <w:t>(Securities Accounts and Deposit Accounts)</w:t>
            </w:r>
          </w:p>
        </w:tc>
        <w:tc>
          <w:tcPr>
            <w:tcW w:w="0" w:type="dxa"/>
            <w:vAlign w:val="bottom"/>
          </w:tcPr>
          <w:p>
            <w:pPr>
              <w:spacing w:after="0"/>
              <w:rPr>
                <w:sz w:val="1"/>
                <w:szCs w:val="1"/>
                <w:color w:val="auto"/>
              </w:rPr>
            </w:pPr>
          </w:p>
        </w:tc>
      </w:tr>
    </w:tbl>
    <w:p>
      <w:pPr>
        <w:sectPr>
          <w:pgSz w:w="11900" w:h="16838" w:orient="portrait"/>
          <w:cols w:equalWidth="0" w:num="1">
            <w:col w:w="11400"/>
          </w:cols>
          <w:pgMar w:left="240" w:top="280" w:right="259" w:bottom="1440" w:gutter="0" w:footer="0" w:header="0"/>
          <w:type w:val="continuous"/>
        </w:sectPr>
      </w:pPr>
    </w:p>
    <w:bookmarkStart w:id="363" w:name="page364"/>
    <w:bookmarkEnd w:id="36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ATTACHMENT I</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Account Control Agreement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Bank of America, N.A.]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Administrative Agent]</w:t>
      </w:r>
    </w:p>
    <w:p>
      <w:pPr>
        <w:spacing w:after="0" w:line="19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b w:val="1"/>
          <w:bCs w:val="1"/>
          <w:color w:val="auto"/>
        </w:rPr>
        <w:t>[Name of Securities Intermediary]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126365</wp:posOffset>
            </wp:positionV>
            <wp:extent cx="91948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919480" cy="8890"/>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320" w:type="dxa"/>
            <w:vAlign w:val="bottom"/>
          </w:tcPr>
          <w:p>
            <w:pPr>
              <w:ind w:left="460"/>
              <w:spacing w:after="0"/>
              <w:rPr>
                <w:sz w:val="20"/>
                <w:szCs w:val="20"/>
                <w:color w:val="auto"/>
              </w:rPr>
            </w:pPr>
            <w:r>
              <w:rPr>
                <w:rFonts w:ascii="Arial" w:cs="Arial" w:eastAsia="Arial" w:hAnsi="Arial"/>
                <w:sz w:val="18"/>
                <w:szCs w:val="18"/>
                <w:color w:val="auto"/>
              </w:rPr>
              <w:t>Attention:</w:t>
            </w:r>
          </w:p>
        </w:tc>
        <w:tc>
          <w:tcPr>
            <w:tcW w:w="4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100" w:type="dxa"/>
            <w:vAlign w:val="bottom"/>
          </w:tcPr>
          <w:p>
            <w:pPr>
              <w:spacing w:after="0"/>
              <w:rPr>
                <w:sz w:val="19"/>
                <w:szCs w:val="19"/>
                <w:color w:val="auto"/>
              </w:rPr>
            </w:pPr>
          </w:p>
        </w:tc>
      </w:tr>
      <w:tr>
        <w:trPr>
          <w:trHeight w:val="419"/>
        </w:trPr>
        <w:tc>
          <w:tcPr>
            <w:tcW w:w="1320" w:type="dxa"/>
            <w:vAlign w:val="bottom"/>
          </w:tcPr>
          <w:p>
            <w:pPr>
              <w:ind w:left="920"/>
              <w:spacing w:after="0"/>
              <w:rPr>
                <w:sz w:val="20"/>
                <w:szCs w:val="20"/>
                <w:color w:val="auto"/>
              </w:rPr>
            </w:pPr>
            <w:r>
              <w:rPr>
                <w:rFonts w:ascii="Arial" w:cs="Arial" w:eastAsia="Arial" w:hAnsi="Arial"/>
                <w:sz w:val="18"/>
                <w:szCs w:val="18"/>
                <w:color w:val="auto"/>
              </w:rPr>
              <w:t>Re:</w:t>
            </w:r>
          </w:p>
        </w:tc>
        <w:tc>
          <w:tcPr>
            <w:tcW w:w="4020" w:type="dxa"/>
            <w:vAlign w:val="bottom"/>
          </w:tcPr>
          <w:p>
            <w:pPr>
              <w:ind w:left="160"/>
              <w:spacing w:after="0"/>
              <w:rPr>
                <w:sz w:val="20"/>
                <w:szCs w:val="20"/>
                <w:color w:val="auto"/>
              </w:rPr>
            </w:pPr>
            <w:r>
              <w:rPr>
                <w:rFonts w:ascii="Arial" w:cs="Arial" w:eastAsia="Arial" w:hAnsi="Arial"/>
                <w:sz w:val="18"/>
                <w:szCs w:val="18"/>
                <w:color w:val="auto"/>
              </w:rPr>
              <w:t>Integra LifeSciences Holdings Corporation</w:t>
            </w: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378"/>
        </w:trPr>
        <w:tc>
          <w:tcPr>
            <w:tcW w:w="5340" w:type="dxa"/>
            <w:vAlign w:val="bottom"/>
            <w:gridSpan w:val="2"/>
          </w:tcPr>
          <w:p>
            <w:pPr>
              <w:spacing w:after="0"/>
              <w:rPr>
                <w:sz w:val="20"/>
                <w:szCs w:val="20"/>
                <w:color w:val="auto"/>
              </w:rPr>
            </w:pPr>
            <w:r>
              <w:rPr>
                <w:rFonts w:ascii="Arial" w:cs="Arial" w:eastAsia="Arial" w:hAnsi="Arial"/>
                <w:sz w:val="18"/>
                <w:szCs w:val="18"/>
                <w:color w:val="auto"/>
              </w:rPr>
              <w:t>Ladies and Gentlemen:</w:t>
            </w: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340"/>
        </w:trPr>
        <w:tc>
          <w:tcPr>
            <w:tcW w:w="5340" w:type="dxa"/>
            <w:vAlign w:val="bottom"/>
            <w:gridSpan w:val="2"/>
          </w:tcPr>
          <w:p>
            <w:pPr>
              <w:ind w:left="460"/>
              <w:spacing w:after="0"/>
              <w:rPr>
                <w:sz w:val="20"/>
                <w:szCs w:val="20"/>
                <w:color w:val="auto"/>
              </w:rPr>
            </w:pPr>
            <w:r>
              <w:rPr>
                <w:rFonts w:ascii="Arial" w:cs="Arial" w:eastAsia="Arial" w:hAnsi="Arial"/>
                <w:sz w:val="18"/>
                <w:szCs w:val="18"/>
                <w:color w:val="auto"/>
                <w:w w:val="93"/>
              </w:rPr>
              <w:t>Reference is made to the Account Control Agreement dated as of</w:t>
            </w: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5500" w:type="dxa"/>
            <w:vAlign w:val="bottom"/>
            <w:gridSpan w:val="3"/>
          </w:tcPr>
          <w:p>
            <w:pPr>
              <w:ind w:left="220"/>
              <w:spacing w:after="0"/>
              <w:rPr>
                <w:sz w:val="20"/>
                <w:szCs w:val="20"/>
                <w:color w:val="auto"/>
              </w:rPr>
            </w:pPr>
            <w:r>
              <w:rPr>
                <w:rFonts w:ascii="Arial" w:cs="Arial" w:eastAsia="Arial" w:hAnsi="Arial"/>
                <w:sz w:val="18"/>
                <w:szCs w:val="18"/>
                <w:color w:val="auto"/>
                <w:w w:val="90"/>
              </w:rPr>
              <w:t>(the “Agreement”), among Integra LifeSciences Holdings Corporation and</w:t>
            </w:r>
          </w:p>
        </w:tc>
      </w:tr>
      <w:tr>
        <w:trPr>
          <w:trHeight w:val="20"/>
        </w:trPr>
        <w:tc>
          <w:tcPr>
            <w:tcW w:w="13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bl>
    <w:p>
      <w:pPr>
        <w:spacing w:after="0" w:line="1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certain of its subsidiaries, the undersigned and you regarding the accounts (the “</w:t>
      </w:r>
      <w:r>
        <w:rPr>
          <w:rFonts w:ascii="Arial" w:cs="Arial" w:eastAsia="Arial" w:hAnsi="Arial"/>
          <w:sz w:val="16"/>
          <w:szCs w:val="16"/>
          <w:u w:val="single" w:color="auto"/>
          <w:color w:val="auto"/>
        </w:rPr>
        <w:t>Accounts</w:t>
      </w:r>
      <w:r>
        <w:rPr>
          <w:rFonts w:ascii="Arial" w:cs="Arial" w:eastAsia="Arial" w:hAnsi="Arial"/>
          <w:sz w:val="16"/>
          <w:szCs w:val="16"/>
          <w:color w:val="auto"/>
        </w:rPr>
        <w:t>”) described in Schedule 1 hereto. In accordance with Section 2 of the Agreement, we hereby give you notice of our exercise of control of each Account and we hereby instruct you to transfer all collected and available credit balances maintained therein which are in excess of the Retained Balance (as defined in the Agreement) to the following account: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60" w:type="dxa"/>
            <w:vAlign w:val="bottom"/>
          </w:tcPr>
          <w:p>
            <w:pPr>
              <w:ind w:left="6860"/>
              <w:spacing w:after="0"/>
              <w:rPr>
                <w:sz w:val="20"/>
                <w:szCs w:val="20"/>
                <w:color w:val="auto"/>
              </w:rPr>
            </w:pPr>
            <w:r>
              <w:rPr>
                <w:rFonts w:ascii="Arial" w:cs="Arial" w:eastAsia="Arial" w:hAnsi="Arial"/>
                <w:sz w:val="18"/>
                <w:szCs w:val="18"/>
                <w:color w:val="auto"/>
              </w:rPr>
              <w:t>Name:</w:t>
            </w:r>
          </w:p>
        </w:tc>
        <w:tc>
          <w:tcPr>
            <w:tcW w:w="3060" w:type="dxa"/>
            <w:vAlign w:val="bottom"/>
          </w:tcPr>
          <w:p>
            <w:pPr>
              <w:spacing w:after="0"/>
              <w:rPr>
                <w:sz w:val="20"/>
                <w:szCs w:val="20"/>
                <w:color w:val="auto"/>
              </w:rPr>
            </w:pPr>
            <w:r>
              <w:rPr>
                <w:rFonts w:ascii="Arial" w:cs="Arial" w:eastAsia="Arial" w:hAnsi="Arial"/>
                <w:sz w:val="18"/>
                <w:szCs w:val="18"/>
                <w:color w:val="auto"/>
              </w:rPr>
              <w:t>Bank of America, N.A.</w:t>
            </w:r>
          </w:p>
        </w:tc>
      </w:tr>
      <w:tr>
        <w:trPr>
          <w:trHeight w:val="216"/>
        </w:trPr>
        <w:tc>
          <w:tcPr>
            <w:tcW w:w="8360" w:type="dxa"/>
            <w:vAlign w:val="bottom"/>
          </w:tcPr>
          <w:p>
            <w:pPr>
              <w:ind w:left="6860"/>
              <w:spacing w:after="0"/>
              <w:rPr>
                <w:sz w:val="20"/>
                <w:szCs w:val="20"/>
                <w:color w:val="auto"/>
              </w:rPr>
            </w:pPr>
            <w:r>
              <w:rPr>
                <w:rFonts w:ascii="Arial" w:cs="Arial" w:eastAsia="Arial" w:hAnsi="Arial"/>
                <w:sz w:val="18"/>
                <w:szCs w:val="18"/>
                <w:color w:val="auto"/>
              </w:rPr>
              <w:t>Location:</w:t>
            </w:r>
          </w:p>
        </w:tc>
        <w:tc>
          <w:tcPr>
            <w:tcW w:w="3060" w:type="dxa"/>
            <w:vAlign w:val="bottom"/>
          </w:tcPr>
          <w:p>
            <w:pPr>
              <w:spacing w:after="0"/>
              <w:rPr>
                <w:sz w:val="18"/>
                <w:szCs w:val="18"/>
                <w:color w:val="auto"/>
              </w:rPr>
            </w:pPr>
          </w:p>
        </w:tc>
      </w:tr>
      <w:tr>
        <w:trPr>
          <w:trHeight w:val="222"/>
        </w:trPr>
        <w:tc>
          <w:tcPr>
            <w:tcW w:w="8360" w:type="dxa"/>
            <w:vAlign w:val="bottom"/>
          </w:tcPr>
          <w:p>
            <w:pPr>
              <w:ind w:left="6860"/>
              <w:spacing w:after="0"/>
              <w:rPr>
                <w:sz w:val="20"/>
                <w:szCs w:val="20"/>
                <w:color w:val="auto"/>
              </w:rPr>
            </w:pPr>
            <w:r>
              <w:rPr>
                <w:rFonts w:ascii="Arial" w:cs="Arial" w:eastAsia="Arial" w:hAnsi="Arial"/>
                <w:sz w:val="18"/>
                <w:szCs w:val="18"/>
                <w:color w:val="auto"/>
              </w:rPr>
              <w:t>ABA No.:</w:t>
            </w:r>
          </w:p>
        </w:tc>
        <w:tc>
          <w:tcPr>
            <w:tcW w:w="3060" w:type="dxa"/>
            <w:vAlign w:val="bottom"/>
            <w:tcBorders>
              <w:bottom w:val="single" w:sz="8" w:color="auto"/>
            </w:tcBorders>
          </w:tcPr>
          <w:p>
            <w:pPr>
              <w:spacing w:after="0"/>
              <w:rPr>
                <w:sz w:val="19"/>
                <w:szCs w:val="19"/>
                <w:color w:val="auto"/>
              </w:rPr>
            </w:pPr>
          </w:p>
        </w:tc>
      </w:tr>
      <w:tr>
        <w:trPr>
          <w:trHeight w:val="223"/>
        </w:trPr>
        <w:tc>
          <w:tcPr>
            <w:tcW w:w="8360" w:type="dxa"/>
            <w:vAlign w:val="bottom"/>
          </w:tcPr>
          <w:p>
            <w:pPr>
              <w:ind w:left="6860"/>
              <w:spacing w:after="0"/>
              <w:rPr>
                <w:sz w:val="20"/>
                <w:szCs w:val="20"/>
                <w:color w:val="auto"/>
              </w:rPr>
            </w:pPr>
            <w:r>
              <w:rPr>
                <w:rFonts w:ascii="Arial" w:cs="Arial" w:eastAsia="Arial" w:hAnsi="Arial"/>
                <w:sz w:val="18"/>
                <w:szCs w:val="18"/>
                <w:color w:val="auto"/>
              </w:rPr>
              <w:t>Account No:</w:t>
            </w:r>
          </w:p>
        </w:tc>
        <w:tc>
          <w:tcPr>
            <w:tcW w:w="3060" w:type="dxa"/>
            <w:vAlign w:val="bottom"/>
            <w:tcBorders>
              <w:bottom w:val="single" w:sz="8" w:color="auto"/>
            </w:tcBorders>
          </w:tcPr>
          <w:p>
            <w:pPr>
              <w:spacing w:after="0"/>
              <w:rPr>
                <w:sz w:val="19"/>
                <w:szCs w:val="19"/>
                <w:color w:val="auto"/>
              </w:rPr>
            </w:pPr>
          </w:p>
        </w:tc>
      </w:tr>
      <w:tr>
        <w:trPr>
          <w:trHeight w:val="217"/>
        </w:trPr>
        <w:tc>
          <w:tcPr>
            <w:tcW w:w="8360" w:type="dxa"/>
            <w:vAlign w:val="bottom"/>
          </w:tcPr>
          <w:p>
            <w:pPr>
              <w:ind w:left="6860"/>
              <w:spacing w:after="0"/>
              <w:rPr>
                <w:sz w:val="20"/>
                <w:szCs w:val="20"/>
                <w:color w:val="auto"/>
              </w:rPr>
            </w:pPr>
            <w:r>
              <w:rPr>
                <w:rFonts w:ascii="Arial" w:cs="Arial" w:eastAsia="Arial" w:hAnsi="Arial"/>
                <w:sz w:val="18"/>
                <w:szCs w:val="18"/>
                <w:color w:val="auto"/>
              </w:rPr>
              <w:t>Reference:</w:t>
            </w:r>
          </w:p>
        </w:tc>
        <w:tc>
          <w:tcPr>
            <w:tcW w:w="3060" w:type="dxa"/>
            <w:vAlign w:val="bottom"/>
          </w:tcPr>
          <w:p>
            <w:pPr>
              <w:spacing w:after="0"/>
              <w:rPr>
                <w:sz w:val="20"/>
                <w:szCs w:val="20"/>
                <w:color w:val="auto"/>
              </w:rPr>
            </w:pPr>
            <w:r>
              <w:rPr>
                <w:rFonts w:ascii="Arial" w:cs="Arial" w:eastAsia="Arial" w:hAnsi="Arial"/>
                <w:sz w:val="18"/>
                <w:szCs w:val="18"/>
                <w:color w:val="auto"/>
              </w:rPr>
              <w:t>Bank of America, N.A.,</w:t>
            </w:r>
          </w:p>
        </w:tc>
      </w:tr>
      <w:tr>
        <w:trPr>
          <w:trHeight w:val="216"/>
        </w:trPr>
        <w:tc>
          <w:tcPr>
            <w:tcW w:w="836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as Administrative Agent/</w:t>
            </w:r>
          </w:p>
        </w:tc>
      </w:tr>
      <w:tr>
        <w:trPr>
          <w:trHeight w:val="216"/>
        </w:trPr>
        <w:tc>
          <w:tcPr>
            <w:tcW w:w="836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w w:val="90"/>
              </w:rPr>
              <w:t>Integra LifeSciences Holdings Corporation</w:t>
            </w:r>
          </w:p>
        </w:tc>
      </w:tr>
      <w:tr>
        <w:trPr>
          <w:trHeight w:val="222"/>
        </w:trPr>
        <w:tc>
          <w:tcPr>
            <w:tcW w:w="836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Collateral Account</w:t>
            </w:r>
          </w:p>
        </w:tc>
      </w:tr>
      <w:tr>
        <w:trPr>
          <w:trHeight w:val="378"/>
        </w:trPr>
        <w:tc>
          <w:tcPr>
            <w:tcW w:w="8360" w:type="dxa"/>
            <w:vAlign w:val="bottom"/>
          </w:tcPr>
          <w:p>
            <w:pPr>
              <w:spacing w:after="0"/>
              <w:rPr>
                <w:sz w:val="20"/>
                <w:szCs w:val="20"/>
                <w:color w:val="auto"/>
              </w:rPr>
            </w:pPr>
            <w:r>
              <w:rPr>
                <w:rFonts w:ascii="Arial" w:cs="Arial" w:eastAsia="Arial" w:hAnsi="Arial"/>
                <w:sz w:val="18"/>
                <w:szCs w:val="18"/>
                <w:color w:val="auto"/>
              </w:rPr>
              <w:t>or otherwise in accordance with Administrative Agent’s instructions.</w:t>
            </w:r>
          </w:p>
        </w:tc>
        <w:tc>
          <w:tcPr>
            <w:tcW w:w="3060" w:type="dxa"/>
            <w:vAlign w:val="bottom"/>
          </w:tcPr>
          <w:p>
            <w:pPr>
              <w:spacing w:after="0"/>
              <w:rPr>
                <w:sz w:val="24"/>
                <w:szCs w:val="24"/>
                <w:color w:val="auto"/>
              </w:rPr>
            </w:pPr>
          </w:p>
        </w:tc>
      </w:tr>
      <w:tr>
        <w:trPr>
          <w:trHeight w:val="419"/>
        </w:trPr>
        <w:tc>
          <w:tcPr>
            <w:tcW w:w="8360" w:type="dxa"/>
            <w:vAlign w:val="bottom"/>
          </w:tcPr>
          <w:p>
            <w:pPr>
              <w:ind w:left="6860"/>
              <w:spacing w:after="0"/>
              <w:rPr>
                <w:sz w:val="20"/>
                <w:szCs w:val="20"/>
                <w:color w:val="auto"/>
              </w:rPr>
            </w:pPr>
            <w:r>
              <w:rPr>
                <w:rFonts w:ascii="Arial" w:cs="Arial" w:eastAsia="Arial" w:hAnsi="Arial"/>
                <w:sz w:val="18"/>
                <w:szCs w:val="18"/>
                <w:color w:val="auto"/>
              </w:rPr>
              <w:t>Very truly yours,</w:t>
            </w:r>
          </w:p>
        </w:tc>
        <w:tc>
          <w:tcPr>
            <w:tcW w:w="3060" w:type="dxa"/>
            <w:vAlign w:val="bottom"/>
          </w:tcPr>
          <w:p>
            <w:pPr>
              <w:spacing w:after="0"/>
              <w:rPr>
                <w:sz w:val="24"/>
                <w:szCs w:val="24"/>
                <w:color w:val="auto"/>
              </w:rPr>
            </w:pPr>
          </w:p>
        </w:tc>
      </w:tr>
    </w:tbl>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BANK OF AMERICA, N.A.,</w:t>
      </w:r>
    </w:p>
    <w:p>
      <w:pPr>
        <w:spacing w:after="0" w:line="2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as Administrative Agent</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280" w:right="239" w:bottom="1440" w:gutter="0" w:footer="0" w:header="0"/>
        </w:sectPr>
      </w:pPr>
    </w:p>
    <w:bookmarkStart w:id="364" w:name="page365"/>
    <w:bookmarkEnd w:id="364"/>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SCHEDULE 1</w:t>
            </w:r>
          </w:p>
        </w:tc>
      </w:tr>
      <w:tr>
        <w:trPr>
          <w:trHeight w:val="216"/>
        </w:trPr>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to</w:t>
            </w:r>
          </w:p>
        </w:tc>
      </w:tr>
      <w:tr>
        <w:trPr>
          <w:trHeight w:val="222"/>
        </w:trPr>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60" w:type="dxa"/>
            <w:vAlign w:val="bottom"/>
            <w:gridSpan w:val="5"/>
          </w:tcPr>
          <w:p>
            <w:pPr>
              <w:jc w:val="right"/>
              <w:spacing w:after="0"/>
              <w:rPr>
                <w:sz w:val="20"/>
                <w:szCs w:val="20"/>
                <w:color w:val="auto"/>
              </w:rPr>
            </w:pPr>
            <w:r>
              <w:rPr>
                <w:rFonts w:ascii="Arial" w:cs="Arial" w:eastAsia="Arial" w:hAnsi="Arial"/>
                <w:sz w:val="18"/>
                <w:szCs w:val="18"/>
                <w:color w:val="auto"/>
              </w:rPr>
              <w:t>ACCOUNT CONTROL AGREEMENT</w:t>
            </w:r>
          </w:p>
        </w:tc>
      </w:tr>
      <w:tr>
        <w:trPr>
          <w:trHeight w:val="340"/>
        </w:trPr>
        <w:tc>
          <w:tcPr>
            <w:tcW w:w="2760" w:type="dxa"/>
            <w:vAlign w:val="bottom"/>
            <w:gridSpan w:val="3"/>
          </w:tcPr>
          <w:p>
            <w:pPr>
              <w:ind w:left="1260"/>
              <w:spacing w:after="0"/>
              <w:rPr>
                <w:sz w:val="20"/>
                <w:szCs w:val="20"/>
                <w:color w:val="auto"/>
              </w:rPr>
            </w:pPr>
            <w:r>
              <w:rPr>
                <w:rFonts w:ascii="Arial" w:cs="Arial" w:eastAsia="Arial" w:hAnsi="Arial"/>
                <w:sz w:val="14"/>
                <w:szCs w:val="14"/>
                <w:b w:val="1"/>
                <w:bCs w:val="1"/>
                <w:color w:val="auto"/>
              </w:rPr>
              <w:t>Grantor</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gridSpan w:val="7"/>
          </w:tcPr>
          <w:p>
            <w:pPr>
              <w:jc w:val="center"/>
              <w:ind w:right="880"/>
              <w:spacing w:after="0"/>
              <w:rPr>
                <w:sz w:val="20"/>
                <w:szCs w:val="20"/>
                <w:color w:val="auto"/>
              </w:rPr>
            </w:pPr>
            <w:r>
              <w:rPr>
                <w:rFonts w:ascii="Arial" w:cs="Arial" w:eastAsia="Arial" w:hAnsi="Arial"/>
                <w:sz w:val="14"/>
                <w:szCs w:val="14"/>
                <w:b w:val="1"/>
                <w:bCs w:val="1"/>
                <w:color w:val="auto"/>
                <w:w w:val="87"/>
              </w:rPr>
              <w:t>Securities Intermediary</w:t>
            </w:r>
          </w:p>
        </w:tc>
        <w:tc>
          <w:tcPr>
            <w:tcW w:w="2120" w:type="dxa"/>
            <w:vAlign w:val="bottom"/>
            <w:gridSpan w:val="3"/>
          </w:tcPr>
          <w:p>
            <w:pPr>
              <w:ind w:left="860"/>
              <w:spacing w:after="0"/>
              <w:rPr>
                <w:sz w:val="20"/>
                <w:szCs w:val="20"/>
                <w:color w:val="auto"/>
              </w:rPr>
            </w:pPr>
            <w:r>
              <w:rPr>
                <w:rFonts w:ascii="Arial" w:cs="Arial" w:eastAsia="Arial" w:hAnsi="Arial"/>
                <w:sz w:val="14"/>
                <w:szCs w:val="14"/>
                <w:b w:val="1"/>
                <w:bCs w:val="1"/>
                <w:color w:val="auto"/>
              </w:rPr>
              <w:t>Account Name</w:t>
            </w:r>
          </w:p>
        </w:tc>
        <w:tc>
          <w:tcPr>
            <w:tcW w:w="1460" w:type="dxa"/>
            <w:vAlign w:val="bottom"/>
          </w:tcPr>
          <w:p>
            <w:pPr>
              <w:spacing w:after="0"/>
              <w:rPr>
                <w:sz w:val="24"/>
                <w:szCs w:val="24"/>
                <w:color w:val="auto"/>
              </w:rPr>
            </w:pPr>
          </w:p>
        </w:tc>
        <w:tc>
          <w:tcPr>
            <w:tcW w:w="1800" w:type="dxa"/>
            <w:vAlign w:val="bottom"/>
            <w:gridSpan w:val="4"/>
          </w:tcPr>
          <w:p>
            <w:pPr>
              <w:jc w:val="right"/>
              <w:ind w:right="732"/>
              <w:spacing w:after="0"/>
              <w:rPr>
                <w:sz w:val="20"/>
                <w:szCs w:val="20"/>
                <w:color w:val="auto"/>
              </w:rPr>
            </w:pPr>
            <w:r>
              <w:rPr>
                <w:rFonts w:ascii="Arial" w:cs="Arial" w:eastAsia="Arial" w:hAnsi="Arial"/>
                <w:sz w:val="14"/>
                <w:szCs w:val="14"/>
                <w:b w:val="1"/>
                <w:bCs w:val="1"/>
                <w:color w:val="auto"/>
                <w:w w:val="85"/>
              </w:rPr>
              <w:t>Account Number</w:t>
            </w:r>
          </w:p>
        </w:tc>
      </w:tr>
      <w:tr>
        <w:trPr>
          <w:trHeight w:val="129"/>
        </w:trPr>
        <w:tc>
          <w:tcPr>
            <w:tcW w:w="126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10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Name and Address</w:t>
            </w:r>
          </w:p>
        </w:tc>
        <w:tc>
          <w:tcPr>
            <w:tcW w:w="140" w:type="dxa"/>
            <w:vAlign w:val="bottom"/>
            <w:tcBorders>
              <w:top w:val="single" w:sz="8" w:color="auto"/>
            </w:tcBorders>
            <w:gridSpan w:val="2"/>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20" w:type="dxa"/>
            <w:vAlign w:val="bottom"/>
          </w:tcPr>
          <w:p>
            <w:pPr>
              <w:spacing w:after="0"/>
              <w:rPr>
                <w:sz w:val="11"/>
                <w:szCs w:val="11"/>
                <w:color w:val="auto"/>
              </w:rPr>
            </w:pPr>
          </w:p>
        </w:tc>
      </w:tr>
      <w:tr>
        <w:trPr>
          <w:trHeight w:val="129"/>
        </w:trPr>
        <w:tc>
          <w:tcPr>
            <w:tcW w:w="1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gridSpan w:val="4"/>
          </w:tcPr>
          <w:p>
            <w:pPr>
              <w:ind w:left="1020"/>
              <w:spacing w:after="0" w:line="129" w:lineRule="exact"/>
              <w:rPr>
                <w:sz w:val="20"/>
                <w:szCs w:val="20"/>
                <w:color w:val="auto"/>
              </w:rPr>
            </w:pPr>
            <w:r>
              <w:rPr>
                <w:rFonts w:ascii="Arial" w:cs="Arial" w:eastAsia="Arial" w:hAnsi="Arial"/>
                <w:sz w:val="12"/>
                <w:szCs w:val="12"/>
                <w:b w:val="1"/>
                <w:bCs w:val="1"/>
                <w:color w:val="auto"/>
                <w:w w:val="74"/>
              </w:rPr>
              <w:t>for</w:t>
            </w:r>
          </w:p>
        </w:tc>
        <w:tc>
          <w:tcPr>
            <w:tcW w:w="2120" w:type="dxa"/>
            <w:vAlign w:val="bottom"/>
            <w:gridSpan w:val="5"/>
          </w:tcPr>
          <w:p>
            <w:pPr>
              <w:ind w:left="60"/>
              <w:spacing w:after="0" w:line="129" w:lineRule="exact"/>
              <w:rPr>
                <w:sz w:val="20"/>
                <w:szCs w:val="20"/>
                <w:color w:val="auto"/>
              </w:rPr>
            </w:pPr>
            <w:r>
              <w:rPr>
                <w:rFonts w:ascii="Arial" w:cs="Arial" w:eastAsia="Arial" w:hAnsi="Arial"/>
                <w:sz w:val="14"/>
                <w:szCs w:val="14"/>
                <w:b w:val="1"/>
                <w:bCs w:val="1"/>
                <w:color w:val="auto"/>
              </w:rPr>
              <w:t>Account (if different</w:t>
            </w: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6"/>
        </w:trPr>
        <w:tc>
          <w:tcPr>
            <w:tcW w:w="1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6"/>
          </w:tcPr>
          <w:p>
            <w:pPr>
              <w:jc w:val="center"/>
              <w:ind w:right="40"/>
              <w:spacing w:after="0" w:line="129" w:lineRule="exact"/>
              <w:rPr>
                <w:sz w:val="20"/>
                <w:szCs w:val="20"/>
                <w:color w:val="auto"/>
              </w:rPr>
            </w:pPr>
            <w:r>
              <w:rPr>
                <w:rFonts w:ascii="Arial" w:cs="Arial" w:eastAsia="Arial" w:hAnsi="Arial"/>
                <w:sz w:val="14"/>
                <w:szCs w:val="14"/>
                <w:b w:val="1"/>
                <w:bCs w:val="1"/>
                <w:color w:val="auto"/>
                <w:w w:val="85"/>
              </w:rPr>
              <w:t>from notice address)</w:t>
            </w: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49"/>
        </w:trPr>
        <w:tc>
          <w:tcPr>
            <w:tcW w:w="1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49"/>
        </w:trPr>
        <w:tc>
          <w:tcPr>
            <w:tcW w:w="1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9"/>
        </w:trPr>
        <w:tc>
          <w:tcPr>
            <w:tcW w:w="1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49"/>
        </w:trPr>
        <w:tc>
          <w:tcPr>
            <w:tcW w:w="1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9"/>
        </w:trPr>
        <w:tc>
          <w:tcPr>
            <w:tcW w:w="1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49"/>
        </w:trPr>
        <w:tc>
          <w:tcPr>
            <w:tcW w:w="1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9"/>
        </w:trPr>
        <w:tc>
          <w:tcPr>
            <w:tcW w:w="1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bl>
    <w:p>
      <w:pPr>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65" w:name="page366"/>
    <w:bookmarkEnd w:id="36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A-2</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Security Agreement</w:t>
      </w:r>
    </w:p>
    <w:p>
      <w:pPr>
        <w:spacing w:after="0" w:line="159"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FORM OF ACCOUNT CONTROL AGREEMENT</w:t>
      </w:r>
    </w:p>
    <w:p>
      <w:pPr>
        <w:spacing w:after="0" w:line="17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ACCOUNT CONTROL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(Deposit Accounts Only)</w:t>
      </w:r>
    </w:p>
    <w:p>
      <w:pPr>
        <w:spacing w:after="0" w:line="165"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This ACCOUNT CONTROL AGREEMENT, dated as of , (this “</w:t>
      </w:r>
      <w:r>
        <w:rPr>
          <w:rFonts w:ascii="Arial" w:cs="Arial" w:eastAsia="Arial" w:hAnsi="Arial"/>
          <w:sz w:val="18"/>
          <w:szCs w:val="18"/>
          <w:u w:val="single" w:color="auto"/>
          <w:color w:val="auto"/>
        </w:rPr>
        <w:t>Agreement</w:t>
      </w:r>
      <w:r>
        <w:rPr>
          <w:rFonts w:ascii="Arial" w:cs="Arial" w:eastAsia="Arial" w:hAnsi="Arial"/>
          <w:sz w:val="18"/>
          <w:szCs w:val="18"/>
          <w:color w:val="auto"/>
        </w:rPr>
        <w:t>”), among INTEGRA LIFESCIENCES HOLDINGS CORPORATION,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affiliates of the Borrower identified as “Grantors” on the signature page of this Agreement (the Borrower and such affiliates are each referred to herein, individually, as a “</w:t>
      </w:r>
      <w:r>
        <w:rPr>
          <w:rFonts w:ascii="Arial" w:cs="Arial" w:eastAsia="Arial" w:hAnsi="Arial"/>
          <w:sz w:val="18"/>
          <w:szCs w:val="18"/>
          <w:u w:val="single" w:color="auto"/>
          <w:color w:val="auto"/>
        </w:rPr>
        <w:t>Grantor</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Grantors</w:t>
      </w:r>
      <w:r>
        <w:rPr>
          <w:rFonts w:ascii="Arial" w:cs="Arial" w:eastAsia="Arial" w:hAnsi="Arial"/>
          <w:sz w:val="18"/>
          <w:szCs w:val="18"/>
          <w:color w:val="auto"/>
        </w:rPr>
        <w:t>”), BANK OF AMERICA, N.A., as administrative agent and collateral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xml:space="preserve">) for the Secured Parties (as defined in the Security Agreement referred to below), and </w:t>
      </w:r>
      <w:r>
        <w:rPr>
          <w:rFonts w:ascii="Arial" w:cs="Arial" w:eastAsia="Arial" w:hAnsi="Arial"/>
          <w:sz w:val="18"/>
          <w:szCs w:val="18"/>
          <w:b w:val="1"/>
          <w:bCs w:val="1"/>
          <w:color w:val="auto"/>
        </w:rPr>
        <w:t>[NAME OF BANK]</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Bank</w:t>
      </w:r>
      <w:r>
        <w:rPr>
          <w:rFonts w:ascii="Arial" w:cs="Arial" w:eastAsia="Arial" w:hAnsi="Arial"/>
          <w:sz w:val="18"/>
          <w:szCs w:val="18"/>
          <w:color w:val="auto"/>
        </w:rPr>
        <w:t>”).</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171" w:lineRule="exact"/>
        <w:rPr>
          <w:sz w:val="20"/>
          <w:szCs w:val="20"/>
          <w:color w:val="auto"/>
        </w:rPr>
      </w:pPr>
    </w:p>
    <w:p>
      <w:pPr>
        <w:jc w:val="both"/>
        <w:ind w:firstLine="913"/>
        <w:spacing w:after="0" w:line="296"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pursuant to an Amended and Restated Security Agreement dated as of August 10, 2010 (as such agreement may be amended, amended</w:t>
      </w:r>
      <w:r>
        <w:rPr>
          <w:rFonts w:ascii="Arial" w:cs="Arial" w:eastAsia="Arial" w:hAnsi="Arial"/>
          <w:sz w:val="16"/>
          <w:szCs w:val="16"/>
          <w:b w:val="1"/>
          <w:bCs w:val="1"/>
          <w:color w:val="auto"/>
        </w:rPr>
        <w:t xml:space="preserve"> </w:t>
      </w:r>
      <w:r>
        <w:rPr>
          <w:rFonts w:ascii="Arial" w:cs="Arial" w:eastAsia="Arial" w:hAnsi="Arial"/>
          <w:sz w:val="16"/>
          <w:szCs w:val="16"/>
          <w:color w:val="auto"/>
        </w:rPr>
        <w:t>and restated, supplemented or otherwise modified from time to time, the “</w:t>
      </w:r>
      <w:r>
        <w:rPr>
          <w:rFonts w:ascii="Arial" w:cs="Arial" w:eastAsia="Arial" w:hAnsi="Arial"/>
          <w:sz w:val="16"/>
          <w:szCs w:val="16"/>
          <w:u w:val="single" w:color="auto"/>
          <w:color w:val="auto"/>
        </w:rPr>
        <w:t>Security Agreement</w:t>
      </w:r>
      <w:r>
        <w:rPr>
          <w:rFonts w:ascii="Arial" w:cs="Arial" w:eastAsia="Arial" w:hAnsi="Arial"/>
          <w:sz w:val="16"/>
          <w:szCs w:val="16"/>
          <w:color w:val="auto"/>
        </w:rPr>
        <w:t>”), among the Grantors and the Administrative Agent and in order to obtain the benefits referred to therein, each Grantor has granted to the Administrative Agent a security interest in, among other things, each Account (as defined below) of such Grantor, all funds deposited to such Account, all financial assets (as defined in the Uniform Commercial Code as from time to time in effect in the State of New York) maintained in such Account, all proceeds thereof and distributions in connection therewith (collectively, the “</w:t>
      </w:r>
      <w:r>
        <w:rPr>
          <w:rFonts w:ascii="Arial" w:cs="Arial" w:eastAsia="Arial" w:hAnsi="Arial"/>
          <w:sz w:val="16"/>
          <w:szCs w:val="16"/>
          <w:u w:val="single" w:color="auto"/>
          <w:color w:val="auto"/>
        </w:rPr>
        <w:t>Collateral</w:t>
      </w:r>
      <w:r>
        <w:rPr>
          <w:rFonts w:ascii="Arial" w:cs="Arial" w:eastAsia="Arial" w:hAnsi="Arial"/>
          <w:sz w:val="16"/>
          <w:szCs w:val="16"/>
          <w:color w:val="auto"/>
        </w:rPr>
        <w:t>”);</w:t>
      </w:r>
    </w:p>
    <w:p>
      <w:pPr>
        <w:spacing w:after="0" w:line="108" w:lineRule="exact"/>
        <w:rPr>
          <w:sz w:val="20"/>
          <w:szCs w:val="20"/>
          <w:color w:val="auto"/>
        </w:rPr>
      </w:pPr>
    </w:p>
    <w:p>
      <w:pPr>
        <w:jc w:val="both"/>
        <w:ind w:firstLine="913"/>
        <w:spacing w:after="0" w:line="310"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each Grantor has agreed with the Administrative Agent to maintain subject to the provisions of the Security Agreement each demand,</w:t>
      </w:r>
      <w:r>
        <w:rPr>
          <w:rFonts w:ascii="Arial" w:cs="Arial" w:eastAsia="Arial" w:hAnsi="Arial"/>
          <w:sz w:val="16"/>
          <w:szCs w:val="16"/>
          <w:b w:val="1"/>
          <w:bCs w:val="1"/>
          <w:color w:val="auto"/>
        </w:rPr>
        <w:t xml:space="preserve"> </w:t>
      </w:r>
      <w:r>
        <w:rPr>
          <w:rFonts w:ascii="Arial" w:cs="Arial" w:eastAsia="Arial" w:hAnsi="Arial"/>
          <w:sz w:val="16"/>
          <w:szCs w:val="16"/>
          <w:color w:val="auto"/>
        </w:rPr>
        <w:t>time, savings, passbook or similar account of such Grantor maintained with the Bank (each a “</w:t>
      </w:r>
      <w:r>
        <w:rPr>
          <w:rFonts w:ascii="Arial" w:cs="Arial" w:eastAsia="Arial" w:hAnsi="Arial"/>
          <w:sz w:val="16"/>
          <w:szCs w:val="16"/>
          <w:u w:val="single" w:color="auto"/>
          <w:color w:val="auto"/>
        </w:rPr>
        <w:t>Deposit Account</w:t>
      </w:r>
      <w:r>
        <w:rPr>
          <w:rFonts w:ascii="Arial" w:cs="Arial" w:eastAsia="Arial" w:hAnsi="Arial"/>
          <w:sz w:val="16"/>
          <w:szCs w:val="16"/>
          <w:color w:val="auto"/>
        </w:rPr>
        <w:t>”; each Deposit Account is referred to herein, individually, as an “</w:t>
      </w:r>
      <w:r>
        <w:rPr>
          <w:rFonts w:ascii="Arial" w:cs="Arial" w:eastAsia="Arial" w:hAnsi="Arial"/>
          <w:sz w:val="16"/>
          <w:szCs w:val="16"/>
          <w:u w:val="single" w:color="auto"/>
          <w:color w:val="auto"/>
        </w:rPr>
        <w:t>Account</w:t>
      </w:r>
      <w:r>
        <w:rPr>
          <w:rFonts w:ascii="Arial" w:cs="Arial" w:eastAsia="Arial" w:hAnsi="Arial"/>
          <w:sz w:val="16"/>
          <w:szCs w:val="16"/>
          <w:color w:val="auto"/>
        </w:rPr>
        <w:t>” and, collectively, as the “</w:t>
      </w:r>
      <w:r>
        <w:rPr>
          <w:rFonts w:ascii="Arial" w:cs="Arial" w:eastAsia="Arial" w:hAnsi="Arial"/>
          <w:sz w:val="16"/>
          <w:szCs w:val="16"/>
          <w:u w:val="single" w:color="auto"/>
          <w:color w:val="auto"/>
        </w:rPr>
        <w:t>Accounts</w:t>
      </w:r>
      <w:r>
        <w:rPr>
          <w:rFonts w:ascii="Arial" w:cs="Arial" w:eastAsia="Arial" w:hAnsi="Arial"/>
          <w:sz w:val="16"/>
          <w:szCs w:val="16"/>
          <w:color w:val="auto"/>
        </w:rPr>
        <w:t xml:space="preserve">”), each of which is described opposite the name of such Grantor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and</w:t>
      </w:r>
    </w:p>
    <w:p>
      <w:pPr>
        <w:spacing w:after="0" w:line="97" w:lineRule="exact"/>
        <w:rPr>
          <w:sz w:val="20"/>
          <w:szCs w:val="20"/>
          <w:color w:val="auto"/>
        </w:rPr>
      </w:pPr>
    </w:p>
    <w:p>
      <w:pPr>
        <w:jc w:val="both"/>
        <w:ind w:firstLine="913"/>
        <w:spacing w:after="0" w:line="310"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each Grantor, the Administrative Agent and the Bank are entering into this Agreement to provide that the Administrative Agent shall</w:t>
      </w:r>
      <w:r>
        <w:rPr>
          <w:rFonts w:ascii="Arial" w:cs="Arial" w:eastAsia="Arial" w:hAnsi="Arial"/>
          <w:sz w:val="16"/>
          <w:szCs w:val="16"/>
          <w:b w:val="1"/>
          <w:bCs w:val="1"/>
          <w:color w:val="auto"/>
        </w:rPr>
        <w:t xml:space="preserve"> </w:t>
      </w:r>
      <w:r>
        <w:rPr>
          <w:rFonts w:ascii="Arial" w:cs="Arial" w:eastAsia="Arial" w:hAnsi="Arial"/>
          <w:sz w:val="16"/>
          <w:szCs w:val="16"/>
          <w:color w:val="auto"/>
        </w:rPr>
        <w:t>have the right to exercise exclusive control over the Accounts and all amounts and financial assets maintained therein as herein provided at any time after the occurrence and during the continuance of an Event of Default (as defined in the Security Agreement);</w:t>
      </w:r>
    </w:p>
    <w:p>
      <w:pPr>
        <w:spacing w:after="0" w:line="97"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in consideration of the premises and the mutual covenants and agreements hereinafter set forth, each Grantor,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and the Bank agree as follows: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Account Control Agreement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(Deposit Accounts Only)</w:t>
      </w:r>
    </w:p>
    <w:p>
      <w:pPr>
        <w:sectPr>
          <w:pgSz w:w="11900" w:h="16838" w:orient="portrait"/>
          <w:cols w:equalWidth="0" w:num="1">
            <w:col w:w="11420"/>
          </w:cols>
          <w:pgMar w:left="240" w:top="273" w:right="239" w:bottom="1440" w:gutter="0" w:footer="0" w:header="0"/>
        </w:sectPr>
      </w:pPr>
    </w:p>
    <w:bookmarkStart w:id="366" w:name="page367"/>
    <w:bookmarkEnd w:id="366"/>
    <w:p>
      <w:pPr>
        <w:ind w:firstLine="921"/>
        <w:spacing w:after="0" w:line="268" w:lineRule="auto"/>
        <w:tabs>
          <w:tab w:leader="none" w:pos="1111" w:val="left"/>
        </w:tabs>
        <w:numPr>
          <w:ilvl w:val="0"/>
          <w:numId w:val="3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terms (whether or not underscored) when used in this Agreement, including its preamble and recitals shall have the following meanings (such definitions to be equally applicable to the singular and plural forms thereof):</w:t>
      </w:r>
    </w:p>
    <w:p>
      <w:pPr>
        <w:spacing w:after="0" w:line="132"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 Agreement</w:t>
      </w:r>
      <w:r>
        <w:rPr>
          <w:rFonts w:ascii="Arial" w:cs="Arial" w:eastAsia="Arial" w:hAnsi="Arial"/>
          <w:sz w:val="18"/>
          <w:szCs w:val="18"/>
          <w:color w:val="auto"/>
        </w:rPr>
        <w:t xml:space="preserve">” means, with respect to each Account of a Grantor, the agreement in respect of such Account between such Grantor and the Bank, as such agreement may be amended, supplemented or otherwise modified from time to time pursuant to the terms thereof and, except as provided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hereof, with the prior written consent of the Administrative Agent.</w:t>
      </w:r>
    </w:p>
    <w:p>
      <w:pPr>
        <w:spacing w:after="0" w:line="140" w:lineRule="exact"/>
        <w:rPr>
          <w:sz w:val="20"/>
          <w:szCs w:val="20"/>
          <w:color w:val="auto"/>
        </w:rPr>
      </w:pPr>
    </w:p>
    <w:p>
      <w:pPr>
        <w:jc w:val="both"/>
        <w:ind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Activation Period</w:t>
      </w:r>
      <w:r>
        <w:rPr>
          <w:rFonts w:ascii="Arial" w:cs="Arial" w:eastAsia="Arial" w:hAnsi="Arial"/>
          <w:sz w:val="16"/>
          <w:szCs w:val="16"/>
          <w:color w:val="auto"/>
        </w:rPr>
        <w:t>” means the period commencing within a reasonable period of time not to exceed two Business Days after the Bank’s receipt of the Notice and ending on the date the Notice is withdrawn or rescinded by a further written notice delivered by the Administrative Agent to the Bank.</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each Monday through Friday, excluding any holiday on which the Bank is customarily closed for business.</w:t>
      </w:r>
    </w:p>
    <w:p>
      <w:pPr>
        <w:spacing w:after="0" w:line="171"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Account</w:t>
      </w:r>
      <w:r>
        <w:rPr>
          <w:rFonts w:ascii="Arial" w:cs="Arial" w:eastAsia="Arial" w:hAnsi="Arial"/>
          <w:sz w:val="18"/>
          <w:szCs w:val="18"/>
          <w:color w:val="auto"/>
        </w:rPr>
        <w:t>” means an account controlled by the Administrative Agent as designated to the Bank in the Notice or other written notice delivered to the Bank by the Administrative Agent.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Damages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6(a)</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Grantors’ Agent</w:t>
      </w:r>
      <w:r>
        <w:rPr>
          <w:rFonts w:ascii="Arial" w:cs="Arial" w:eastAsia="Arial" w:hAnsi="Arial"/>
          <w:sz w:val="16"/>
          <w:szCs w:val="16"/>
          <w:color w:val="auto"/>
        </w:rPr>
        <w:t>” means the Borrower acting in its capacity as agent for itself and the other Grantors for purposes of administering this Agreement.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Any notices delivered to the Grantors’ Agent hereunder shall be deemed to have been delivered to each Grantor.</w:t>
      </w:r>
    </w:p>
    <w:p>
      <w:pPr>
        <w:spacing w:after="0" w:line="165"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w:t>
      </w:r>
      <w:r>
        <w:rPr>
          <w:rFonts w:ascii="Arial" w:cs="Arial" w:eastAsia="Arial" w:hAnsi="Arial"/>
          <w:sz w:val="18"/>
          <w:szCs w:val="18"/>
          <w:color w:val="auto"/>
        </w:rPr>
        <w:t xml:space="preserve">” means written notice from Administrative Agent to the Bank in the form of </w:t>
      </w:r>
      <w:r>
        <w:rPr>
          <w:rFonts w:ascii="Arial" w:cs="Arial" w:eastAsia="Arial" w:hAnsi="Arial"/>
          <w:sz w:val="18"/>
          <w:szCs w:val="18"/>
          <w:u w:val="single" w:color="auto"/>
          <w:color w:val="auto"/>
        </w:rPr>
        <w:t>Attachment I</w:t>
      </w:r>
      <w:r>
        <w:rPr>
          <w:rFonts w:ascii="Arial" w:cs="Arial" w:eastAsia="Arial" w:hAnsi="Arial"/>
          <w:sz w:val="18"/>
          <w:szCs w:val="18"/>
          <w:color w:val="auto"/>
        </w:rPr>
        <w:t xml:space="preserve"> hereto. The Administrative Agent shall also deliver a copy of each Notice to the Grantors’ Agent as and when delivered to the Bank.</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w:t>
      </w:r>
      <w:r>
        <w:rPr>
          <w:rFonts w:ascii="Arial" w:cs="Arial" w:eastAsia="Arial" w:hAnsi="Arial"/>
          <w:sz w:val="18"/>
          <w:szCs w:val="18"/>
          <w:color w:val="auto"/>
        </w:rPr>
        <w:t>” means any writ, levy, order or other similar judicial or regulatory order or process.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Retained Balance</w:t>
      </w:r>
      <w:r>
        <w:rPr>
          <w:rFonts w:ascii="Arial" w:cs="Arial" w:eastAsia="Arial" w:hAnsi="Arial"/>
          <w:sz w:val="16"/>
          <w:szCs w:val="16"/>
          <w:color w:val="auto"/>
        </w:rPr>
        <w:t>” means, on any date, the aggregate of the available cash balances in all the Accounts on such date which is less than $5,000.</w:t>
      </w:r>
    </w:p>
    <w:p>
      <w:pPr>
        <w:spacing w:after="0" w:line="194" w:lineRule="exact"/>
        <w:rPr>
          <w:sz w:val="20"/>
          <w:szCs w:val="20"/>
          <w:color w:val="auto"/>
        </w:rPr>
      </w:pPr>
    </w:p>
    <w:p>
      <w:pPr>
        <w:ind w:left="1100" w:hanging="179"/>
        <w:spacing w:after="0"/>
        <w:tabs>
          <w:tab w:leader="none" w:pos="110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The Bank is hereby authorized as follows:</w:t>
      </w:r>
    </w:p>
    <w:p>
      <w:pPr>
        <w:spacing w:after="0" w:line="171" w:lineRule="exact"/>
        <w:rPr>
          <w:rFonts w:ascii="Arial" w:cs="Arial" w:eastAsia="Arial" w:hAnsi="Arial"/>
          <w:sz w:val="18"/>
          <w:szCs w:val="18"/>
          <w:color w:val="auto"/>
        </w:rPr>
      </w:pPr>
    </w:p>
    <w:p>
      <w:pPr>
        <w:jc w:val="both"/>
        <w:ind w:firstLine="1492"/>
        <w:spacing w:after="0" w:line="259" w:lineRule="auto"/>
        <w:tabs>
          <w:tab w:leader="none" w:pos="1729" w:val="left"/>
        </w:tabs>
        <w:numPr>
          <w:ilvl w:val="1"/>
          <w:numId w:val="374"/>
        </w:numPr>
        <w:rPr>
          <w:rFonts w:ascii="Arial" w:cs="Arial" w:eastAsia="Arial" w:hAnsi="Arial"/>
          <w:sz w:val="18"/>
          <w:szCs w:val="18"/>
          <w:color w:val="auto"/>
        </w:rPr>
      </w:pPr>
      <w:r>
        <w:rPr>
          <w:rFonts w:ascii="Arial" w:cs="Arial" w:eastAsia="Arial" w:hAnsi="Arial"/>
          <w:sz w:val="18"/>
          <w:szCs w:val="18"/>
          <w:color w:val="auto"/>
        </w:rPr>
        <w:t>Prior to the Activation Period, the Bank may follow the Bank’s usual procedures as may be more particularly provided in the applicable Account Agreement in the event any Account or any check, draft or other order for payment of money maintained therein should be or become the subject of an Order.</w:t>
      </w:r>
    </w:p>
    <w:p>
      <w:pPr>
        <w:spacing w:after="0" w:line="140" w:lineRule="exact"/>
        <w:rPr>
          <w:rFonts w:ascii="Arial" w:cs="Arial" w:eastAsia="Arial" w:hAnsi="Arial"/>
          <w:sz w:val="18"/>
          <w:szCs w:val="18"/>
          <w:color w:val="auto"/>
        </w:rPr>
      </w:pPr>
    </w:p>
    <w:p>
      <w:pPr>
        <w:ind w:firstLine="1492"/>
        <w:spacing w:after="0" w:line="332" w:lineRule="auto"/>
        <w:tabs>
          <w:tab w:leader="none" w:pos="1739" w:val="left"/>
        </w:tabs>
        <w:numPr>
          <w:ilvl w:val="1"/>
          <w:numId w:val="374"/>
        </w:numPr>
        <w:rPr>
          <w:rFonts w:ascii="Arial" w:cs="Arial" w:eastAsia="Arial" w:hAnsi="Arial"/>
          <w:sz w:val="16"/>
          <w:szCs w:val="16"/>
          <w:color w:val="auto"/>
        </w:rPr>
      </w:pPr>
      <w:r>
        <w:rPr>
          <w:rFonts w:ascii="Arial" w:cs="Arial" w:eastAsia="Arial" w:hAnsi="Arial"/>
          <w:sz w:val="16"/>
          <w:szCs w:val="16"/>
          <w:color w:val="auto"/>
        </w:rPr>
        <w:t>Prior to the Activation Period, the Bank may permit each Grantor to operate and transact business through any Account of such Grantor in its normal fashion, including making withdrawals from any such Account in accordance with the applicable Account Agreement.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Account Control Agreement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(Deposit Accounts Only)</w:t>
      </w:r>
    </w:p>
    <w:p>
      <w:pPr>
        <w:sectPr>
          <w:pgSz w:w="11900" w:h="16838" w:orient="portrait"/>
          <w:cols w:equalWidth="0" w:num="1">
            <w:col w:w="11420"/>
          </w:cols>
          <w:pgMar w:left="240" w:top="279" w:right="239" w:bottom="1440" w:gutter="0" w:footer="0" w:header="0"/>
        </w:sectPr>
      </w:pPr>
    </w:p>
    <w:bookmarkStart w:id="367" w:name="page368"/>
    <w:bookmarkEnd w:id="367"/>
    <w:p>
      <w:pPr>
        <w:jc w:val="both"/>
        <w:ind w:firstLine="1492"/>
        <w:spacing w:after="0" w:line="294" w:lineRule="auto"/>
        <w:tabs>
          <w:tab w:leader="none" w:pos="1723" w:val="left"/>
        </w:tabs>
        <w:numPr>
          <w:ilvl w:val="1"/>
          <w:numId w:val="37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During the Activation Period, the Bank shall (i) transfer by wire transfer to the Collateral Account pursuant to the Administrative Agent’s instructions any collected and available cash credit balances in each Account each Business Day to the extent that the aggregate of the available cash credit balances in all the Accounts on such Business Day exceeds the Retained Balance and (ii) manage each Account as the Administrative Agent may direct in writing from time to time. Funds are not available if, in the reasonable determination of Bank, they are subject to an Order preventing their withdrawal. The Administrative Agent will give the Bank sufficient advance written notice of any change in the instructions for Bank to act upon such changes.</w:t>
      </w:r>
    </w:p>
    <w:p>
      <w:pPr>
        <w:spacing w:after="0" w:line="115" w:lineRule="exact"/>
        <w:rPr>
          <w:rFonts w:ascii="Arial" w:cs="Arial" w:eastAsia="Arial" w:hAnsi="Arial"/>
          <w:sz w:val="16"/>
          <w:szCs w:val="16"/>
          <w:color w:val="auto"/>
        </w:rPr>
      </w:pPr>
    </w:p>
    <w:p>
      <w:pPr>
        <w:ind w:right="20" w:firstLine="1492"/>
        <w:spacing w:after="0" w:line="268" w:lineRule="auto"/>
        <w:tabs>
          <w:tab w:leader="none" w:pos="1749" w:val="left"/>
        </w:tabs>
        <w:numPr>
          <w:ilvl w:val="1"/>
          <w:numId w:val="375"/>
        </w:numPr>
        <w:rPr>
          <w:rFonts w:ascii="Arial" w:cs="Arial" w:eastAsia="Arial" w:hAnsi="Arial"/>
          <w:sz w:val="18"/>
          <w:szCs w:val="18"/>
          <w:color w:val="auto"/>
        </w:rPr>
      </w:pPr>
      <w:r>
        <w:rPr>
          <w:rFonts w:ascii="Arial" w:cs="Arial" w:eastAsia="Arial" w:hAnsi="Arial"/>
          <w:sz w:val="18"/>
          <w:szCs w:val="18"/>
          <w:color w:val="auto"/>
        </w:rPr>
        <w:t>During the Activation Period, the Bank shall not accept or honor any instructions from or on behalf of any Grantor in respect of any Account or any other Collateral.</w:t>
      </w:r>
    </w:p>
    <w:p>
      <w:pPr>
        <w:spacing w:after="0" w:line="131" w:lineRule="exact"/>
        <w:rPr>
          <w:rFonts w:ascii="Arial" w:cs="Arial" w:eastAsia="Arial" w:hAnsi="Arial"/>
          <w:sz w:val="18"/>
          <w:szCs w:val="18"/>
          <w:color w:val="auto"/>
        </w:rPr>
      </w:pPr>
    </w:p>
    <w:p>
      <w:pPr>
        <w:ind w:left="1740" w:hanging="248"/>
        <w:spacing w:after="0"/>
        <w:tabs>
          <w:tab w:leader="none" w:pos="1740" w:val="left"/>
        </w:tabs>
        <w:numPr>
          <w:ilvl w:val="1"/>
          <w:numId w:val="375"/>
        </w:numPr>
        <w:rPr>
          <w:rFonts w:ascii="Arial" w:cs="Arial" w:eastAsia="Arial" w:hAnsi="Arial"/>
          <w:sz w:val="16"/>
          <w:szCs w:val="16"/>
          <w:color w:val="auto"/>
        </w:rPr>
      </w:pPr>
      <w:r>
        <w:rPr>
          <w:rFonts w:ascii="Arial" w:cs="Arial" w:eastAsia="Arial" w:hAnsi="Arial"/>
          <w:sz w:val="16"/>
          <w:szCs w:val="16"/>
          <w:color w:val="auto"/>
        </w:rPr>
        <w:t>Each Grantor hereby irrevocably authorizes and instructs the Bank to perform and comply with the terms of this Agreement.</w:t>
      </w:r>
    </w:p>
    <w:p>
      <w:pPr>
        <w:spacing w:after="0" w:line="194" w:lineRule="exact"/>
        <w:rPr>
          <w:rFonts w:ascii="Arial" w:cs="Arial" w:eastAsia="Arial" w:hAnsi="Arial"/>
          <w:sz w:val="16"/>
          <w:szCs w:val="16"/>
          <w:color w:val="auto"/>
        </w:rPr>
      </w:pPr>
    </w:p>
    <w:p>
      <w:pPr>
        <w:jc w:val="both"/>
        <w:ind w:firstLine="1492"/>
        <w:spacing w:after="0" w:line="256" w:lineRule="auto"/>
        <w:tabs>
          <w:tab w:leader="none" w:pos="1708" w:val="left"/>
        </w:tabs>
        <w:numPr>
          <w:ilvl w:val="1"/>
          <w:numId w:val="375"/>
        </w:numPr>
        <w:rPr>
          <w:rFonts w:ascii="Arial" w:cs="Arial" w:eastAsia="Arial" w:hAnsi="Arial"/>
          <w:sz w:val="18"/>
          <w:szCs w:val="18"/>
          <w:color w:val="auto"/>
        </w:rPr>
      </w:pPr>
      <w:r>
        <w:rPr>
          <w:rFonts w:ascii="Arial" w:cs="Arial" w:eastAsia="Arial" w:hAnsi="Arial"/>
          <w:sz w:val="18"/>
          <w:szCs w:val="18"/>
          <w:color w:val="auto"/>
        </w:rPr>
        <w:t xml:space="preserve">The Administrative Agent acknowledges and agrees that the Bank has the right to charge each Account from time to time, as set forth in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of this Agreement, and that Administrative Agent has no right to the sums so withdrawn by the Bank. During the Activation Period, the Administrative Agent and the Grantors agree that the Bank has the right to apply the Retained Balance to pay the accrued and unpaid obligations of the Grantors pursuant to </w:t>
      </w:r>
      <w:r>
        <w:rPr>
          <w:rFonts w:ascii="Arial" w:cs="Arial" w:eastAsia="Arial" w:hAnsi="Arial"/>
          <w:sz w:val="18"/>
          <w:szCs w:val="18"/>
          <w:u w:val="single" w:color="auto"/>
          <w:color w:val="auto"/>
        </w:rPr>
        <w:t>Sections 4(a)</w:t>
      </w:r>
      <w:r>
        <w:rPr>
          <w:rFonts w:ascii="Arial" w:cs="Arial" w:eastAsia="Arial" w:hAnsi="Arial"/>
          <w:sz w:val="18"/>
          <w:szCs w:val="18"/>
          <w:color w:val="auto"/>
        </w:rPr>
        <w:t xml:space="preserve">, </w:t>
      </w:r>
      <w:r>
        <w:rPr>
          <w:rFonts w:ascii="Arial" w:cs="Arial" w:eastAsia="Arial" w:hAnsi="Arial"/>
          <w:sz w:val="18"/>
          <w:szCs w:val="18"/>
          <w:u w:val="single" w:color="auto"/>
          <w:color w:val="auto"/>
        </w:rPr>
        <w:t>4(b)</w:t>
      </w:r>
      <w:r>
        <w:rPr>
          <w:rFonts w:ascii="Arial" w:cs="Arial" w:eastAsia="Arial" w:hAnsi="Arial"/>
          <w:sz w:val="18"/>
          <w:szCs w:val="18"/>
          <w:color w:val="auto"/>
        </w:rPr>
        <w:t xml:space="preserve">, </w:t>
      </w:r>
      <w:r>
        <w:rPr>
          <w:rFonts w:ascii="Arial" w:cs="Arial" w:eastAsia="Arial" w:hAnsi="Arial"/>
          <w:sz w:val="18"/>
          <w:szCs w:val="18"/>
          <w:u w:val="single" w:color="auto"/>
          <w:color w:val="auto"/>
        </w:rPr>
        <w:t>7(a)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w:t>
      </w:r>
      <w:r>
        <w:rPr>
          <w:rFonts w:ascii="Arial" w:cs="Arial" w:eastAsia="Arial" w:hAnsi="Arial"/>
          <w:sz w:val="18"/>
          <w:szCs w:val="18"/>
          <w:color w:val="auto"/>
        </w:rPr>
        <w:t xml:space="preserve"> of this Agreement.</w:t>
      </w:r>
    </w:p>
    <w:p>
      <w:pPr>
        <w:spacing w:after="0" w:line="143" w:lineRule="exact"/>
        <w:rPr>
          <w:rFonts w:ascii="Arial" w:cs="Arial" w:eastAsia="Arial" w:hAnsi="Arial"/>
          <w:sz w:val="18"/>
          <w:szCs w:val="18"/>
          <w:color w:val="auto"/>
        </w:rPr>
      </w:pPr>
    </w:p>
    <w:p>
      <w:pPr>
        <w:ind w:left="1100" w:hanging="179"/>
        <w:spacing w:after="0"/>
        <w:tabs>
          <w:tab w:leader="none" w:pos="110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The Bank hereby represents and warrants, acknowledges and agrees, as follows:</w:t>
      </w:r>
    </w:p>
    <w:p>
      <w:pPr>
        <w:spacing w:after="0" w:line="171" w:lineRule="exact"/>
        <w:rPr>
          <w:rFonts w:ascii="Arial" w:cs="Arial" w:eastAsia="Arial" w:hAnsi="Arial"/>
          <w:sz w:val="18"/>
          <w:szCs w:val="18"/>
          <w:color w:val="auto"/>
        </w:rPr>
      </w:pPr>
    </w:p>
    <w:p>
      <w:pPr>
        <w:jc w:val="both"/>
        <w:ind w:firstLine="1492"/>
        <w:spacing w:after="0" w:line="259" w:lineRule="auto"/>
        <w:tabs>
          <w:tab w:leader="none" w:pos="1731" w:val="left"/>
        </w:tabs>
        <w:numPr>
          <w:ilvl w:val="1"/>
          <w:numId w:val="376"/>
        </w:numPr>
        <w:rPr>
          <w:rFonts w:ascii="Arial" w:cs="Arial" w:eastAsia="Arial" w:hAnsi="Arial"/>
          <w:sz w:val="18"/>
          <w:szCs w:val="18"/>
          <w:color w:val="auto"/>
        </w:rPr>
      </w:pPr>
      <w:r>
        <w:rPr>
          <w:rFonts w:ascii="Arial" w:cs="Arial" w:eastAsia="Arial" w:hAnsi="Arial"/>
          <w:sz w:val="18"/>
          <w:szCs w:val="18"/>
          <w:color w:val="auto"/>
        </w:rPr>
        <w:t xml:space="preserve">at all times during the Activation Period without further instructions from any Grantor it will comply with all instructions originated by the Administrative Agent directing disposition of any funds maintained in any Account, in each case, which are delivered in accordance with </w:t>
      </w:r>
      <w:r>
        <w:rPr>
          <w:rFonts w:ascii="Arial" w:cs="Arial" w:eastAsia="Arial" w:hAnsi="Arial"/>
          <w:sz w:val="18"/>
          <w:szCs w:val="18"/>
          <w:u w:val="single" w:color="auto"/>
          <w:color w:val="auto"/>
        </w:rPr>
        <w:t>Section 2(c)</w:t>
      </w:r>
      <w:r>
        <w:rPr>
          <w:rFonts w:ascii="Arial" w:cs="Arial" w:eastAsia="Arial" w:hAnsi="Arial"/>
          <w:sz w:val="18"/>
          <w:szCs w:val="18"/>
          <w:color w:val="auto"/>
        </w:rPr>
        <w:t xml:space="preserve"> of this Agreement;</w:t>
      </w:r>
    </w:p>
    <w:p>
      <w:pPr>
        <w:spacing w:after="0" w:line="140" w:lineRule="exact"/>
        <w:rPr>
          <w:rFonts w:ascii="Arial" w:cs="Arial" w:eastAsia="Arial" w:hAnsi="Arial"/>
          <w:sz w:val="18"/>
          <w:szCs w:val="18"/>
          <w:color w:val="auto"/>
        </w:rPr>
      </w:pPr>
    </w:p>
    <w:p>
      <w:pPr>
        <w:ind w:firstLine="1492"/>
        <w:spacing w:after="0" w:line="268" w:lineRule="auto"/>
        <w:tabs>
          <w:tab w:leader="none" w:pos="1756" w:val="left"/>
        </w:tabs>
        <w:numPr>
          <w:ilvl w:val="1"/>
          <w:numId w:val="376"/>
        </w:numPr>
        <w:rPr>
          <w:rFonts w:ascii="Arial" w:cs="Arial" w:eastAsia="Arial" w:hAnsi="Arial"/>
          <w:sz w:val="18"/>
          <w:szCs w:val="18"/>
          <w:color w:val="auto"/>
        </w:rPr>
      </w:pPr>
      <w:r>
        <w:rPr>
          <w:rFonts w:ascii="Arial" w:cs="Arial" w:eastAsia="Arial" w:hAnsi="Arial"/>
          <w:sz w:val="18"/>
          <w:szCs w:val="18"/>
          <w:color w:val="auto"/>
        </w:rPr>
        <w:t>at all times the location of the Bank and the location of each Account under this Agreement (and each Account Agreement) for all purposes of the Uniform Commercial Code shall be the State of New York;</w:t>
      </w:r>
    </w:p>
    <w:p>
      <w:pPr>
        <w:spacing w:after="0" w:line="131" w:lineRule="exact"/>
        <w:rPr>
          <w:rFonts w:ascii="Arial" w:cs="Arial" w:eastAsia="Arial" w:hAnsi="Arial"/>
          <w:sz w:val="18"/>
          <w:szCs w:val="18"/>
          <w:color w:val="auto"/>
        </w:rPr>
      </w:pPr>
    </w:p>
    <w:p>
      <w:pPr>
        <w:ind w:right="20" w:firstLine="1492"/>
        <w:spacing w:after="0" w:line="268" w:lineRule="auto"/>
        <w:tabs>
          <w:tab w:leader="none" w:pos="1735" w:val="left"/>
        </w:tabs>
        <w:numPr>
          <w:ilvl w:val="1"/>
          <w:numId w:val="376"/>
        </w:numPr>
        <w:rPr>
          <w:rFonts w:ascii="Arial" w:cs="Arial" w:eastAsia="Arial" w:hAnsi="Arial"/>
          <w:sz w:val="18"/>
          <w:szCs w:val="18"/>
          <w:color w:val="auto"/>
        </w:rPr>
      </w:pPr>
      <w:r>
        <w:rPr>
          <w:rFonts w:ascii="Arial" w:cs="Arial" w:eastAsia="Arial" w:hAnsi="Arial"/>
          <w:sz w:val="18"/>
          <w:szCs w:val="18"/>
          <w:color w:val="auto"/>
        </w:rPr>
        <w:t>(i) it has been notified of the Administrative Agent’s security interest in the Accounts and the other Collateral granted by the Grantors under the Security Agreement;</w:t>
      </w:r>
    </w:p>
    <w:p>
      <w:pPr>
        <w:spacing w:after="0" w:line="50" w:lineRule="exact"/>
        <w:rPr>
          <w:rFonts w:ascii="Arial" w:cs="Arial" w:eastAsia="Arial" w:hAnsi="Arial"/>
          <w:sz w:val="18"/>
          <w:szCs w:val="18"/>
          <w:color w:val="auto"/>
        </w:rPr>
      </w:pPr>
    </w:p>
    <w:p>
      <w:pPr>
        <w:ind w:left="2020" w:hanging="259"/>
        <w:spacing w:after="0"/>
        <w:tabs>
          <w:tab w:leader="none" w:pos="2020" w:val="left"/>
        </w:tabs>
        <w:numPr>
          <w:ilvl w:val="2"/>
          <w:numId w:val="376"/>
        </w:numPr>
        <w:rPr>
          <w:rFonts w:ascii="Arial" w:cs="Arial" w:eastAsia="Arial" w:hAnsi="Arial"/>
          <w:sz w:val="18"/>
          <w:szCs w:val="18"/>
          <w:color w:val="auto"/>
        </w:rPr>
      </w:pPr>
      <w:r>
        <w:rPr>
          <w:rFonts w:ascii="Arial" w:cs="Arial" w:eastAsia="Arial" w:hAnsi="Arial"/>
          <w:sz w:val="18"/>
          <w:szCs w:val="18"/>
          <w:color w:val="auto"/>
        </w:rPr>
        <w:t>it has recorded such security interest on its books and records;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Account Control Agreement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(Deposit Accounts Only)</w:t>
      </w:r>
    </w:p>
    <w:p>
      <w:pPr>
        <w:sectPr>
          <w:pgSz w:w="11900" w:h="16838" w:orient="portrait"/>
          <w:cols w:equalWidth="0" w:num="1">
            <w:col w:w="11420"/>
          </w:cols>
          <w:pgMar w:left="240" w:top="280" w:right="239" w:bottom="1440" w:gutter="0" w:footer="0" w:header="0"/>
        </w:sectPr>
      </w:pPr>
    </w:p>
    <w:bookmarkStart w:id="368" w:name="page369"/>
    <w:bookmarkEnd w:id="368"/>
    <w:p>
      <w:pPr>
        <w:ind w:left="920" w:firstLine="841"/>
        <w:spacing w:after="0" w:line="268" w:lineRule="auto"/>
        <w:tabs>
          <w:tab w:leader="none" w:pos="2084" w:val="left"/>
        </w:tabs>
        <w:numPr>
          <w:ilvl w:val="2"/>
          <w:numId w:val="3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of the date hereof it has received no notice of any other security interest or any Order in respect of any Account or any other Collateral (except for the interest of the Bank contemplated by this Agreement); and</w:t>
      </w:r>
    </w:p>
    <w:p>
      <w:pPr>
        <w:spacing w:after="0" w:line="50" w:lineRule="exact"/>
        <w:rPr>
          <w:rFonts w:ascii="Arial" w:cs="Arial" w:eastAsia="Arial" w:hAnsi="Arial"/>
          <w:sz w:val="18"/>
          <w:szCs w:val="18"/>
          <w:color w:val="auto"/>
        </w:rPr>
      </w:pPr>
    </w:p>
    <w:p>
      <w:pPr>
        <w:ind w:left="2080" w:hanging="319"/>
        <w:spacing w:after="0"/>
        <w:tabs>
          <w:tab w:leader="none" w:pos="2080" w:val="left"/>
        </w:tabs>
        <w:numPr>
          <w:ilvl w:val="2"/>
          <w:numId w:val="377"/>
        </w:numPr>
        <w:rPr>
          <w:rFonts w:ascii="Arial" w:cs="Arial" w:eastAsia="Arial" w:hAnsi="Arial"/>
          <w:sz w:val="16"/>
          <w:szCs w:val="16"/>
          <w:color w:val="auto"/>
        </w:rPr>
      </w:pPr>
      <w:r>
        <w:rPr>
          <w:rFonts w:ascii="Arial" w:cs="Arial" w:eastAsia="Arial" w:hAnsi="Arial"/>
          <w:sz w:val="16"/>
          <w:szCs w:val="16"/>
          <w:color w:val="auto"/>
        </w:rPr>
        <w:t>it will advise the Administrative Agent in writing promptly following its receipt of notice of any such other security interest or</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Order;</w:t>
      </w:r>
    </w:p>
    <w:p>
      <w:pPr>
        <w:spacing w:after="0" w:line="164" w:lineRule="exact"/>
        <w:rPr>
          <w:rFonts w:ascii="Arial" w:cs="Arial" w:eastAsia="Arial" w:hAnsi="Arial"/>
          <w:sz w:val="16"/>
          <w:szCs w:val="16"/>
          <w:color w:val="auto"/>
        </w:rPr>
      </w:pPr>
    </w:p>
    <w:p>
      <w:pPr>
        <w:ind w:left="1740" w:hanging="248"/>
        <w:spacing w:after="0"/>
        <w:tabs>
          <w:tab w:leader="none" w:pos="1740" w:val="left"/>
        </w:tabs>
        <w:numPr>
          <w:ilvl w:val="1"/>
          <w:numId w:val="378"/>
        </w:numPr>
        <w:rPr>
          <w:rFonts w:ascii="Arial" w:cs="Arial" w:eastAsia="Arial" w:hAnsi="Arial"/>
          <w:sz w:val="18"/>
          <w:szCs w:val="18"/>
          <w:color w:val="auto"/>
        </w:rPr>
      </w:pPr>
      <w:r>
        <w:rPr>
          <w:rFonts w:ascii="Arial" w:cs="Arial" w:eastAsia="Arial" w:hAnsi="Arial"/>
          <w:sz w:val="18"/>
          <w:szCs w:val="18"/>
          <w:color w:val="auto"/>
        </w:rPr>
        <w:t>it will not advance any credit against any Account or any Collateral in any Account;</w:t>
      </w:r>
    </w:p>
    <w:p>
      <w:pPr>
        <w:spacing w:after="0" w:line="171" w:lineRule="exact"/>
        <w:rPr>
          <w:rFonts w:ascii="Arial" w:cs="Arial" w:eastAsia="Arial" w:hAnsi="Arial"/>
          <w:sz w:val="18"/>
          <w:szCs w:val="18"/>
          <w:color w:val="auto"/>
        </w:rPr>
      </w:pPr>
    </w:p>
    <w:p>
      <w:pPr>
        <w:ind w:firstLine="1492"/>
        <w:spacing w:after="0" w:line="332" w:lineRule="auto"/>
        <w:tabs>
          <w:tab w:leader="none" w:pos="1725" w:val="left"/>
        </w:tabs>
        <w:numPr>
          <w:ilvl w:val="1"/>
          <w:numId w:val="378"/>
        </w:numPr>
        <w:rPr>
          <w:rFonts w:ascii="Arial" w:cs="Arial" w:eastAsia="Arial" w:hAnsi="Arial"/>
          <w:sz w:val="16"/>
          <w:szCs w:val="16"/>
          <w:color w:val="auto"/>
        </w:rPr>
      </w:pPr>
      <w:r>
        <w:rPr>
          <w:rFonts w:ascii="Arial" w:cs="Arial" w:eastAsia="Arial" w:hAnsi="Arial"/>
          <w:sz w:val="16"/>
          <w:szCs w:val="16"/>
          <w:color w:val="auto"/>
        </w:rPr>
        <w:t>it will not agree with any person or entity (other than a Grantor or the Administrative Agent) that it will comply (and it shall not comply) with any withdrawal, transfer, payment, or redemption instruction or other order, from such other person or entity concerning any Account; and</w:t>
      </w:r>
    </w:p>
    <w:p>
      <w:pPr>
        <w:spacing w:after="0" w:line="85" w:lineRule="exact"/>
        <w:rPr>
          <w:rFonts w:ascii="Arial" w:cs="Arial" w:eastAsia="Arial" w:hAnsi="Arial"/>
          <w:sz w:val="16"/>
          <w:szCs w:val="16"/>
          <w:color w:val="auto"/>
        </w:rPr>
      </w:pPr>
    </w:p>
    <w:p>
      <w:pPr>
        <w:ind w:left="1720" w:hanging="228"/>
        <w:spacing w:after="0"/>
        <w:tabs>
          <w:tab w:leader="none" w:pos="1720" w:val="left"/>
        </w:tabs>
        <w:numPr>
          <w:ilvl w:val="1"/>
          <w:numId w:val="378"/>
        </w:numPr>
        <w:rPr>
          <w:rFonts w:ascii="Arial" w:cs="Arial" w:eastAsia="Arial" w:hAnsi="Arial"/>
          <w:sz w:val="18"/>
          <w:szCs w:val="18"/>
          <w:color w:val="auto"/>
        </w:rPr>
      </w:pPr>
      <w:r>
        <w:rPr>
          <w:rFonts w:ascii="Arial" w:cs="Arial" w:eastAsia="Arial" w:hAnsi="Arial"/>
          <w:sz w:val="18"/>
          <w:szCs w:val="18"/>
          <w:color w:val="auto"/>
        </w:rPr>
        <w:t xml:space="preserve">it will not offset against any Account, except as permitted under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of this Agreement.</w:t>
      </w:r>
    </w:p>
    <w:p>
      <w:pPr>
        <w:spacing w:after="0" w:line="171" w:lineRule="exact"/>
        <w:rPr>
          <w:rFonts w:ascii="Arial" w:cs="Arial" w:eastAsia="Arial" w:hAnsi="Arial"/>
          <w:sz w:val="18"/>
          <w:szCs w:val="18"/>
          <w:color w:val="auto"/>
        </w:rPr>
      </w:pPr>
    </w:p>
    <w:p>
      <w:pPr>
        <w:jc w:val="both"/>
        <w:ind w:firstLine="921"/>
        <w:spacing w:after="0" w:line="259" w:lineRule="auto"/>
        <w:tabs>
          <w:tab w:leader="none" w:pos="1103" w:val="left"/>
        </w:tabs>
        <w:numPr>
          <w:ilvl w:val="0"/>
          <w:numId w:val="379"/>
        </w:numPr>
        <w:rPr>
          <w:rFonts w:ascii="Arial" w:cs="Arial" w:eastAsia="Arial" w:hAnsi="Arial"/>
          <w:sz w:val="18"/>
          <w:szCs w:val="18"/>
          <w:color w:val="auto"/>
        </w:rPr>
      </w:pPr>
      <w:r>
        <w:rPr>
          <w:rFonts w:ascii="Arial" w:cs="Arial" w:eastAsia="Arial" w:hAnsi="Arial"/>
          <w:sz w:val="18"/>
          <w:szCs w:val="18"/>
          <w:color w:val="auto"/>
        </w:rPr>
        <w:t xml:space="preserve">(a) The Bank may charge each Account of any Grantor for all returned checks of such Grantor, all service charges, and other fees and charges associated with such Account as provided in the applicable Account Agreement and all other amounts due to the Bank from any Grantor under </w:t>
      </w:r>
      <w:r>
        <w:rPr>
          <w:rFonts w:ascii="Arial" w:cs="Arial" w:eastAsia="Arial" w:hAnsi="Arial"/>
          <w:sz w:val="18"/>
          <w:szCs w:val="18"/>
          <w:u w:val="single" w:color="auto"/>
          <w:color w:val="auto"/>
        </w:rPr>
        <w:t>Sections 4(b)</w:t>
      </w:r>
      <w:r>
        <w:rPr>
          <w:rFonts w:ascii="Arial" w:cs="Arial" w:eastAsia="Arial" w:hAnsi="Arial"/>
          <w:sz w:val="18"/>
          <w:szCs w:val="18"/>
          <w:color w:val="auto"/>
        </w:rPr>
        <w:t xml:space="preserve">, </w:t>
      </w:r>
      <w:r>
        <w:rPr>
          <w:rFonts w:ascii="Arial" w:cs="Arial" w:eastAsia="Arial" w:hAnsi="Arial"/>
          <w:sz w:val="18"/>
          <w:szCs w:val="18"/>
          <w:u w:val="single" w:color="auto"/>
          <w:color w:val="auto"/>
        </w:rPr>
        <w:t>7(a)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w:t>
      </w:r>
      <w:r>
        <w:rPr>
          <w:rFonts w:ascii="Arial" w:cs="Arial" w:eastAsia="Arial" w:hAnsi="Arial"/>
          <w:sz w:val="18"/>
          <w:szCs w:val="18"/>
          <w:color w:val="auto"/>
        </w:rPr>
        <w:t xml:space="preserve"> of this Agreement.</w:t>
      </w:r>
    </w:p>
    <w:p>
      <w:pPr>
        <w:spacing w:after="0" w:line="140" w:lineRule="exact"/>
        <w:rPr>
          <w:rFonts w:ascii="Arial" w:cs="Arial" w:eastAsia="Arial" w:hAnsi="Arial"/>
          <w:sz w:val="18"/>
          <w:szCs w:val="18"/>
          <w:color w:val="auto"/>
        </w:rPr>
      </w:pPr>
    </w:p>
    <w:p>
      <w:pPr>
        <w:jc w:val="both"/>
        <w:ind w:firstLine="1492"/>
        <w:spacing w:after="0" w:line="256" w:lineRule="auto"/>
        <w:tabs>
          <w:tab w:leader="none" w:pos="1733" w:val="left"/>
        </w:tabs>
        <w:numPr>
          <w:ilvl w:val="1"/>
          <w:numId w:val="379"/>
        </w:numPr>
        <w:rPr>
          <w:rFonts w:ascii="Arial" w:cs="Arial" w:eastAsia="Arial" w:hAnsi="Arial"/>
          <w:sz w:val="18"/>
          <w:szCs w:val="18"/>
          <w:color w:val="auto"/>
        </w:rPr>
      </w:pPr>
      <w:r>
        <w:rPr>
          <w:rFonts w:ascii="Arial" w:cs="Arial" w:eastAsia="Arial" w:hAnsi="Arial"/>
          <w:sz w:val="18"/>
          <w:szCs w:val="18"/>
          <w:color w:val="auto"/>
        </w:rPr>
        <w:t xml:space="preserve">If the balances in any Account of any Grantor are not sufficient to compensate the Bank for any fees or charges due to the Bank under the applicable Account Agreement in respect of such Account or any other amounts due to the Bank pursuant to </w:t>
      </w:r>
      <w:r>
        <w:rPr>
          <w:rFonts w:ascii="Arial" w:cs="Arial" w:eastAsia="Arial" w:hAnsi="Arial"/>
          <w:sz w:val="18"/>
          <w:szCs w:val="18"/>
          <w:u w:val="single" w:color="auto"/>
          <w:color w:val="auto"/>
        </w:rPr>
        <w:t>Sections 7(a)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w:t>
      </w:r>
      <w:r>
        <w:rPr>
          <w:rFonts w:ascii="Arial" w:cs="Arial" w:eastAsia="Arial" w:hAnsi="Arial"/>
          <w:sz w:val="18"/>
          <w:szCs w:val="18"/>
          <w:color w:val="auto"/>
        </w:rPr>
        <w:t xml:space="preserve"> of this Agreement, each Grantor jointly and severally agrees to pay Bank on demand the amount due Bank. A Grantor will have breached this Agreement if such Grantor has not paid the Bank, within 30 days after any such demand, the amount due Bank.</w:t>
      </w:r>
    </w:p>
    <w:p>
      <w:pPr>
        <w:spacing w:after="0" w:line="143" w:lineRule="exact"/>
        <w:rPr>
          <w:rFonts w:ascii="Arial" w:cs="Arial" w:eastAsia="Arial" w:hAnsi="Arial"/>
          <w:sz w:val="18"/>
          <w:szCs w:val="18"/>
          <w:color w:val="auto"/>
        </w:rPr>
      </w:pPr>
    </w:p>
    <w:p>
      <w:pPr>
        <w:jc w:val="both"/>
        <w:ind w:firstLine="1492"/>
        <w:spacing w:after="0" w:line="291" w:lineRule="auto"/>
        <w:tabs>
          <w:tab w:leader="none" w:pos="1728" w:val="left"/>
        </w:tabs>
        <w:numPr>
          <w:ilvl w:val="1"/>
          <w:numId w:val="379"/>
        </w:numPr>
        <w:rPr>
          <w:rFonts w:ascii="Arial" w:cs="Arial" w:eastAsia="Arial" w:hAnsi="Arial"/>
          <w:sz w:val="16"/>
          <w:szCs w:val="16"/>
          <w:color w:val="auto"/>
        </w:rPr>
      </w:pPr>
      <w:r>
        <w:rPr>
          <w:rFonts w:ascii="Arial" w:cs="Arial" w:eastAsia="Arial" w:hAnsi="Arial"/>
          <w:sz w:val="16"/>
          <w:szCs w:val="16"/>
          <w:color w:val="auto"/>
        </w:rPr>
        <w:t xml:space="preserve">If the Grantors have breached their obligations to the Bank pursuant to </w:t>
      </w:r>
      <w:r>
        <w:rPr>
          <w:rFonts w:ascii="Arial" w:cs="Arial" w:eastAsia="Arial" w:hAnsi="Arial"/>
          <w:sz w:val="16"/>
          <w:szCs w:val="16"/>
          <w:u w:val="single" w:color="auto"/>
          <w:color w:val="auto"/>
        </w:rPr>
        <w:t>Section 4(b)</w:t>
      </w:r>
      <w:r>
        <w:rPr>
          <w:rFonts w:ascii="Arial" w:cs="Arial" w:eastAsia="Arial" w:hAnsi="Arial"/>
          <w:sz w:val="16"/>
          <w:szCs w:val="16"/>
          <w:color w:val="auto"/>
        </w:rPr>
        <w:t xml:space="preserve"> of this Agreement at any time during the Activation Period, then the Administrative Agent shall pay the Bank (i) the amount of any unpaid fees or other charges in respect to any Account under the applicable Account Agreement incurred during the Activation Period and (ii) if any amount in respect any returned check, draft or other order for payment shall have been transferred by the Bank to the Administrative Agent during the Activation Period pursuant to </w:t>
      </w:r>
      <w:r>
        <w:rPr>
          <w:rFonts w:ascii="Arial" w:cs="Arial" w:eastAsia="Arial" w:hAnsi="Arial"/>
          <w:sz w:val="16"/>
          <w:szCs w:val="16"/>
          <w:u w:val="single" w:color="auto"/>
          <w:color w:val="auto"/>
        </w:rPr>
        <w:t>Section 2(c)</w:t>
      </w:r>
      <w:r>
        <w:rPr>
          <w:rFonts w:ascii="Arial" w:cs="Arial" w:eastAsia="Arial" w:hAnsi="Arial"/>
          <w:sz w:val="16"/>
          <w:szCs w:val="16"/>
          <w:color w:val="auto"/>
        </w:rPr>
        <w:t xml:space="preserve"> of this Agreement, the amount in respect of any such returned item so received by the Administrative Agent. The Administrative Agent will have breached this Agreement if the Administrative Agent has not paid any such amount to the Bank within 30 days after any such demand.</w:t>
      </w:r>
    </w:p>
    <w:p>
      <w:pPr>
        <w:spacing w:after="0" w:line="120" w:lineRule="exact"/>
        <w:rPr>
          <w:rFonts w:ascii="Arial" w:cs="Arial" w:eastAsia="Arial" w:hAnsi="Arial"/>
          <w:sz w:val="16"/>
          <w:szCs w:val="16"/>
          <w:color w:val="auto"/>
        </w:rPr>
      </w:pPr>
    </w:p>
    <w:p>
      <w:pPr>
        <w:ind w:left="1100" w:hanging="179"/>
        <w:spacing w:after="0"/>
        <w:tabs>
          <w:tab w:leader="none" w:pos="110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Termination of this Agreement shall be as follows:</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1"/>
          <w:numId w:val="380"/>
        </w:numPr>
        <w:rPr>
          <w:rFonts w:ascii="Arial" w:cs="Arial" w:eastAsia="Arial" w:hAnsi="Arial"/>
          <w:sz w:val="16"/>
          <w:szCs w:val="16"/>
          <w:color w:val="auto"/>
        </w:rPr>
      </w:pPr>
      <w:r>
        <w:rPr>
          <w:rFonts w:ascii="Arial" w:cs="Arial" w:eastAsia="Arial" w:hAnsi="Arial"/>
          <w:sz w:val="16"/>
          <w:szCs w:val="16"/>
          <w:color w:val="auto"/>
        </w:rPr>
        <w:t>(i) The Bank may terminate this Agreement upon 30 days’ prior written notice to the Administrative Agent and the Grantors’ Agent.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Account Control Agreement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(Deposit Accounts Only)</w:t>
      </w:r>
    </w:p>
    <w:p>
      <w:pPr>
        <w:sectPr>
          <w:pgSz w:w="11900" w:h="16838" w:orient="portrait"/>
          <w:cols w:equalWidth="0" w:num="1">
            <w:col w:w="11420"/>
          </w:cols>
          <w:pgMar w:left="240" w:top="280" w:right="239" w:bottom="1440" w:gutter="0" w:footer="0" w:header="0"/>
        </w:sectPr>
      </w:pPr>
    </w:p>
    <w:bookmarkStart w:id="369" w:name="page370"/>
    <w:bookmarkEnd w:id="369"/>
    <w:p>
      <w:pPr>
        <w:ind w:left="2020" w:hanging="259"/>
        <w:spacing w:after="0"/>
        <w:tabs>
          <w:tab w:leader="none" w:pos="2020" w:val="left"/>
        </w:tabs>
        <w:numPr>
          <w:ilvl w:val="2"/>
          <w:numId w:val="38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Administrative Agent may terminate this Agreement upon 30 days’ prior written notice to the Grantors’ Agent and the Bank.</w:t>
      </w:r>
    </w:p>
    <w:p>
      <w:pPr>
        <w:spacing w:after="0" w:line="113" w:lineRule="exact"/>
        <w:rPr>
          <w:rFonts w:ascii="Arial" w:cs="Arial" w:eastAsia="Arial" w:hAnsi="Arial"/>
          <w:sz w:val="16"/>
          <w:szCs w:val="16"/>
          <w:color w:val="auto"/>
        </w:rPr>
      </w:pPr>
    </w:p>
    <w:p>
      <w:pPr>
        <w:ind w:left="920" w:firstLine="841"/>
        <w:spacing w:after="0" w:line="268" w:lineRule="auto"/>
        <w:tabs>
          <w:tab w:leader="none" w:pos="2067" w:val="left"/>
        </w:tabs>
        <w:numPr>
          <w:ilvl w:val="2"/>
          <w:numId w:val="381"/>
        </w:numPr>
        <w:rPr>
          <w:rFonts w:ascii="Arial" w:cs="Arial" w:eastAsia="Arial" w:hAnsi="Arial"/>
          <w:sz w:val="18"/>
          <w:szCs w:val="18"/>
          <w:color w:val="auto"/>
        </w:rPr>
      </w:pPr>
      <w:r>
        <w:rPr>
          <w:rFonts w:ascii="Arial" w:cs="Arial" w:eastAsia="Arial" w:hAnsi="Arial"/>
          <w:sz w:val="18"/>
          <w:szCs w:val="18"/>
          <w:color w:val="auto"/>
        </w:rPr>
        <w:t>The Grantors may not terminate this Agreement except with the prior written consent of the Administrative Agent and upon 30 days’ prior written notice to the Bank.</w:t>
      </w:r>
    </w:p>
    <w:p>
      <w:pPr>
        <w:spacing w:after="0" w:line="131" w:lineRule="exact"/>
        <w:rPr>
          <w:rFonts w:ascii="Arial" w:cs="Arial" w:eastAsia="Arial" w:hAnsi="Arial"/>
          <w:sz w:val="18"/>
          <w:szCs w:val="18"/>
          <w:color w:val="auto"/>
        </w:rPr>
      </w:pPr>
    </w:p>
    <w:p>
      <w:pPr>
        <w:jc w:val="both"/>
        <w:ind w:firstLine="1492"/>
        <w:spacing w:after="0" w:line="252" w:lineRule="auto"/>
        <w:tabs>
          <w:tab w:leader="none" w:pos="1743" w:val="left"/>
        </w:tabs>
        <w:numPr>
          <w:ilvl w:val="1"/>
          <w:numId w:val="382"/>
        </w:numPr>
        <w:rPr>
          <w:rFonts w:ascii="Arial" w:cs="Arial" w:eastAsia="Arial" w:hAnsi="Arial"/>
          <w:sz w:val="18"/>
          <w:szCs w:val="18"/>
          <w:color w:val="auto"/>
        </w:rPr>
      </w:pPr>
      <w:r>
        <w:rPr>
          <w:rFonts w:ascii="Arial" w:cs="Arial" w:eastAsia="Arial" w:hAnsi="Arial"/>
          <w:sz w:val="18"/>
          <w:szCs w:val="18"/>
          <w:color w:val="auto"/>
        </w:rPr>
        <w:t>Notwithstanding subsection 5(a), the Bank may terminate this Agreement upon 10 Business Days’ prior written notice to the Grantors’ Agent and the Administrative Agent if: (i) any Grantor or the Administrative Agent breaches any of the terms of this Agreement; (ii) any Grantor breaches any other agreement with the Bank or any agreement involving the borrowing of money or extension of credit; (iii) any Grantor liquidates, dissolves, merges with or into or consolidates with another entity or sells, leases or disposes of a substantial portion of its business or assets; (iv) any Grantor terminates its business, fails generally or admits in writing its inability to pay its debts as they become due; any bankruptcy, reorganization, arrangement, insolvency, dissolution or similar proceeding is instituted with respect to such Grantor; any Grantor makes any assignment for the benefit of creditors or enters into any composition with creditors or takes any action in furtherance of any of the foregoing; or (v) any material adverse change occurs in any Grantor’s financial condition, results of operations or ability to perform its obligations under this Agreement. Grantors’ Agent shall promptly give written notice to Bank of the occurrence of any of the foregoing events.</w:t>
      </w:r>
    </w:p>
    <w:p>
      <w:pPr>
        <w:spacing w:after="0" w:line="150" w:lineRule="exact"/>
        <w:rPr>
          <w:rFonts w:ascii="Arial" w:cs="Arial" w:eastAsia="Arial" w:hAnsi="Arial"/>
          <w:sz w:val="18"/>
          <w:szCs w:val="18"/>
          <w:color w:val="auto"/>
        </w:rPr>
      </w:pPr>
    </w:p>
    <w:p>
      <w:pPr>
        <w:jc w:val="both"/>
        <w:ind w:firstLine="1492"/>
        <w:spacing w:after="0" w:line="259" w:lineRule="auto"/>
        <w:tabs>
          <w:tab w:leader="none" w:pos="1745" w:val="left"/>
        </w:tabs>
        <w:numPr>
          <w:ilvl w:val="1"/>
          <w:numId w:val="382"/>
        </w:numPr>
        <w:rPr>
          <w:rFonts w:ascii="Arial" w:cs="Arial" w:eastAsia="Arial" w:hAnsi="Arial"/>
          <w:sz w:val="18"/>
          <w:szCs w:val="18"/>
          <w:color w:val="auto"/>
        </w:rPr>
      </w:pPr>
      <w:r>
        <w:rPr>
          <w:rFonts w:ascii="Arial" w:cs="Arial" w:eastAsia="Arial" w:hAnsi="Arial"/>
          <w:sz w:val="18"/>
          <w:szCs w:val="18"/>
          <w:color w:val="auto"/>
        </w:rPr>
        <w:t xml:space="preserve">Upon any termination of this Agreement, the Bank shall close each Account and transfer all funds in the Accounts (i) if during the Activation Period, to the Collateral Account designated in writing by the Administrative Agent to the Bank pursuant to </w:t>
      </w:r>
      <w:r>
        <w:rPr>
          <w:rFonts w:ascii="Arial" w:cs="Arial" w:eastAsia="Arial" w:hAnsi="Arial"/>
          <w:sz w:val="18"/>
          <w:szCs w:val="18"/>
          <w:u w:val="single" w:color="auto"/>
          <w:color w:val="auto"/>
        </w:rPr>
        <w:t>Section 2(c)</w:t>
      </w:r>
      <w:r>
        <w:rPr>
          <w:rFonts w:ascii="Arial" w:cs="Arial" w:eastAsia="Arial" w:hAnsi="Arial"/>
          <w:sz w:val="18"/>
          <w:szCs w:val="18"/>
          <w:color w:val="auto"/>
        </w:rPr>
        <w:t xml:space="preserve"> (or otherwise) and (ii) at all other times, as directed by the Grantors’ Agent in writing with a copy to the Administrative Agent.</w:t>
      </w:r>
    </w:p>
    <w:p>
      <w:pPr>
        <w:spacing w:after="0" w:line="140" w:lineRule="exact"/>
        <w:rPr>
          <w:rFonts w:ascii="Arial" w:cs="Arial" w:eastAsia="Arial" w:hAnsi="Arial"/>
          <w:sz w:val="18"/>
          <w:szCs w:val="18"/>
          <w:color w:val="auto"/>
        </w:rPr>
      </w:pPr>
    </w:p>
    <w:p>
      <w:pPr>
        <w:ind w:firstLine="921"/>
        <w:spacing w:after="0" w:line="332" w:lineRule="auto"/>
        <w:tabs>
          <w:tab w:leader="none" w:pos="1096" w:val="left"/>
        </w:tabs>
        <w:numPr>
          <w:ilvl w:val="0"/>
          <w:numId w:val="383"/>
        </w:numPr>
        <w:rPr>
          <w:rFonts w:ascii="Arial" w:cs="Arial" w:eastAsia="Arial" w:hAnsi="Arial"/>
          <w:sz w:val="16"/>
          <w:szCs w:val="16"/>
          <w:color w:val="auto"/>
        </w:rPr>
      </w:pPr>
      <w:r>
        <w:rPr>
          <w:rFonts w:ascii="Arial" w:cs="Arial" w:eastAsia="Arial" w:hAnsi="Arial"/>
          <w:sz w:val="16"/>
          <w:szCs w:val="16"/>
          <w:color w:val="auto"/>
        </w:rPr>
        <w:t>(a) The Bank will not be liable to any Grantor or the Administrative Agent for any expense, claim, loss, damage or cost (“</w:t>
      </w:r>
      <w:r>
        <w:rPr>
          <w:rFonts w:ascii="Arial" w:cs="Arial" w:eastAsia="Arial" w:hAnsi="Arial"/>
          <w:sz w:val="16"/>
          <w:szCs w:val="16"/>
          <w:u w:val="single" w:color="auto"/>
          <w:color w:val="auto"/>
        </w:rPr>
        <w:t>Damages</w:t>
      </w:r>
      <w:r>
        <w:rPr>
          <w:rFonts w:ascii="Arial" w:cs="Arial" w:eastAsia="Arial" w:hAnsi="Arial"/>
          <w:sz w:val="16"/>
          <w:szCs w:val="16"/>
          <w:color w:val="auto"/>
        </w:rPr>
        <w:t>”) arising out of or relating to its performance under this Agreement other than those Damages which result directly from its acts or omissions constituting negligence.</w:t>
      </w:r>
    </w:p>
    <w:p>
      <w:pPr>
        <w:spacing w:after="0" w:line="85" w:lineRule="exact"/>
        <w:rPr>
          <w:rFonts w:ascii="Arial" w:cs="Arial" w:eastAsia="Arial" w:hAnsi="Arial"/>
          <w:sz w:val="16"/>
          <w:szCs w:val="16"/>
          <w:color w:val="auto"/>
        </w:rPr>
      </w:pPr>
    </w:p>
    <w:p>
      <w:pPr>
        <w:ind w:left="1740" w:hanging="248"/>
        <w:spacing w:after="0"/>
        <w:tabs>
          <w:tab w:leader="none" w:pos="1740" w:val="left"/>
        </w:tabs>
        <w:numPr>
          <w:ilvl w:val="1"/>
          <w:numId w:val="383"/>
        </w:numPr>
        <w:rPr>
          <w:rFonts w:ascii="Arial" w:cs="Arial" w:eastAsia="Arial" w:hAnsi="Arial"/>
          <w:sz w:val="16"/>
          <w:szCs w:val="16"/>
          <w:color w:val="auto"/>
        </w:rPr>
      </w:pPr>
      <w:r>
        <w:rPr>
          <w:rFonts w:ascii="Arial" w:cs="Arial" w:eastAsia="Arial" w:hAnsi="Arial"/>
          <w:sz w:val="16"/>
          <w:szCs w:val="16"/>
          <w:color w:val="auto"/>
        </w:rPr>
        <w:t>In no event will the Bank be liable for any special, indirect, exemplary or consequential damages, including but not limited to lost profits.</w:t>
      </w:r>
    </w:p>
    <w:p>
      <w:pPr>
        <w:spacing w:after="0" w:line="194" w:lineRule="exact"/>
        <w:rPr>
          <w:rFonts w:ascii="Arial" w:cs="Arial" w:eastAsia="Arial" w:hAnsi="Arial"/>
          <w:sz w:val="16"/>
          <w:szCs w:val="16"/>
          <w:color w:val="auto"/>
        </w:rPr>
      </w:pPr>
    </w:p>
    <w:p>
      <w:pPr>
        <w:jc w:val="both"/>
        <w:ind w:firstLine="1492"/>
        <w:spacing w:after="0" w:line="291" w:lineRule="auto"/>
        <w:tabs>
          <w:tab w:leader="none" w:pos="1722" w:val="left"/>
        </w:tabs>
        <w:numPr>
          <w:ilvl w:val="1"/>
          <w:numId w:val="383"/>
        </w:numPr>
        <w:rPr>
          <w:rFonts w:ascii="Arial" w:cs="Arial" w:eastAsia="Arial" w:hAnsi="Arial"/>
          <w:sz w:val="16"/>
          <w:szCs w:val="16"/>
          <w:color w:val="auto"/>
        </w:rPr>
      </w:pPr>
      <w:r>
        <w:rPr>
          <w:rFonts w:ascii="Arial" w:cs="Arial" w:eastAsia="Arial" w:hAnsi="Arial"/>
          <w:sz w:val="16"/>
          <w:szCs w:val="16"/>
          <w:color w:val="auto"/>
        </w:rPr>
        <w:t>The Bank will be excused from failing to act or delay in acting, and no such failure or delay shall constitute a breach of this Agreement or otherwise give rise to any liability of the Bank, if (i) such failure or delay is caused by circumstances beyond Bank’s reasonable control, including but not limited to legal constraint, emergency conditions, action or inaction of governmental, civil or military authority, fire, strike, lockout or other labor dispute, war, riot, theft, flood, earthquake or other natural disaster, breakdown of public or private or common carrier communications or transmission facilities, equipment failure, or act, negligence or default of any Grantor or Administrative Agent or (ii) such failure or delay resulted from Bank’s reasonable belief that the action would have violated any guideline, rule or regulation of any governmental authority.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Account Control Agreement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(Deposit Accounts Only)</w:t>
      </w:r>
    </w:p>
    <w:p>
      <w:pPr>
        <w:sectPr>
          <w:pgSz w:w="11900" w:h="16838" w:orient="portrait"/>
          <w:cols w:equalWidth="0" w:num="1">
            <w:col w:w="11420"/>
          </w:cols>
          <w:pgMar w:left="240" w:top="280" w:right="239" w:bottom="1440" w:gutter="0" w:footer="0" w:header="0"/>
        </w:sectPr>
      </w:pPr>
    </w:p>
    <w:bookmarkStart w:id="370" w:name="page371"/>
    <w:bookmarkEnd w:id="370"/>
    <w:p>
      <w:pPr>
        <w:ind w:firstLine="1492"/>
        <w:spacing w:after="0" w:line="268" w:lineRule="auto"/>
        <w:tabs>
          <w:tab w:leader="none" w:pos="1759" w:val="left"/>
        </w:tabs>
        <w:numPr>
          <w:ilvl w:val="1"/>
          <w:numId w:val="3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with respect to obligations and duties expressly provided in this Agreement, this Agreement shall not impose or create any obligations or duties upon the Bank that are greater than or in addition to those provided in the Account Agreements.</w:t>
      </w:r>
    </w:p>
    <w:p>
      <w:pPr>
        <w:spacing w:after="0" w:line="131" w:lineRule="exact"/>
        <w:rPr>
          <w:rFonts w:ascii="Arial" w:cs="Arial" w:eastAsia="Arial" w:hAnsi="Arial"/>
          <w:sz w:val="18"/>
          <w:szCs w:val="18"/>
          <w:color w:val="auto"/>
        </w:rPr>
      </w:pPr>
    </w:p>
    <w:p>
      <w:pPr>
        <w:ind w:firstLine="1492"/>
        <w:spacing w:after="0" w:line="268" w:lineRule="auto"/>
        <w:tabs>
          <w:tab w:leader="none" w:pos="1730" w:val="left"/>
        </w:tabs>
        <w:numPr>
          <w:ilvl w:val="1"/>
          <w:numId w:val="384"/>
        </w:numPr>
        <w:rPr>
          <w:rFonts w:ascii="Arial" w:cs="Arial" w:eastAsia="Arial" w:hAnsi="Arial"/>
          <w:sz w:val="18"/>
          <w:szCs w:val="18"/>
          <w:color w:val="auto"/>
        </w:rPr>
      </w:pPr>
      <w:r>
        <w:rPr>
          <w:rFonts w:ascii="Arial" w:cs="Arial" w:eastAsia="Arial" w:hAnsi="Arial"/>
          <w:sz w:val="18"/>
          <w:szCs w:val="18"/>
          <w:color w:val="auto"/>
        </w:rPr>
        <w:t>The Bank may act upon any instrument or other writing believed by it in good faith to be genuine and to have been signed or presented by a person purporting to be an authorized officer of a Grantor or the Administrative Agent, as the case may be.</w:t>
      </w:r>
    </w:p>
    <w:p>
      <w:pPr>
        <w:spacing w:after="0" w:line="131" w:lineRule="exact"/>
        <w:rPr>
          <w:rFonts w:ascii="Arial" w:cs="Arial" w:eastAsia="Arial" w:hAnsi="Arial"/>
          <w:sz w:val="18"/>
          <w:szCs w:val="18"/>
          <w:color w:val="auto"/>
        </w:rPr>
      </w:pPr>
    </w:p>
    <w:p>
      <w:pPr>
        <w:ind w:firstLine="1492"/>
        <w:spacing w:after="0" w:line="268" w:lineRule="auto"/>
        <w:tabs>
          <w:tab w:leader="none" w:pos="1714" w:val="left"/>
        </w:tabs>
        <w:numPr>
          <w:ilvl w:val="1"/>
          <w:numId w:val="384"/>
        </w:numPr>
        <w:rPr>
          <w:rFonts w:ascii="Arial" w:cs="Arial" w:eastAsia="Arial" w:hAnsi="Arial"/>
          <w:sz w:val="18"/>
          <w:szCs w:val="18"/>
          <w:color w:val="auto"/>
        </w:rPr>
      </w:pPr>
      <w:r>
        <w:rPr>
          <w:rFonts w:ascii="Arial" w:cs="Arial" w:eastAsia="Arial" w:hAnsi="Arial"/>
          <w:sz w:val="18"/>
          <w:szCs w:val="18"/>
          <w:color w:val="auto"/>
        </w:rPr>
        <w:t>If in doubt as to its duties and responsibilities hereunder, the Bank may consult with counsel of its choice and shall be protected in any action taken or omitted to be taken in connection with the advice or opinion of such counsel.</w:t>
      </w:r>
    </w:p>
    <w:p>
      <w:pPr>
        <w:spacing w:after="0" w:line="131" w:lineRule="exact"/>
        <w:rPr>
          <w:rFonts w:ascii="Arial" w:cs="Arial" w:eastAsia="Arial" w:hAnsi="Arial"/>
          <w:sz w:val="18"/>
          <w:szCs w:val="18"/>
          <w:color w:val="auto"/>
        </w:rPr>
      </w:pPr>
    </w:p>
    <w:p>
      <w:pPr>
        <w:jc w:val="both"/>
        <w:ind w:firstLine="921"/>
        <w:spacing w:after="0" w:line="298" w:lineRule="auto"/>
        <w:tabs>
          <w:tab w:leader="none" w:pos="1093" w:val="left"/>
        </w:tabs>
        <w:numPr>
          <w:ilvl w:val="0"/>
          <w:numId w:val="385"/>
        </w:numPr>
        <w:rPr>
          <w:rFonts w:ascii="Arial" w:cs="Arial" w:eastAsia="Arial" w:hAnsi="Arial"/>
          <w:sz w:val="16"/>
          <w:szCs w:val="16"/>
          <w:color w:val="auto"/>
        </w:rPr>
      </w:pPr>
      <w:r>
        <w:rPr>
          <w:rFonts w:ascii="Arial" w:cs="Arial" w:eastAsia="Arial" w:hAnsi="Arial"/>
          <w:sz w:val="16"/>
          <w:szCs w:val="16"/>
          <w:color w:val="auto"/>
        </w:rPr>
        <w:t>(a) Each Grantor shall jointly and severally indemnify Bank against, and hold it harmless from, any and all liabilities, claims, costs, expenses and damages of any nature (including but not limited to reasonable attorneys’ fees and expenses incurred in enforcing this Agreement) in any way arising out of or relating to disputes or legal actions concerning this Agreement. This section does not apply to any cost or damage attributable to the gross negligence or intentional misconduct of Bank. Grantors’ obligations under this section shall survive termination of this Agreement.</w:t>
      </w:r>
    </w:p>
    <w:p>
      <w:pPr>
        <w:spacing w:after="0" w:line="112" w:lineRule="exact"/>
        <w:rPr>
          <w:rFonts w:ascii="Arial" w:cs="Arial" w:eastAsia="Arial" w:hAnsi="Arial"/>
          <w:sz w:val="16"/>
          <w:szCs w:val="16"/>
          <w:color w:val="auto"/>
        </w:rPr>
      </w:pPr>
    </w:p>
    <w:p>
      <w:pPr>
        <w:jc w:val="both"/>
        <w:ind w:firstLine="1492"/>
        <w:spacing w:after="0" w:line="294" w:lineRule="auto"/>
        <w:tabs>
          <w:tab w:leader="none" w:pos="1745" w:val="left"/>
        </w:tabs>
        <w:numPr>
          <w:ilvl w:val="1"/>
          <w:numId w:val="385"/>
        </w:numPr>
        <w:rPr>
          <w:rFonts w:ascii="Arial" w:cs="Arial" w:eastAsia="Arial" w:hAnsi="Arial"/>
          <w:sz w:val="16"/>
          <w:szCs w:val="16"/>
          <w:color w:val="auto"/>
        </w:rPr>
      </w:pPr>
      <w:r>
        <w:rPr>
          <w:rFonts w:ascii="Arial" w:cs="Arial" w:eastAsia="Arial" w:hAnsi="Arial"/>
          <w:sz w:val="16"/>
          <w:szCs w:val="16"/>
          <w:color w:val="auto"/>
        </w:rPr>
        <w:t xml:space="preserve">To the extent the Grantors shall fail to fully indemnify the Bank pursuant to </w:t>
      </w:r>
      <w:r>
        <w:rPr>
          <w:rFonts w:ascii="Arial" w:cs="Arial" w:eastAsia="Arial" w:hAnsi="Arial"/>
          <w:sz w:val="16"/>
          <w:szCs w:val="16"/>
          <w:u w:val="single" w:color="auto"/>
          <w:color w:val="auto"/>
        </w:rPr>
        <w:t>Section 7(a)</w:t>
      </w:r>
      <w:r>
        <w:rPr>
          <w:rFonts w:ascii="Arial" w:cs="Arial" w:eastAsia="Arial" w:hAnsi="Arial"/>
          <w:sz w:val="16"/>
          <w:szCs w:val="16"/>
          <w:color w:val="auto"/>
        </w:rPr>
        <w:t xml:space="preserve"> of this Agreement, the Administrative Agent shall indemnify the Bank against, and hold it harmless from, any and all liabilities, claims, costs, expenses and damages of any nature (including but not limited to reasonable attorneys’ fees and expenses incurred in enforcing this </w:t>
      </w:r>
      <w:r>
        <w:rPr>
          <w:rFonts w:ascii="Arial" w:cs="Arial" w:eastAsia="Arial" w:hAnsi="Arial"/>
          <w:sz w:val="16"/>
          <w:szCs w:val="16"/>
          <w:u w:val="single" w:color="auto"/>
          <w:color w:val="auto"/>
        </w:rPr>
        <w:t>Section 7(b)</w:t>
      </w:r>
      <w:r>
        <w:rPr>
          <w:rFonts w:ascii="Arial" w:cs="Arial" w:eastAsia="Arial" w:hAnsi="Arial"/>
          <w:sz w:val="16"/>
          <w:szCs w:val="16"/>
          <w:color w:val="auto"/>
        </w:rPr>
        <w:t>) in any way arising out of or relating to the Bank complying with instructions or requests of the Administrative Agent during the Activation Period. This section does not apply to any cost or damage attributable to the gross negligence or intentional misconduct of Bank. The Administrative Agent’s obligations under this section shall survive termination of this Agreement.</w:t>
      </w:r>
    </w:p>
    <w:p>
      <w:pPr>
        <w:spacing w:after="0" w:line="115" w:lineRule="exact"/>
        <w:rPr>
          <w:rFonts w:ascii="Arial" w:cs="Arial" w:eastAsia="Arial" w:hAnsi="Arial"/>
          <w:sz w:val="16"/>
          <w:szCs w:val="16"/>
          <w:color w:val="auto"/>
        </w:rPr>
      </w:pPr>
    </w:p>
    <w:p>
      <w:pPr>
        <w:jc w:val="both"/>
        <w:ind w:firstLine="921"/>
        <w:spacing w:after="0" w:line="291" w:lineRule="auto"/>
        <w:tabs>
          <w:tab w:leader="none" w:pos="1088" w:val="left"/>
        </w:tabs>
        <w:numPr>
          <w:ilvl w:val="0"/>
          <w:numId w:val="385"/>
        </w:numPr>
        <w:rPr>
          <w:rFonts w:ascii="Arial" w:cs="Arial" w:eastAsia="Arial" w:hAnsi="Arial"/>
          <w:sz w:val="16"/>
          <w:szCs w:val="16"/>
          <w:color w:val="auto"/>
        </w:rPr>
      </w:pPr>
      <w:r>
        <w:rPr>
          <w:rFonts w:ascii="Arial" w:cs="Arial" w:eastAsia="Arial" w:hAnsi="Arial"/>
          <w:sz w:val="16"/>
          <w:szCs w:val="16"/>
          <w:color w:val="auto"/>
        </w:rPr>
        <w:t>Each Grantor agrees to pay to the Bank, upon receipt of Bank’s invoice, all reasonable costs, expenses and reasonable attorneys’ fees and expenses incurred by Bank in connection with the enforcement of this Agreement and any instrument or agreement required hereunder, including but not limited to any such reasonable costs, expenses and fees arising out of the resolution of any conflict, dispute, motion regarding entitlement to rights or rights of action, or other action to enforce Bank’s rights hereunder in a case arising under Title 11, United States Code. Each Grantor agrees to pay Bank, upon receipt of Bank’s invoice, all costs, expenses and reasonable attorneys’ fees incurred by Bank in the preparation and administration of this Agreement (including any amendments hereto or instruments or agreements required hereunder).</w:t>
      </w:r>
    </w:p>
    <w:p>
      <w:pPr>
        <w:spacing w:after="0" w:line="120" w:lineRule="exact"/>
        <w:rPr>
          <w:rFonts w:ascii="Arial" w:cs="Arial" w:eastAsia="Arial" w:hAnsi="Arial"/>
          <w:sz w:val="16"/>
          <w:szCs w:val="16"/>
          <w:color w:val="auto"/>
        </w:rPr>
      </w:pPr>
    </w:p>
    <w:p>
      <w:pPr>
        <w:jc w:val="both"/>
        <w:ind w:firstLine="921"/>
        <w:spacing w:after="0" w:line="306" w:lineRule="auto"/>
        <w:tabs>
          <w:tab w:leader="none" w:pos="1108" w:val="left"/>
        </w:tabs>
        <w:numPr>
          <w:ilvl w:val="0"/>
          <w:numId w:val="385"/>
        </w:numPr>
        <w:rPr>
          <w:rFonts w:ascii="Arial" w:cs="Arial" w:eastAsia="Arial" w:hAnsi="Arial"/>
          <w:sz w:val="16"/>
          <w:szCs w:val="16"/>
          <w:color w:val="auto"/>
        </w:rPr>
      </w:pPr>
      <w:r>
        <w:rPr>
          <w:rFonts w:ascii="Arial" w:cs="Arial" w:eastAsia="Arial" w:hAnsi="Arial"/>
          <w:sz w:val="16"/>
          <w:szCs w:val="16"/>
          <w:color w:val="auto"/>
        </w:rPr>
        <w:t>Each Grantor represents and warrants that: (a) this Agreement constitutes its duly authorized, legal, valid, binding and enforceable obligation, subject to bankruptcy laws and equitable principles; (b) the performance of its obligations under this Agreement and the consummation of the transactions contemplated hereunder will not (i) constitute or result in a breach of its certificate or articles of incorporation, by-laws or partnership agreement, as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Account Control Agreement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(Deposit Accounts Only)</w:t>
      </w:r>
    </w:p>
    <w:p>
      <w:pPr>
        <w:sectPr>
          <w:pgSz w:w="11900" w:h="16838" w:orient="portrait"/>
          <w:cols w:equalWidth="0" w:num="1">
            <w:col w:w="11420"/>
          </w:cols>
          <w:pgMar w:left="240" w:top="279" w:right="239" w:bottom="1440" w:gutter="0" w:footer="0" w:header="0"/>
        </w:sectPr>
      </w:pPr>
    </w:p>
    <w:bookmarkStart w:id="371" w:name="page372"/>
    <w:bookmarkEnd w:id="371"/>
    <w:p>
      <w:pPr>
        <w:jc w:val="both"/>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applicable, or the provisions of any material contract to which it is a party or by which it is bound or (ii) result in the violation of any law, regulation, judgment, decree or governmental order applicable to it; (c) all approvals and authorizations required to permit the execution, delivery, performance and consummation of this Agreement and the transactions contemplated hereunder have been obtained; and (d) it has not assigned or granted a security interest in any Account or any other Collateral, except to Administrative Agent and the Bank as contemplated by this Agreement and the applicable Account Agreement.</w:t>
      </w:r>
    </w:p>
    <w:p>
      <w:pPr>
        <w:spacing w:after="0" w:line="113" w:lineRule="exact"/>
        <w:rPr>
          <w:sz w:val="20"/>
          <w:szCs w:val="20"/>
          <w:color w:val="auto"/>
        </w:rPr>
      </w:pPr>
    </w:p>
    <w:p>
      <w:pPr>
        <w:jc w:val="both"/>
        <w:ind w:firstLine="921"/>
        <w:spacing w:after="0" w:line="306" w:lineRule="auto"/>
        <w:tabs>
          <w:tab w:leader="none" w:pos="1209" w:val="left"/>
        </w:tabs>
        <w:numPr>
          <w:ilvl w:val="0"/>
          <w:numId w:val="386"/>
        </w:numPr>
        <w:rPr>
          <w:rFonts w:ascii="Arial" w:cs="Arial" w:eastAsia="Arial" w:hAnsi="Arial"/>
          <w:sz w:val="16"/>
          <w:szCs w:val="16"/>
          <w:color w:val="auto"/>
        </w:rPr>
      </w:pPr>
      <w:r>
        <w:rPr>
          <w:rFonts w:ascii="Arial" w:cs="Arial" w:eastAsia="Arial" w:hAnsi="Arial"/>
          <w:sz w:val="16"/>
          <w:szCs w:val="16"/>
          <w:color w:val="auto"/>
        </w:rPr>
        <w:t>In addition to the original statements, which will be provided to Grantors’ Agent on behalf of the applicable Grantor, Bank will provide Administrative Agent with a duplicate statement and such other account information reasonably requested by Administrative Agent relative to any Account and credit balances therein. Each Grantor authorizes Bank to provide any account information requested by Administrative Agent.</w:t>
      </w:r>
    </w:p>
    <w:p>
      <w:pPr>
        <w:spacing w:after="0" w:line="106" w:lineRule="exact"/>
        <w:rPr>
          <w:rFonts w:ascii="Arial" w:cs="Arial" w:eastAsia="Arial" w:hAnsi="Arial"/>
          <w:sz w:val="16"/>
          <w:szCs w:val="16"/>
          <w:color w:val="auto"/>
        </w:rPr>
      </w:pPr>
    </w:p>
    <w:p>
      <w:pPr>
        <w:jc w:val="both"/>
        <w:ind w:right="20" w:firstLine="921"/>
        <w:spacing w:after="0" w:line="259" w:lineRule="auto"/>
        <w:tabs>
          <w:tab w:leader="none" w:pos="1176"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This Agreement may be amended only by a writing signed by each Grantor, Administrative Agent and Bank; except that prior to the Activation Period Bank’s charges pursuant to each Account Agreement are subject to change by Bank upon 30 days’ prior written notice to Grantors’ Agent, with a copy to the Administrative Agent.</w:t>
      </w:r>
    </w:p>
    <w:p>
      <w:pPr>
        <w:spacing w:after="0" w:line="140" w:lineRule="exact"/>
        <w:rPr>
          <w:rFonts w:ascii="Arial" w:cs="Arial" w:eastAsia="Arial" w:hAnsi="Arial"/>
          <w:sz w:val="18"/>
          <w:szCs w:val="18"/>
          <w:color w:val="auto"/>
        </w:rPr>
      </w:pPr>
    </w:p>
    <w:p>
      <w:pPr>
        <w:ind w:left="1180" w:hanging="259"/>
        <w:spacing w:after="0"/>
        <w:tabs>
          <w:tab w:leader="none" w:pos="118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This Agreement may be executed in counterparts; all such counterparts shall constitute but one and the same agreement.</w:t>
      </w:r>
    </w:p>
    <w:p>
      <w:pPr>
        <w:spacing w:after="0" w:line="171" w:lineRule="exact"/>
        <w:rPr>
          <w:rFonts w:ascii="Arial" w:cs="Arial" w:eastAsia="Arial" w:hAnsi="Arial"/>
          <w:sz w:val="18"/>
          <w:szCs w:val="18"/>
          <w:color w:val="auto"/>
        </w:rPr>
      </w:pPr>
    </w:p>
    <w:p>
      <w:pPr>
        <w:jc w:val="both"/>
        <w:ind w:firstLine="921"/>
        <w:spacing w:after="0" w:line="259" w:lineRule="auto"/>
        <w:tabs>
          <w:tab w:leader="none" w:pos="1177" w:val="left"/>
        </w:tabs>
        <w:numPr>
          <w:ilvl w:val="0"/>
          <w:numId w:val="386"/>
        </w:numPr>
        <w:rPr>
          <w:rFonts w:ascii="Arial" w:cs="Arial" w:eastAsia="Arial" w:hAnsi="Arial"/>
          <w:sz w:val="18"/>
          <w:szCs w:val="18"/>
          <w:color w:val="auto"/>
        </w:rPr>
      </w:pPr>
      <w:r>
        <w:rPr>
          <w:rFonts w:ascii="Arial" w:cs="Arial" w:eastAsia="Arial" w:hAnsi="Arial"/>
          <w:sz w:val="18"/>
          <w:szCs w:val="18"/>
          <w:color w:val="auto"/>
        </w:rPr>
        <w:t>Any written notice or other written communication to be given to each party under this Agreement shall be addressed to the person at the address set forth on the signature page of this Agreement or to such other person or address as a party may specify in writing. Except as otherwise expressly provided herein, any such notice shall be effective upon receipt.</w:t>
      </w:r>
    </w:p>
    <w:p>
      <w:pPr>
        <w:spacing w:after="0" w:line="140" w:lineRule="exact"/>
        <w:rPr>
          <w:rFonts w:ascii="Arial" w:cs="Arial" w:eastAsia="Arial" w:hAnsi="Arial"/>
          <w:sz w:val="18"/>
          <w:szCs w:val="18"/>
          <w:color w:val="auto"/>
        </w:rPr>
      </w:pPr>
    </w:p>
    <w:p>
      <w:pPr>
        <w:jc w:val="both"/>
        <w:ind w:firstLine="921"/>
        <w:spacing w:after="0" w:line="259" w:lineRule="auto"/>
        <w:tabs>
          <w:tab w:leader="none" w:pos="1209"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This Agreement controls in the event of any conflict between this Agreement and any other document or written or oral statement. This Agreement supersedes all prior understandings, writings, proposals, representations and communications, oral or written, of any party relating to the subject matter hereof.</w:t>
      </w:r>
    </w:p>
    <w:p>
      <w:pPr>
        <w:spacing w:after="0" w:line="140" w:lineRule="exact"/>
        <w:rPr>
          <w:rFonts w:ascii="Arial" w:cs="Arial" w:eastAsia="Arial" w:hAnsi="Arial"/>
          <w:sz w:val="18"/>
          <w:szCs w:val="18"/>
          <w:color w:val="auto"/>
        </w:rPr>
      </w:pPr>
    </w:p>
    <w:p>
      <w:pPr>
        <w:ind w:left="1180" w:hanging="259"/>
        <w:spacing w:after="0"/>
        <w:tabs>
          <w:tab w:leader="none" w:pos="1180" w:val="left"/>
        </w:tabs>
        <w:numPr>
          <w:ilvl w:val="0"/>
          <w:numId w:val="386"/>
        </w:numPr>
        <w:rPr>
          <w:rFonts w:ascii="Arial" w:cs="Arial" w:eastAsia="Arial" w:hAnsi="Arial"/>
          <w:sz w:val="16"/>
          <w:szCs w:val="16"/>
          <w:color w:val="auto"/>
        </w:rPr>
      </w:pPr>
      <w:r>
        <w:rPr>
          <w:rFonts w:ascii="Arial" w:cs="Arial" w:eastAsia="Arial" w:hAnsi="Arial"/>
          <w:sz w:val="16"/>
          <w:szCs w:val="16"/>
          <w:color w:val="auto"/>
        </w:rPr>
        <w:t>No Grantor or the Administrative Agent may assign any of its rights under this Agreement without the prior written consent of Bank.</w:t>
      </w:r>
    </w:p>
    <w:p>
      <w:pPr>
        <w:spacing w:after="0" w:line="194" w:lineRule="exact"/>
        <w:rPr>
          <w:rFonts w:ascii="Arial" w:cs="Arial" w:eastAsia="Arial" w:hAnsi="Arial"/>
          <w:sz w:val="16"/>
          <w:szCs w:val="16"/>
          <w:color w:val="auto"/>
        </w:rPr>
      </w:pPr>
    </w:p>
    <w:p>
      <w:pPr>
        <w:ind w:firstLine="921"/>
        <w:spacing w:after="0" w:line="268" w:lineRule="auto"/>
        <w:tabs>
          <w:tab w:leader="none" w:pos="1224" w:val="left"/>
        </w:tabs>
        <w:numPr>
          <w:ilvl w:val="0"/>
          <w:numId w:val="386"/>
        </w:numPr>
        <w:rPr>
          <w:rFonts w:ascii="Arial" w:cs="Arial" w:eastAsia="Arial" w:hAnsi="Arial"/>
          <w:sz w:val="18"/>
          <w:szCs w:val="18"/>
          <w:color w:val="auto"/>
        </w:rPr>
      </w:pPr>
      <w:r>
        <w:rPr>
          <w:rFonts w:ascii="Arial" w:cs="Arial" w:eastAsia="Arial" w:hAnsi="Arial"/>
          <w:sz w:val="18"/>
          <w:szCs w:val="18"/>
          <w:color w:val="auto"/>
        </w:rPr>
        <w:t>Nothing contained in the Agreement shall create any agency, fiduciary, joint venture or partnership relationship between any Grantor, Administrative Agent and Bank.</w:t>
      </w:r>
    </w:p>
    <w:p>
      <w:pPr>
        <w:spacing w:after="0" w:line="131" w:lineRule="exact"/>
        <w:rPr>
          <w:rFonts w:ascii="Arial" w:cs="Arial" w:eastAsia="Arial" w:hAnsi="Arial"/>
          <w:sz w:val="18"/>
          <w:szCs w:val="18"/>
          <w:color w:val="auto"/>
        </w:rPr>
      </w:pPr>
    </w:p>
    <w:p>
      <w:pPr>
        <w:ind w:left="1180" w:hanging="259"/>
        <w:spacing w:after="0"/>
        <w:tabs>
          <w:tab w:leader="none" w:pos="118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This Agreement shall be interpreted in accordance with New York law.</w:t>
      </w:r>
    </w:p>
    <w:p>
      <w:pPr>
        <w:spacing w:after="0" w:line="171" w:lineRule="exact"/>
        <w:rPr>
          <w:sz w:val="20"/>
          <w:szCs w:val="20"/>
          <w:color w:val="auto"/>
        </w:rPr>
      </w:pPr>
    </w:p>
    <w:p>
      <w:pPr>
        <w:ind w:left="5020"/>
        <w:spacing w:after="0"/>
        <w:rPr>
          <w:sz w:val="20"/>
          <w:szCs w:val="20"/>
          <w:color w:val="auto"/>
        </w:rPr>
      </w:pPr>
      <w:r>
        <w:rPr>
          <w:rFonts w:ascii="Arial" w:cs="Arial" w:eastAsia="Arial" w:hAnsi="Arial"/>
          <w:sz w:val="18"/>
          <w:szCs w:val="18"/>
          <w:i w:val="1"/>
          <w:iCs w:val="1"/>
          <w:color w:val="auto"/>
        </w:rPr>
        <w:t>[Signatures follow.]</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- 7 -</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Account Control Agreement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(Deposit Accounts Only)</w:t>
      </w:r>
    </w:p>
    <w:p>
      <w:pPr>
        <w:sectPr>
          <w:pgSz w:w="11900" w:h="16838" w:orient="portrait"/>
          <w:cols w:equalWidth="0" w:num="1">
            <w:col w:w="11420"/>
          </w:cols>
          <w:pgMar w:left="240" w:top="279" w:right="239" w:bottom="1440" w:gutter="0" w:footer="0" w:header="0"/>
        </w:sectPr>
      </w:pPr>
    </w:p>
    <w:bookmarkStart w:id="372" w:name="page373"/>
    <w:bookmarkEnd w:id="372"/>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this Agreement by their duly authorized officers as of the day and year first above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ectPr>
          <w:pgSz w:w="11900" w:h="16838" w:orient="portrait"/>
          <w:cols w:equalWidth="0" w:num="1">
            <w:col w:w="11400"/>
          </w:cols>
          <w:pgMar w:left="240" w:top="280" w:right="259" w:bottom="1440" w:gutter="0" w:footer="0" w:header="0"/>
        </w:sectPr>
      </w:pPr>
    </w:p>
    <w:p>
      <w:pPr>
        <w:spacing w:after="0" w:line="240" w:lineRule="exact"/>
        <w:rPr>
          <w:sz w:val="20"/>
          <w:szCs w:val="20"/>
          <w:color w:val="auto"/>
        </w:rPr>
      </w:pPr>
    </w:p>
    <w:p>
      <w:pPr>
        <w:ind w:left="20" w:right="1940"/>
        <w:spacing w:after="0" w:line="257" w:lineRule="auto"/>
        <w:rPr>
          <w:sz w:val="20"/>
          <w:szCs w:val="20"/>
          <w:color w:val="auto"/>
        </w:rPr>
      </w:pPr>
      <w:r>
        <w:rPr>
          <w:rFonts w:ascii="Arial" w:cs="Arial" w:eastAsia="Arial" w:hAnsi="Arial"/>
          <w:sz w:val="18"/>
          <w:szCs w:val="18"/>
          <w:b w:val="1"/>
          <w:bCs w:val="1"/>
          <w:color w:val="auto"/>
        </w:rPr>
        <w:t>INTEGRA LIFESCIENCES HOLDINGS CORPORATION</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Grantor</w:t>
      </w:r>
      <w:r>
        <w:rPr>
          <w:rFonts w:ascii="Arial" w:cs="Arial" w:eastAsia="Arial" w:hAnsi="Arial"/>
          <w:sz w:val="18"/>
          <w:szCs w:val="18"/>
          <w:color w:val="auto"/>
        </w:rPr>
        <w:t>”)</w:t>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10795</wp:posOffset>
            </wp:positionV>
            <wp:extent cx="325882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[NAME OF OTHER GRANTOR]</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Grantor</w:t>
      </w:r>
      <w:r>
        <w:rPr>
          <w:rFonts w:ascii="Arial" w:cs="Arial" w:eastAsia="Arial" w:hAnsi="Arial"/>
          <w:sz w:val="18"/>
          <w:szCs w:val="18"/>
          <w:color w:val="auto"/>
        </w:rPr>
        <w:t>”)</w:t>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10795</wp:posOffset>
            </wp:positionV>
            <wp:extent cx="325882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BANK OF AMERICA, N.A.,</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Administrative Agent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10795</wp:posOffset>
            </wp:positionV>
            <wp:extent cx="325882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Address for notices to any Grantor:</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c/o Integra LifeSciences Holdings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290195</wp:posOffset>
            </wp:positionV>
            <wp:extent cx="347345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47345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444500</wp:posOffset>
            </wp:positionV>
            <wp:extent cx="347345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Telephone: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 for notices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290195</wp:posOffset>
            </wp:positionV>
            <wp:extent cx="347345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47345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444500</wp:posOffset>
            </wp:positionV>
            <wp:extent cx="347345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Telephone: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w:t>
      </w:r>
    </w:p>
    <w:p>
      <w:pPr>
        <w:spacing w:after="0" w:line="200" w:lineRule="exact"/>
        <w:rPr>
          <w:sz w:val="20"/>
          <w:szCs w:val="20"/>
          <w:color w:val="auto"/>
        </w:rPr>
      </w:pPr>
    </w:p>
    <w:p>
      <w:pPr>
        <w:sectPr>
          <w:pgSz w:w="11900" w:h="16838" w:orient="portrait"/>
          <w:cols w:equalWidth="0" w:num="2">
            <w:col w:w="5100" w:space="720"/>
            <w:col w:w="5580"/>
          </w:cols>
          <w:pgMar w:left="240" w:top="280" w:right="259" w:bottom="1440" w:gutter="0" w:footer="0" w:header="0"/>
          <w:type w:val="continuous"/>
        </w:sectPr>
      </w:pPr>
    </w:p>
    <w:p>
      <w:pPr>
        <w:spacing w:after="0" w:line="16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[NAME OF BANK]</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w:t>
      </w:r>
      <w:r>
        <w:rPr>
          <w:rFonts w:ascii="Arial" w:cs="Arial" w:eastAsia="Arial" w:hAnsi="Arial"/>
          <w:sz w:val="18"/>
          <w:szCs w:val="18"/>
          <w:color w:val="auto"/>
        </w:rPr>
        <w:t>”)</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10795</wp:posOffset>
            </wp:positionV>
            <wp:extent cx="325882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jc w:val="right"/>
        <w:ind w:right="3440"/>
        <w:spacing w:after="0"/>
        <w:rPr>
          <w:sz w:val="20"/>
          <w:szCs w:val="20"/>
          <w:color w:val="auto"/>
        </w:rPr>
      </w:pPr>
      <w:r>
        <w:rPr>
          <w:rFonts w:ascii="Arial" w:cs="Arial" w:eastAsia="Arial" w:hAnsi="Arial"/>
          <w:sz w:val="18"/>
          <w:szCs w:val="18"/>
          <w:b w:val="1"/>
          <w:bCs w:val="1"/>
          <w:color w:val="auto"/>
        </w:rPr>
        <w:t>Address for notices to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907415</wp:posOffset>
            </wp:positionH>
            <wp:positionV relativeFrom="paragraph">
              <wp:posOffset>289560</wp:posOffset>
            </wp:positionV>
            <wp:extent cx="347345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473450" cy="8890"/>
                    </a:xfrm>
                    <a:prstGeom prst="rect">
                      <a:avLst/>
                    </a:prstGeom>
                    <a:noFill/>
                  </pic:spPr>
                </pic:pic>
              </a:graphicData>
            </a:graphic>
          </wp:anchor>
        </w:drawing>
        <w:drawing>
          <wp:anchor simplePos="0" relativeHeight="251657728" behindDoc="1" locked="0" layoutInCell="0" allowOverlap="1">
            <wp:simplePos x="0" y="0"/>
            <wp:positionH relativeFrom="column">
              <wp:posOffset>907415</wp:posOffset>
            </wp:positionH>
            <wp:positionV relativeFrom="paragraph">
              <wp:posOffset>443865</wp:posOffset>
            </wp:positionV>
            <wp:extent cx="347345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w:t>
      </w:r>
    </w:p>
    <w:p>
      <w:pPr>
        <w:spacing w:after="0" w:line="1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Telephone: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Facsimile:</w:t>
      </w:r>
    </w:p>
    <w:p>
      <w:pPr>
        <w:spacing w:after="0" w:line="313" w:lineRule="exact"/>
        <w:rPr>
          <w:sz w:val="20"/>
          <w:szCs w:val="20"/>
          <w:color w:val="auto"/>
        </w:rPr>
      </w:pPr>
    </w:p>
    <w:p>
      <w:pPr>
        <w:jc w:val="center"/>
        <w:ind w:right="4380"/>
        <w:spacing w:after="0"/>
        <w:rPr>
          <w:sz w:val="20"/>
          <w:szCs w:val="20"/>
          <w:color w:val="auto"/>
        </w:rPr>
      </w:pPr>
      <w:r>
        <w:rPr>
          <w:rFonts w:ascii="Arial" w:cs="Arial" w:eastAsia="Arial" w:hAnsi="Arial"/>
          <w:sz w:val="18"/>
          <w:szCs w:val="18"/>
          <w:color w:val="auto"/>
        </w:rPr>
        <w:t>Signature Page</w:t>
      </w:r>
    </w:p>
    <w:p>
      <w:pPr>
        <w:spacing w:after="0" w:line="15" w:lineRule="exact"/>
        <w:rPr>
          <w:sz w:val="20"/>
          <w:szCs w:val="20"/>
          <w:color w:val="auto"/>
        </w:rPr>
      </w:pPr>
    </w:p>
    <w:p>
      <w:pPr>
        <w:jc w:val="center"/>
        <w:ind w:right="4380"/>
        <w:spacing w:after="0"/>
        <w:rPr>
          <w:sz w:val="20"/>
          <w:szCs w:val="20"/>
          <w:color w:val="auto"/>
        </w:rPr>
      </w:pPr>
      <w:r>
        <w:rPr>
          <w:rFonts w:ascii="Arial" w:cs="Arial" w:eastAsia="Arial" w:hAnsi="Arial"/>
          <w:sz w:val="16"/>
          <w:szCs w:val="16"/>
          <w:color w:val="auto"/>
        </w:rPr>
        <w:t>Form of Account Control Agreement</w:t>
      </w:r>
    </w:p>
    <w:p>
      <w:pPr>
        <w:spacing w:after="0" w:line="32" w:lineRule="exact"/>
        <w:rPr>
          <w:sz w:val="20"/>
          <w:szCs w:val="20"/>
          <w:color w:val="auto"/>
        </w:rPr>
      </w:pPr>
    </w:p>
    <w:p>
      <w:pPr>
        <w:jc w:val="center"/>
        <w:ind w:right="4380"/>
        <w:spacing w:after="0"/>
        <w:rPr>
          <w:sz w:val="20"/>
          <w:szCs w:val="20"/>
          <w:color w:val="auto"/>
        </w:rPr>
      </w:pPr>
      <w:r>
        <w:rPr>
          <w:rFonts w:ascii="Arial" w:cs="Arial" w:eastAsia="Arial" w:hAnsi="Arial"/>
          <w:sz w:val="18"/>
          <w:szCs w:val="18"/>
          <w:color w:val="auto"/>
        </w:rPr>
        <w:t>(Deposit Accounts Only)</w:t>
      </w:r>
    </w:p>
    <w:p>
      <w:pPr>
        <w:sectPr>
          <w:pgSz w:w="11900" w:h="16838" w:orient="portrait"/>
          <w:cols w:equalWidth="0" w:num="2">
            <w:col w:w="3680" w:space="720"/>
            <w:col w:w="7000"/>
          </w:cols>
          <w:pgMar w:left="240" w:top="280" w:right="259" w:bottom="1440" w:gutter="0" w:footer="0" w:header="0"/>
          <w:type w:val="continuous"/>
        </w:sectPr>
      </w:pPr>
    </w:p>
    <w:bookmarkStart w:id="373" w:name="page374"/>
    <w:bookmarkEnd w:id="37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I</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Account Control Agreement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Bank of America, N.A.]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Administrative Agent]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60" w:type="dxa"/>
            <w:vAlign w:val="bottom"/>
            <w:gridSpan w:val="4"/>
          </w:tcPr>
          <w:p>
            <w:pPr>
              <w:jc w:val="center"/>
              <w:ind w:right="3680"/>
              <w:spacing w:after="0"/>
              <w:rPr>
                <w:sz w:val="20"/>
                <w:szCs w:val="20"/>
                <w:color w:val="auto"/>
              </w:rPr>
            </w:pPr>
            <w:r>
              <w:rPr>
                <w:rFonts w:ascii="Arial" w:cs="Arial" w:eastAsia="Arial" w:hAnsi="Arial"/>
                <w:sz w:val="18"/>
                <w:szCs w:val="18"/>
                <w:color w:val="auto"/>
                <w:w w:val="97"/>
              </w:rPr>
              <w:t xml:space="preserve">To:   </w:t>
            </w:r>
            <w:r>
              <w:rPr>
                <w:rFonts w:ascii="Arial" w:cs="Arial" w:eastAsia="Arial" w:hAnsi="Arial"/>
                <w:sz w:val="18"/>
                <w:szCs w:val="18"/>
                <w:b w:val="1"/>
                <w:bCs w:val="1"/>
                <w:color w:val="auto"/>
                <w:w w:val="97"/>
              </w:rPr>
              <w:t>[Name of Bank]</w:t>
            </w: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80" w:type="dxa"/>
            <w:vAlign w:val="bottom"/>
          </w:tcPr>
          <w:p>
            <w:pPr>
              <w:spacing w:after="0"/>
              <w:rPr>
                <w:sz w:val="19"/>
                <w:szCs w:val="19"/>
                <w:color w:val="auto"/>
              </w:rPr>
            </w:pPr>
          </w:p>
        </w:tc>
      </w:tr>
      <w:tr>
        <w:trPr>
          <w:trHeight w:val="218"/>
        </w:trPr>
        <w:tc>
          <w:tcPr>
            <w:tcW w:w="48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80" w:type="dxa"/>
            <w:vAlign w:val="bottom"/>
          </w:tcPr>
          <w:p>
            <w:pPr>
              <w:spacing w:after="0"/>
              <w:rPr>
                <w:sz w:val="18"/>
                <w:szCs w:val="18"/>
                <w:color w:val="auto"/>
              </w:rPr>
            </w:pPr>
          </w:p>
        </w:tc>
      </w:tr>
      <w:tr>
        <w:trPr>
          <w:trHeight w:val="221"/>
        </w:trPr>
        <w:tc>
          <w:tcPr>
            <w:tcW w:w="480" w:type="dxa"/>
            <w:vAlign w:val="bottom"/>
          </w:tcPr>
          <w:p>
            <w:pPr>
              <w:spacing w:after="0"/>
              <w:rPr>
                <w:sz w:val="19"/>
                <w:szCs w:val="19"/>
                <w:color w:val="auto"/>
              </w:rPr>
            </w:pPr>
          </w:p>
        </w:tc>
        <w:tc>
          <w:tcPr>
            <w:tcW w:w="860" w:type="dxa"/>
            <w:vAlign w:val="bottom"/>
          </w:tcPr>
          <w:p>
            <w:pPr>
              <w:jc w:val="center"/>
              <w:ind w:right="52"/>
              <w:spacing w:after="0"/>
              <w:rPr>
                <w:sz w:val="20"/>
                <w:szCs w:val="20"/>
                <w:color w:val="auto"/>
              </w:rPr>
            </w:pPr>
            <w:r>
              <w:rPr>
                <w:rFonts w:ascii="Arial" w:cs="Arial" w:eastAsia="Arial" w:hAnsi="Arial"/>
                <w:sz w:val="18"/>
                <w:szCs w:val="18"/>
                <w:color w:val="auto"/>
                <w:w w:val="94"/>
              </w:rPr>
              <w:t>Attention:</w:t>
            </w:r>
          </w:p>
        </w:tc>
        <w:tc>
          <w:tcPr>
            <w:tcW w:w="7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80" w:type="dxa"/>
            <w:vAlign w:val="bottom"/>
          </w:tcPr>
          <w:p>
            <w:pPr>
              <w:spacing w:after="0"/>
              <w:rPr>
                <w:sz w:val="19"/>
                <w:szCs w:val="19"/>
                <w:color w:val="auto"/>
              </w:rPr>
            </w:pPr>
          </w:p>
        </w:tc>
      </w:tr>
      <w:tr>
        <w:trPr>
          <w:trHeight w:val="419"/>
        </w:trPr>
        <w:tc>
          <w:tcPr>
            <w:tcW w:w="480" w:type="dxa"/>
            <w:vAlign w:val="bottom"/>
          </w:tcPr>
          <w:p>
            <w:pPr>
              <w:spacing w:after="0"/>
              <w:rPr>
                <w:sz w:val="24"/>
                <w:szCs w:val="24"/>
                <w:color w:val="auto"/>
              </w:rPr>
            </w:pPr>
          </w:p>
        </w:tc>
        <w:tc>
          <w:tcPr>
            <w:tcW w:w="860" w:type="dxa"/>
            <w:vAlign w:val="bottom"/>
          </w:tcPr>
          <w:p>
            <w:pPr>
              <w:ind w:left="440"/>
              <w:spacing w:after="0"/>
              <w:rPr>
                <w:sz w:val="20"/>
                <w:szCs w:val="20"/>
                <w:color w:val="auto"/>
              </w:rPr>
            </w:pPr>
            <w:r>
              <w:rPr>
                <w:rFonts w:ascii="Arial" w:cs="Arial" w:eastAsia="Arial" w:hAnsi="Arial"/>
                <w:sz w:val="18"/>
                <w:szCs w:val="18"/>
                <w:color w:val="auto"/>
              </w:rPr>
              <w:t>Re:</w:t>
            </w:r>
          </w:p>
        </w:tc>
        <w:tc>
          <w:tcPr>
            <w:tcW w:w="4020" w:type="dxa"/>
            <w:vAlign w:val="bottom"/>
            <w:gridSpan w:val="2"/>
          </w:tcPr>
          <w:p>
            <w:pPr>
              <w:ind w:left="140"/>
              <w:spacing w:after="0"/>
              <w:rPr>
                <w:sz w:val="20"/>
                <w:szCs w:val="20"/>
                <w:color w:val="auto"/>
              </w:rPr>
            </w:pPr>
            <w:r>
              <w:rPr>
                <w:rFonts w:ascii="Arial" w:cs="Arial" w:eastAsia="Arial" w:hAnsi="Arial"/>
                <w:sz w:val="18"/>
                <w:szCs w:val="18"/>
                <w:color w:val="auto"/>
              </w:rPr>
              <w:t>Integra LifeSciences Holdings Corporation</w:t>
            </w: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378"/>
        </w:trPr>
        <w:tc>
          <w:tcPr>
            <w:tcW w:w="5360" w:type="dxa"/>
            <w:vAlign w:val="bottom"/>
            <w:gridSpan w:val="4"/>
          </w:tcPr>
          <w:p>
            <w:pPr>
              <w:jc w:val="center"/>
              <w:ind w:right="3720"/>
              <w:spacing w:after="0"/>
              <w:rPr>
                <w:sz w:val="20"/>
                <w:szCs w:val="20"/>
                <w:color w:val="auto"/>
              </w:rPr>
            </w:pPr>
            <w:r>
              <w:rPr>
                <w:rFonts w:ascii="Arial" w:cs="Arial" w:eastAsia="Arial" w:hAnsi="Arial"/>
                <w:sz w:val="18"/>
                <w:szCs w:val="18"/>
                <w:color w:val="auto"/>
                <w:w w:val="88"/>
              </w:rPr>
              <w:t>Ladies and Gentlemen:</w:t>
            </w: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340"/>
        </w:trPr>
        <w:tc>
          <w:tcPr>
            <w:tcW w:w="5360" w:type="dxa"/>
            <w:vAlign w:val="bottom"/>
            <w:gridSpan w:val="4"/>
          </w:tcPr>
          <w:p>
            <w:pPr>
              <w:ind w:left="460"/>
              <w:spacing w:after="0"/>
              <w:rPr>
                <w:sz w:val="20"/>
                <w:szCs w:val="20"/>
                <w:color w:val="auto"/>
              </w:rPr>
            </w:pPr>
            <w:r>
              <w:rPr>
                <w:rFonts w:ascii="Arial" w:cs="Arial" w:eastAsia="Arial" w:hAnsi="Arial"/>
                <w:sz w:val="18"/>
                <w:szCs w:val="18"/>
                <w:color w:val="auto"/>
                <w:w w:val="93"/>
              </w:rPr>
              <w:t>Reference is made to the Account Control Agreement dated as of</w:t>
            </w: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5500" w:type="dxa"/>
            <w:vAlign w:val="bottom"/>
            <w:gridSpan w:val="3"/>
          </w:tcPr>
          <w:p>
            <w:pPr>
              <w:ind w:left="220"/>
              <w:spacing w:after="0"/>
              <w:rPr>
                <w:sz w:val="20"/>
                <w:szCs w:val="20"/>
                <w:color w:val="auto"/>
              </w:rPr>
            </w:pPr>
            <w:r>
              <w:rPr>
                <w:rFonts w:ascii="Arial" w:cs="Arial" w:eastAsia="Arial" w:hAnsi="Arial"/>
                <w:sz w:val="18"/>
                <w:szCs w:val="18"/>
                <w:color w:val="auto"/>
                <w:w w:val="90"/>
              </w:rPr>
              <w:t>(the “Agreement”), among Integra LifeSciences Holdings Corporation and</w:t>
            </w:r>
          </w:p>
        </w:tc>
      </w:tr>
      <w:tr>
        <w:trPr>
          <w:trHeight w:val="20"/>
        </w:trPr>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bl>
    <w:p>
      <w:pPr>
        <w:spacing w:after="0" w:line="1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certain of its subsidiaries, the undersigned and you regarding the accounts (the “</w:t>
      </w:r>
      <w:r>
        <w:rPr>
          <w:rFonts w:ascii="Arial" w:cs="Arial" w:eastAsia="Arial" w:hAnsi="Arial"/>
          <w:sz w:val="16"/>
          <w:szCs w:val="16"/>
          <w:u w:val="single" w:color="auto"/>
          <w:color w:val="auto"/>
        </w:rPr>
        <w:t>Accounts</w:t>
      </w:r>
      <w:r>
        <w:rPr>
          <w:rFonts w:ascii="Arial" w:cs="Arial" w:eastAsia="Arial" w:hAnsi="Arial"/>
          <w:sz w:val="16"/>
          <w:szCs w:val="16"/>
          <w:color w:val="auto"/>
        </w:rPr>
        <w:t>”) described in Schedule 1 hereto. In accordance with Section 2 of the Agreement, we hereby give you notice of our exercise of control of each Account and we hereby instruct you to transfer all collected and available credit balances maintained therein in excess of the Retained Balance (as defined in the Agreement) to the following account:</w:t>
      </w:r>
    </w:p>
    <w:p>
      <w:pPr>
        <w:spacing w:after="0" w:line="147"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Name:</w:t>
            </w:r>
          </w:p>
        </w:tc>
        <w:tc>
          <w:tcPr>
            <w:tcW w:w="3420" w:type="dxa"/>
            <w:vAlign w:val="bottom"/>
          </w:tcPr>
          <w:p>
            <w:pPr>
              <w:spacing w:after="0"/>
              <w:rPr>
                <w:sz w:val="20"/>
                <w:szCs w:val="20"/>
                <w:color w:val="auto"/>
              </w:rPr>
            </w:pPr>
            <w:r>
              <w:rPr>
                <w:rFonts w:ascii="Arial" w:cs="Arial" w:eastAsia="Arial" w:hAnsi="Arial"/>
                <w:sz w:val="18"/>
                <w:szCs w:val="18"/>
                <w:color w:val="auto"/>
              </w:rPr>
              <w:t>Bank of America, N.A.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Location:</w:t>
            </w:r>
          </w:p>
        </w:tc>
        <w:tc>
          <w:tcPr>
            <w:tcW w:w="3420" w:type="dxa"/>
            <w:vAlign w:val="bottom"/>
          </w:tcPr>
          <w:p>
            <w:pPr>
              <w:spacing w:after="0"/>
              <w:rPr>
                <w:sz w:val="18"/>
                <w:szCs w:val="18"/>
                <w:color w:val="auto"/>
              </w:rPr>
            </w:pPr>
          </w:p>
        </w:tc>
      </w:tr>
      <w:tr>
        <w:trPr>
          <w:trHeight w:val="222"/>
        </w:trPr>
        <w:tc>
          <w:tcPr>
            <w:tcW w:w="1140" w:type="dxa"/>
            <w:vAlign w:val="bottom"/>
          </w:tcPr>
          <w:p>
            <w:pPr>
              <w:spacing w:after="0"/>
              <w:rPr>
                <w:sz w:val="20"/>
                <w:szCs w:val="20"/>
                <w:color w:val="auto"/>
              </w:rPr>
            </w:pPr>
            <w:r>
              <w:rPr>
                <w:rFonts w:ascii="Arial" w:cs="Arial" w:eastAsia="Arial" w:hAnsi="Arial"/>
                <w:sz w:val="18"/>
                <w:szCs w:val="18"/>
                <w:color w:val="auto"/>
              </w:rPr>
              <w:t>ABA No.:</w:t>
            </w:r>
          </w:p>
        </w:tc>
        <w:tc>
          <w:tcPr>
            <w:tcW w:w="3420" w:type="dxa"/>
            <w:vAlign w:val="bottom"/>
            <w:tcBorders>
              <w:bottom w:val="single" w:sz="8" w:color="auto"/>
            </w:tcBorders>
          </w:tcPr>
          <w:p>
            <w:pPr>
              <w:spacing w:after="0"/>
              <w:rPr>
                <w:sz w:val="19"/>
                <w:szCs w:val="19"/>
                <w:color w:val="auto"/>
              </w:rPr>
            </w:pPr>
          </w:p>
        </w:tc>
      </w:tr>
      <w:tr>
        <w:trPr>
          <w:trHeight w:val="223"/>
        </w:trPr>
        <w:tc>
          <w:tcPr>
            <w:tcW w:w="1140" w:type="dxa"/>
            <w:vAlign w:val="bottom"/>
          </w:tcPr>
          <w:p>
            <w:pPr>
              <w:spacing w:after="0"/>
              <w:rPr>
                <w:sz w:val="20"/>
                <w:szCs w:val="20"/>
                <w:color w:val="auto"/>
              </w:rPr>
            </w:pPr>
            <w:r>
              <w:rPr>
                <w:rFonts w:ascii="Arial" w:cs="Arial" w:eastAsia="Arial" w:hAnsi="Arial"/>
                <w:sz w:val="18"/>
                <w:szCs w:val="18"/>
                <w:color w:val="auto"/>
              </w:rPr>
              <w:t>Account No:</w:t>
            </w:r>
          </w:p>
        </w:tc>
        <w:tc>
          <w:tcPr>
            <w:tcW w:w="3420" w:type="dxa"/>
            <w:vAlign w:val="bottom"/>
            <w:tcBorders>
              <w:bottom w:val="single" w:sz="8" w:color="auto"/>
            </w:tcBorders>
          </w:tcPr>
          <w:p>
            <w:pPr>
              <w:spacing w:after="0"/>
              <w:rPr>
                <w:sz w:val="19"/>
                <w:szCs w:val="19"/>
                <w:color w:val="auto"/>
              </w:rPr>
            </w:pPr>
          </w:p>
        </w:tc>
      </w:tr>
      <w:tr>
        <w:trPr>
          <w:trHeight w:val="223"/>
        </w:trPr>
        <w:tc>
          <w:tcPr>
            <w:tcW w:w="1140" w:type="dxa"/>
            <w:vAlign w:val="bottom"/>
          </w:tcPr>
          <w:p>
            <w:pPr>
              <w:spacing w:after="0"/>
              <w:rPr>
                <w:sz w:val="20"/>
                <w:szCs w:val="20"/>
                <w:color w:val="auto"/>
              </w:rPr>
            </w:pPr>
            <w:r>
              <w:rPr>
                <w:rFonts w:ascii="Arial" w:cs="Arial" w:eastAsia="Arial" w:hAnsi="Arial"/>
                <w:sz w:val="18"/>
                <w:szCs w:val="18"/>
                <w:color w:val="auto"/>
              </w:rPr>
              <w:t>Reference:</w:t>
            </w:r>
          </w:p>
        </w:tc>
        <w:tc>
          <w:tcPr>
            <w:tcW w:w="3420" w:type="dxa"/>
            <w:vAlign w:val="bottom"/>
          </w:tcPr>
          <w:p>
            <w:pPr>
              <w:spacing w:after="0"/>
              <w:rPr>
                <w:sz w:val="20"/>
                <w:szCs w:val="20"/>
                <w:color w:val="auto"/>
              </w:rPr>
            </w:pPr>
            <w:r>
              <w:rPr>
                <w:rFonts w:ascii="Arial" w:cs="Arial" w:eastAsia="Arial" w:hAnsi="Arial"/>
                <w:sz w:val="18"/>
                <w:szCs w:val="18"/>
                <w:color w:val="auto"/>
              </w:rPr>
              <w:t>Bank of America, N.A.,</w:t>
            </w:r>
          </w:p>
        </w:tc>
      </w:tr>
    </w:tbl>
    <w:p>
      <w:pPr>
        <w:ind w:left="8000"/>
        <w:spacing w:after="0"/>
        <w:rPr>
          <w:sz w:val="20"/>
          <w:szCs w:val="20"/>
          <w:color w:val="auto"/>
        </w:rPr>
      </w:pPr>
      <w:r>
        <w:rPr>
          <w:rFonts w:ascii="Arial" w:cs="Arial" w:eastAsia="Arial" w:hAnsi="Arial"/>
          <w:sz w:val="18"/>
          <w:szCs w:val="18"/>
          <w:color w:val="auto"/>
        </w:rPr>
        <w:t>as Administrative Agent/</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Integra LifeSciences Holdings Corporation</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Collateral Account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or otherwise in accordance with Administrative Agent’s instructions.</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BANK OF AMERICA, N.A.,</w:t>
      </w:r>
    </w:p>
    <w:p>
      <w:pPr>
        <w:spacing w:after="0" w:line="2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as Administrative Agent</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280" w:right="239" w:bottom="1440" w:gutter="0" w:footer="0" w:header="0"/>
        </w:sectPr>
      </w:pPr>
    </w:p>
    <w:bookmarkStart w:id="374" w:name="page375"/>
    <w:bookmarkEnd w:id="37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ind w:left="7380"/>
        <w:spacing w:after="0"/>
        <w:rPr>
          <w:sz w:val="20"/>
          <w:szCs w:val="20"/>
          <w:color w:val="auto"/>
        </w:rPr>
      </w:pPr>
      <w:r>
        <w:rPr>
          <w:rFonts w:ascii="Arial" w:cs="Arial" w:eastAsia="Arial" w:hAnsi="Arial"/>
          <w:sz w:val="16"/>
          <w:szCs w:val="16"/>
          <w:color w:val="auto"/>
        </w:rPr>
        <w:t>ACCOUNT CONTROL AGREEMENT</w:t>
      </w:r>
    </w:p>
    <w:p>
      <w:pPr>
        <w:spacing w:after="0" w:line="21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3300" w:type="dxa"/>
            <w:vAlign w:val="bottom"/>
          </w:tcPr>
          <w:p>
            <w:pPr>
              <w:jc w:val="center"/>
              <w:ind w:left="92"/>
              <w:spacing w:after="0"/>
              <w:rPr>
                <w:sz w:val="20"/>
                <w:szCs w:val="20"/>
                <w:color w:val="auto"/>
              </w:rPr>
            </w:pPr>
            <w:r>
              <w:rPr>
                <w:rFonts w:ascii="Arial" w:cs="Arial" w:eastAsia="Arial" w:hAnsi="Arial"/>
                <w:sz w:val="14"/>
                <w:szCs w:val="14"/>
                <w:b w:val="1"/>
                <w:bCs w:val="1"/>
                <w:color w:val="auto"/>
                <w:w w:val="86"/>
              </w:rPr>
              <w:t>Bank Name and Address</w:t>
            </w:r>
          </w:p>
        </w:tc>
        <w:tc>
          <w:tcPr>
            <w:tcW w:w="264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49"/>
        </w:trPr>
        <w:tc>
          <w:tcPr>
            <w:tcW w:w="1480" w:type="dxa"/>
            <w:vAlign w:val="bottom"/>
          </w:tcPr>
          <w:p>
            <w:pPr>
              <w:spacing w:after="0"/>
              <w:rPr>
                <w:sz w:val="12"/>
                <w:szCs w:val="12"/>
                <w:color w:val="auto"/>
              </w:rPr>
            </w:pPr>
          </w:p>
        </w:tc>
        <w:tc>
          <w:tcPr>
            <w:tcW w:w="3300" w:type="dxa"/>
            <w:vAlign w:val="bottom"/>
          </w:tcPr>
          <w:p>
            <w:pPr>
              <w:jc w:val="center"/>
              <w:ind w:left="92"/>
              <w:spacing w:after="0" w:line="149" w:lineRule="exact"/>
              <w:rPr>
                <w:sz w:val="20"/>
                <w:szCs w:val="20"/>
                <w:color w:val="auto"/>
              </w:rPr>
            </w:pPr>
            <w:r>
              <w:rPr>
                <w:rFonts w:ascii="Arial" w:cs="Arial" w:eastAsia="Arial" w:hAnsi="Arial"/>
                <w:sz w:val="14"/>
                <w:szCs w:val="14"/>
                <w:b w:val="1"/>
                <w:bCs w:val="1"/>
                <w:color w:val="auto"/>
                <w:w w:val="88"/>
              </w:rPr>
              <w:t>for Account (if different</w:t>
            </w:r>
          </w:p>
        </w:tc>
        <w:tc>
          <w:tcPr>
            <w:tcW w:w="2640" w:type="dxa"/>
            <w:vAlign w:val="bottom"/>
          </w:tcPr>
          <w:p>
            <w:pPr>
              <w:spacing w:after="0"/>
              <w:rPr>
                <w:sz w:val="12"/>
                <w:szCs w:val="12"/>
                <w:color w:val="auto"/>
              </w:rPr>
            </w:pPr>
          </w:p>
        </w:tc>
        <w:tc>
          <w:tcPr>
            <w:tcW w:w="1920" w:type="dxa"/>
            <w:vAlign w:val="bottom"/>
          </w:tcPr>
          <w:p>
            <w:pPr>
              <w:spacing w:after="0"/>
              <w:rPr>
                <w:sz w:val="12"/>
                <w:szCs w:val="12"/>
                <w:color w:val="auto"/>
              </w:rPr>
            </w:pPr>
          </w:p>
        </w:tc>
      </w:tr>
      <w:tr>
        <w:trPr>
          <w:trHeight w:val="188"/>
        </w:trPr>
        <w:tc>
          <w:tcPr>
            <w:tcW w:w="1480" w:type="dxa"/>
            <w:vAlign w:val="bottom"/>
          </w:tcPr>
          <w:p>
            <w:pPr>
              <w:spacing w:after="0"/>
              <w:rPr>
                <w:sz w:val="20"/>
                <w:szCs w:val="20"/>
                <w:color w:val="auto"/>
              </w:rPr>
            </w:pPr>
            <w:r>
              <w:rPr>
                <w:rFonts w:ascii="Arial" w:cs="Arial" w:eastAsia="Arial" w:hAnsi="Arial"/>
                <w:sz w:val="14"/>
                <w:szCs w:val="14"/>
                <w:b w:val="1"/>
                <w:bCs w:val="1"/>
                <w:u w:val="single" w:color="auto"/>
                <w:color w:val="auto"/>
              </w:rPr>
              <w:t>Grantor</w:t>
            </w:r>
          </w:p>
        </w:tc>
        <w:tc>
          <w:tcPr>
            <w:tcW w:w="3300" w:type="dxa"/>
            <w:vAlign w:val="bottom"/>
          </w:tcPr>
          <w:p>
            <w:pPr>
              <w:jc w:val="center"/>
              <w:ind w:left="92"/>
              <w:spacing w:after="0"/>
              <w:rPr>
                <w:sz w:val="20"/>
                <w:szCs w:val="20"/>
                <w:color w:val="auto"/>
              </w:rPr>
            </w:pPr>
            <w:r>
              <w:rPr>
                <w:rFonts w:ascii="Arial" w:cs="Arial" w:eastAsia="Arial" w:hAnsi="Arial"/>
                <w:sz w:val="14"/>
                <w:szCs w:val="14"/>
                <w:b w:val="1"/>
                <w:bCs w:val="1"/>
                <w:color w:val="auto"/>
                <w:w w:val="85"/>
              </w:rPr>
              <w:t>from notice address)</w:t>
            </w:r>
          </w:p>
        </w:tc>
        <w:tc>
          <w:tcPr>
            <w:tcW w:w="2640" w:type="dxa"/>
            <w:vAlign w:val="bottom"/>
          </w:tcPr>
          <w:p>
            <w:pPr>
              <w:ind w:left="860"/>
              <w:spacing w:after="0"/>
              <w:rPr>
                <w:sz w:val="20"/>
                <w:szCs w:val="20"/>
                <w:color w:val="auto"/>
              </w:rPr>
            </w:pPr>
            <w:r>
              <w:rPr>
                <w:rFonts w:ascii="Arial" w:cs="Arial" w:eastAsia="Arial" w:hAnsi="Arial"/>
                <w:sz w:val="14"/>
                <w:szCs w:val="14"/>
                <w:b w:val="1"/>
                <w:bCs w:val="1"/>
                <w:u w:val="single" w:color="auto"/>
                <w:color w:val="auto"/>
              </w:rPr>
              <w:t>Account Name</w:t>
            </w:r>
          </w:p>
        </w:tc>
        <w:tc>
          <w:tcPr>
            <w:tcW w:w="1920" w:type="dxa"/>
            <w:vAlign w:val="bottom"/>
          </w:tcPr>
          <w:p>
            <w:pPr>
              <w:ind w:left="940"/>
              <w:spacing w:after="0"/>
              <w:rPr>
                <w:sz w:val="20"/>
                <w:szCs w:val="20"/>
                <w:color w:val="auto"/>
              </w:rPr>
            </w:pPr>
            <w:r>
              <w:rPr>
                <w:rFonts w:ascii="Arial" w:cs="Arial" w:eastAsia="Arial" w:hAnsi="Arial"/>
                <w:sz w:val="14"/>
                <w:szCs w:val="14"/>
                <w:b w:val="1"/>
                <w:bCs w:val="1"/>
                <w:u w:val="single" w:color="auto"/>
                <w:color w:val="auto"/>
                <w:w w:val="85"/>
              </w:rPr>
              <w:t>Account Number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-15875</wp:posOffset>
            </wp:positionV>
            <wp:extent cx="7246620" cy="677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46620" cy="677545"/>
                    </a:xfrm>
                    <a:prstGeom prst="rect">
                      <a:avLst/>
                    </a:prstGeom>
                    <a:noFill/>
                  </pic:spPr>
                </pic:pic>
              </a:graphicData>
            </a:graphic>
          </wp:anchor>
        </w:drawing>
      </w:r>
    </w:p>
    <w:p>
      <w:pPr>
        <w:sectPr>
          <w:pgSz w:w="11900" w:h="16838" w:orient="portrait"/>
          <w:cols w:equalWidth="0" w:num="1">
            <w:col w:w="10220"/>
          </w:cols>
          <w:pgMar w:left="1440" w:top="280" w:right="239" w:bottom="1440" w:gutter="0" w:footer="0" w:header="0"/>
        </w:sectPr>
      </w:pPr>
    </w:p>
    <w:bookmarkStart w:id="375" w:name="page376"/>
    <w:bookmarkEnd w:id="375"/>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K</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PERMITTED ACQUISITION CERTIFICATE</w:t>
      </w:r>
    </w:p>
    <w:p>
      <w:pPr>
        <w:spacing w:after="0" w:line="20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To:</w:t>
        <w:tab/>
        <w:t>Bank of America, N.A., as Administrative Agent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Reference is made to that certain Second Amended and Restated Credit Agreement, dated as of June 8, 2011 (as amended, restated, extended, supplemented or otherwise modified in writing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terms defined therein being used herein as therein defined), among INTEGRA LIFESCIENCES HOLDINGS CORPORATION,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from time to time party thereto (the “</w:t>
      </w:r>
      <w:r>
        <w:rPr>
          <w:rFonts w:ascii="Arial" w:cs="Arial" w:eastAsia="Arial" w:hAnsi="Arial"/>
          <w:sz w:val="18"/>
          <w:szCs w:val="18"/>
          <w:u w:val="single" w:color="auto"/>
          <w:color w:val="auto"/>
        </w:rPr>
        <w:t>Lenders</w:t>
      </w:r>
      <w:r>
        <w:rPr>
          <w:rFonts w:ascii="Arial" w:cs="Arial" w:eastAsia="Arial" w:hAnsi="Arial"/>
          <w:sz w:val="18"/>
          <w:szCs w:val="18"/>
          <w:color w:val="auto"/>
        </w:rPr>
        <w:t>”) and BANK OF AMERICA, N.A., as Administrative Agent, Swing Line Lender and L/C Issuer.</w:t>
      </w:r>
    </w:p>
    <w:p>
      <w:pPr>
        <w:spacing w:after="0" w:line="143"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undersigned Responsible Officer hereby certifies, solely in his/her capacity as an officer of the Borrower, as of the date hereof that he/she is authorized to execute and deliver this Certificate to the Administrative Agent on the behalf of the Borrower, and that:</w:t>
      </w:r>
    </w:p>
    <w:p>
      <w:pPr>
        <w:spacing w:after="0" w:line="132" w:lineRule="exact"/>
        <w:rPr>
          <w:sz w:val="20"/>
          <w:szCs w:val="20"/>
          <w:color w:val="auto"/>
        </w:rPr>
      </w:pPr>
    </w:p>
    <w:p>
      <w:pPr>
        <w:ind w:left="640" w:hanging="176"/>
        <w:spacing w:after="0"/>
        <w:tabs>
          <w:tab w:leader="none" w:pos="64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 xml:space="preserve">The Acquisition (as described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is a Permitted Acquisition.</w:t>
      </w:r>
    </w:p>
    <w:p>
      <w:pPr>
        <w:spacing w:after="0" w:line="171" w:lineRule="exact"/>
        <w:rPr>
          <w:rFonts w:ascii="Arial" w:cs="Arial" w:eastAsia="Arial" w:hAnsi="Arial"/>
          <w:sz w:val="18"/>
          <w:szCs w:val="18"/>
          <w:color w:val="auto"/>
        </w:rPr>
      </w:pPr>
    </w:p>
    <w:p>
      <w:pPr>
        <w:jc w:val="both"/>
        <w:ind w:firstLine="464"/>
        <w:spacing w:after="0" w:line="306" w:lineRule="auto"/>
        <w:tabs>
          <w:tab w:leader="none" w:pos="651" w:val="left"/>
        </w:tabs>
        <w:numPr>
          <w:ilvl w:val="0"/>
          <w:numId w:val="387"/>
        </w:numPr>
        <w:rPr>
          <w:rFonts w:ascii="Arial" w:cs="Arial" w:eastAsia="Arial" w:hAnsi="Arial"/>
          <w:sz w:val="16"/>
          <w:szCs w:val="16"/>
          <w:color w:val="auto"/>
        </w:rPr>
      </w:pPr>
      <w:r>
        <w:rPr>
          <w:rFonts w:ascii="Arial" w:cs="Arial" w:eastAsia="Arial" w:hAnsi="Arial"/>
          <w:sz w:val="16"/>
          <w:szCs w:val="16"/>
          <w:color w:val="auto"/>
        </w:rPr>
        <w:t xml:space="preserve">The aggregate consideration (including cash and non-cash consideration (other than non-cash consideration in the form of Qualified Equity Interests issued by the Borrower in accordance with </w:t>
      </w:r>
      <w:r>
        <w:rPr>
          <w:rFonts w:ascii="Arial" w:cs="Arial" w:eastAsia="Arial" w:hAnsi="Arial"/>
          <w:sz w:val="16"/>
          <w:szCs w:val="16"/>
          <w:u w:val="single" w:color="auto"/>
          <w:color w:val="auto"/>
        </w:rPr>
        <w:t>Section 7.02(l)</w:t>
      </w:r>
      <w:r>
        <w:rPr>
          <w:rFonts w:ascii="Arial" w:cs="Arial" w:eastAsia="Arial" w:hAnsi="Arial"/>
          <w:sz w:val="16"/>
          <w:szCs w:val="16"/>
          <w:color w:val="auto"/>
        </w:rPr>
        <w:t xml:space="preserve"> but including the maximum amount of any earn-out or similar deferred payment that will or could become due as a result of such Acquisition)) for such Acquisition (or a series of related Acquisitions) is less than or equal to $250,000,000.</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[Include the following paragraphs for Acquisitions in excess $50,000,000.]</w:t>
      </w:r>
    </w:p>
    <w:p>
      <w:pPr>
        <w:spacing w:after="0" w:line="171" w:lineRule="exact"/>
        <w:rPr>
          <w:sz w:val="20"/>
          <w:szCs w:val="20"/>
          <w:color w:val="auto"/>
        </w:rPr>
      </w:pPr>
    </w:p>
    <w:p>
      <w:pPr>
        <w:ind w:left="640" w:hanging="176"/>
        <w:spacing w:after="0"/>
        <w:tabs>
          <w:tab w:leader="none" w:pos="640" w:val="left"/>
        </w:tabs>
        <w:numPr>
          <w:ilvl w:val="0"/>
          <w:numId w:val="388"/>
        </w:numPr>
        <w:rPr>
          <w:rFonts w:ascii="Arial" w:cs="Arial" w:eastAsia="Arial" w:hAnsi="Arial"/>
          <w:sz w:val="16"/>
          <w:szCs w:val="16"/>
          <w:color w:val="auto"/>
        </w:rPr>
      </w:pPr>
      <w:r>
        <w:rPr>
          <w:rFonts w:ascii="Arial" w:cs="Arial" w:eastAsia="Arial" w:hAnsi="Arial"/>
          <w:sz w:val="16"/>
          <w:szCs w:val="16"/>
          <w:color w:val="auto"/>
        </w:rPr>
        <w:t xml:space="preserve">After giving effect to the Acquisition on a Pro Forma Basis, the Borrower and its Consolidated Subsidiaries are in compliance with </w:t>
      </w:r>
      <w:r>
        <w:rPr>
          <w:rFonts w:ascii="Arial" w:cs="Arial" w:eastAsia="Arial" w:hAnsi="Arial"/>
          <w:sz w:val="16"/>
          <w:szCs w:val="16"/>
          <w:u w:val="single" w:color="auto"/>
          <w:color w:val="auto"/>
        </w:rPr>
        <w:t>Section 7.17</w:t>
      </w:r>
      <w:r>
        <w:rPr>
          <w:rFonts w:ascii="Arial" w:cs="Arial" w:eastAsia="Arial" w:hAnsi="Arial"/>
          <w:sz w:val="16"/>
          <w:szCs w:val="16"/>
          <w:color w:val="auto"/>
        </w:rPr>
        <w:t>.</w:t>
      </w:r>
    </w:p>
    <w:p>
      <w:pPr>
        <w:spacing w:after="0" w:line="194" w:lineRule="exact"/>
        <w:rPr>
          <w:rFonts w:ascii="Arial" w:cs="Arial" w:eastAsia="Arial" w:hAnsi="Arial"/>
          <w:sz w:val="16"/>
          <w:szCs w:val="16"/>
          <w:color w:val="auto"/>
        </w:rPr>
      </w:pPr>
    </w:p>
    <w:p>
      <w:pPr>
        <w:jc w:val="both"/>
        <w:ind w:firstLine="464"/>
        <w:spacing w:after="0" w:line="306" w:lineRule="auto"/>
        <w:tabs>
          <w:tab w:leader="none" w:pos="660" w:val="left"/>
        </w:tabs>
        <w:numPr>
          <w:ilvl w:val="0"/>
          <w:numId w:val="388"/>
        </w:numPr>
        <w:rPr>
          <w:rFonts w:ascii="Arial" w:cs="Arial" w:eastAsia="Arial" w:hAnsi="Arial"/>
          <w:sz w:val="16"/>
          <w:szCs w:val="16"/>
          <w:color w:val="auto"/>
        </w:rPr>
      </w:pPr>
      <w:r>
        <w:rPr>
          <w:rFonts w:ascii="Arial" w:cs="Arial" w:eastAsia="Arial" w:hAnsi="Arial"/>
          <w:sz w:val="16"/>
          <w:szCs w:val="16"/>
          <w:color w:val="auto"/>
        </w:rPr>
        <w:t xml:space="preserve">The calculations and analysis of Borrower’s and its Consolidated Subsidiaries’ compliance, on a Pro Forma Basis, with Section 7.17 set forth on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attached hereto, other than with respect to any Permitted Cost Savings, are true and accurate in all material respects on and as of the date of this Certificate. Any Permitted Cost Savings reflected on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are reasonably expected to be realized within twelve (12) months after the Acquisition.</w:t>
      </w:r>
    </w:p>
    <w:p>
      <w:pPr>
        <w:spacing w:after="0" w:line="106" w:lineRule="exact"/>
        <w:rPr>
          <w:rFonts w:ascii="Arial" w:cs="Arial" w:eastAsia="Arial" w:hAnsi="Arial"/>
          <w:sz w:val="16"/>
          <w:szCs w:val="16"/>
          <w:color w:val="auto"/>
        </w:rPr>
      </w:pPr>
    </w:p>
    <w:p>
      <w:pPr>
        <w:jc w:val="both"/>
        <w:ind w:firstLine="464"/>
        <w:spacing w:after="0" w:line="259" w:lineRule="auto"/>
        <w:tabs>
          <w:tab w:leader="none" w:pos="649" w:val="left"/>
        </w:tabs>
        <w:numPr>
          <w:ilvl w:val="0"/>
          <w:numId w:val="388"/>
        </w:numPr>
        <w:rPr>
          <w:rFonts w:ascii="Arial" w:cs="Arial" w:eastAsia="Arial" w:hAnsi="Arial"/>
          <w:sz w:val="18"/>
          <w:szCs w:val="18"/>
          <w:color w:val="auto"/>
        </w:rPr>
      </w:pPr>
      <w:r>
        <w:rPr>
          <w:rFonts w:ascii="Arial" w:cs="Arial" w:eastAsia="Arial" w:hAnsi="Arial"/>
          <w:sz w:val="18"/>
          <w:szCs w:val="18"/>
          <w:color w:val="auto"/>
        </w:rPr>
        <w:t xml:space="preserve">The Permitted Cost Savings included in the calculations and analysis set forth on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attached hereto either (a) have been determined by the Company to be permitted to be included as pro forma adjustments under Regulation S-K or Regulation S-X or (b) are otherwise permitted under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the definition of “Permitted Cost Savings” found in the Credit Agreement.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Permitted Acquisition Certificate</w:t>
      </w:r>
    </w:p>
    <w:p>
      <w:pPr>
        <w:sectPr>
          <w:pgSz w:w="11900" w:h="16838" w:orient="portrait"/>
          <w:cols w:equalWidth="0" w:num="1">
            <w:col w:w="11420"/>
          </w:cols>
          <w:pgMar w:left="240" w:top="279" w:right="239" w:bottom="1440" w:gutter="0" w:footer="0" w:header="0"/>
        </w:sectPr>
      </w:pPr>
    </w:p>
    <w:bookmarkStart w:id="376" w:name="page377"/>
    <w:bookmarkEnd w:id="376"/>
    <w:p>
      <w:pPr>
        <w:jc w:val="both"/>
        <w:ind w:left="-8" w:firstLine="464"/>
        <w:spacing w:after="0" w:line="284" w:lineRule="auto"/>
        <w:tabs>
          <w:tab w:leader="none" w:pos="649" w:val="left"/>
        </w:tabs>
        <w:numPr>
          <w:ilvl w:val="1"/>
          <w:numId w:val="38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representations and warranties of the Borrower and each other Loan Party contained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of the Credit Agreement or any other Loan Document are true and correct in all material respects on and as of the date of hereof, except that (i) to the extent that such representations and warranties specifically refer to an earlier date, in which case they are true and correct as of such earlier date, (ii) the representations and warranties contained in subsections</w:t>
      </w:r>
    </w:p>
    <w:p>
      <w:pPr>
        <w:spacing w:after="0" w:line="1" w:lineRule="exact"/>
        <w:rPr>
          <w:rFonts w:ascii="Arial" w:cs="Arial" w:eastAsia="Arial" w:hAnsi="Arial"/>
          <w:sz w:val="16"/>
          <w:szCs w:val="16"/>
          <w:color w:val="auto"/>
        </w:rPr>
      </w:pPr>
    </w:p>
    <w:p>
      <w:pPr>
        <w:jc w:val="both"/>
        <w:ind w:left="-8" w:firstLine="8"/>
        <w:spacing w:after="0" w:line="255" w:lineRule="auto"/>
        <w:tabs>
          <w:tab w:leader="none" w:pos="238" w:val="left"/>
        </w:tabs>
        <w:numPr>
          <w:ilvl w:val="0"/>
          <w:numId w:val="390"/>
        </w:numPr>
        <w:rPr>
          <w:rFonts w:ascii="Arial" w:cs="Arial" w:eastAsia="Arial" w:hAnsi="Arial"/>
          <w:sz w:val="18"/>
          <w:szCs w:val="18"/>
          <w:color w:val="auto"/>
        </w:rPr>
      </w:pPr>
      <w:r>
        <w:rPr>
          <w:rFonts w:ascii="Arial" w:cs="Arial" w:eastAsia="Arial" w:hAnsi="Arial"/>
          <w:sz w:val="18"/>
          <w:szCs w:val="18"/>
          <w:color w:val="auto"/>
        </w:rPr>
        <w:t xml:space="preserve">and (b) of </w:t>
      </w:r>
      <w:r>
        <w:rPr>
          <w:rFonts w:ascii="Arial" w:cs="Arial" w:eastAsia="Arial" w:hAnsi="Arial"/>
          <w:sz w:val="18"/>
          <w:szCs w:val="18"/>
          <w:u w:val="single" w:color="auto"/>
          <w:color w:val="auto"/>
        </w:rPr>
        <w:t>Section 5.05</w:t>
      </w:r>
      <w:r>
        <w:rPr>
          <w:rFonts w:ascii="Arial" w:cs="Arial" w:eastAsia="Arial" w:hAnsi="Arial"/>
          <w:sz w:val="18"/>
          <w:szCs w:val="18"/>
          <w:color w:val="auto"/>
        </w:rPr>
        <w:t xml:space="preserve"> of the Credit Agreement are deemed to refer to the most recent statements furnished pursuant to subsections (a) and (b), respectively, of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of the Credit Agreement and (iii) such representations and warranties are subject to any additional items that will be disclosed on updated Schedules delivered on the next scheduled delivery date.</w:t>
      </w:r>
    </w:p>
    <w:p>
      <w:pPr>
        <w:spacing w:after="0" w:line="144" w:lineRule="exact"/>
        <w:rPr>
          <w:rFonts w:ascii="Arial" w:cs="Arial" w:eastAsia="Arial" w:hAnsi="Arial"/>
          <w:sz w:val="18"/>
          <w:szCs w:val="18"/>
          <w:color w:val="auto"/>
        </w:rPr>
      </w:pPr>
    </w:p>
    <w:p>
      <w:pPr>
        <w:ind w:left="-8" w:firstLine="464"/>
        <w:spacing w:after="0" w:line="268" w:lineRule="auto"/>
        <w:tabs>
          <w:tab w:leader="none" w:pos="643" w:val="left"/>
        </w:tabs>
        <w:numPr>
          <w:ilvl w:val="1"/>
          <w:numId w:val="390"/>
        </w:numPr>
        <w:rPr>
          <w:rFonts w:ascii="Arial" w:cs="Arial" w:eastAsia="Arial" w:hAnsi="Arial"/>
          <w:sz w:val="18"/>
          <w:szCs w:val="18"/>
          <w:color w:val="auto"/>
        </w:rPr>
      </w:pPr>
      <w:r>
        <w:rPr>
          <w:rFonts w:ascii="Arial" w:cs="Arial" w:eastAsia="Arial" w:hAnsi="Arial"/>
          <w:sz w:val="18"/>
          <w:szCs w:val="18"/>
          <w:color w:val="auto"/>
        </w:rPr>
        <w:t xml:space="preserve">The Person to be acquired in the Acquisition, the location and type of operations and key management are described on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attached hereto except to the extent such information has been previously provided to the Administrative Agent.</w:t>
      </w:r>
    </w:p>
    <w:p>
      <w:pPr>
        <w:spacing w:after="0" w:line="132" w:lineRule="exact"/>
        <w:rPr>
          <w:sz w:val="20"/>
          <w:szCs w:val="20"/>
          <w:color w:val="auto"/>
        </w:rPr>
      </w:pPr>
    </w:p>
    <w:p>
      <w:pPr>
        <w:ind w:left="452"/>
        <w:spacing w:after="0"/>
        <w:rPr>
          <w:sz w:val="20"/>
          <w:szCs w:val="20"/>
          <w:color w:val="auto"/>
        </w:rPr>
      </w:pPr>
      <w:r>
        <w:rPr>
          <w:rFonts w:ascii="Arial" w:cs="Arial" w:eastAsia="Arial" w:hAnsi="Arial"/>
          <w:sz w:val="16"/>
          <w:szCs w:val="16"/>
          <w:i w:val="1"/>
          <w:iCs w:val="1"/>
          <w:color w:val="auto"/>
        </w:rPr>
        <w:t xml:space="preserve">IN WITNESS WHEREOF, </w:t>
      </w:r>
      <w:r>
        <w:rPr>
          <w:rFonts w:ascii="Arial" w:cs="Arial" w:eastAsia="Arial" w:hAnsi="Arial"/>
          <w:sz w:val="16"/>
          <w:szCs w:val="16"/>
          <w:color w:val="auto"/>
        </w:rPr>
        <w:t>the undersigned Responsible Officer has executed this Certificate solely in his/her capacity as an officer of the Borrower as of</w:t>
      </w:r>
    </w:p>
    <w:p>
      <w:pPr>
        <w:spacing w:after="0" w:line="38" w:lineRule="exact"/>
        <w:rPr>
          <w:sz w:val="20"/>
          <w:szCs w:val="20"/>
          <w:color w:val="auto"/>
        </w:rPr>
      </w:pPr>
    </w:p>
    <w:p>
      <w:pPr>
        <w:ind w:left="972" w:hanging="445"/>
        <w:spacing w:after="0"/>
        <w:tabs>
          <w:tab w:leader="none" w:pos="972" w:val="left"/>
        </w:tabs>
        <w:numPr>
          <w:ilvl w:val="0"/>
          <w:numId w:val="391"/>
        </w:numPr>
        <w:rPr>
          <w:rFonts w:ascii="Arial" w:cs="Arial" w:eastAsia="Arial" w:hAnsi="Arial"/>
          <w:sz w:val="18"/>
          <w:szCs w:val="18"/>
          <w:color w:val="auto"/>
        </w:rPr>
      </w:pPr>
      <w:r>
        <w:rPr>
          <w:rFonts w:ascii="Arial" w:cs="Arial" w:eastAsia="Arial" w:hAnsi="Arial"/>
          <w:sz w:val="18"/>
          <w:szCs w:val="18"/>
          <w:color w:val="auto"/>
        </w:rPr>
        <w:t>.</w:t>
      </w:r>
    </w:p>
    <w:p>
      <w:pPr>
        <w:spacing w:after="0" w:line="199" w:lineRule="exact"/>
        <w:rPr>
          <w:sz w:val="20"/>
          <w:szCs w:val="20"/>
          <w:color w:val="auto"/>
        </w:rPr>
      </w:pPr>
    </w:p>
    <w:p>
      <w:pPr>
        <w:ind w:left="6852"/>
        <w:spacing w:after="0"/>
        <w:rPr>
          <w:sz w:val="20"/>
          <w:szCs w:val="20"/>
          <w:color w:val="auto"/>
        </w:rPr>
      </w:pPr>
      <w:r>
        <w:rPr>
          <w:rFonts w:ascii="Arial" w:cs="Arial" w:eastAsia="Arial" w:hAnsi="Arial"/>
          <w:sz w:val="16"/>
          <w:szCs w:val="16"/>
          <w:b w:val="1"/>
          <w:bCs w:val="1"/>
          <w:color w:val="auto"/>
        </w:rPr>
        <w:t>INTEGRA LIFESCIENCES HOLDINGS CORPORATION,</w:t>
      </w:r>
    </w:p>
    <w:p>
      <w:pPr>
        <w:spacing w:after="0" w:line="44" w:lineRule="exact"/>
        <w:rPr>
          <w:sz w:val="20"/>
          <w:szCs w:val="20"/>
          <w:color w:val="auto"/>
        </w:rPr>
      </w:pPr>
    </w:p>
    <w:p>
      <w:pPr>
        <w:ind w:left="6852"/>
        <w:spacing w:after="0"/>
        <w:rPr>
          <w:sz w:val="20"/>
          <w:szCs w:val="20"/>
          <w:color w:val="auto"/>
        </w:rPr>
      </w:pPr>
      <w:r>
        <w:rPr>
          <w:rFonts w:ascii="Arial" w:cs="Arial" w:eastAsia="Arial" w:hAnsi="Arial"/>
          <w:sz w:val="18"/>
          <w:szCs w:val="18"/>
          <w:b w:val="1"/>
          <w:bCs w:val="1"/>
          <w:color w:val="auto"/>
        </w:rPr>
        <w:t>a Delaware corporation</w:t>
      </w:r>
    </w:p>
    <w:p>
      <w:pPr>
        <w:spacing w:after="0" w:line="219"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4587875</wp:posOffset>
            </wp:positionH>
            <wp:positionV relativeFrom="paragraph">
              <wp:posOffset>10795</wp:posOffset>
            </wp:positionV>
            <wp:extent cx="265874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4725035</wp:posOffset>
            </wp:positionH>
            <wp:positionV relativeFrom="paragraph">
              <wp:posOffset>10795</wp:posOffset>
            </wp:positionV>
            <wp:extent cx="252158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Title: [Responsible Officer]</w:t>
      </w:r>
    </w:p>
    <w:p>
      <w:pPr>
        <w:sectPr>
          <w:pgSz w:w="11900" w:h="16838" w:orient="portrait"/>
          <w:cols w:equalWidth="0" w:num="1">
            <w:col w:w="11412"/>
          </w:cols>
          <w:pgMar w:left="248" w:top="280" w:right="239" w:bottom="1440" w:gutter="0" w:footer="0" w:header="0"/>
        </w:sectPr>
      </w:pPr>
    </w:p>
    <w:bookmarkStart w:id="377" w:name="page378"/>
    <w:bookmarkEnd w:id="377"/>
    <w:p>
      <w:pPr>
        <w:jc w:val="right"/>
        <w:spacing w:after="0"/>
        <w:rPr>
          <w:sz w:val="20"/>
          <w:szCs w:val="20"/>
          <w:color w:val="auto"/>
        </w:rPr>
      </w:pPr>
      <w:r>
        <w:rPr>
          <w:rFonts w:ascii="Arial" w:cs="Arial" w:eastAsia="Arial" w:hAnsi="Arial"/>
          <w:sz w:val="18"/>
          <w:szCs w:val="18"/>
          <w:b w:val="1"/>
          <w:bCs w:val="1"/>
          <w:color w:val="auto"/>
        </w:rPr>
        <w:t>Exhibit 10.3</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[2011 Annual Grant]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 STOCK / RESTRICTED UNITS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2003 EQUITY INCENTIVE PLAN</w:t>
      </w:r>
    </w:p>
    <w:p>
      <w:pPr>
        <w:spacing w:after="0" w:line="16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AGREEMENT, dated as of [December , 2011], by and between Integra LifeSciences Holdings Corporation,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Stuart M. Essig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2063750</wp:posOffset>
            </wp:positionH>
            <wp:positionV relativeFrom="paragraph">
              <wp:posOffset>-175895</wp:posOffset>
            </wp:positionV>
            <wp:extent cx="11176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the Company and Executive previously entered into that certain Second Amended and Restated Employment Agreement dated as of July 27,</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2004, as amended by Amendment 2006-1 to the Second Amended and Restated Employment Agreement, Amendment 2008-1 to the Second Amended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Restated Employment Agreement, Amendment 2008-2 to the Second Amended and Restated Employment Agreement and Amendment 2009-1 to the Second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Amended and Restated Employment Agreement (such Second Amended and Restated Employment Agreement, as so amended being hereinafter called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Employment Agreement</w:t>
      </w:r>
      <w:r>
        <w:rPr>
          <w:rFonts w:ascii="Arial" w:cs="Arial" w:eastAsia="Arial" w:hAnsi="Arial"/>
          <w:sz w:val="16"/>
          <w:szCs w:val="16"/>
          <w:color w:val="auto"/>
        </w:rPr>
        <w:t>”), pursuant to which Executive will continue to serve as Chief Executive Officer of the Company, on the terms and conditions set forth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described therein;</w:t>
      </w:r>
    </w:p>
    <w:p>
      <w:pPr>
        <w:spacing w:after="0" w:line="16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WHEREAS, pursuant to the Employment Agreement, the Company has agreed to grant to Executive an annual equity-based award under the Integra LifeSciences Holdings Corporation Second Amended and Restated 2003 Equity Incentive Plan (the “</w:t>
      </w:r>
      <w:r>
        <w:rPr>
          <w:rFonts w:ascii="Arial" w:cs="Arial" w:eastAsia="Arial" w:hAnsi="Arial"/>
          <w:sz w:val="18"/>
          <w:szCs w:val="18"/>
          <w:u w:val="single" w:color="auto"/>
          <w:color w:val="auto"/>
        </w:rPr>
        <w:t>2003 Plan</w:t>
      </w:r>
      <w:r>
        <w:rPr>
          <w:rFonts w:ascii="Arial" w:cs="Arial" w:eastAsia="Arial" w:hAnsi="Arial"/>
          <w:sz w:val="18"/>
          <w:szCs w:val="18"/>
          <w:color w:val="auto"/>
        </w:rPr>
        <w:t>”), the terms of which are hereby incorporated by reference and made a part of this Agreement; and</w:t>
      </w:r>
    </w:p>
    <w:p>
      <w:pPr>
        <w:spacing w:after="0" w:line="14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WHEREAS, the Compensation Committee of the Board of Directors of the Company, appointed to administer the 2003 Plan, has determined that it would be to the advantage and in the best interest of the Company and its stockholders to grant to the Executive an annual award for 2011 of an aggregate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6709410</wp:posOffset>
            </wp:positionH>
            <wp:positionV relativeFrom="paragraph">
              <wp:posOffset>-23495</wp:posOffset>
            </wp:positionV>
            <wp:extent cx="33464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ind w:right="440"/>
        <w:spacing w:after="0" w:line="261" w:lineRule="auto"/>
        <w:rPr>
          <w:sz w:val="20"/>
          <w:szCs w:val="20"/>
          <w:color w:val="auto"/>
        </w:rPr>
      </w:pPr>
      <w:r>
        <w:rPr>
          <w:rFonts w:ascii="Arial" w:cs="Arial" w:eastAsia="Arial" w:hAnsi="Arial"/>
          <w:sz w:val="18"/>
          <w:szCs w:val="18"/>
          <w:color w:val="auto"/>
        </w:rPr>
        <w:t>( ) shares of contract stock in the form of restricted units (the “</w:t>
      </w:r>
      <w:r>
        <w:rPr>
          <w:rFonts w:ascii="Arial" w:cs="Arial" w:eastAsia="Arial" w:hAnsi="Arial"/>
          <w:sz w:val="18"/>
          <w:szCs w:val="18"/>
          <w:u w:val="single" w:color="auto"/>
          <w:color w:val="auto"/>
        </w:rPr>
        <w:t>Units</w:t>
      </w:r>
      <w:r>
        <w:rPr>
          <w:rFonts w:ascii="Arial" w:cs="Arial" w:eastAsia="Arial" w:hAnsi="Arial"/>
          <w:sz w:val="18"/>
          <w:szCs w:val="18"/>
          <w:color w:val="auto"/>
        </w:rPr>
        <w:t>”) representing the right to receive an equal number of shares of common stock of the Company, par value $.01 per share (“</w:t>
      </w:r>
      <w:r>
        <w:rPr>
          <w:rFonts w:ascii="Arial" w:cs="Arial" w:eastAsia="Arial" w:hAnsi="Arial"/>
          <w:sz w:val="18"/>
          <w:szCs w:val="18"/>
          <w:u w:val="single" w:color="auto"/>
          <w:color w:val="auto"/>
        </w:rPr>
        <w:t>Common Stock</w:t>
      </w:r>
      <w:r>
        <w:rPr>
          <w:rFonts w:ascii="Arial" w:cs="Arial" w:eastAsia="Arial" w:hAnsi="Arial"/>
          <w:sz w:val="18"/>
          <w:szCs w:val="18"/>
          <w:color w:val="auto"/>
        </w:rPr>
        <w:t>”), on the terms and conditions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-172720</wp:posOffset>
            </wp:positionV>
            <wp:extent cx="111506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NOW, THEREFORE, in consideration of the mutual covenants hereinafter set forth and for other good and valuable consideration the legal sufficiency of which is hereby acknowledged, the parties hereto, intending to be legally bound hereby, agree as follows:</w:t>
      </w:r>
    </w:p>
    <w:p>
      <w:pPr>
        <w:spacing w:after="0" w:line="132" w:lineRule="exact"/>
        <w:rPr>
          <w:sz w:val="20"/>
          <w:szCs w:val="20"/>
          <w:color w:val="auto"/>
        </w:rPr>
      </w:pPr>
    </w:p>
    <w:p>
      <w:pPr>
        <w:ind w:right="700" w:firstLine="464"/>
        <w:spacing w:after="0" w:line="268" w:lineRule="auto"/>
        <w:tabs>
          <w:tab w:leader="none" w:pos="632" w:val="left"/>
        </w:tabs>
        <w:numPr>
          <w:ilvl w:val="0"/>
          <w:numId w:val="39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not otherwise defined herein shall have the meaning set forth in the Employment Agreement or the 2003 Plan, as applicable, unless otherwise indicated.</w:t>
      </w:r>
    </w:p>
    <w:p>
      <w:pPr>
        <w:spacing w:after="0" w:line="132" w:lineRule="exact"/>
        <w:rPr>
          <w:sz w:val="20"/>
          <w:szCs w:val="20"/>
          <w:color w:val="auto"/>
        </w:rPr>
      </w:pPr>
    </w:p>
    <w:p>
      <w:pPr>
        <w:ind w:left="460"/>
        <w:spacing w:after="0"/>
        <w:tabs>
          <w:tab w:leader="none" w:pos="9680" w:val="left"/>
        </w:tabs>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u w:val="single" w:color="auto"/>
          <w:color w:val="auto"/>
        </w:rPr>
        <w:t>Grant of Units</w:t>
      </w:r>
      <w:r>
        <w:rPr>
          <w:rFonts w:ascii="Arial" w:cs="Arial" w:eastAsia="Arial" w:hAnsi="Arial"/>
          <w:sz w:val="18"/>
          <w:szCs w:val="18"/>
          <w:color w:val="auto"/>
        </w:rPr>
        <w:t>. Pursuant to Section 3.2(c)(i)(C) of the Employment Agreement, Executive is hereby granted, as of [December</w:t>
      </w:r>
      <w:r>
        <w:rPr>
          <w:sz w:val="20"/>
          <w:szCs w:val="20"/>
          <w:color w:val="auto"/>
        </w:rPr>
        <w:tab/>
      </w:r>
      <w:r>
        <w:rPr>
          <w:rFonts w:ascii="Arial" w:cs="Arial" w:eastAsia="Arial" w:hAnsi="Arial"/>
          <w:sz w:val="16"/>
          <w:szCs w:val="16"/>
          <w:color w:val="auto"/>
        </w:rPr>
        <w:t>, 2011] (the “</w:t>
      </w:r>
      <w:r>
        <w:rPr>
          <w:rFonts w:ascii="Arial" w:cs="Arial" w:eastAsia="Arial" w:hAnsi="Arial"/>
          <w:sz w:val="16"/>
          <w:szCs w:val="16"/>
          <w:u w:val="single" w:color="auto"/>
          <w:color w:val="auto"/>
        </w:rPr>
        <w:t>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6047105</wp:posOffset>
            </wp:positionH>
            <wp:positionV relativeFrom="paragraph">
              <wp:posOffset>-13970</wp:posOffset>
            </wp:positionV>
            <wp:extent cx="11176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tabs>
          <w:tab w:leader="none" w:pos="1120" w:val="left"/>
          <w:tab w:leader="none" w:pos="2920" w:val="left"/>
        </w:tabs>
        <w:rPr>
          <w:sz w:val="20"/>
          <w:szCs w:val="20"/>
          <w:color w:val="auto"/>
        </w:rPr>
      </w:pPr>
      <w:r>
        <w:rPr>
          <w:rFonts w:ascii="Arial" w:cs="Arial" w:eastAsia="Arial" w:hAnsi="Arial"/>
          <w:sz w:val="18"/>
          <w:szCs w:val="18"/>
          <w:u w:val="single" w:color="auto"/>
          <w:color w:val="auto"/>
        </w:rPr>
        <w:t>Date</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 Units pursuant to the terms of this Agreement and the 2003 Plan. The Executive’s right to receive the shares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-17780</wp:posOffset>
            </wp:positionV>
            <wp:extent cx="1514475"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5144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Common Stock underlying the Units shall be subject to forfeiture as provided in Section 4 of this Agreement.</w:t>
      </w:r>
    </w:p>
    <w:p>
      <w:pPr>
        <w:spacing w:after="0" w:line="165" w:lineRule="exact"/>
        <w:rPr>
          <w:sz w:val="20"/>
          <w:szCs w:val="20"/>
          <w:color w:val="auto"/>
        </w:rPr>
      </w:pPr>
    </w:p>
    <w:p>
      <w:pPr>
        <w:ind w:left="640" w:hanging="176"/>
        <w:spacing w:after="0"/>
        <w:tabs>
          <w:tab w:leader="none" w:pos="640" w:val="left"/>
        </w:tabs>
        <w:numPr>
          <w:ilvl w:val="0"/>
          <w:numId w:val="393"/>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393"/>
        </w:numPr>
        <w:rPr>
          <w:rFonts w:ascii="Arial" w:cs="Arial" w:eastAsia="Arial" w:hAnsi="Arial"/>
          <w:sz w:val="18"/>
          <w:szCs w:val="18"/>
          <w:color w:val="auto"/>
        </w:rPr>
      </w:pPr>
      <w:r>
        <w:rPr>
          <w:rFonts w:ascii="Arial" w:cs="Arial" w:eastAsia="Arial" w:hAnsi="Arial"/>
          <w:sz w:val="18"/>
          <w:szCs w:val="18"/>
          <w:color w:val="auto"/>
        </w:rPr>
        <w:t>Subject to paragraph (b) and Section 4 below, the Units shall vest in cumulative installments as follows:</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2"/>
          <w:numId w:val="393"/>
        </w:numPr>
        <w:rPr>
          <w:rFonts w:ascii="Arial" w:cs="Arial" w:eastAsia="Arial" w:hAnsi="Arial"/>
          <w:sz w:val="18"/>
          <w:szCs w:val="18"/>
          <w:color w:val="auto"/>
        </w:rPr>
      </w:pPr>
      <w:r>
        <w:rPr>
          <w:rFonts w:ascii="Arial" w:cs="Arial" w:eastAsia="Arial" w:hAnsi="Arial"/>
          <w:sz w:val="18"/>
          <w:szCs w:val="18"/>
          <w:color w:val="auto"/>
        </w:rPr>
        <w:t xml:space="preserve">One-third (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of the Units shall vest on the first anniversary of the Grant Date;</w:t>
      </w:r>
    </w:p>
    <w:p>
      <w:pPr>
        <w:sectPr>
          <w:pgSz w:w="11900" w:h="16838" w:orient="portrait"/>
          <w:cols w:equalWidth="0" w:num="1">
            <w:col w:w="11420"/>
          </w:cols>
          <w:pgMar w:left="240" w:top="125" w:right="239" w:bottom="1440" w:gutter="0" w:footer="0" w:header="0"/>
        </w:sectPr>
      </w:pPr>
    </w:p>
    <w:bookmarkStart w:id="378" w:name="page379"/>
    <w:bookmarkEnd w:id="378"/>
    <w:p>
      <w:pPr>
        <w:ind w:left="1600" w:hanging="259"/>
        <w:spacing w:after="0"/>
        <w:tabs>
          <w:tab w:leader="none" w:pos="1600" w:val="left"/>
        </w:tabs>
        <w:numPr>
          <w:ilvl w:val="1"/>
          <w:numId w:val="3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One-third (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of the Units shall vest on the second anniversary of the Grant Date; and</w:t>
      </w:r>
    </w:p>
    <w:p>
      <w:pPr>
        <w:spacing w:after="0" w:line="90" w:lineRule="exact"/>
        <w:rPr>
          <w:rFonts w:ascii="Arial" w:cs="Arial" w:eastAsia="Arial" w:hAnsi="Arial"/>
          <w:sz w:val="18"/>
          <w:szCs w:val="18"/>
          <w:color w:val="auto"/>
        </w:rPr>
      </w:pPr>
    </w:p>
    <w:p>
      <w:pPr>
        <w:ind w:left="1640" w:hanging="299"/>
        <w:spacing w:after="0"/>
        <w:tabs>
          <w:tab w:leader="none" w:pos="1640" w:val="left"/>
        </w:tabs>
        <w:numPr>
          <w:ilvl w:val="1"/>
          <w:numId w:val="394"/>
        </w:numPr>
        <w:rPr>
          <w:rFonts w:ascii="Arial" w:cs="Arial" w:eastAsia="Arial" w:hAnsi="Arial"/>
          <w:sz w:val="18"/>
          <w:szCs w:val="18"/>
          <w:color w:val="auto"/>
        </w:rPr>
      </w:pPr>
      <w:r>
        <w:rPr>
          <w:rFonts w:ascii="Arial" w:cs="Arial" w:eastAsia="Arial" w:hAnsi="Arial"/>
          <w:sz w:val="18"/>
          <w:szCs w:val="18"/>
          <w:color w:val="auto"/>
        </w:rPr>
        <w:t xml:space="preserve">One-third (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of the Units shall vest on the third anniversary of the Grant Date;</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395"/>
        </w:numPr>
        <w:rPr>
          <w:rFonts w:ascii="Arial" w:cs="Arial" w:eastAsia="Arial" w:hAnsi="Arial"/>
          <w:sz w:val="16"/>
          <w:szCs w:val="16"/>
          <w:color w:val="auto"/>
        </w:rPr>
      </w:pPr>
      <w:r>
        <w:rPr>
          <w:rFonts w:ascii="Arial" w:cs="Arial" w:eastAsia="Arial" w:hAnsi="Arial"/>
          <w:sz w:val="16"/>
          <w:szCs w:val="16"/>
          <w:color w:val="auto"/>
        </w:rPr>
        <w:t>Subject to Section 4 below, one hundred percent (100%) of the then outstanding Units shall vest upon the occurrence of any of the following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events:</w:t>
      </w:r>
    </w:p>
    <w:p>
      <w:pPr>
        <w:spacing w:after="0" w:line="84" w:lineRule="exact"/>
        <w:rPr>
          <w:sz w:val="20"/>
          <w:szCs w:val="20"/>
          <w:color w:val="auto"/>
        </w:rPr>
      </w:pPr>
    </w:p>
    <w:p>
      <w:pPr>
        <w:ind w:left="920" w:right="80" w:firstLine="421"/>
        <w:spacing w:after="0" w:line="254" w:lineRule="auto"/>
        <w:tabs>
          <w:tab w:leader="none" w:pos="1549" w:val="left"/>
        </w:tabs>
        <w:numPr>
          <w:ilvl w:val="1"/>
          <w:numId w:val="396"/>
        </w:numPr>
        <w:rPr>
          <w:rFonts w:ascii="Arial" w:cs="Arial" w:eastAsia="Arial" w:hAnsi="Arial"/>
          <w:sz w:val="18"/>
          <w:szCs w:val="18"/>
          <w:color w:val="auto"/>
        </w:rPr>
      </w:pPr>
      <w:r>
        <w:rPr>
          <w:rFonts w:ascii="Arial" w:cs="Arial" w:eastAsia="Arial" w:hAnsi="Arial"/>
          <w:sz w:val="18"/>
          <w:szCs w:val="18"/>
          <w:color w:val="auto"/>
        </w:rPr>
        <w:t>Executive’s Termination of Service (as defined below) (1) by the Company without “Cause” (as defined in Section 4.3 of the Employment Agreement), (2) by the Executive for “Good Reason” (as defined in Section 4.4 of the Employment Agreement), (3) by reason of a “Disability Termination” (as defined in Section 4.2 of the Employment Agreement), (4) by reason of the Executive’s death, (5) as a result of the Employment Agreement (or the Executive’s successor employment agreement with the Company, if any) not being amended, renewed or replaced by a new employment agreement upon the expiration of such agreement on December 31, 2011 or the Extended Expiration Date (as defined below), as applicable;</w:t>
      </w:r>
    </w:p>
    <w:p>
      <w:pPr>
        <w:spacing w:after="0" w:line="63" w:lineRule="exact"/>
        <w:rPr>
          <w:rFonts w:ascii="Arial" w:cs="Arial" w:eastAsia="Arial" w:hAnsi="Arial"/>
          <w:sz w:val="18"/>
          <w:szCs w:val="18"/>
          <w:color w:val="auto"/>
        </w:rPr>
      </w:pPr>
    </w:p>
    <w:p>
      <w:pPr>
        <w:ind w:left="1600" w:hanging="259"/>
        <w:spacing w:after="0"/>
        <w:tabs>
          <w:tab w:leader="none" w:pos="1600" w:val="left"/>
        </w:tabs>
        <w:numPr>
          <w:ilvl w:val="1"/>
          <w:numId w:val="396"/>
        </w:numPr>
        <w:rPr>
          <w:rFonts w:ascii="Arial" w:cs="Arial" w:eastAsia="Arial" w:hAnsi="Arial"/>
          <w:sz w:val="16"/>
          <w:szCs w:val="16"/>
          <w:color w:val="auto"/>
        </w:rPr>
      </w:pPr>
      <w:r>
        <w:rPr>
          <w:rFonts w:ascii="Arial" w:cs="Arial" w:eastAsia="Arial" w:hAnsi="Arial"/>
          <w:sz w:val="16"/>
          <w:szCs w:val="16"/>
          <w:color w:val="auto"/>
        </w:rPr>
        <w:t>a “Change in Control” (as defined in the Employment Agreement) that occurs prior to the Executive’s Termination of Service, or</w:t>
      </w:r>
    </w:p>
    <w:p>
      <w:pPr>
        <w:spacing w:after="0" w:line="113" w:lineRule="exact"/>
        <w:rPr>
          <w:rFonts w:ascii="Arial" w:cs="Arial" w:eastAsia="Arial" w:hAnsi="Arial"/>
          <w:sz w:val="16"/>
          <w:szCs w:val="16"/>
          <w:color w:val="auto"/>
        </w:rPr>
      </w:pPr>
    </w:p>
    <w:p>
      <w:pPr>
        <w:ind w:left="1640" w:hanging="299"/>
        <w:spacing w:after="0"/>
        <w:tabs>
          <w:tab w:leader="none" w:pos="1640" w:val="left"/>
        </w:tabs>
        <w:numPr>
          <w:ilvl w:val="1"/>
          <w:numId w:val="396"/>
        </w:numPr>
        <w:rPr>
          <w:rFonts w:ascii="Arial" w:cs="Arial" w:eastAsia="Arial" w:hAnsi="Arial"/>
          <w:sz w:val="18"/>
          <w:szCs w:val="18"/>
          <w:color w:val="auto"/>
        </w:rPr>
      </w:pPr>
      <w:r>
        <w:rPr>
          <w:rFonts w:ascii="Arial" w:cs="Arial" w:eastAsia="Arial" w:hAnsi="Arial"/>
          <w:sz w:val="18"/>
          <w:szCs w:val="18"/>
          <w:color w:val="auto"/>
        </w:rPr>
        <w:t>the appointment by the Board of a new Chief Executive Officer of the Company.</w:t>
      </w:r>
    </w:p>
    <w:p>
      <w:pPr>
        <w:spacing w:after="0" w:line="171" w:lineRule="exact"/>
        <w:rPr>
          <w:rFonts w:ascii="Arial" w:cs="Arial" w:eastAsia="Arial" w:hAnsi="Arial"/>
          <w:sz w:val="18"/>
          <w:szCs w:val="18"/>
          <w:color w:val="auto"/>
        </w:rPr>
      </w:pPr>
    </w:p>
    <w:p>
      <w:pPr>
        <w:ind w:firstLine="921"/>
        <w:spacing w:after="0" w:line="253" w:lineRule="auto"/>
        <w:tabs>
          <w:tab w:leader="none" w:pos="1152" w:val="left"/>
        </w:tabs>
        <w:numPr>
          <w:ilvl w:val="0"/>
          <w:numId w:val="397"/>
        </w:numPr>
        <w:rPr>
          <w:rFonts w:ascii="Arial" w:cs="Arial" w:eastAsia="Arial" w:hAnsi="Arial"/>
          <w:sz w:val="18"/>
          <w:szCs w:val="18"/>
          <w:color w:val="auto"/>
        </w:rPr>
      </w:pPr>
      <w:r>
        <w:rPr>
          <w:rFonts w:ascii="Arial" w:cs="Arial" w:eastAsia="Arial" w:hAnsi="Arial"/>
          <w:sz w:val="18"/>
          <w:szCs w:val="18"/>
          <w:color w:val="auto"/>
        </w:rPr>
        <w:t>For purposes of this Agreement, (1)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shall mean the time when the Executive ceases to provide services to the Company and its Related Corporations and Affiliates as an employee for any reason with or without cause, including, but not by way of limitation, a termination by resignation, discharge, death, or disability. A Termination of Service shall not include a termination where the Executive is simultaneously reemployed by, or remains employed by, or continues to provide services as an employee to, the Company and/or one or more of its Related Corporations and Affiliates or a successor entity thereto; and (2) “</w:t>
      </w:r>
      <w:r>
        <w:rPr>
          <w:rFonts w:ascii="Arial" w:cs="Arial" w:eastAsia="Arial" w:hAnsi="Arial"/>
          <w:sz w:val="18"/>
          <w:szCs w:val="18"/>
          <w:u w:val="single" w:color="auto"/>
          <w:color w:val="auto"/>
        </w:rPr>
        <w:t>Extended Expiration Date</w:t>
      </w:r>
      <w:r>
        <w:rPr>
          <w:rFonts w:ascii="Arial" w:cs="Arial" w:eastAsia="Arial" w:hAnsi="Arial"/>
          <w:sz w:val="18"/>
          <w:szCs w:val="18"/>
          <w:color w:val="auto"/>
        </w:rPr>
        <w:t>” shall mean, in the event that the Executive and the Company enter into (including by way of an automatic extension) a new, amended or renewed employment agreement on or prior to December 31, 2011, the last day of the term of such new, amended or renewed employment agreement.</w:t>
      </w:r>
    </w:p>
    <w:p>
      <w:pPr>
        <w:spacing w:after="0" w:line="147" w:lineRule="exact"/>
        <w:rPr>
          <w:sz w:val="20"/>
          <w:szCs w:val="20"/>
          <w:color w:val="auto"/>
        </w:rPr>
      </w:pPr>
    </w:p>
    <w:p>
      <w:pPr>
        <w:jc w:val="both"/>
        <w:ind w:right="80" w:firstLine="464"/>
        <w:spacing w:after="0" w:line="306" w:lineRule="auto"/>
        <w:tabs>
          <w:tab w:leader="none" w:pos="632" w:val="left"/>
        </w:tabs>
        <w:numPr>
          <w:ilvl w:val="0"/>
          <w:numId w:val="398"/>
        </w:numPr>
        <w:rPr>
          <w:rFonts w:ascii="Arial" w:cs="Arial" w:eastAsia="Arial" w:hAnsi="Arial"/>
          <w:sz w:val="16"/>
          <w:szCs w:val="16"/>
          <w:color w:val="auto"/>
        </w:rPr>
      </w:pPr>
      <w:r>
        <w:rPr>
          <w:rFonts w:ascii="Arial" w:cs="Arial" w:eastAsia="Arial" w:hAnsi="Arial"/>
          <w:sz w:val="16"/>
          <w:szCs w:val="16"/>
          <w:u w:val="single" w:color="auto"/>
          <w:color w:val="auto"/>
        </w:rPr>
        <w:t>Forfeiture of Units</w:t>
      </w:r>
      <w:r>
        <w:rPr>
          <w:rFonts w:ascii="Arial" w:cs="Arial" w:eastAsia="Arial" w:hAnsi="Arial"/>
          <w:sz w:val="16"/>
          <w:szCs w:val="16"/>
          <w:color w:val="auto"/>
        </w:rPr>
        <w:t>. Immediately upon a Termination of Service for any reason other than the Executive’s death or Disability, the Executive shall forfeit any and all Units which have not vested or do not vest on or prior to such termination, and the Executive’s rights in any such Units which are not so vested shall terminate, lapse and expire (including the Executive’s right to receive the shares underlying such Units).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379" w:name="page380"/>
    <w:bookmarkEnd w:id="379"/>
    <w:p>
      <w:pPr>
        <w:ind w:left="-20" w:right="20" w:firstLine="464"/>
        <w:spacing w:after="0" w:line="287" w:lineRule="auto"/>
        <w:tabs>
          <w:tab w:leader="none" w:pos="612" w:val="left"/>
        </w:tabs>
        <w:numPr>
          <w:ilvl w:val="0"/>
          <w:numId w:val="39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Dividend Equivalents</w:t>
      </w:r>
      <w:r>
        <w:rPr>
          <w:rFonts w:ascii="Arial" w:cs="Arial" w:eastAsia="Arial" w:hAnsi="Arial"/>
          <w:sz w:val="16"/>
          <w:szCs w:val="16"/>
          <w:color w:val="auto"/>
        </w:rPr>
        <w:t>. Executive shall be entitled to receive, with respect to all outstanding vested Units (as such Units may be adjusted under Section 8), dividend equivalent amounts equal to the regular quarterly cash dividend payable to holders of Common Stock (to the extent regular quarterly cash dividends are paid) as if Executive were an actual shareholder with respect to the number of shares of Common Stock equal to his outstanding vested Units. Such dividend equivalent amounts shall be aggregated on a quarterly basis while the Units are outstanding and paid to Executive within three (3) business days following the first business day that occurs immediately following the 6-month period after the date of Executive’s “separation from service” from the Company (within the meaning of Section 409A(a)(2)(A)(i)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and its corresponding regulations) (a “</w:t>
      </w:r>
      <w:r>
        <w:rPr>
          <w:rFonts w:ascii="Arial" w:cs="Arial" w:eastAsia="Arial" w:hAnsi="Arial"/>
          <w:sz w:val="16"/>
          <w:szCs w:val="16"/>
          <w:u w:val="single" w:color="auto"/>
          <w:color w:val="auto"/>
        </w:rPr>
        <w:t>Separation from Service</w:t>
      </w:r>
      <w:r>
        <w:rPr>
          <w:rFonts w:ascii="Arial" w:cs="Arial" w:eastAsia="Arial" w:hAnsi="Arial"/>
          <w:sz w:val="16"/>
          <w:szCs w:val="16"/>
          <w:color w:val="auto"/>
        </w:rPr>
        <w:t>”). For the avoidance of doubt, such dividend equivalent amounts shall only be paid with respect to Units that are vested as of the applicable dividend payment date, and Executive shall not be entitled to receive any dividend equivalent amounts with respect to Units that are not vested as of such dividend payment date. The dividend equivalents and any amounts that may become payable in respect thereof shall be treated separately from the Units and the rights arising in connection therewith for purposes of the designation of time and form of payments required by Code Section 409A.</w:t>
      </w:r>
    </w:p>
    <w:p>
      <w:pPr>
        <w:spacing w:after="0" w:line="122" w:lineRule="exact"/>
        <w:rPr>
          <w:rFonts w:ascii="Arial" w:cs="Arial" w:eastAsia="Arial" w:hAnsi="Arial"/>
          <w:sz w:val="16"/>
          <w:szCs w:val="16"/>
          <w:color w:val="auto"/>
        </w:rPr>
      </w:pPr>
    </w:p>
    <w:p>
      <w:pPr>
        <w:ind w:left="620" w:hanging="176"/>
        <w:spacing w:after="0"/>
        <w:tabs>
          <w:tab w:leader="none" w:pos="620" w:val="left"/>
        </w:tabs>
        <w:numPr>
          <w:ilvl w:val="0"/>
          <w:numId w:val="399"/>
        </w:numPr>
        <w:rPr>
          <w:rFonts w:ascii="Arial" w:cs="Arial" w:eastAsia="Arial" w:hAnsi="Arial"/>
          <w:sz w:val="18"/>
          <w:szCs w:val="18"/>
          <w:color w:val="auto"/>
        </w:rPr>
      </w:pPr>
      <w:r>
        <w:rPr>
          <w:rFonts w:ascii="Arial" w:cs="Arial" w:eastAsia="Arial" w:hAnsi="Arial"/>
          <w:sz w:val="18"/>
          <w:szCs w:val="18"/>
          <w:u w:val="single" w:color="auto"/>
          <w:color w:val="auto"/>
        </w:rPr>
        <w:t>Payment of Units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20" w:right="460" w:firstLine="921"/>
        <w:spacing w:after="0" w:line="259" w:lineRule="auto"/>
        <w:tabs>
          <w:tab w:leader="none" w:pos="1132" w:val="left"/>
        </w:tabs>
        <w:numPr>
          <w:ilvl w:val="1"/>
          <w:numId w:val="399"/>
        </w:numPr>
        <w:rPr>
          <w:rFonts w:ascii="Arial" w:cs="Arial" w:eastAsia="Arial" w:hAnsi="Arial"/>
          <w:sz w:val="18"/>
          <w:szCs w:val="18"/>
          <w:color w:val="auto"/>
        </w:rPr>
      </w:pPr>
      <w:r>
        <w:rPr>
          <w:rFonts w:ascii="Arial" w:cs="Arial" w:eastAsia="Arial" w:hAnsi="Arial"/>
          <w:sz w:val="18"/>
          <w:szCs w:val="18"/>
          <w:color w:val="auto"/>
        </w:rPr>
        <w:t>The shares of Common Stock underlying Units which are then vested under Section 3(a) or 3(b) (the “</w:t>
      </w:r>
      <w:r>
        <w:rPr>
          <w:rFonts w:ascii="Arial" w:cs="Arial" w:eastAsia="Arial" w:hAnsi="Arial"/>
          <w:sz w:val="18"/>
          <w:szCs w:val="18"/>
          <w:u w:val="single" w:color="auto"/>
          <w:color w:val="auto"/>
        </w:rPr>
        <w:t>Unit Shares</w:t>
      </w:r>
      <w:r>
        <w:rPr>
          <w:rFonts w:ascii="Arial" w:cs="Arial" w:eastAsia="Arial" w:hAnsi="Arial"/>
          <w:sz w:val="18"/>
          <w:szCs w:val="18"/>
          <w:color w:val="auto"/>
        </w:rPr>
        <w:t>”) shall be paid out to Executive within three (3) business days following the first business day that occurs immediately following the 6-month period after the date of Executive’s Separation from Service.</w:t>
      </w:r>
    </w:p>
    <w:p>
      <w:pPr>
        <w:spacing w:after="0" w:line="140" w:lineRule="exact"/>
        <w:rPr>
          <w:rFonts w:ascii="Arial" w:cs="Arial" w:eastAsia="Arial" w:hAnsi="Arial"/>
          <w:sz w:val="18"/>
          <w:szCs w:val="18"/>
          <w:color w:val="auto"/>
        </w:rPr>
      </w:pPr>
    </w:p>
    <w:p>
      <w:pPr>
        <w:ind w:left="-20" w:right="80" w:firstLine="921"/>
        <w:spacing w:after="0" w:line="259" w:lineRule="auto"/>
        <w:tabs>
          <w:tab w:leader="none" w:pos="1142" w:val="left"/>
        </w:tabs>
        <w:numPr>
          <w:ilvl w:val="1"/>
          <w:numId w:val="399"/>
        </w:numPr>
        <w:rPr>
          <w:rFonts w:ascii="Arial" w:cs="Arial" w:eastAsia="Arial" w:hAnsi="Arial"/>
          <w:sz w:val="18"/>
          <w:szCs w:val="18"/>
          <w:color w:val="auto"/>
        </w:rPr>
      </w:pPr>
      <w:r>
        <w:rPr>
          <w:rFonts w:ascii="Arial" w:cs="Arial" w:eastAsia="Arial" w:hAnsi="Arial"/>
          <w:sz w:val="18"/>
          <w:szCs w:val="18"/>
          <w:color w:val="auto"/>
        </w:rPr>
        <w:t>All payments of Unit Shares shall be made by the Company in the form of whole shares of Common Stock, and any fractional share shall be distributed in cash in an amount equal to the value of such fractional share determined based on the Fair Market Value (as defined in the 2003 Plan) as of the date immediately prior to such distribution.</w:t>
      </w:r>
    </w:p>
    <w:p>
      <w:pPr>
        <w:spacing w:after="0" w:line="140" w:lineRule="exact"/>
        <w:rPr>
          <w:rFonts w:ascii="Arial" w:cs="Arial" w:eastAsia="Arial" w:hAnsi="Arial"/>
          <w:sz w:val="18"/>
          <w:szCs w:val="18"/>
          <w:color w:val="auto"/>
        </w:rPr>
      </w:pPr>
    </w:p>
    <w:p>
      <w:pPr>
        <w:ind w:left="-20" w:right="120" w:firstLine="921"/>
        <w:spacing w:after="0" w:line="298" w:lineRule="auto"/>
        <w:tabs>
          <w:tab w:leader="none" w:pos="1132" w:val="left"/>
        </w:tabs>
        <w:numPr>
          <w:ilvl w:val="1"/>
          <w:numId w:val="399"/>
        </w:numPr>
        <w:rPr>
          <w:rFonts w:ascii="Arial" w:cs="Arial" w:eastAsia="Arial" w:hAnsi="Arial"/>
          <w:sz w:val="16"/>
          <w:szCs w:val="16"/>
          <w:color w:val="auto"/>
        </w:rPr>
      </w:pPr>
      <w:r>
        <w:rPr>
          <w:rFonts w:ascii="Arial" w:cs="Arial" w:eastAsia="Arial" w:hAnsi="Arial"/>
          <w:sz w:val="16"/>
          <w:szCs w:val="16"/>
          <w:color w:val="auto"/>
        </w:rPr>
        <w:t>Any Unit Shares delivered shall be deposited in an account designated by Executive and maintained at a brokerage house selected by Executive. Any such Unit Shares shall be duly authorized, fully paid and non-assessable shares, listed with NASDAQ or the principal United States securities exchange on which the Common Stock is admitted to trading and, so long as the Company is required to file reports under Section 13 or 15(d) of the Securities Exchange Act of 1934, registered on a Form S-8 registration statement maintained by the Company, if registration is requested by Executive.</w:t>
      </w:r>
    </w:p>
    <w:p>
      <w:pPr>
        <w:spacing w:after="0" w:line="112" w:lineRule="exact"/>
        <w:rPr>
          <w:rFonts w:ascii="Arial" w:cs="Arial" w:eastAsia="Arial" w:hAnsi="Arial"/>
          <w:sz w:val="16"/>
          <w:szCs w:val="16"/>
          <w:color w:val="auto"/>
        </w:rPr>
      </w:pPr>
    </w:p>
    <w:p>
      <w:pPr>
        <w:ind w:left="-20" w:firstLine="921"/>
        <w:spacing w:after="0" w:line="256" w:lineRule="auto"/>
        <w:tabs>
          <w:tab w:leader="none" w:pos="1142" w:val="left"/>
        </w:tabs>
        <w:numPr>
          <w:ilvl w:val="1"/>
          <w:numId w:val="399"/>
        </w:numPr>
        <w:rPr>
          <w:rFonts w:ascii="Arial" w:cs="Arial" w:eastAsia="Arial" w:hAnsi="Arial"/>
          <w:sz w:val="18"/>
          <w:szCs w:val="18"/>
          <w:color w:val="auto"/>
        </w:rPr>
      </w:pPr>
      <w:r>
        <w:rPr>
          <w:rFonts w:ascii="Arial" w:cs="Arial" w:eastAsia="Arial" w:hAnsi="Arial"/>
          <w:sz w:val="18"/>
          <w:szCs w:val="18"/>
          <w:color w:val="auto"/>
        </w:rPr>
        <w:t>Except as otherwise provided in this Agreement, Executive shall not be deemed to be a holder of any Common Stock pursuant to a Unit until the date of the issuance of a certificate to him for such shares and, except as otherwise provided in this Agreement, Executive shall not have any rights to dividends or any other rights of a shareholder with respect to the shares of Common Stock covered by a Unit until such shares of Common Stock have been issued to him, which issuance shall not be unreasonably delayed.</w:t>
      </w:r>
    </w:p>
    <w:p>
      <w:pPr>
        <w:spacing w:after="0" w:line="143" w:lineRule="exact"/>
        <w:rPr>
          <w:rFonts w:ascii="Arial" w:cs="Arial" w:eastAsia="Arial" w:hAnsi="Arial"/>
          <w:sz w:val="18"/>
          <w:szCs w:val="18"/>
          <w:color w:val="auto"/>
        </w:rPr>
      </w:pPr>
    </w:p>
    <w:p>
      <w:pPr>
        <w:ind w:left="-20" w:right="140" w:firstLine="921"/>
        <w:spacing w:after="0" w:line="268" w:lineRule="auto"/>
        <w:tabs>
          <w:tab w:leader="none" w:pos="1132" w:val="left"/>
        </w:tabs>
        <w:numPr>
          <w:ilvl w:val="1"/>
          <w:numId w:val="399"/>
        </w:numPr>
        <w:rPr>
          <w:rFonts w:ascii="Arial" w:cs="Arial" w:eastAsia="Arial" w:hAnsi="Arial"/>
          <w:sz w:val="18"/>
          <w:szCs w:val="18"/>
          <w:color w:val="auto"/>
        </w:rPr>
      </w:pPr>
      <w:r>
        <w:rPr>
          <w:rFonts w:ascii="Arial" w:cs="Arial" w:eastAsia="Arial" w:hAnsi="Arial"/>
          <w:sz w:val="18"/>
          <w:szCs w:val="18"/>
          <w:color w:val="auto"/>
        </w:rPr>
        <w:t>The Company shall be entitled to withhold in cash, shares or deduction from other compensation payable to the Executive any sums required by federal, state or local tax law to be withheld with respect to the grant, vesting, distribution or payment of the Units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280" w:right="239" w:bottom="1440" w:gutter="0" w:footer="0" w:header="0"/>
        </w:sectPr>
      </w:pPr>
    </w:p>
    <w:bookmarkStart w:id="380" w:name="page381"/>
    <w:bookmarkEnd w:id="380"/>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Unit Shares. In satisfaction of the foregoing requirement with respect to the grant, vesting, distribution or payment of the Units or Unit Shares, to the extent permitted by Section 409A of the Code, including Treas. Reg. Section 1.409A-3(j)(4)(vi), the Company shall withhold shares of Common Stock otherwise issuable upon payment of the Units having a Fair Market Value equal to the sums required to be withheld. Subject to the following sentence, the number of shares of Common Stock which shall be so withheld in order to satisfy the Executive’s federal, state and local withholding tax liabilities with respect to the grant, vesting, distribution or payment of the Units or Unit Shares shall be limited to the number of shares which have a Fair Market Value on the date of withholding equal to the aggregate amount of such liabilities based on the minimum statutory withholding rates for federal, state and local tax purposes that are applicable to such supplemental taxable income. In the event that the number of shares of Common Stock having a Fair Market Value equal to the sums required to be withheld is not a whole number of shares, the number of shares so withheld shall be rounded up to the nearest whole share.</w:t>
      </w:r>
    </w:p>
    <w:p>
      <w:pPr>
        <w:spacing w:after="0" w:line="118" w:lineRule="exact"/>
        <w:rPr>
          <w:sz w:val="20"/>
          <w:szCs w:val="20"/>
          <w:color w:val="auto"/>
        </w:rPr>
      </w:pPr>
    </w:p>
    <w:p>
      <w:pPr>
        <w:ind w:right="380" w:firstLine="921"/>
        <w:spacing w:after="0" w:line="268" w:lineRule="auto"/>
        <w:tabs>
          <w:tab w:leader="none" w:pos="1132" w:val="left"/>
        </w:tabs>
        <w:numPr>
          <w:ilvl w:val="1"/>
          <w:numId w:val="400"/>
        </w:numPr>
        <w:rPr>
          <w:rFonts w:ascii="Arial" w:cs="Arial" w:eastAsia="Arial" w:hAnsi="Arial"/>
          <w:sz w:val="18"/>
          <w:szCs w:val="18"/>
          <w:color w:val="auto"/>
        </w:rPr>
      </w:pPr>
      <w:r>
        <w:rPr>
          <w:rFonts w:ascii="Arial" w:cs="Arial" w:eastAsia="Arial" w:hAnsi="Arial"/>
          <w:sz w:val="18"/>
          <w:szCs w:val="18"/>
          <w:color w:val="auto"/>
        </w:rPr>
        <w:t>Executive’s right to receive payment of any amounts under this Agreement shall be an unfunded entitlement and shall be an unsecured claim against the general assets of the Company.</w:t>
      </w:r>
    </w:p>
    <w:p>
      <w:pPr>
        <w:spacing w:after="0" w:line="131" w:lineRule="exact"/>
        <w:rPr>
          <w:rFonts w:ascii="Arial" w:cs="Arial" w:eastAsia="Arial" w:hAnsi="Arial"/>
          <w:sz w:val="18"/>
          <w:szCs w:val="18"/>
          <w:color w:val="auto"/>
        </w:rPr>
      </w:pPr>
    </w:p>
    <w:p>
      <w:pPr>
        <w:ind w:right="60" w:firstLine="921"/>
        <w:spacing w:after="0" w:line="256" w:lineRule="auto"/>
        <w:tabs>
          <w:tab w:leader="none" w:pos="1162" w:val="left"/>
        </w:tabs>
        <w:numPr>
          <w:ilvl w:val="1"/>
          <w:numId w:val="400"/>
        </w:numPr>
        <w:rPr>
          <w:rFonts w:ascii="Arial" w:cs="Arial" w:eastAsia="Arial" w:hAnsi="Arial"/>
          <w:sz w:val="18"/>
          <w:szCs w:val="18"/>
          <w:color w:val="auto"/>
        </w:rPr>
      </w:pPr>
      <w:r>
        <w:rPr>
          <w:rFonts w:ascii="Arial" w:cs="Arial" w:eastAsia="Arial" w:hAnsi="Arial"/>
          <w:sz w:val="18"/>
          <w:szCs w:val="18"/>
          <w:color w:val="auto"/>
        </w:rPr>
        <w:t>After payment in accordance with this Section 6, the Unit Shares may not be sold, transferred or otherwise disposed of by Executive for a period of five days after receipt of such shares by Executive, except that no such restrictions shall apply in the case of a Change in Control or in the event that Unit Shares are sold or withheld in order to satisfy any obligations Executive may have with respect to any applicable tax withholding requirements on vesting or receipt of Unit Shares (including, without limitation, pursuant to Section 6(e) above).</w:t>
      </w:r>
    </w:p>
    <w:p>
      <w:pPr>
        <w:spacing w:after="0" w:line="143" w:lineRule="exact"/>
        <w:rPr>
          <w:rFonts w:ascii="Arial" w:cs="Arial" w:eastAsia="Arial" w:hAnsi="Arial"/>
          <w:sz w:val="18"/>
          <w:szCs w:val="18"/>
          <w:color w:val="auto"/>
        </w:rPr>
      </w:pPr>
    </w:p>
    <w:p>
      <w:pPr>
        <w:ind w:right="40" w:firstLine="464"/>
        <w:spacing w:after="0" w:line="290" w:lineRule="auto"/>
        <w:tabs>
          <w:tab w:leader="none" w:pos="632" w:val="left"/>
        </w:tabs>
        <w:numPr>
          <w:ilvl w:val="0"/>
          <w:numId w:val="401"/>
        </w:numPr>
        <w:rPr>
          <w:rFonts w:ascii="Arial" w:cs="Arial" w:eastAsia="Arial" w:hAnsi="Arial"/>
          <w:sz w:val="16"/>
          <w:szCs w:val="16"/>
          <w:color w:val="auto"/>
        </w:rPr>
      </w:pPr>
      <w:r>
        <w:rPr>
          <w:rFonts w:ascii="Arial" w:cs="Arial" w:eastAsia="Arial" w:hAnsi="Arial"/>
          <w:sz w:val="16"/>
          <w:szCs w:val="16"/>
          <w:u w:val="single" w:color="auto"/>
          <w:color w:val="auto"/>
        </w:rPr>
        <w:t>Representations</w:t>
      </w:r>
      <w:r>
        <w:rPr>
          <w:rFonts w:ascii="Arial" w:cs="Arial" w:eastAsia="Arial" w:hAnsi="Arial"/>
          <w:sz w:val="16"/>
          <w:szCs w:val="16"/>
          <w:color w:val="auto"/>
        </w:rPr>
        <w:t>. The Company represents and warrants that this Agreement has been authorized by all necessary action of the Company, has been approved by the Board and is a valid and binding agreement of the Company enforceable against it in accordance with its terms and that the Unit Shares will be issued pursuant to and in accordance with the 2003 Plan, will be listed with NASDAQ or the principal United States securities exchange on which the Common Stock is admitted to trading, and will be validly issued, fully paid and non-assessable shares. The Company further represents and warrants that the grant of Units under this Agreement has been approved by the Company’s Compensation Committee, that the 2003 Plan has and will have sufficient shares available to effect the distribution of the Unit Shares, and that the Company will file a Hart Scott Rodino application with respect to Executive on a timely basis, if necessary, in connection with the acquisition of Unit Shares by Executive under this Agreement.</w:t>
      </w:r>
    </w:p>
    <w:p>
      <w:pPr>
        <w:spacing w:after="0" w:line="118" w:lineRule="exact"/>
        <w:rPr>
          <w:rFonts w:ascii="Arial" w:cs="Arial" w:eastAsia="Arial" w:hAnsi="Arial"/>
          <w:sz w:val="16"/>
          <w:szCs w:val="16"/>
          <w:color w:val="auto"/>
        </w:rPr>
      </w:pPr>
    </w:p>
    <w:p>
      <w:pPr>
        <w:ind w:left="640" w:hanging="176"/>
        <w:spacing w:after="0"/>
        <w:tabs>
          <w:tab w:leader="none" w:pos="640" w:val="left"/>
        </w:tabs>
        <w:numPr>
          <w:ilvl w:val="0"/>
          <w:numId w:val="401"/>
        </w:numPr>
        <w:rPr>
          <w:rFonts w:ascii="Arial" w:cs="Arial" w:eastAsia="Arial" w:hAnsi="Arial"/>
          <w:sz w:val="18"/>
          <w:szCs w:val="18"/>
          <w:color w:val="auto"/>
        </w:rPr>
      </w:pPr>
      <w:r>
        <w:rPr>
          <w:rFonts w:ascii="Arial" w:cs="Arial" w:eastAsia="Arial" w:hAnsi="Arial"/>
          <w:sz w:val="18"/>
          <w:szCs w:val="18"/>
          <w:u w:val="single" w:color="auto"/>
          <w:color w:val="auto"/>
        </w:rPr>
        <w:t>Changes in the Common Stock and Adjustment of Units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100" w:firstLine="921"/>
        <w:spacing w:after="0" w:line="291" w:lineRule="auto"/>
        <w:tabs>
          <w:tab w:leader="none" w:pos="1152" w:val="left"/>
        </w:tabs>
        <w:numPr>
          <w:ilvl w:val="1"/>
          <w:numId w:val="401"/>
        </w:numPr>
        <w:rPr>
          <w:rFonts w:ascii="Arial" w:cs="Arial" w:eastAsia="Arial" w:hAnsi="Arial"/>
          <w:sz w:val="16"/>
          <w:szCs w:val="16"/>
          <w:color w:val="auto"/>
        </w:rPr>
      </w:pPr>
      <w:r>
        <w:rPr>
          <w:rFonts w:ascii="Arial" w:cs="Arial" w:eastAsia="Arial" w:hAnsi="Arial"/>
          <w:sz w:val="16"/>
          <w:szCs w:val="16"/>
          <w:color w:val="auto"/>
        </w:rPr>
        <w:t>In the event the outstanding shares of the Common Stock shall be changed into an increased number of shares, through a share dividend or a split-up of shares, or into a decreased number of shares, through a combination of shares, then immediately after the record date for such change, the number of Units then subject to this Agreement shall be proportionately increased, in case of such share dividend or split-up of shares, or proportionately decreased, in case of such combination of shares. In the event the Company shall issue any of its shares of stock or other securities or property (other than Common Stock which is covered by the preceding sentence), in a reclassification of the Common Stock (including without limitation any such reclassification in connection with a consolidation or merger in which the Company is the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9" w:right="259" w:bottom="1440" w:gutter="0" w:footer="0" w:header="0"/>
        </w:sectPr>
      </w:pPr>
    </w:p>
    <w:bookmarkStart w:id="381" w:name="page382"/>
    <w:bookmarkEnd w:id="381"/>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continuing entity), the kind and number of Units subject to this Agreement immediately prior thereto shall be adjusted so that the Executive shall be entitled to receive the same kind and number of shares or other securities or property which the Executive would have owned or have been entitled to receive after the happening of any of the events described above, had he owned the shares of the Common Stock represented by the Units under this Agreement immediately prior to the happening of such event or any record date with respect thereto, which adjustment shall become effective immediately after the effective date of such event retroactive to the record date, if any, for such event.</w:t>
      </w:r>
    </w:p>
    <w:p>
      <w:pPr>
        <w:spacing w:after="0" w:line="143" w:lineRule="exact"/>
        <w:rPr>
          <w:sz w:val="20"/>
          <w:szCs w:val="20"/>
          <w:color w:val="auto"/>
        </w:rPr>
      </w:pPr>
    </w:p>
    <w:p>
      <w:pPr>
        <w:ind w:right="60" w:firstLine="921"/>
        <w:spacing w:after="0" w:line="289" w:lineRule="auto"/>
        <w:tabs>
          <w:tab w:leader="none" w:pos="1162" w:val="left"/>
        </w:tabs>
        <w:numPr>
          <w:ilvl w:val="0"/>
          <w:numId w:val="402"/>
        </w:numPr>
        <w:rPr>
          <w:rFonts w:ascii="Arial" w:cs="Arial" w:eastAsia="Arial" w:hAnsi="Arial"/>
          <w:sz w:val="16"/>
          <w:szCs w:val="16"/>
          <w:color w:val="auto"/>
        </w:rPr>
      </w:pPr>
      <w:r>
        <w:rPr>
          <w:rFonts w:ascii="Arial" w:cs="Arial" w:eastAsia="Arial" w:hAnsi="Arial"/>
          <w:sz w:val="16"/>
          <w:szCs w:val="16"/>
          <w:color w:val="auto"/>
        </w:rPr>
        <w:t>In the event the Company shall distribute to all holders of the Common Stock evidences of its indebtedness or assets (including leveraged recapitalizations with special cash distributions, but excluding regular quarterly cash dividends), then in each case the number of Units thereafter subject to this Agreement shall be determined by multiplying the number of Units theretofore subject to this Agreement by a fraction, (i) the numerator of which shall be the then current market price per share of Common Stock (as determined in paragraph (c) below) on the record date for such distribution, and (ii) the denominator of which shall be the then current market price per share of the Common Stock less the then fair value (as mutually determined in good faith by the Board and the Executive) of the portion of the assets or evidences of indebtedness so distributed applicable to a share of Common Stock. Such adjustment shall be made whenever any such distribution is made, and shall become effective on the date of distribution retroactive to the record date for the determination of shareholders entitled to receive such distribution.</w:t>
      </w:r>
    </w:p>
    <w:p>
      <w:pPr>
        <w:spacing w:after="0" w:line="118" w:lineRule="exact"/>
        <w:rPr>
          <w:rFonts w:ascii="Arial" w:cs="Arial" w:eastAsia="Arial" w:hAnsi="Arial"/>
          <w:sz w:val="16"/>
          <w:szCs w:val="16"/>
          <w:color w:val="auto"/>
        </w:rPr>
      </w:pPr>
    </w:p>
    <w:p>
      <w:pPr>
        <w:ind w:right="20" w:firstLine="921"/>
        <w:spacing w:after="0" w:line="294" w:lineRule="auto"/>
        <w:tabs>
          <w:tab w:leader="none" w:pos="1152" w:val="left"/>
        </w:tabs>
        <w:numPr>
          <w:ilvl w:val="0"/>
          <w:numId w:val="402"/>
        </w:numPr>
        <w:rPr>
          <w:rFonts w:ascii="Arial" w:cs="Arial" w:eastAsia="Arial" w:hAnsi="Arial"/>
          <w:sz w:val="16"/>
          <w:szCs w:val="16"/>
          <w:color w:val="auto"/>
        </w:rPr>
      </w:pPr>
      <w:r>
        <w:rPr>
          <w:rFonts w:ascii="Arial" w:cs="Arial" w:eastAsia="Arial" w:hAnsi="Arial"/>
          <w:sz w:val="16"/>
          <w:szCs w:val="16"/>
          <w:color w:val="auto"/>
        </w:rPr>
        <w:t>For the purpose of any computation under paragraph (b) of this Section 8, the current market price per share of the Common Stock at any date shall be deemed to be the average of the daily Stock Prices (as defined herein) for 15 consecutive Trading Days (as defined herein) commencing 20 Trading Days before the date of such computation. “</w:t>
      </w:r>
      <w:r>
        <w:rPr>
          <w:rFonts w:ascii="Arial" w:cs="Arial" w:eastAsia="Arial" w:hAnsi="Arial"/>
          <w:sz w:val="16"/>
          <w:szCs w:val="16"/>
          <w:u w:val="single" w:color="auto"/>
          <w:color w:val="auto"/>
        </w:rPr>
        <w:t>Stock Price</w:t>
      </w:r>
      <w:r>
        <w:rPr>
          <w:rFonts w:ascii="Arial" w:cs="Arial" w:eastAsia="Arial" w:hAnsi="Arial"/>
          <w:sz w:val="16"/>
          <w:szCs w:val="16"/>
          <w:color w:val="auto"/>
        </w:rPr>
        <w:t>” for each Trading Day shall be the “Fair Market Value” of the Common Stock (as defined in the 2003 Plan, as in effect on the date of this Agreement) for such Trading Day. “</w:t>
      </w:r>
      <w:r>
        <w:rPr>
          <w:rFonts w:ascii="Arial" w:cs="Arial" w:eastAsia="Arial" w:hAnsi="Arial"/>
          <w:sz w:val="16"/>
          <w:szCs w:val="16"/>
          <w:u w:val="single" w:color="auto"/>
          <w:color w:val="auto"/>
        </w:rPr>
        <w:t>Trading Day</w:t>
      </w:r>
      <w:r>
        <w:rPr>
          <w:rFonts w:ascii="Arial" w:cs="Arial" w:eastAsia="Arial" w:hAnsi="Arial"/>
          <w:sz w:val="16"/>
          <w:szCs w:val="16"/>
          <w:color w:val="auto"/>
        </w:rPr>
        <w:t>” shall be each Monday, Tuesday, Wednesday, Thursday and Friday, other than any day on which the Common Stock is not traded on the exchange or in the market which is the principal United States market for the Common Stock.</w:t>
      </w:r>
    </w:p>
    <w:p>
      <w:pPr>
        <w:spacing w:after="0" w:line="115" w:lineRule="exact"/>
        <w:rPr>
          <w:rFonts w:ascii="Arial" w:cs="Arial" w:eastAsia="Arial" w:hAnsi="Arial"/>
          <w:sz w:val="16"/>
          <w:szCs w:val="16"/>
          <w:color w:val="auto"/>
        </w:rPr>
      </w:pPr>
    </w:p>
    <w:p>
      <w:pPr>
        <w:ind w:firstLine="921"/>
        <w:spacing w:after="0" w:line="290" w:lineRule="auto"/>
        <w:tabs>
          <w:tab w:leader="none" w:pos="1162" w:val="left"/>
        </w:tabs>
        <w:numPr>
          <w:ilvl w:val="0"/>
          <w:numId w:val="402"/>
        </w:numPr>
        <w:rPr>
          <w:rFonts w:ascii="Arial" w:cs="Arial" w:eastAsia="Arial" w:hAnsi="Arial"/>
          <w:sz w:val="16"/>
          <w:szCs w:val="16"/>
          <w:color w:val="auto"/>
        </w:rPr>
      </w:pPr>
      <w:r>
        <w:rPr>
          <w:rFonts w:ascii="Arial" w:cs="Arial" w:eastAsia="Arial" w:hAnsi="Arial"/>
          <w:sz w:val="16"/>
          <w:szCs w:val="16"/>
          <w:color w:val="auto"/>
        </w:rPr>
        <w:t>For the purpose of this Section 8, the term “</w:t>
      </w:r>
      <w:r>
        <w:rPr>
          <w:rFonts w:ascii="Arial" w:cs="Arial" w:eastAsia="Arial" w:hAnsi="Arial"/>
          <w:sz w:val="16"/>
          <w:szCs w:val="16"/>
          <w:u w:val="single" w:color="auto"/>
          <w:color w:val="auto"/>
        </w:rPr>
        <w:t>Common Stock</w:t>
      </w:r>
      <w:r>
        <w:rPr>
          <w:rFonts w:ascii="Arial" w:cs="Arial" w:eastAsia="Arial" w:hAnsi="Arial"/>
          <w:sz w:val="16"/>
          <w:szCs w:val="16"/>
          <w:color w:val="auto"/>
        </w:rPr>
        <w:t>” shall mean (i) the class of Company securities designated as the Common Stock at the date of this Agreement, or (ii) any other class of equity interest resulting from successive changes or reclassifications of such shares consisting solely of changes in par value, or from par value to no par value, or from no par value to par value. In the event that at any time, as a result of an adjustment made pursuant to the second sentence of Section 8(a) above, the Executive shall become entitled to Units representing any shares other than the Common Stock, thereafter the number of such other shares represented by a Unit shall be subject to adjustment from time to time in a manner and on the terms as nearly equivalent as practicable to the provisions with respect to the shares contained in this Section 8, and the provisions of this Agreement with respect to the shares of Common Stock represented by the Units shall apply on like terms to any such other shares.</w:t>
      </w:r>
    </w:p>
    <w:p>
      <w:pPr>
        <w:spacing w:after="0" w:line="118" w:lineRule="exact"/>
        <w:rPr>
          <w:rFonts w:ascii="Arial" w:cs="Arial" w:eastAsia="Arial" w:hAnsi="Arial"/>
          <w:sz w:val="16"/>
          <w:szCs w:val="16"/>
          <w:color w:val="auto"/>
        </w:rPr>
      </w:pPr>
    </w:p>
    <w:p>
      <w:pPr>
        <w:ind w:right="560" w:firstLine="921"/>
        <w:spacing w:after="0" w:line="268" w:lineRule="auto"/>
        <w:tabs>
          <w:tab w:leader="none" w:pos="1152" w:val="left"/>
        </w:tabs>
        <w:numPr>
          <w:ilvl w:val="0"/>
          <w:numId w:val="402"/>
        </w:numPr>
        <w:rPr>
          <w:rFonts w:ascii="Arial" w:cs="Arial" w:eastAsia="Arial" w:hAnsi="Arial"/>
          <w:sz w:val="18"/>
          <w:szCs w:val="18"/>
          <w:color w:val="auto"/>
        </w:rPr>
      </w:pPr>
      <w:r>
        <w:rPr>
          <w:rFonts w:ascii="Arial" w:cs="Arial" w:eastAsia="Arial" w:hAnsi="Arial"/>
          <w:sz w:val="18"/>
          <w:szCs w:val="18"/>
          <w:color w:val="auto"/>
        </w:rPr>
        <w:t>In case of any Change in Control, consolidation of the Company, or merger of the Company with another corporation as a result of which Common Stock is converted or modified, or in case of any sale or conveyance to another corporation of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382" w:name="page383"/>
    <w:bookmarkEnd w:id="382"/>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property, assets and business of the Company as an entirety or substantially as an entirety, the Company shall modify the Units so as to provide the Executive with Units reflecting the kind and amount of shares and other securities and property (or cash, as applicable) that he would have owned or have been entitled to receive immediately after the happening of such Change in Control, consolidation, merger, sale or conveyance had his Units immediately prior to such action actually been shares and, if applicable, other securities of the Company represented by those Units. The provisions of this Section 8(e) shall similarly apply to successive consolidations, mergers, sales or conveyances.</w:t>
      </w:r>
    </w:p>
    <w:p>
      <w:pPr>
        <w:spacing w:after="0" w:line="143" w:lineRule="exact"/>
        <w:rPr>
          <w:sz w:val="20"/>
          <w:szCs w:val="20"/>
          <w:color w:val="auto"/>
        </w:rPr>
      </w:pPr>
    </w:p>
    <w:p>
      <w:pPr>
        <w:ind w:right="20" w:firstLine="921"/>
        <w:spacing w:after="0" w:line="291" w:lineRule="auto"/>
        <w:tabs>
          <w:tab w:leader="none" w:pos="1132" w:val="left"/>
        </w:tabs>
        <w:numPr>
          <w:ilvl w:val="1"/>
          <w:numId w:val="403"/>
        </w:numPr>
        <w:rPr>
          <w:rFonts w:ascii="Arial" w:cs="Arial" w:eastAsia="Arial" w:hAnsi="Arial"/>
          <w:sz w:val="16"/>
          <w:szCs w:val="16"/>
          <w:color w:val="auto"/>
        </w:rPr>
      </w:pPr>
      <w:r>
        <w:rPr>
          <w:rFonts w:ascii="Arial" w:cs="Arial" w:eastAsia="Arial" w:hAnsi="Arial"/>
          <w:sz w:val="16"/>
          <w:szCs w:val="16"/>
          <w:color w:val="auto"/>
        </w:rPr>
        <w:t>If the Company distributes rights or warrants to all holders of its Common Stock entitling them to purchase shares of Common Stock at a price per share less than the current market price per share on the record date for the distribution, the Company shall distribute to Executive equivalent amounts of such rights or warrants as if Executive were an actual shareholder with respect to the number of shares of Common Stock equal to his outstanding Units. Such rights or warrants shall be exercisable at the same time, on the same terms and for the same price as the rights or warrants distributed to holders of the Common Stock; provided, however, that if such rights or warrants are deemed to be deferred compensation subject to the requirements of Section 409A of the Code, such rights or warrants shall be distributed to Executive in a manner that complies with such requirements.</w:t>
      </w:r>
    </w:p>
    <w:p>
      <w:pPr>
        <w:spacing w:after="0" w:line="120" w:lineRule="exact"/>
        <w:rPr>
          <w:rFonts w:ascii="Arial" w:cs="Arial" w:eastAsia="Arial" w:hAnsi="Arial"/>
          <w:sz w:val="16"/>
          <w:szCs w:val="16"/>
          <w:color w:val="auto"/>
        </w:rPr>
      </w:pPr>
    </w:p>
    <w:p>
      <w:pPr>
        <w:ind w:right="40" w:firstLine="921"/>
        <w:spacing w:after="0" w:line="298" w:lineRule="auto"/>
        <w:tabs>
          <w:tab w:leader="none" w:pos="1162" w:val="left"/>
        </w:tabs>
        <w:numPr>
          <w:ilvl w:val="1"/>
          <w:numId w:val="403"/>
        </w:numPr>
        <w:rPr>
          <w:rFonts w:ascii="Arial" w:cs="Arial" w:eastAsia="Arial" w:hAnsi="Arial"/>
          <w:sz w:val="16"/>
          <w:szCs w:val="16"/>
          <w:color w:val="auto"/>
        </w:rPr>
      </w:pPr>
      <w:r>
        <w:rPr>
          <w:rFonts w:ascii="Arial" w:cs="Arial" w:eastAsia="Arial" w:hAnsi="Arial"/>
          <w:sz w:val="16"/>
          <w:szCs w:val="16"/>
          <w:color w:val="auto"/>
        </w:rPr>
        <w:t>In case any event shall occur as to which the provisions of this Section 8 are not applicable but the failure to make any adjustment would not fairly protect the rights represented by the Units in accordance with the essential intent and principles of this Section 8 then, in each such case, the Company shall make an adjustment, if any, on a basis consistent with the essential intent and principles established in this Section 8, necessary to preserve, without dilution, the rights represented by the Units. The Company will promptly notify the Executive of any such proposed adjustment.</w:t>
      </w:r>
    </w:p>
    <w:p>
      <w:pPr>
        <w:spacing w:after="0" w:line="112" w:lineRule="exact"/>
        <w:rPr>
          <w:rFonts w:ascii="Arial" w:cs="Arial" w:eastAsia="Arial" w:hAnsi="Arial"/>
          <w:sz w:val="16"/>
          <w:szCs w:val="16"/>
          <w:color w:val="auto"/>
        </w:rPr>
      </w:pPr>
    </w:p>
    <w:p>
      <w:pPr>
        <w:ind w:right="340" w:firstLine="921"/>
        <w:spacing w:after="0" w:line="302" w:lineRule="auto"/>
        <w:tabs>
          <w:tab w:leader="none" w:pos="1162" w:val="left"/>
        </w:tabs>
        <w:numPr>
          <w:ilvl w:val="1"/>
          <w:numId w:val="403"/>
        </w:numPr>
        <w:rPr>
          <w:rFonts w:ascii="Arial" w:cs="Arial" w:eastAsia="Arial" w:hAnsi="Arial"/>
          <w:sz w:val="15"/>
          <w:szCs w:val="15"/>
          <w:color w:val="auto"/>
        </w:rPr>
      </w:pPr>
      <w:r>
        <w:rPr>
          <w:rFonts w:ascii="Arial" w:cs="Arial" w:eastAsia="Arial" w:hAnsi="Arial"/>
          <w:sz w:val="15"/>
          <w:szCs w:val="15"/>
          <w:color w:val="auto"/>
        </w:rPr>
        <w:t>Notwithstanding anything to the contrary contained herein, the provisions of Section 8 shall not apply to, and no adjustment is required to be made in respect of, any of the following: (i) the issuance of shares of Common Stock upon the exercise of any other rights, options or warrants that entitle the holder to subscribe for or purchase such shares (it being understood that the sole adjustment pursuant to this Section 8 in respect of the issuance of shares of Common Stock upon exercise of rights, options or warrants shall be made at the time of the issuance by the Company of such rights, options or warrants, or a change in the terms thereof); (ii) the issuance of shares of Common Stock to the Company’s employees, directors or consultants pursuant to bona fide benefit plans adopted by the Company’s Board; (iii) the issuance of shares of Common Stock in a bona fide public offering pursuant to a firm commitment offering;</w:t>
      </w:r>
    </w:p>
    <w:p>
      <w:pPr>
        <w:ind w:right="160" w:firstLine="8"/>
        <w:spacing w:after="0" w:line="255" w:lineRule="auto"/>
        <w:tabs>
          <w:tab w:leader="none" w:pos="297" w:val="left"/>
        </w:tabs>
        <w:numPr>
          <w:ilvl w:val="0"/>
          <w:numId w:val="404"/>
        </w:numPr>
        <w:rPr>
          <w:rFonts w:ascii="Arial" w:cs="Arial" w:eastAsia="Arial" w:hAnsi="Arial"/>
          <w:sz w:val="18"/>
          <w:szCs w:val="18"/>
          <w:color w:val="auto"/>
        </w:rPr>
      </w:pPr>
      <w:r>
        <w:rPr>
          <w:rFonts w:ascii="Arial" w:cs="Arial" w:eastAsia="Arial" w:hAnsi="Arial"/>
          <w:sz w:val="18"/>
          <w:szCs w:val="18"/>
          <w:color w:val="auto"/>
        </w:rPr>
        <w:t>the issuance of shares of Common Stock pursuant to any dividend reinvestment or similar plan adopted by the Company’s Board to the extent that the applicable discount from the current market price for shares issued under such plan does not exceed 5%; and (v) the issuance of shares of Common Stock in any arm’s length transaction, directly or indirectly, to any party.</w:t>
      </w:r>
    </w:p>
    <w:p>
      <w:pPr>
        <w:spacing w:after="0" w:line="144" w:lineRule="exact"/>
        <w:rPr>
          <w:rFonts w:ascii="Arial" w:cs="Arial" w:eastAsia="Arial" w:hAnsi="Arial"/>
          <w:sz w:val="18"/>
          <w:szCs w:val="18"/>
          <w:color w:val="auto"/>
        </w:rPr>
      </w:pPr>
    </w:p>
    <w:p>
      <w:pPr>
        <w:ind w:right="280" w:firstLine="921"/>
        <w:spacing w:after="0" w:line="306" w:lineRule="auto"/>
        <w:tabs>
          <w:tab w:leader="none" w:pos="1123" w:val="left"/>
        </w:tabs>
        <w:numPr>
          <w:ilvl w:val="1"/>
          <w:numId w:val="404"/>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in the event of a spin-off by the Company to its shareholders, Executive’s participation in such spin-off with respect to the Units and the adjustment of the Units shall be determined in an appropriate and equitable manner, and it is the intention of the parties hereto that, to the extent practicable, such adjustment shall include an equity interest in the spin-off entity.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9" w:right="239" w:bottom="1440" w:gutter="0" w:footer="0" w:header="0"/>
        </w:sectPr>
      </w:pPr>
    </w:p>
    <w:bookmarkStart w:id="383" w:name="page384"/>
    <w:bookmarkEnd w:id="383"/>
    <w:p>
      <w:pPr>
        <w:ind w:left="-8" w:right="120" w:firstLine="921"/>
        <w:spacing w:after="0" w:line="259" w:lineRule="auto"/>
        <w:tabs>
          <w:tab w:leader="none" w:pos="1115" w:val="left"/>
        </w:tabs>
        <w:numPr>
          <w:ilvl w:val="2"/>
          <w:numId w:val="4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the parties hereto cannot agree upon an appropriate and equitable adjustment to the Units, the services of an independent investment banker mutually acceptable to Executive and the Company shall (at the sole expense of the Company) be retained to determine an appropriate and equitable adjustment, and such determination shall be binding upon the parties.</w:t>
      </w:r>
    </w:p>
    <w:p>
      <w:pPr>
        <w:spacing w:after="0" w:line="140" w:lineRule="exact"/>
        <w:rPr>
          <w:rFonts w:ascii="Arial" w:cs="Arial" w:eastAsia="Arial" w:hAnsi="Arial"/>
          <w:sz w:val="18"/>
          <w:szCs w:val="18"/>
          <w:color w:val="auto"/>
        </w:rPr>
      </w:pPr>
    </w:p>
    <w:p>
      <w:pPr>
        <w:ind w:left="-8" w:right="380" w:firstLine="921"/>
        <w:spacing w:after="0" w:line="268" w:lineRule="auto"/>
        <w:tabs>
          <w:tab w:leader="none" w:pos="1154" w:val="left"/>
        </w:tabs>
        <w:numPr>
          <w:ilvl w:val="2"/>
          <w:numId w:val="405"/>
        </w:numPr>
        <w:rPr>
          <w:rFonts w:ascii="Arial" w:cs="Arial" w:eastAsia="Arial" w:hAnsi="Arial"/>
          <w:sz w:val="18"/>
          <w:szCs w:val="18"/>
          <w:color w:val="auto"/>
        </w:rPr>
      </w:pPr>
      <w:r>
        <w:rPr>
          <w:rFonts w:ascii="Arial" w:cs="Arial" w:eastAsia="Arial" w:hAnsi="Arial"/>
          <w:sz w:val="18"/>
          <w:szCs w:val="18"/>
          <w:color w:val="auto"/>
        </w:rPr>
        <w:t>Each additional Unit which results from adjustments made pursuant to this Section 8 or the 2003 Plan shall be subject to the same terms and conditions regarding vesting and forfeiture as the underlying Unit to which such additional Unit relates.</w:t>
      </w:r>
    </w:p>
    <w:p>
      <w:pPr>
        <w:spacing w:after="0" w:line="131" w:lineRule="exact"/>
        <w:rPr>
          <w:rFonts w:ascii="Arial" w:cs="Arial" w:eastAsia="Arial" w:hAnsi="Arial"/>
          <w:sz w:val="18"/>
          <w:szCs w:val="18"/>
          <w:color w:val="auto"/>
        </w:rPr>
      </w:pPr>
    </w:p>
    <w:p>
      <w:pPr>
        <w:ind w:left="-8" w:firstLine="921"/>
        <w:spacing w:after="0" w:line="332" w:lineRule="auto"/>
        <w:tabs>
          <w:tab w:leader="none" w:pos="1115" w:val="left"/>
        </w:tabs>
        <w:numPr>
          <w:ilvl w:val="2"/>
          <w:numId w:val="405"/>
        </w:numPr>
        <w:rPr>
          <w:rFonts w:ascii="Arial" w:cs="Arial" w:eastAsia="Arial" w:hAnsi="Arial"/>
          <w:sz w:val="16"/>
          <w:szCs w:val="16"/>
          <w:color w:val="auto"/>
        </w:rPr>
      </w:pPr>
      <w:r>
        <w:rPr>
          <w:rFonts w:ascii="Arial" w:cs="Arial" w:eastAsia="Arial" w:hAnsi="Arial"/>
          <w:sz w:val="16"/>
          <w:szCs w:val="16"/>
          <w:color w:val="auto"/>
        </w:rPr>
        <w:t>Notwithstanding the foregoing, no adjustment shall be made and no action shall be taken under this Section 8 to the extent that such adjustment or action shall cause the Units to fail to comply with Section 409A of the Code or the Treasury Regulations thereunder (to the extent applicable to the Units).</w:t>
      </w:r>
    </w:p>
    <w:p>
      <w:pPr>
        <w:spacing w:after="0" w:line="85" w:lineRule="exact"/>
        <w:rPr>
          <w:rFonts w:ascii="Arial" w:cs="Arial" w:eastAsia="Arial" w:hAnsi="Arial"/>
          <w:sz w:val="16"/>
          <w:szCs w:val="16"/>
          <w:color w:val="auto"/>
        </w:rPr>
      </w:pPr>
    </w:p>
    <w:p>
      <w:pPr>
        <w:ind w:left="-8" w:right="40" w:firstLine="464"/>
        <w:spacing w:after="0" w:line="268" w:lineRule="auto"/>
        <w:tabs>
          <w:tab w:leader="none" w:pos="624" w:val="left"/>
        </w:tabs>
        <w:numPr>
          <w:ilvl w:val="1"/>
          <w:numId w:val="406"/>
        </w:numPr>
        <w:rPr>
          <w:rFonts w:ascii="Arial" w:cs="Arial" w:eastAsia="Arial" w:hAnsi="Arial"/>
          <w:sz w:val="18"/>
          <w:szCs w:val="18"/>
          <w:color w:val="auto"/>
        </w:rPr>
      </w:pPr>
      <w:r>
        <w:rPr>
          <w:rFonts w:ascii="Arial" w:cs="Arial" w:eastAsia="Arial" w:hAnsi="Arial"/>
          <w:sz w:val="18"/>
          <w:szCs w:val="18"/>
          <w:u w:val="single" w:color="auto"/>
          <w:color w:val="auto"/>
        </w:rPr>
        <w:t>No Right to Employment</w:t>
      </w:r>
      <w:r>
        <w:rPr>
          <w:rFonts w:ascii="Arial" w:cs="Arial" w:eastAsia="Arial" w:hAnsi="Arial"/>
          <w:sz w:val="18"/>
          <w:szCs w:val="18"/>
          <w:color w:val="auto"/>
        </w:rPr>
        <w:t>. Nothing in this Agreement shall confer upon Executive the right to remain in employ of the Company or any subsidiary of the Company.</w:t>
      </w:r>
    </w:p>
    <w:p>
      <w:pPr>
        <w:spacing w:after="0" w:line="131" w:lineRule="exact"/>
        <w:rPr>
          <w:rFonts w:ascii="Arial" w:cs="Arial" w:eastAsia="Arial" w:hAnsi="Arial"/>
          <w:sz w:val="18"/>
          <w:szCs w:val="18"/>
          <w:color w:val="auto"/>
        </w:rPr>
      </w:pPr>
    </w:p>
    <w:p>
      <w:pPr>
        <w:ind w:left="-8" w:right="60" w:firstLine="464"/>
        <w:spacing w:after="0" w:line="291" w:lineRule="auto"/>
        <w:tabs>
          <w:tab w:leader="none" w:pos="712" w:val="left"/>
        </w:tabs>
        <w:numPr>
          <w:ilvl w:val="1"/>
          <w:numId w:val="406"/>
        </w:numPr>
        <w:rPr>
          <w:rFonts w:ascii="Arial" w:cs="Arial" w:eastAsia="Arial" w:hAnsi="Arial"/>
          <w:sz w:val="16"/>
          <w:szCs w:val="16"/>
          <w:color w:val="auto"/>
        </w:rPr>
      </w:pPr>
      <w:r>
        <w:rPr>
          <w:rFonts w:ascii="Arial" w:cs="Arial" w:eastAsia="Arial" w:hAnsi="Arial"/>
          <w:sz w:val="16"/>
          <w:szCs w:val="16"/>
          <w:u w:val="single" w:color="auto"/>
          <w:color w:val="auto"/>
        </w:rPr>
        <w:t>Nontransferability</w:t>
      </w:r>
      <w:r>
        <w:rPr>
          <w:rFonts w:ascii="Arial" w:cs="Arial" w:eastAsia="Arial" w:hAnsi="Arial"/>
          <w:sz w:val="16"/>
          <w:szCs w:val="16"/>
          <w:color w:val="auto"/>
        </w:rPr>
        <w:t>. This Agreement shall not be assignable or transferable by the Company (other than to successors of the Company) and this Agreement and the Units shall not be assignable or transferable by the Executive otherwise than by will or by the laws of descent and distribution, and the Units may be paid out during the lifetime of the Executive only to him. More particularly, but without limiting the generality of the foregoing, the Units may not be assigned, transferred (except as provided in the preceding sentence), pledged, or hypothecated in any way (whether by operation of law or otherwise), and shall not be subject to execution, attachment or similar process. Any attempted assignment, transfer, pledge, hypothecation or other disposition of the Units contrary to the provisions of this Agreement, and any levy of any attachment or similar process upon the Units, shall be null and void and without effect.</w:t>
      </w:r>
    </w:p>
    <w:p>
      <w:pPr>
        <w:spacing w:after="0" w:line="120" w:lineRule="exact"/>
        <w:rPr>
          <w:rFonts w:ascii="Arial" w:cs="Arial" w:eastAsia="Arial" w:hAnsi="Arial"/>
          <w:sz w:val="16"/>
          <w:szCs w:val="16"/>
          <w:color w:val="auto"/>
        </w:rPr>
      </w:pPr>
    </w:p>
    <w:p>
      <w:pPr>
        <w:ind w:left="-8" w:firstLine="464"/>
        <w:spacing w:after="0" w:line="283" w:lineRule="auto"/>
        <w:tabs>
          <w:tab w:leader="none" w:pos="705" w:val="left"/>
        </w:tabs>
        <w:numPr>
          <w:ilvl w:val="1"/>
          <w:numId w:val="406"/>
        </w:numPr>
        <w:rPr>
          <w:rFonts w:ascii="Arial" w:cs="Arial" w:eastAsia="Arial" w:hAnsi="Arial"/>
          <w:sz w:val="16"/>
          <w:szCs w:val="16"/>
          <w:color w:val="auto"/>
        </w:rPr>
      </w:pPr>
      <w:r>
        <w:rPr>
          <w:rFonts w:ascii="Arial" w:cs="Arial" w:eastAsia="Arial" w:hAnsi="Arial"/>
          <w:sz w:val="16"/>
          <w:szCs w:val="16"/>
          <w:u w:val="single" w:color="auto"/>
          <w:color w:val="auto"/>
        </w:rPr>
        <w:t>Arbitration, Legal Fees and Expenses</w:t>
      </w:r>
      <w:r>
        <w:rPr>
          <w:rFonts w:ascii="Arial" w:cs="Arial" w:eastAsia="Arial" w:hAnsi="Arial"/>
          <w:sz w:val="16"/>
          <w:szCs w:val="16"/>
          <w:color w:val="auto"/>
        </w:rPr>
        <w:t xml:space="preserve">. If any contest or dispute shall arise between the Company and Executive regarding any provision of this Agreement, the Company shall reimburse Executive for all legal fees and expenses reasonably incurred by Executive during his lifetime in connection with such contest or dispute, pursuant to the provisions of Section 8.1 of the Employment Agreement. The application of this Section 11 (and Section 8.1 of the Employment Agreement) shall survive the termination of the Employment Agreement. The foregoing limitation shall not preclude the Executive’s estate or heirs from recovering reasonable legal fees (and related expenses) in accordance with the provisions hereof in the event that Executive’s estate or heirs initiate or continue any dispute or controversy arising under or in connection with this Agreement after Executive’s death;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such reasonable legal fees (and related expenses) are incurred within the six (6)-year period following the date of Executive’s death. Such reimbursement shall be made within ninety</w:t>
      </w:r>
    </w:p>
    <w:p>
      <w:pPr>
        <w:ind w:left="-8" w:right="60" w:firstLine="8"/>
        <w:spacing w:after="0" w:line="255" w:lineRule="auto"/>
        <w:tabs>
          <w:tab w:leader="none" w:pos="328" w:val="left"/>
        </w:tabs>
        <w:numPr>
          <w:ilvl w:val="0"/>
          <w:numId w:val="407"/>
        </w:numPr>
        <w:rPr>
          <w:rFonts w:ascii="Arial" w:cs="Arial" w:eastAsia="Arial" w:hAnsi="Arial"/>
          <w:sz w:val="18"/>
          <w:szCs w:val="18"/>
          <w:color w:val="auto"/>
        </w:rPr>
      </w:pPr>
      <w:r>
        <w:rPr>
          <w:rFonts w:ascii="Arial" w:cs="Arial" w:eastAsia="Arial" w:hAnsi="Arial"/>
          <w:sz w:val="18"/>
          <w:szCs w:val="18"/>
          <w:color w:val="auto"/>
        </w:rPr>
        <w:t>days following the resolution of such contest or dispute (whether or not appealed), but not later than the end of the calendar year following the year in which the contest or dispute is resolved, to the extent the Company receives reasonable written evidence of such fees and expenses. The amount of any payment or reimbursement of such fees or expenses in one year shall not affect the amount of</w:t>
      </w:r>
    </w:p>
    <w:p>
      <w:pPr>
        <w:spacing w:after="0" w:line="13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92"/>
          </w:cols>
          <w:pgMar w:left="248" w:top="280" w:right="259" w:bottom="1440" w:gutter="0" w:footer="0" w:header="0"/>
        </w:sectPr>
      </w:pPr>
    </w:p>
    <w:bookmarkStart w:id="384" w:name="page385"/>
    <w:bookmarkEnd w:id="384"/>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payments or reimbursements that are eligible for payment or reimbursement in any subsequent year, and the Executive’s right to such payment or reimbursement of any such fees or expenses shall not be subject to liquidation or exchange for any other benefit. Any dispute or controversy arising under or in connection with this Agreement shall be settled exclusively by arbitration in Princeton, New Jersey in accordance with the Commercial Arbitration Rules of the American Arbitration Association then in effect. Judgment may be entered on the arbitrator’s award in any court having jurisdiction.</w:t>
      </w:r>
    </w:p>
    <w:p>
      <w:pPr>
        <w:spacing w:after="0" w:line="113" w:lineRule="exact"/>
        <w:rPr>
          <w:sz w:val="20"/>
          <w:szCs w:val="20"/>
          <w:color w:val="auto"/>
        </w:rPr>
      </w:pPr>
    </w:p>
    <w:p>
      <w:pPr>
        <w:jc w:val="both"/>
        <w:ind w:firstLine="464"/>
        <w:spacing w:after="0" w:line="298" w:lineRule="auto"/>
        <w:tabs>
          <w:tab w:leader="none" w:pos="720" w:val="left"/>
        </w:tabs>
        <w:numPr>
          <w:ilvl w:val="0"/>
          <w:numId w:val="408"/>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and the Employment Agreement contain all the understandings between the parties hereto pertaining to the matters referred to herein, and supersede all undertakings and agreements, whether oral or in writing, previously entered into by them with respect thereto. The Executive represents that, in executing this Agreement, he does not rely and has not relied upon any representation or statement not set forth herein made by the Company with regard to the subject matter, basis or effect of this Agreement or otherwise.</w:t>
      </w:r>
    </w:p>
    <w:p>
      <w:pPr>
        <w:spacing w:after="0" w:line="112" w:lineRule="exact"/>
        <w:rPr>
          <w:rFonts w:ascii="Arial" w:cs="Arial" w:eastAsia="Arial" w:hAnsi="Arial"/>
          <w:sz w:val="16"/>
          <w:szCs w:val="16"/>
          <w:color w:val="auto"/>
        </w:rPr>
      </w:pPr>
    </w:p>
    <w:p>
      <w:pPr>
        <w:ind w:firstLine="464"/>
        <w:spacing w:after="0" w:line="298" w:lineRule="auto"/>
        <w:tabs>
          <w:tab w:leader="none" w:pos="720" w:val="left"/>
        </w:tabs>
        <w:numPr>
          <w:ilvl w:val="0"/>
          <w:numId w:val="408"/>
        </w:numPr>
        <w:rPr>
          <w:rFonts w:ascii="Arial" w:cs="Arial" w:eastAsia="Arial" w:hAnsi="Arial"/>
          <w:sz w:val="16"/>
          <w:szCs w:val="16"/>
          <w:color w:val="auto"/>
        </w:rPr>
      </w:pPr>
      <w:r>
        <w:rPr>
          <w:rFonts w:ascii="Arial" w:cs="Arial" w:eastAsia="Arial" w:hAnsi="Arial"/>
          <w:sz w:val="16"/>
          <w:szCs w:val="16"/>
          <w:u w:val="single" w:color="auto"/>
          <w:color w:val="auto"/>
        </w:rPr>
        <w:t>Amendment or Modification; Waiver</w:t>
      </w:r>
      <w:r>
        <w:rPr>
          <w:rFonts w:ascii="Arial" w:cs="Arial" w:eastAsia="Arial" w:hAnsi="Arial"/>
          <w:sz w:val="16"/>
          <w:szCs w:val="16"/>
          <w:color w:val="auto"/>
        </w:rPr>
        <w:t>. No provision of this Agreement may be amended, modified or waived unless such amendment or modification is agreed to in writing, signed by the Executive and by a duly authorized officer of the Company, and such waiver is set forth in writing and signed by the party to be charged. No waiver by any party hereto of any breach by another party hereto of any condition or provision of this Agreement to be performed by such other party shall be deemed a waiver of a similar or dissimilar condition or provision at the same time, any prior time or any subsequent time.</w:t>
      </w:r>
    </w:p>
    <w:p>
      <w:pPr>
        <w:spacing w:after="0" w:line="112" w:lineRule="exact"/>
        <w:rPr>
          <w:rFonts w:ascii="Arial" w:cs="Arial" w:eastAsia="Arial" w:hAnsi="Arial"/>
          <w:sz w:val="16"/>
          <w:szCs w:val="16"/>
          <w:color w:val="auto"/>
        </w:rPr>
      </w:pPr>
    </w:p>
    <w:p>
      <w:pPr>
        <w:ind w:right="100" w:firstLine="464"/>
        <w:spacing w:after="0" w:line="259" w:lineRule="auto"/>
        <w:tabs>
          <w:tab w:leader="none" w:pos="720" w:val="left"/>
        </w:tabs>
        <w:numPr>
          <w:ilvl w:val="0"/>
          <w:numId w:val="40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to be given hereunder shall be in writing and shall be deemed given when delivered personally, sent by courier or telecopy or registered or certified mail, postage prepaid, return receipt requested, addressed to the party concerned at the address indicated below or to such other address as such party may subsequently give notice of hereunder in writing:</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To the Executive</w:t>
      </w:r>
      <w:r>
        <w:rPr>
          <w:rFonts w:ascii="Arial" w:cs="Arial" w:eastAsia="Arial" w:hAnsi="Arial"/>
          <w:sz w:val="18"/>
          <w:szCs w:val="18"/>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Stuart M. Essig</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311 Enterprise Drive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Plainsboro, NJ 08536</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609-275-9006</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To the Company:</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Integra LifeSciences Holdings Corporation</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311 Enterprise Drive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Plainsboro, NJ 08536</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Chairman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609-275-9006</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(with a copy to the Company’s General Counsel)</w:t>
      </w:r>
    </w:p>
    <w:p>
      <w:pPr>
        <w:spacing w:after="0" w:line="171"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Any notice delivered personally or by courier under this Section 14 shall be deemed given on the date delivered and any notice sent by telecopy or registered or certified mail, postage prepaid, return receipt requested, shall be deemed given on the date telecopied or mailed.</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80" w:right="299" w:bottom="1440" w:gutter="0" w:footer="0" w:header="0"/>
        </w:sectPr>
      </w:pPr>
    </w:p>
    <w:bookmarkStart w:id="385" w:name="page386"/>
    <w:bookmarkEnd w:id="385"/>
    <w:p>
      <w:pPr>
        <w:ind w:left="-40" w:right="20" w:firstLine="464"/>
        <w:spacing w:after="0" w:line="256" w:lineRule="auto"/>
        <w:tabs>
          <w:tab w:leader="none" w:pos="680" w:val="left"/>
        </w:tabs>
        <w:numPr>
          <w:ilvl w:val="0"/>
          <w:numId w:val="40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Severability</w:t>
      </w:r>
      <w:r>
        <w:rPr>
          <w:rFonts w:ascii="Arial" w:cs="Arial" w:eastAsia="Arial" w:hAnsi="Arial"/>
          <w:sz w:val="18"/>
          <w:szCs w:val="18"/>
          <w:color w:val="auto"/>
        </w:rPr>
        <w:t>. If any provision of this Agreement or the application of any such provision to any party or circumstances shall be determined by any court of competent jurisdiction to be invalid and unenforceable to any extent, the remainder of this Agreement or the application of such provision to such person or circumstances, other than those to which it is so determined to be invalid and unenforceable, shall not be affected thereby, and each provision hereof shall be validated and shall be enforced to the fullest extent permitted by law.</w:t>
      </w:r>
    </w:p>
    <w:p>
      <w:pPr>
        <w:spacing w:after="0" w:line="143" w:lineRule="exact"/>
        <w:rPr>
          <w:rFonts w:ascii="Arial" w:cs="Arial" w:eastAsia="Arial" w:hAnsi="Arial"/>
          <w:sz w:val="18"/>
          <w:szCs w:val="18"/>
          <w:color w:val="auto"/>
        </w:rPr>
      </w:pPr>
    </w:p>
    <w:p>
      <w:pPr>
        <w:ind w:left="-40" w:right="140" w:firstLine="464"/>
        <w:spacing w:after="0" w:line="268" w:lineRule="auto"/>
        <w:tabs>
          <w:tab w:leader="none" w:pos="680" w:val="left"/>
        </w:tabs>
        <w:numPr>
          <w:ilvl w:val="0"/>
          <w:numId w:val="409"/>
        </w:numPr>
        <w:rPr>
          <w:rFonts w:ascii="Arial" w:cs="Arial" w:eastAsia="Arial" w:hAnsi="Arial"/>
          <w:sz w:val="18"/>
          <w:szCs w:val="18"/>
          <w:color w:val="auto"/>
        </w:rPr>
      </w:pPr>
      <w:r>
        <w:rPr>
          <w:rFonts w:ascii="Arial" w:cs="Arial" w:eastAsia="Arial" w:hAnsi="Arial"/>
          <w:sz w:val="18"/>
          <w:szCs w:val="18"/>
          <w:u w:val="single" w:color="auto"/>
          <w:color w:val="auto"/>
        </w:rPr>
        <w:t>Noncontravention</w:t>
      </w:r>
      <w:r>
        <w:rPr>
          <w:rFonts w:ascii="Arial" w:cs="Arial" w:eastAsia="Arial" w:hAnsi="Arial"/>
          <w:sz w:val="18"/>
          <w:szCs w:val="18"/>
          <w:color w:val="auto"/>
        </w:rPr>
        <w:t>. The Company represents that the Company is not prevented from entering into, or performing, this Agreement by the terms of any law, order, rule or regulation, its certificate of incorporation or by-laws, or any agreement to which it is a party.</w:t>
      </w:r>
    </w:p>
    <w:p>
      <w:pPr>
        <w:spacing w:after="0" w:line="131" w:lineRule="exact"/>
        <w:rPr>
          <w:rFonts w:ascii="Arial" w:cs="Arial" w:eastAsia="Arial" w:hAnsi="Arial"/>
          <w:sz w:val="18"/>
          <w:szCs w:val="18"/>
          <w:color w:val="auto"/>
        </w:rPr>
      </w:pPr>
    </w:p>
    <w:p>
      <w:pPr>
        <w:ind w:left="-40" w:firstLine="464"/>
        <w:spacing w:after="0" w:line="268" w:lineRule="auto"/>
        <w:tabs>
          <w:tab w:leader="none" w:pos="680" w:val="left"/>
        </w:tabs>
        <w:numPr>
          <w:ilvl w:val="0"/>
          <w:numId w:val="409"/>
        </w:numPr>
        <w:rPr>
          <w:rFonts w:ascii="Arial" w:cs="Arial" w:eastAsia="Arial" w:hAnsi="Arial"/>
          <w:sz w:val="18"/>
          <w:szCs w:val="18"/>
          <w:color w:val="auto"/>
        </w:rPr>
      </w:pPr>
      <w:r>
        <w:rPr>
          <w:rFonts w:ascii="Arial" w:cs="Arial" w:eastAsia="Arial" w:hAnsi="Arial"/>
          <w:sz w:val="18"/>
          <w:szCs w:val="18"/>
          <w:u w:val="single" w:color="auto"/>
          <w:color w:val="auto"/>
        </w:rPr>
        <w:t>Survivorship</w:t>
      </w:r>
      <w:r>
        <w:rPr>
          <w:rFonts w:ascii="Arial" w:cs="Arial" w:eastAsia="Arial" w:hAnsi="Arial"/>
          <w:sz w:val="18"/>
          <w:szCs w:val="18"/>
          <w:color w:val="auto"/>
        </w:rPr>
        <w:t>. The respective rights and obligations of the parties hereunder shall survive any termination of this Agreement or Executive’s employment to the extent necessary for the intended preservation of such rights and obligations.</w:t>
      </w:r>
    </w:p>
    <w:p>
      <w:pPr>
        <w:spacing w:after="0" w:line="131" w:lineRule="exact"/>
        <w:rPr>
          <w:rFonts w:ascii="Arial" w:cs="Arial" w:eastAsia="Arial" w:hAnsi="Arial"/>
          <w:sz w:val="18"/>
          <w:szCs w:val="18"/>
          <w:color w:val="auto"/>
        </w:rPr>
      </w:pPr>
    </w:p>
    <w:p>
      <w:pPr>
        <w:ind w:left="-40" w:right="160" w:firstLine="464"/>
        <w:spacing w:after="0" w:line="268" w:lineRule="auto"/>
        <w:tabs>
          <w:tab w:leader="none" w:pos="680" w:val="left"/>
        </w:tabs>
        <w:numPr>
          <w:ilvl w:val="0"/>
          <w:numId w:val="409"/>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This Agreement shall inure to the benefit of and be binding upon each successor of the Company, and upon the Executive’s beneficiaries, legal representatives or estate, as the case may be.</w:t>
      </w:r>
    </w:p>
    <w:p>
      <w:pPr>
        <w:spacing w:after="0" w:line="131" w:lineRule="exact"/>
        <w:rPr>
          <w:rFonts w:ascii="Arial" w:cs="Arial" w:eastAsia="Arial" w:hAnsi="Arial"/>
          <w:sz w:val="18"/>
          <w:szCs w:val="18"/>
          <w:color w:val="auto"/>
        </w:rPr>
      </w:pPr>
    </w:p>
    <w:p>
      <w:pPr>
        <w:ind w:left="-40" w:right="20" w:firstLine="464"/>
        <w:spacing w:after="0" w:line="306" w:lineRule="auto"/>
        <w:tabs>
          <w:tab w:leader="none" w:pos="680" w:val="left"/>
        </w:tabs>
        <w:numPr>
          <w:ilvl w:val="0"/>
          <w:numId w:val="409"/>
        </w:numPr>
        <w:rPr>
          <w:rFonts w:ascii="Arial" w:cs="Arial" w:eastAsia="Arial" w:hAnsi="Arial"/>
          <w:sz w:val="16"/>
          <w:szCs w:val="16"/>
          <w:color w:val="auto"/>
        </w:rPr>
      </w:pPr>
      <w:r>
        <w:rPr>
          <w:rFonts w:ascii="Arial" w:cs="Arial" w:eastAsia="Arial" w:hAnsi="Arial"/>
          <w:sz w:val="16"/>
          <w:szCs w:val="16"/>
          <w:u w:val="single" w:color="auto"/>
          <w:color w:val="auto"/>
        </w:rPr>
        <w:t>Construction</w:t>
      </w:r>
      <w:r>
        <w:rPr>
          <w:rFonts w:ascii="Arial" w:cs="Arial" w:eastAsia="Arial" w:hAnsi="Arial"/>
          <w:sz w:val="16"/>
          <w:szCs w:val="16"/>
          <w:color w:val="auto"/>
        </w:rPr>
        <w:t>. Except as would be in conflict with any specific provision herein, this Agreement is made under and subject to the provisions of the 2003 Plan as in effect on the Grant Date and, except as would conflict with the provisions of this Agreement, all of the provisions of the 2003 Plan as in effect on the Grant Date are hereby incorporated herein as provisions of this Agreement. In the event of any such conflict, the terms of this Agreement shall govern.</w:t>
      </w:r>
    </w:p>
    <w:p>
      <w:pPr>
        <w:spacing w:after="0" w:line="106" w:lineRule="exact"/>
        <w:rPr>
          <w:rFonts w:ascii="Arial" w:cs="Arial" w:eastAsia="Arial" w:hAnsi="Arial"/>
          <w:sz w:val="16"/>
          <w:szCs w:val="16"/>
          <w:color w:val="auto"/>
        </w:rPr>
      </w:pPr>
    </w:p>
    <w:p>
      <w:pPr>
        <w:ind w:left="-40" w:right="20" w:firstLine="464"/>
        <w:spacing w:after="0" w:line="268" w:lineRule="auto"/>
        <w:tabs>
          <w:tab w:leader="none" w:pos="680" w:val="left"/>
        </w:tabs>
        <w:numPr>
          <w:ilvl w:val="0"/>
          <w:numId w:val="40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will be governed by and construed in accordance with the laws of the State of Delaware, without regard to its conflicts of laws principles.</w:t>
      </w:r>
    </w:p>
    <w:p>
      <w:pPr>
        <w:spacing w:after="0" w:line="131" w:lineRule="exact"/>
        <w:rPr>
          <w:rFonts w:ascii="Arial" w:cs="Arial" w:eastAsia="Arial" w:hAnsi="Arial"/>
          <w:sz w:val="18"/>
          <w:szCs w:val="18"/>
          <w:color w:val="auto"/>
        </w:rPr>
      </w:pPr>
    </w:p>
    <w:p>
      <w:pPr>
        <w:ind w:left="-40" w:right="240" w:firstLine="464"/>
        <w:spacing w:after="0" w:line="268" w:lineRule="auto"/>
        <w:tabs>
          <w:tab w:leader="none" w:pos="680" w:val="left"/>
        </w:tabs>
        <w:numPr>
          <w:ilvl w:val="0"/>
          <w:numId w:val="409"/>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All descriptive headings of sections and paragraphs in this Agreement are for convenience of reference only, and they form no part of this Agreement and shall not affect its interpretation.</w:t>
      </w:r>
    </w:p>
    <w:p>
      <w:pPr>
        <w:spacing w:after="0" w:line="131" w:lineRule="exact"/>
        <w:rPr>
          <w:rFonts w:ascii="Arial" w:cs="Arial" w:eastAsia="Arial" w:hAnsi="Arial"/>
          <w:sz w:val="18"/>
          <w:szCs w:val="18"/>
          <w:color w:val="auto"/>
        </w:rPr>
      </w:pPr>
    </w:p>
    <w:p>
      <w:pPr>
        <w:ind w:left="-40" w:right="260" w:firstLine="464"/>
        <w:spacing w:after="0" w:line="268" w:lineRule="auto"/>
        <w:tabs>
          <w:tab w:leader="none" w:pos="680" w:val="left"/>
        </w:tabs>
        <w:numPr>
          <w:ilvl w:val="0"/>
          <w:numId w:val="40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an original, but all of which together shall constitute one and the same instrument.</w:t>
      </w:r>
    </w:p>
    <w:p>
      <w:pPr>
        <w:spacing w:after="0" w:line="131" w:lineRule="exact"/>
        <w:rPr>
          <w:rFonts w:ascii="Arial" w:cs="Arial" w:eastAsia="Arial" w:hAnsi="Arial"/>
          <w:sz w:val="18"/>
          <w:szCs w:val="18"/>
          <w:color w:val="auto"/>
        </w:rPr>
      </w:pPr>
    </w:p>
    <w:p>
      <w:pPr>
        <w:ind w:left="-40" w:right="40" w:firstLine="464"/>
        <w:spacing w:after="0" w:line="290" w:lineRule="auto"/>
        <w:tabs>
          <w:tab w:leader="none" w:pos="680" w:val="left"/>
        </w:tabs>
        <w:numPr>
          <w:ilvl w:val="0"/>
          <w:numId w:val="409"/>
        </w:numPr>
        <w:rPr>
          <w:rFonts w:ascii="Arial" w:cs="Arial" w:eastAsia="Arial" w:hAnsi="Arial"/>
          <w:sz w:val="16"/>
          <w:szCs w:val="16"/>
          <w:color w:val="auto"/>
        </w:rPr>
      </w:pPr>
      <w:r>
        <w:rPr>
          <w:rFonts w:ascii="Arial" w:cs="Arial" w:eastAsia="Arial" w:hAnsi="Arial"/>
          <w:sz w:val="16"/>
          <w:szCs w:val="16"/>
          <w:u w:val="single" w:color="auto"/>
          <w:color w:val="auto"/>
        </w:rPr>
        <w:t>Section 409A of the Code</w:t>
      </w:r>
      <w:r>
        <w:rPr>
          <w:rFonts w:ascii="Arial" w:cs="Arial" w:eastAsia="Arial" w:hAnsi="Arial"/>
          <w:sz w:val="16"/>
          <w:szCs w:val="16"/>
          <w:color w:val="auto"/>
        </w:rPr>
        <w:t>. This Agreement is intended to comply with the requirements of Section 409A of the Code, and shall in all respects be administered and interpreted in accordance with Section 409A. Notwithstanding anything in the Agreement to the contrary, payment may only be made under the Agreement upon an event and in a manner permitted by Section 409A of the Code. If a payment is not made by the designated payment date under the Agreement, the payment shall be made by December 31 of the calendar year in which the designated date occurs. Any payment to be made upon a termination of employment under this Agreement may only be made upon a Separation from Service. To the extent that any provision of the Agreement would cause a conflict with the requirements of Section 409A of the Code, or would cause the administration of the Agreement to fail to satisfy the requirements of Section 409A, such provision shall be deemed null and void to the extent permitted by applicable law.</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80" w:top="279" w:right="259" w:bottom="1440" w:gutter="0" w:footer="0" w:header="0"/>
        </w:sectPr>
      </w:pPr>
    </w:p>
    <w:bookmarkStart w:id="386" w:name="page387"/>
    <w:bookmarkEnd w:id="38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this Contract Stock / Restricted Units Agreement as of the date first above written.</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6"/>
          <w:szCs w:val="16"/>
          <w:b w:val="1"/>
          <w:bCs w:val="1"/>
          <w:color w:val="auto"/>
        </w:rPr>
        <w:t>INTEGRA LIFESCIENCES HOLDINGS CORPORATION</w:t>
      </w:r>
    </w:p>
    <w:p>
      <w:pPr>
        <w:spacing w:after="0" w:line="25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Richard E. Caruso</w:t>
      </w:r>
    </w:p>
    <w:p>
      <w:pPr>
        <w:spacing w:after="0" w:line="15"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Chairman of the Board of Directors</w:t>
      </w:r>
    </w:p>
    <w:p>
      <w:pPr>
        <w:spacing w:after="0" w:line="21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289560</wp:posOffset>
            </wp:positionV>
            <wp:extent cx="289877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Stuart M. Essig</w:t>
      </w:r>
    </w:p>
    <w:p>
      <w:pPr>
        <w:spacing w:after="0" w:line="15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700" w:top="280" w:right="299" w:bottom="1440" w:gutter="0" w:footer="0" w:header="0"/>
        </w:sectPr>
      </w:pPr>
    </w:p>
    <w:bookmarkStart w:id="387" w:name="page388"/>
    <w:bookmarkEnd w:id="387"/>
    <w:p>
      <w:pPr>
        <w:jc w:val="right"/>
        <w:spacing w:after="0"/>
        <w:rPr>
          <w:sz w:val="20"/>
          <w:szCs w:val="20"/>
          <w:color w:val="auto"/>
        </w:rPr>
      </w:pPr>
      <w:r>
        <w:rPr>
          <w:rFonts w:ascii="Arial" w:cs="Arial" w:eastAsia="Arial" w:hAnsi="Arial"/>
          <w:sz w:val="18"/>
          <w:szCs w:val="18"/>
          <w:b w:val="1"/>
          <w:bCs w:val="1"/>
          <w:color w:val="auto"/>
        </w:rPr>
        <w:t>Exhibit 10.4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2011-1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 STOCK / RESTRICTED UNITS AGREEMENT</w:t>
      </w:r>
    </w:p>
    <w:p>
      <w:pPr>
        <w:spacing w:after="0" w:line="165" w:lineRule="exact"/>
        <w:rPr>
          <w:sz w:val="20"/>
          <w:szCs w:val="20"/>
          <w:color w:val="auto"/>
        </w:rPr>
      </w:pPr>
    </w:p>
    <w:p>
      <w:pPr>
        <w:ind w:left="460"/>
        <w:spacing w:after="0"/>
        <w:tabs>
          <w:tab w:leader="none" w:pos="10980" w:val="left"/>
        </w:tabs>
        <w:rPr>
          <w:sz w:val="20"/>
          <w:szCs w:val="20"/>
          <w:color w:val="auto"/>
        </w:rPr>
      </w:pPr>
      <w:r>
        <w:rPr>
          <w:rFonts w:ascii="Arial" w:cs="Arial" w:eastAsia="Arial" w:hAnsi="Arial"/>
          <w:sz w:val="16"/>
          <w:szCs w:val="16"/>
          <w:color w:val="auto"/>
        </w:rPr>
        <w:t>THIS AMENDMENT 2011-1 TO CONTRACT STOCK / RESTRICTED UNITS AGREEMENT (this “</w:t>
      </w:r>
      <w:r>
        <w:rPr>
          <w:rFonts w:ascii="Arial" w:cs="Arial" w:eastAsia="Arial" w:hAnsi="Arial"/>
          <w:sz w:val="16"/>
          <w:szCs w:val="16"/>
          <w:u w:val="single" w:color="auto"/>
          <w:color w:val="auto"/>
        </w:rPr>
        <w:t>Amendment 2011-1</w:t>
      </w:r>
      <w:r>
        <w:rPr>
          <w:rFonts w:ascii="Arial" w:cs="Arial" w:eastAsia="Arial" w:hAnsi="Arial"/>
          <w:sz w:val="16"/>
          <w:szCs w:val="16"/>
          <w:color w:val="auto"/>
        </w:rPr>
        <w:t>”), is made as of [</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6649085</wp:posOffset>
            </wp:positionH>
            <wp:positionV relativeFrom="paragraph">
              <wp:posOffset>0</wp:posOffset>
            </wp:positionV>
            <wp:extent cx="33464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8"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2011, by and between Integra LifeSciences Holdings Corporation,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Stuart M. Essig (“</w:t>
      </w:r>
      <w:r>
        <w:rPr>
          <w:rFonts w:ascii="Arial" w:cs="Arial" w:eastAsia="Arial" w:hAnsi="Arial"/>
          <w:sz w:val="16"/>
          <w:szCs w:val="16"/>
          <w:u w:val="single" w:color="auto"/>
          <w:color w:val="auto"/>
        </w:rPr>
        <w:t>Executive</w:t>
      </w:r>
      <w:r>
        <w:rPr>
          <w:rFonts w:ascii="Arial" w:cs="Arial" w:eastAsia="Arial" w:hAnsi="Arial"/>
          <w:sz w:val="16"/>
          <w:szCs w:val="16"/>
          <w:color w:val="auto"/>
        </w:rPr>
        <w:t>”). Capitalized terms used and not otherwise defined herein shall have the meanings ascribed to such terms in the Restricted Units Agreement (as defined below).</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7080" w:type="dxa"/>
            <w:vAlign w:val="bottom"/>
            <w:gridSpan w:val="4"/>
          </w:tcPr>
          <w:p>
            <w:pPr>
              <w:ind w:left="380"/>
              <w:spacing w:after="0"/>
              <w:rPr>
                <w:sz w:val="20"/>
                <w:szCs w:val="20"/>
                <w:color w:val="auto"/>
              </w:rPr>
            </w:pPr>
            <w:r>
              <w:rPr>
                <w:rFonts w:ascii="Arial" w:cs="Arial" w:eastAsia="Arial" w:hAnsi="Arial"/>
                <w:sz w:val="18"/>
                <w:szCs w:val="18"/>
                <w:color w:val="auto"/>
                <w:w w:val="88"/>
              </w:rPr>
              <w:t>WHEREAS, pursuant to that certain Contract Stock / Restricted Units Agreement, dated as of [</w:t>
            </w:r>
          </w:p>
        </w:tc>
        <w:tc>
          <w:tcPr>
            <w:tcW w:w="520" w:type="dxa"/>
            <w:vAlign w:val="bottom"/>
            <w:tcBorders>
              <w:bottom w:val="single" w:sz="8" w:color="auto"/>
            </w:tcBorders>
          </w:tcPr>
          <w:p>
            <w:pPr>
              <w:spacing w:after="0"/>
              <w:rPr>
                <w:sz w:val="17"/>
                <w:szCs w:val="17"/>
                <w:color w:val="auto"/>
              </w:rPr>
            </w:pPr>
          </w:p>
        </w:tc>
        <w:tc>
          <w:tcPr>
            <w:tcW w:w="3720" w:type="dxa"/>
            <w:vAlign w:val="bottom"/>
            <w:gridSpan w:val="3"/>
          </w:tcPr>
          <w:p>
            <w:pPr>
              <w:spacing w:after="0"/>
              <w:rPr>
                <w:sz w:val="20"/>
                <w:szCs w:val="20"/>
                <w:color w:val="auto"/>
              </w:rPr>
            </w:pPr>
            <w:r>
              <w:rPr>
                <w:rFonts w:ascii="Arial" w:cs="Arial" w:eastAsia="Arial" w:hAnsi="Arial"/>
                <w:sz w:val="18"/>
                <w:szCs w:val="18"/>
                <w:color w:val="auto"/>
              </w:rPr>
              <w:t>], between the Company and Executive (the</w:t>
            </w:r>
          </w:p>
        </w:tc>
      </w:tr>
      <w:tr>
        <w:trPr>
          <w:trHeight w:val="196"/>
        </w:trPr>
        <w:tc>
          <w:tcPr>
            <w:tcW w:w="5420" w:type="dxa"/>
            <w:vAlign w:val="bottom"/>
            <w:gridSpan w:val="4"/>
          </w:tcPr>
          <w:p>
            <w:pPr>
              <w:spacing w:after="0" w:line="196" w:lineRule="exact"/>
              <w:rPr>
                <w:sz w:val="20"/>
                <w:szCs w:val="20"/>
                <w:color w:val="auto"/>
              </w:rPr>
            </w:pPr>
            <w:r>
              <w:rPr>
                <w:rFonts w:ascii="Arial" w:cs="Arial" w:eastAsia="Arial" w:hAnsi="Arial"/>
                <w:sz w:val="18"/>
                <w:szCs w:val="18"/>
                <w:color w:val="auto"/>
                <w:w w:val="99"/>
              </w:rPr>
              <w:t>“Restricted Units Agreement”), the Company granted the Executive [</w:t>
            </w:r>
          </w:p>
        </w:tc>
        <w:tc>
          <w:tcPr>
            <w:tcW w:w="5980" w:type="dxa"/>
            <w:vAlign w:val="bottom"/>
            <w:gridSpan w:val="5"/>
          </w:tcPr>
          <w:p>
            <w:pPr>
              <w:spacing w:after="0" w:line="196" w:lineRule="exact"/>
              <w:rPr>
                <w:sz w:val="20"/>
                <w:szCs w:val="20"/>
                <w:color w:val="auto"/>
              </w:rPr>
            </w:pPr>
            <w:r>
              <w:rPr>
                <w:rFonts w:ascii="Arial" w:cs="Arial" w:eastAsia="Arial" w:hAnsi="Arial"/>
                <w:sz w:val="18"/>
                <w:szCs w:val="18"/>
                <w:color w:val="auto"/>
                <w:w w:val="89"/>
              </w:rPr>
              <w:t>] shares of contract stock in the form of restricted units (the “Units”) representing the</w:t>
            </w:r>
          </w:p>
        </w:tc>
      </w:tr>
      <w:tr>
        <w:trPr>
          <w:trHeight w:val="20"/>
        </w:trPr>
        <w:tc>
          <w:tcPr>
            <w:tcW w:w="8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9"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right to receive an equal number of shares of common stock of the Company, par value $.01 per share (“</w:t>
      </w:r>
      <w:r>
        <w:rPr>
          <w:rFonts w:ascii="Arial" w:cs="Arial" w:eastAsia="Arial" w:hAnsi="Arial"/>
          <w:sz w:val="16"/>
          <w:szCs w:val="16"/>
          <w:u w:val="single" w:color="auto"/>
          <w:color w:val="auto"/>
        </w:rPr>
        <w:t>Common Stock</w:t>
      </w:r>
      <w:r>
        <w:rPr>
          <w:rFonts w:ascii="Arial" w:cs="Arial" w:eastAsia="Arial" w:hAnsi="Arial"/>
          <w:sz w:val="16"/>
          <w:szCs w:val="16"/>
          <w:color w:val="auto"/>
        </w:rPr>
        <w:t>”), on the terms and conditions set forth in the Integra LifeSciences Holdings Corporation Second Amended and Restated 2003 Equity Incentive Plan and the Restricted Units Agreement;</w:t>
      </w:r>
    </w:p>
    <w:p>
      <w:pPr>
        <w:spacing w:after="0" w:line="8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WHEREAS, Section 13 of the Restricted Units Agreement provides that the Restricted Units Agreement may be amended pursuant to a written agreement signed by the Company and the Executive; 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Company and the Executive desire to amend the Restricted Units Agreement as set forth herein.</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NOW THEREFORE, for good and valuable consideration, the receipt and adequacy of which are hereby acknowledged, the parties hereto hereby amend the Restricted Units Agreement, as follows: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Section 3(b) of the Restricted Units Agreement is hereby amended and restated in its entirety as follows: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“(b) Subject to Section 4 below, one hundred percent (100%) of the then outstanding Units shall vest upon the occurrence of any of the following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events:</w:t>
      </w:r>
    </w:p>
    <w:p>
      <w:pPr>
        <w:spacing w:after="0" w:line="84" w:lineRule="exact"/>
        <w:rPr>
          <w:sz w:val="20"/>
          <w:szCs w:val="20"/>
          <w:color w:val="auto"/>
        </w:rPr>
      </w:pPr>
    </w:p>
    <w:p>
      <w:pPr>
        <w:ind w:left="920" w:right="140" w:firstLine="421"/>
        <w:spacing w:after="0" w:line="254" w:lineRule="auto"/>
        <w:tabs>
          <w:tab w:leader="none" w:pos="1549" w:val="left"/>
        </w:tabs>
        <w:numPr>
          <w:ilvl w:val="0"/>
          <w:numId w:val="410"/>
        </w:numPr>
        <w:rPr>
          <w:rFonts w:ascii="Arial" w:cs="Arial" w:eastAsia="Arial" w:hAnsi="Arial"/>
          <w:sz w:val="18"/>
          <w:szCs w:val="18"/>
          <w:color w:val="auto"/>
        </w:rPr>
      </w:pPr>
      <w:r>
        <w:rPr>
          <w:rFonts w:ascii="Arial" w:cs="Arial" w:eastAsia="Arial" w:hAnsi="Arial"/>
          <w:sz w:val="18"/>
          <w:szCs w:val="18"/>
          <w:color w:val="auto"/>
        </w:rPr>
        <w:t>Executive’s Termination of Service (as defined below) (1) by the Company without “Cause” (as defined in Section 4.3 of the Employment Agreement), (2) by the Executive for “Good Reason” (as defined in Section 4.4 of the Employment Agreement), (3) by reason of a “Disability Termination” (as defined in Section 4.2 of the Employment Agreement), (4) by reason of the Executive’s death, (5) as a result of the Employment Agreement (or the Executive’s successor employment agreement with the Company, if any) not being amended, renewed or replaced by a new employment agreement upon the expiration of such agreement on December 31, 2011 or the Extended Expiration Date (as defined below), as applicable;</w:t>
      </w:r>
    </w:p>
    <w:p>
      <w:pPr>
        <w:spacing w:after="0" w:line="63" w:lineRule="exact"/>
        <w:rPr>
          <w:rFonts w:ascii="Arial" w:cs="Arial" w:eastAsia="Arial" w:hAnsi="Arial"/>
          <w:sz w:val="18"/>
          <w:szCs w:val="18"/>
          <w:color w:val="auto"/>
        </w:rPr>
      </w:pPr>
    </w:p>
    <w:p>
      <w:pPr>
        <w:ind w:left="1600" w:hanging="259"/>
        <w:spacing w:after="0"/>
        <w:tabs>
          <w:tab w:leader="none" w:pos="1600" w:val="left"/>
        </w:tabs>
        <w:numPr>
          <w:ilvl w:val="0"/>
          <w:numId w:val="410"/>
        </w:numPr>
        <w:rPr>
          <w:rFonts w:ascii="Arial" w:cs="Arial" w:eastAsia="Arial" w:hAnsi="Arial"/>
          <w:sz w:val="16"/>
          <w:szCs w:val="16"/>
          <w:color w:val="auto"/>
        </w:rPr>
      </w:pPr>
      <w:r>
        <w:rPr>
          <w:rFonts w:ascii="Arial" w:cs="Arial" w:eastAsia="Arial" w:hAnsi="Arial"/>
          <w:sz w:val="16"/>
          <w:szCs w:val="16"/>
          <w:color w:val="auto"/>
        </w:rPr>
        <w:t>a “Change in Control” (as defined in the Employment Agreement) that occurs prior to the Executive’s Termination of Service; or</w:t>
      </w:r>
    </w:p>
    <w:p>
      <w:pPr>
        <w:sectPr>
          <w:pgSz w:w="11900" w:h="16838" w:orient="portrait"/>
          <w:cols w:equalWidth="0" w:num="1">
            <w:col w:w="11420"/>
          </w:cols>
          <w:pgMar w:left="240" w:top="125" w:right="239" w:bottom="1440" w:gutter="0" w:footer="0" w:header="0"/>
        </w:sectPr>
      </w:pPr>
    </w:p>
    <w:bookmarkStart w:id="388" w:name="page389"/>
    <w:bookmarkEnd w:id="388"/>
    <w:p>
      <w:pPr>
        <w:ind w:left="1640" w:hanging="299"/>
        <w:spacing w:after="0"/>
        <w:tabs>
          <w:tab w:leader="none" w:pos="1640" w:val="left"/>
        </w:tabs>
        <w:numPr>
          <w:ilvl w:val="1"/>
          <w:numId w:val="4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appointment by the Board of a new Chief Executive Officer of the Company.”</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Section 3(c) of the Restricted Units Agreement is hereby amended and restated in its entirety as follows:</w:t>
      </w:r>
    </w:p>
    <w:p>
      <w:pPr>
        <w:spacing w:after="0" w:line="171" w:lineRule="exact"/>
        <w:rPr>
          <w:sz w:val="20"/>
          <w:szCs w:val="20"/>
          <w:color w:val="auto"/>
        </w:rPr>
      </w:pPr>
    </w:p>
    <w:p>
      <w:pPr>
        <w:ind w:right="80" w:firstLine="913"/>
        <w:spacing w:after="0" w:line="290" w:lineRule="auto"/>
        <w:rPr>
          <w:sz w:val="20"/>
          <w:szCs w:val="20"/>
          <w:color w:val="auto"/>
        </w:rPr>
      </w:pPr>
      <w:r>
        <w:rPr>
          <w:rFonts w:ascii="Arial" w:cs="Arial" w:eastAsia="Arial" w:hAnsi="Arial"/>
          <w:sz w:val="16"/>
          <w:szCs w:val="16"/>
          <w:color w:val="auto"/>
        </w:rPr>
        <w:t>“(c) For purposes of this Agreement, (1) “Termination of Service” shall mean the time when the Executive ceases to provide services to the Company and its Related Corporations and Affiliates as an employee for any reason with or without cause, including, but not by way of limitation, a termination by resignation, discharge, death, or disability. A Termination of Service shall not include a termination where the Executive is simultaneously reemployed by, or remains employed by, or continues to provide services as an employee to, the Company and/or one or more of its Related Corporations and Affiliates or a successor entity thereto; and (2) “Extended Expiration Date” shall mean, in the event that the Executive and the Company enter into (including by way of an automatic extension) a new, amended or renewed employment agreement on or prior to December 31, 2011, the last day of the term of such new, amended or renewed employment agreement.”</w:t>
      </w:r>
    </w:p>
    <w:p>
      <w:pPr>
        <w:spacing w:after="0" w:line="118" w:lineRule="exact"/>
        <w:rPr>
          <w:sz w:val="20"/>
          <w:szCs w:val="20"/>
          <w:color w:val="auto"/>
        </w:rPr>
      </w:pPr>
    </w:p>
    <w:p>
      <w:pPr>
        <w:ind w:right="180" w:firstLine="464"/>
        <w:spacing w:after="0" w:line="268" w:lineRule="auto"/>
        <w:tabs>
          <w:tab w:leader="none" w:pos="632" w:val="left"/>
        </w:tabs>
        <w:numPr>
          <w:ilvl w:val="0"/>
          <w:numId w:val="413"/>
        </w:numPr>
        <w:rPr>
          <w:rFonts w:ascii="Arial" w:cs="Arial" w:eastAsia="Arial" w:hAnsi="Arial"/>
          <w:sz w:val="18"/>
          <w:szCs w:val="18"/>
          <w:color w:val="auto"/>
        </w:rPr>
      </w:pPr>
      <w:r>
        <w:rPr>
          <w:rFonts w:ascii="Arial" w:cs="Arial" w:eastAsia="Arial" w:hAnsi="Arial"/>
          <w:sz w:val="18"/>
          <w:szCs w:val="18"/>
          <w:color w:val="auto"/>
        </w:rPr>
        <w:t>Section 5 of the Restricted Units Agreement is hereby amended to delete and replace the phrase “within thirty (30) days following” in its entirety with the phrase “within three (3) business days following.”</w:t>
      </w:r>
    </w:p>
    <w:p>
      <w:pPr>
        <w:spacing w:after="0" w:line="131" w:lineRule="exact"/>
        <w:rPr>
          <w:rFonts w:ascii="Arial" w:cs="Arial" w:eastAsia="Arial" w:hAnsi="Arial"/>
          <w:sz w:val="18"/>
          <w:szCs w:val="18"/>
          <w:color w:val="auto"/>
        </w:rPr>
      </w:pPr>
    </w:p>
    <w:p>
      <w:pPr>
        <w:ind w:firstLine="464"/>
        <w:spacing w:after="0" w:line="268" w:lineRule="auto"/>
        <w:tabs>
          <w:tab w:leader="none" w:pos="632" w:val="left"/>
        </w:tabs>
        <w:numPr>
          <w:ilvl w:val="0"/>
          <w:numId w:val="413"/>
        </w:numPr>
        <w:rPr>
          <w:rFonts w:ascii="Arial" w:cs="Arial" w:eastAsia="Arial" w:hAnsi="Arial"/>
          <w:sz w:val="18"/>
          <w:szCs w:val="18"/>
          <w:color w:val="auto"/>
        </w:rPr>
      </w:pPr>
      <w:r>
        <w:rPr>
          <w:rFonts w:ascii="Arial" w:cs="Arial" w:eastAsia="Arial" w:hAnsi="Arial"/>
          <w:sz w:val="18"/>
          <w:szCs w:val="18"/>
          <w:color w:val="auto"/>
        </w:rPr>
        <w:t>Section 6(a) of the Restricted Units Agreement is hereby amended to delete and replace the phrase “within thirty (30) days following” in its entirety with the phrase “within three (3) business days following.”</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This Amendment 2011-1 shall be and is hereby incorporated in and forms a part of the Restricted Units Agreement.</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All other terms and provisions of the Restricted Units Agreement shall remain unchanged except as specifically modified herein.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15" w:right="279" w:bottom="1440" w:gutter="0" w:footer="0" w:header="0"/>
        </w:sectPr>
      </w:pPr>
    </w:p>
    <w:bookmarkStart w:id="389" w:name="page390"/>
    <w:bookmarkEnd w:id="38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this Amendment 2011-1 as of the day and year first above written.</w:t>
      </w:r>
    </w:p>
    <w:p>
      <w:pPr>
        <w:spacing w:after="0" w:line="206" w:lineRule="exact"/>
        <w:rPr>
          <w:sz w:val="20"/>
          <w:szCs w:val="20"/>
          <w:color w:val="auto"/>
        </w:rPr>
      </w:pPr>
    </w:p>
    <w:p>
      <w:pPr>
        <w:ind w:left="6400"/>
        <w:spacing w:after="0"/>
        <w:rPr>
          <w:sz w:val="20"/>
          <w:szCs w:val="20"/>
          <w:color w:val="auto"/>
        </w:rPr>
      </w:pPr>
      <w:r>
        <w:rPr>
          <w:rFonts w:ascii="Arial" w:cs="Arial" w:eastAsia="Arial" w:hAnsi="Arial"/>
          <w:sz w:val="16"/>
          <w:szCs w:val="16"/>
          <w:b w:val="1"/>
          <w:bCs w:val="1"/>
          <w:color w:val="auto"/>
        </w:rPr>
        <w:t>INTEGRA LIFESCIENCES HOLDINGS CORPORATION</w:t>
      </w:r>
    </w:p>
    <w:p>
      <w:pPr>
        <w:spacing w:after="0" w:line="25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Richard E. Caruso</w:t>
      </w:r>
    </w:p>
    <w:p>
      <w:pPr>
        <w:spacing w:after="0" w:line="15"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Chairman of the Board</w:t>
      </w:r>
    </w:p>
    <w:p>
      <w:pPr>
        <w:spacing w:after="0" w:line="21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289560</wp:posOffset>
            </wp:positionV>
            <wp:extent cx="289877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Stuart M. Essig</w:t>
      </w:r>
    </w:p>
    <w:p>
      <w:pPr>
        <w:spacing w:after="0" w:line="15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700" w:top="334" w:right="299" w:bottom="1440" w:gutter="0" w:footer="0" w:header="0"/>
        </w:sectPr>
      </w:pPr>
    </w:p>
    <w:bookmarkStart w:id="390" w:name="page391"/>
    <w:bookmarkEnd w:id="390"/>
    <w:p>
      <w:pPr>
        <w:jc w:val="right"/>
        <w:spacing w:after="0"/>
        <w:rPr>
          <w:sz w:val="20"/>
          <w:szCs w:val="20"/>
          <w:color w:val="auto"/>
        </w:rPr>
      </w:pPr>
      <w:r>
        <w:rPr>
          <w:rFonts w:ascii="Arial" w:cs="Arial" w:eastAsia="Arial" w:hAnsi="Arial"/>
          <w:sz w:val="18"/>
          <w:szCs w:val="18"/>
          <w:b w:val="1"/>
          <w:bCs w:val="1"/>
          <w:color w:val="auto"/>
        </w:rPr>
        <w:t>Exhibit 10.5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2011-1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 STOCK / RESTRICTED UNITS AGREEMENT</w:t>
      </w:r>
    </w:p>
    <w:p>
      <w:pPr>
        <w:spacing w:after="0" w:line="16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THIS AMENDMENT 2011-1 TO CONTRACT STOCK / RESTRICTED UNITS AGREEMENT (this “</w:t>
      </w:r>
      <w:r>
        <w:rPr>
          <w:rFonts w:ascii="Arial" w:cs="Arial" w:eastAsia="Arial" w:hAnsi="Arial"/>
          <w:sz w:val="16"/>
          <w:szCs w:val="16"/>
          <w:u w:val="single" w:color="auto"/>
          <w:color w:val="auto"/>
        </w:rPr>
        <w:t>Amendment 2011-1</w:t>
      </w:r>
      <w:r>
        <w:rPr>
          <w:rFonts w:ascii="Arial" w:cs="Arial" w:eastAsia="Arial" w:hAnsi="Arial"/>
          <w:sz w:val="16"/>
          <w:szCs w:val="16"/>
          <w:color w:val="auto"/>
        </w:rPr>
        <w:t>”), is made as of May 17, 2011, by and between Integra LifeSciences Holdings Corporation,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Stuart M. Essig (“</w:t>
      </w:r>
      <w:r>
        <w:rPr>
          <w:rFonts w:ascii="Arial" w:cs="Arial" w:eastAsia="Arial" w:hAnsi="Arial"/>
          <w:sz w:val="16"/>
          <w:szCs w:val="16"/>
          <w:u w:val="single" w:color="auto"/>
          <w:color w:val="auto"/>
        </w:rPr>
        <w:t>Executive</w:t>
      </w:r>
      <w:r>
        <w:rPr>
          <w:rFonts w:ascii="Arial" w:cs="Arial" w:eastAsia="Arial" w:hAnsi="Arial"/>
          <w:sz w:val="16"/>
          <w:szCs w:val="16"/>
          <w:color w:val="auto"/>
        </w:rPr>
        <w:t>”). Capitalized terms used and not otherwise defined herein shall have the meanings ascribed to such terms in the Restricted Units Agreement (as defined below).</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WHEREAS, pursuant to that certain Contract Stock / Restricted Units Agreement, dated as of August 6, 2008, between the Company and Executive (the “</w:t>
      </w:r>
      <w:r>
        <w:rPr>
          <w:rFonts w:ascii="Arial" w:cs="Arial" w:eastAsia="Arial" w:hAnsi="Arial"/>
          <w:sz w:val="16"/>
          <w:szCs w:val="16"/>
          <w:u w:val="single" w:color="auto"/>
          <w:color w:val="auto"/>
        </w:rPr>
        <w:t>Restricted Units Agreement</w:t>
      </w:r>
      <w:r>
        <w:rPr>
          <w:rFonts w:ascii="Arial" w:cs="Arial" w:eastAsia="Arial" w:hAnsi="Arial"/>
          <w:sz w:val="16"/>
          <w:szCs w:val="16"/>
          <w:color w:val="auto"/>
        </w:rPr>
        <w:t>”), the Company granted the Executive 375,000 shares of contract stock in the form of restricted units (the “</w:t>
      </w:r>
      <w:r>
        <w:rPr>
          <w:rFonts w:ascii="Arial" w:cs="Arial" w:eastAsia="Arial" w:hAnsi="Arial"/>
          <w:sz w:val="16"/>
          <w:szCs w:val="16"/>
          <w:u w:val="single" w:color="auto"/>
          <w:color w:val="auto"/>
        </w:rPr>
        <w:t>Units</w:t>
      </w:r>
      <w:r>
        <w:rPr>
          <w:rFonts w:ascii="Arial" w:cs="Arial" w:eastAsia="Arial" w:hAnsi="Arial"/>
          <w:sz w:val="16"/>
          <w:szCs w:val="16"/>
          <w:color w:val="auto"/>
        </w:rPr>
        <w:t>”) representing the right to receive an equal number of shares of common stock of the Company, par value $.01 per share (“</w:t>
      </w:r>
      <w:r>
        <w:rPr>
          <w:rFonts w:ascii="Arial" w:cs="Arial" w:eastAsia="Arial" w:hAnsi="Arial"/>
          <w:sz w:val="16"/>
          <w:szCs w:val="16"/>
          <w:u w:val="single" w:color="auto"/>
          <w:color w:val="auto"/>
        </w:rPr>
        <w:t>Common Stock</w:t>
      </w:r>
      <w:r>
        <w:rPr>
          <w:rFonts w:ascii="Arial" w:cs="Arial" w:eastAsia="Arial" w:hAnsi="Arial"/>
          <w:sz w:val="16"/>
          <w:szCs w:val="16"/>
          <w:color w:val="auto"/>
        </w:rPr>
        <w:t>”), on the terms and conditions set forth in the Integra LifeSciences Holdings Corporation Second Amended and Restated 2003 Equity Incentive Plan and the Restricted Units Agreement;</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WHEREAS, Section 11 of the Restricted Units Agreement provides that the Restricted Units Agreement may be amended pursuant to a written agreement signed by the Company and the Executive; 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Company and the Executive desire to amend the Restricted Units Agreement as set forth herein.</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NOW THEREFORE, for good and valuable consideration, the receipt and adequacy of which are hereby acknowledged, the parties hereto hereby amend the Restricted Units Agreement, as follows:</w:t>
      </w:r>
    </w:p>
    <w:p>
      <w:pPr>
        <w:spacing w:after="0" w:line="132" w:lineRule="exact"/>
        <w:rPr>
          <w:sz w:val="20"/>
          <w:szCs w:val="20"/>
          <w:color w:val="auto"/>
        </w:rPr>
      </w:pPr>
    </w:p>
    <w:p>
      <w:pPr>
        <w:ind w:right="220" w:firstLine="464"/>
        <w:spacing w:after="0" w:line="268" w:lineRule="auto"/>
        <w:tabs>
          <w:tab w:leader="none" w:pos="632" w:val="left"/>
        </w:tabs>
        <w:numPr>
          <w:ilvl w:val="0"/>
          <w:numId w:val="414"/>
        </w:numPr>
        <w:rPr>
          <w:rFonts w:ascii="Arial" w:cs="Arial" w:eastAsia="Arial" w:hAnsi="Arial"/>
          <w:sz w:val="18"/>
          <w:szCs w:val="18"/>
          <w:color w:val="auto"/>
        </w:rPr>
      </w:pPr>
      <w:r>
        <w:rPr>
          <w:rFonts w:ascii="Arial" w:cs="Arial" w:eastAsia="Arial" w:hAnsi="Arial"/>
          <w:sz w:val="18"/>
          <w:szCs w:val="18"/>
          <w:color w:val="auto"/>
        </w:rPr>
        <w:t>Section 3 of the Restricted Units Agreement is hereby amended to delete and replace the phrase “within thirty (30) days following” in its entirety with the phrase “within three (3) business days following.”</w:t>
      </w:r>
    </w:p>
    <w:p>
      <w:pPr>
        <w:spacing w:after="0" w:line="131" w:lineRule="exact"/>
        <w:rPr>
          <w:rFonts w:ascii="Arial" w:cs="Arial" w:eastAsia="Arial" w:hAnsi="Arial"/>
          <w:sz w:val="18"/>
          <w:szCs w:val="18"/>
          <w:color w:val="auto"/>
        </w:rPr>
      </w:pPr>
    </w:p>
    <w:p>
      <w:pPr>
        <w:ind w:right="40" w:firstLine="464"/>
        <w:spacing w:after="0" w:line="268" w:lineRule="auto"/>
        <w:tabs>
          <w:tab w:leader="none" w:pos="632" w:val="left"/>
        </w:tabs>
        <w:numPr>
          <w:ilvl w:val="0"/>
          <w:numId w:val="414"/>
        </w:numPr>
        <w:rPr>
          <w:rFonts w:ascii="Arial" w:cs="Arial" w:eastAsia="Arial" w:hAnsi="Arial"/>
          <w:sz w:val="18"/>
          <w:szCs w:val="18"/>
          <w:color w:val="auto"/>
        </w:rPr>
      </w:pPr>
      <w:r>
        <w:rPr>
          <w:rFonts w:ascii="Arial" w:cs="Arial" w:eastAsia="Arial" w:hAnsi="Arial"/>
          <w:sz w:val="18"/>
          <w:szCs w:val="18"/>
          <w:color w:val="auto"/>
        </w:rPr>
        <w:t>Section 4(a) of the Restricted Units Agreement is hereby amended to delete and replace the phrase “within thirty (30) days following” in its entirety with the phrase “within three (3) business days following.”</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This Amendment 2011-1 shall be and is hereby incorporated in and forms a part of the Restricted Units Agreement.</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All other terms and provisions of the Restricted Units Agreement shall remain unchanged except as specifically modified herein.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1420"/>
          </w:cols>
          <w:pgMar w:left="240" w:top="125" w:right="239" w:bottom="1440" w:gutter="0" w:footer="0" w:header="0"/>
        </w:sectPr>
      </w:pPr>
    </w:p>
    <w:bookmarkStart w:id="391" w:name="page392"/>
    <w:bookmarkEnd w:id="39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this Amendment 2011-1 as of the day and year first above written.</w:t>
      </w:r>
    </w:p>
    <w:p>
      <w:pPr>
        <w:spacing w:after="0" w:line="206" w:lineRule="exact"/>
        <w:rPr>
          <w:sz w:val="20"/>
          <w:szCs w:val="20"/>
          <w:color w:val="auto"/>
        </w:rPr>
      </w:pPr>
    </w:p>
    <w:p>
      <w:pPr>
        <w:ind w:left="6400"/>
        <w:spacing w:after="0"/>
        <w:rPr>
          <w:sz w:val="20"/>
          <w:szCs w:val="20"/>
          <w:color w:val="auto"/>
        </w:rPr>
      </w:pPr>
      <w:r>
        <w:rPr>
          <w:rFonts w:ascii="Arial" w:cs="Arial" w:eastAsia="Arial" w:hAnsi="Arial"/>
          <w:sz w:val="16"/>
          <w:szCs w:val="16"/>
          <w:b w:val="1"/>
          <w:bCs w:val="1"/>
          <w:color w:val="auto"/>
        </w:rPr>
        <w:t>INTEGRA LIFESCIENCES HOLDINGS CORPORATION</w:t>
      </w:r>
    </w:p>
    <w:p>
      <w:pPr>
        <w:spacing w:after="0" w:line="25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Richard E. Caruso</w:t>
      </w:r>
    </w:p>
    <w:p>
      <w:pPr>
        <w:spacing w:after="0" w:line="15"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Chairman of the Board</w:t>
      </w:r>
    </w:p>
    <w:p>
      <w:pPr>
        <w:spacing w:after="0" w:line="21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289560</wp:posOffset>
            </wp:positionV>
            <wp:extent cx="289877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Stuart M. Essig</w:t>
      </w:r>
    </w:p>
    <w:p>
      <w:pPr>
        <w:spacing w:after="0" w:line="15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700" w:top="280" w:right="299" w:bottom="1440" w:gutter="0" w:footer="0" w:header="0"/>
        </w:sectPr>
      </w:pPr>
    </w:p>
    <w:bookmarkStart w:id="392" w:name="page393"/>
    <w:bookmarkEnd w:id="392"/>
    <w:p>
      <w:pPr>
        <w:jc w:val="right"/>
        <w:spacing w:after="0"/>
        <w:rPr>
          <w:sz w:val="20"/>
          <w:szCs w:val="20"/>
          <w:color w:val="auto"/>
        </w:rPr>
      </w:pPr>
      <w:r>
        <w:rPr>
          <w:rFonts w:ascii="Arial" w:cs="Arial" w:eastAsia="Arial" w:hAnsi="Arial"/>
          <w:sz w:val="18"/>
          <w:szCs w:val="18"/>
          <w:b w:val="1"/>
          <w:bCs w:val="1"/>
          <w:color w:val="auto"/>
        </w:rPr>
        <w:t>Exhibit 10.6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2011-1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 STOCK / RESTRICTED UNITS AGREEMENT</w:t>
      </w:r>
    </w:p>
    <w:p>
      <w:pPr>
        <w:spacing w:after="0" w:line="16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THIS AMENDMENT 2011-1 TO CONTRACT STOCK / RESTRICTED UNITS AGREEMENT (this “</w:t>
      </w:r>
      <w:r>
        <w:rPr>
          <w:rFonts w:ascii="Arial" w:cs="Arial" w:eastAsia="Arial" w:hAnsi="Arial"/>
          <w:sz w:val="16"/>
          <w:szCs w:val="16"/>
          <w:u w:val="single" w:color="auto"/>
          <w:color w:val="auto"/>
        </w:rPr>
        <w:t>Amendment 2011-1</w:t>
      </w:r>
      <w:r>
        <w:rPr>
          <w:rFonts w:ascii="Arial" w:cs="Arial" w:eastAsia="Arial" w:hAnsi="Arial"/>
          <w:sz w:val="16"/>
          <w:szCs w:val="16"/>
          <w:color w:val="auto"/>
        </w:rPr>
        <w:t>”), is made as of May 17, 2011, by and between Integra LifeSciences Holdings Corporation,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Stuart M. Essig (“</w:t>
      </w:r>
      <w:r>
        <w:rPr>
          <w:rFonts w:ascii="Arial" w:cs="Arial" w:eastAsia="Arial" w:hAnsi="Arial"/>
          <w:sz w:val="16"/>
          <w:szCs w:val="16"/>
          <w:u w:val="single" w:color="auto"/>
          <w:color w:val="auto"/>
        </w:rPr>
        <w:t>Executive</w:t>
      </w:r>
      <w:r>
        <w:rPr>
          <w:rFonts w:ascii="Arial" w:cs="Arial" w:eastAsia="Arial" w:hAnsi="Arial"/>
          <w:sz w:val="16"/>
          <w:szCs w:val="16"/>
          <w:color w:val="auto"/>
        </w:rPr>
        <w:t>”). Capitalized terms used and not otherwise defined herein shall have the meanings ascribed to such terms in the Restricted Units Agreement (as defined below).</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pursuant to that certain Contract Stock / Restricted Units Agreement, dated as of July 27, 2004, between the Company and Executive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Units Agreement</w:t>
      </w:r>
      <w:r>
        <w:rPr>
          <w:rFonts w:ascii="Arial" w:cs="Arial" w:eastAsia="Arial" w:hAnsi="Arial"/>
          <w:sz w:val="16"/>
          <w:szCs w:val="16"/>
          <w:color w:val="auto"/>
        </w:rPr>
        <w:t>”), the Company granted the Executive 750,000 shares of contract stock in the form of restricted units (the “</w:t>
      </w:r>
      <w:r>
        <w:rPr>
          <w:rFonts w:ascii="Arial" w:cs="Arial" w:eastAsia="Arial" w:hAnsi="Arial"/>
          <w:sz w:val="16"/>
          <w:szCs w:val="16"/>
          <w:u w:val="single" w:color="auto"/>
          <w:color w:val="auto"/>
        </w:rPr>
        <w:t>Units</w:t>
      </w:r>
      <w:r>
        <w:rPr>
          <w:rFonts w:ascii="Arial" w:cs="Arial" w:eastAsia="Arial" w:hAnsi="Arial"/>
          <w:sz w:val="16"/>
          <w:szCs w:val="16"/>
          <w:color w:val="auto"/>
        </w:rPr>
        <w:t>”) representing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right to receive an equal number of shares of common stock of the Company, par value $.01 per share (“</w:t>
      </w:r>
      <w:r>
        <w:rPr>
          <w:rFonts w:ascii="Arial" w:cs="Arial" w:eastAsia="Arial" w:hAnsi="Arial"/>
          <w:sz w:val="15"/>
          <w:szCs w:val="15"/>
          <w:u w:val="single" w:color="auto"/>
          <w:color w:val="auto"/>
        </w:rPr>
        <w:t>Common Stock</w:t>
      </w:r>
      <w:r>
        <w:rPr>
          <w:rFonts w:ascii="Arial" w:cs="Arial" w:eastAsia="Arial" w:hAnsi="Arial"/>
          <w:sz w:val="15"/>
          <w:szCs w:val="15"/>
          <w:color w:val="auto"/>
        </w:rPr>
        <w:t>”), on the terms and conditions set forth in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Integra LifeSciences Holdings Corporation Second Amended and Restated 2003 Equity Incentive Plan and the Restricted Units Agreement;</w:t>
      </w:r>
    </w:p>
    <w:p>
      <w:pPr>
        <w:spacing w:after="0" w:line="16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WHEREAS, on October 30, 2006, the Company and Executive entered into Amendment 2006-1 to the Restricted Units Agreement, and on March 6, 2008, the Company and Executive entered into Amendment 2008-1 to the Restricted Units Agreement;</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WHEREAS, Section 11 of the Restricted Units Agreement provides that the Restricted Units Agreement may be amended pursuant to a written agreement signed by the Company and the Executive; 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Company and the Executive desire to amend the Restricted Units Agreement as set forth herein.</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NOW THEREFORE, for good and valuable consideration, the receipt and adequacy of which are hereby acknowledged, the parties hereto hereby amend the Restricted Units Agreement, as follows:</w:t>
      </w:r>
    </w:p>
    <w:p>
      <w:pPr>
        <w:spacing w:after="0" w:line="132" w:lineRule="exact"/>
        <w:rPr>
          <w:sz w:val="20"/>
          <w:szCs w:val="20"/>
          <w:color w:val="auto"/>
        </w:rPr>
      </w:pPr>
    </w:p>
    <w:p>
      <w:pPr>
        <w:ind w:right="40" w:firstLine="464"/>
        <w:spacing w:after="0" w:line="268" w:lineRule="auto"/>
        <w:tabs>
          <w:tab w:leader="none" w:pos="632" w:val="left"/>
        </w:tabs>
        <w:numPr>
          <w:ilvl w:val="0"/>
          <w:numId w:val="415"/>
        </w:numPr>
        <w:rPr>
          <w:rFonts w:ascii="Arial" w:cs="Arial" w:eastAsia="Arial" w:hAnsi="Arial"/>
          <w:sz w:val="18"/>
          <w:szCs w:val="18"/>
          <w:color w:val="auto"/>
        </w:rPr>
      </w:pPr>
      <w:r>
        <w:rPr>
          <w:rFonts w:ascii="Arial" w:cs="Arial" w:eastAsia="Arial" w:hAnsi="Arial"/>
          <w:sz w:val="18"/>
          <w:szCs w:val="18"/>
          <w:color w:val="auto"/>
        </w:rPr>
        <w:t>Section 4(a) of the Restricted Units Agreement is hereby amended to delete and replace the phrase “within thirty (30) days following” in its entirety with the phrase “within three (3) business days following.”</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This Amendment 2011-1 shall be and is hereby incorporated in and forms a part of the Restricted Units Agreement.</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All other terms and provisions of the Restricted Units Agreement shall remain unchanged except as specifically modified herein.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1420"/>
          </w:cols>
          <w:pgMar w:left="240" w:top="125" w:right="239" w:bottom="1440" w:gutter="0" w:footer="0" w:header="0"/>
        </w:sectPr>
      </w:pPr>
    </w:p>
    <w:bookmarkStart w:id="393" w:name="page394"/>
    <w:bookmarkEnd w:id="39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this Amendment 2011-1 as of the day and year first above written.</w:t>
      </w:r>
    </w:p>
    <w:p>
      <w:pPr>
        <w:spacing w:after="0" w:line="206" w:lineRule="exact"/>
        <w:rPr>
          <w:sz w:val="20"/>
          <w:szCs w:val="20"/>
          <w:color w:val="auto"/>
        </w:rPr>
      </w:pPr>
    </w:p>
    <w:p>
      <w:pPr>
        <w:ind w:left="6400"/>
        <w:spacing w:after="0"/>
        <w:rPr>
          <w:sz w:val="20"/>
          <w:szCs w:val="20"/>
          <w:color w:val="auto"/>
        </w:rPr>
      </w:pPr>
      <w:r>
        <w:rPr>
          <w:rFonts w:ascii="Arial" w:cs="Arial" w:eastAsia="Arial" w:hAnsi="Arial"/>
          <w:sz w:val="16"/>
          <w:szCs w:val="16"/>
          <w:b w:val="1"/>
          <w:bCs w:val="1"/>
          <w:color w:val="auto"/>
        </w:rPr>
        <w:t>INTEGRA LIFESCIENCES HOLDINGS CORPORATION</w:t>
      </w:r>
    </w:p>
    <w:p>
      <w:pPr>
        <w:spacing w:after="0" w:line="25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Richard E. Caruso</w:t>
      </w:r>
    </w:p>
    <w:p>
      <w:pPr>
        <w:spacing w:after="0" w:line="15"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Chairman of the Board</w:t>
      </w:r>
    </w:p>
    <w:p>
      <w:pPr>
        <w:spacing w:after="0" w:line="21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289560</wp:posOffset>
            </wp:positionV>
            <wp:extent cx="289877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Stuart M. Essig</w:t>
      </w:r>
    </w:p>
    <w:p>
      <w:pPr>
        <w:spacing w:after="0" w:line="15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700" w:top="279" w:right="299" w:bottom="1440" w:gutter="0" w:footer="0" w:header="0"/>
        </w:sectPr>
      </w:pPr>
    </w:p>
    <w:bookmarkStart w:id="394" w:name="page395"/>
    <w:bookmarkEnd w:id="39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Stuart M. Essig, certify that:</w:t>
      </w:r>
    </w:p>
    <w:p>
      <w:pPr>
        <w:spacing w:after="0" w:line="90" w:lineRule="exact"/>
        <w:rPr>
          <w:sz w:val="20"/>
          <w:szCs w:val="20"/>
          <w:color w:val="auto"/>
        </w:rPr>
      </w:pPr>
    </w:p>
    <w:p>
      <w:pPr>
        <w:ind w:left="460" w:hanging="452"/>
        <w:spacing w:after="0"/>
        <w:tabs>
          <w:tab w:leader="none" w:pos="46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4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 a-15(e): and 15d-15(e)) and internal control over financial reporting (as defined in Exchange Act Rules 13a-15(f) and 15d-15(f)) for the registrant and we have:</w:t>
      </w:r>
    </w:p>
    <w:p>
      <w:pPr>
        <w:spacing w:after="0" w:line="59"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4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80" w:hanging="446"/>
        <w:spacing w:after="0" w:line="259" w:lineRule="auto"/>
        <w:tabs>
          <w:tab w:leader="none" w:pos="900" w:val="left"/>
        </w:tabs>
        <w:numPr>
          <w:ilvl w:val="1"/>
          <w:numId w:val="4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1"/>
          <w:numId w:val="4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80" w:hanging="446"/>
        <w:spacing w:after="0" w:line="259" w:lineRule="auto"/>
        <w:tabs>
          <w:tab w:leader="none" w:pos="900" w:val="left"/>
        </w:tabs>
        <w:numPr>
          <w:ilvl w:val="1"/>
          <w:numId w:val="4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4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4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4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July 29, 2011</w:t>
      </w:r>
      <w:r>
        <w:rPr>
          <w:sz w:val="20"/>
          <w:szCs w:val="20"/>
          <w:color w:val="auto"/>
        </w:rPr>
        <w:tab/>
      </w:r>
      <w:r>
        <w:rPr>
          <w:rFonts w:ascii="Arial" w:cs="Arial" w:eastAsia="Arial" w:hAnsi="Arial"/>
          <w:sz w:val="16"/>
          <w:szCs w:val="16"/>
          <w:color w:val="auto"/>
        </w:rPr>
        <w:t>/s/ Stuart M. Essig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Stuart M. Essig</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395" w:name="page396"/>
    <w:bookmarkEnd w:id="39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John B. Henneman, III, certify that:</w:t>
      </w:r>
    </w:p>
    <w:p>
      <w:pPr>
        <w:spacing w:after="0" w:line="90" w:lineRule="exact"/>
        <w:rPr>
          <w:sz w:val="20"/>
          <w:szCs w:val="20"/>
          <w:color w:val="auto"/>
        </w:rPr>
      </w:pPr>
    </w:p>
    <w:p>
      <w:pPr>
        <w:ind w:left="460" w:hanging="452"/>
        <w:spacing w:after="0"/>
        <w:tabs>
          <w:tab w:leader="none" w:pos="46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41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 a-15(e): and 15d-15(e)) and internal control over financial reporting (as defined in Exchange Act Rules 13a-15(f) and 15d-15(f)) for the registrant and we have:</w:t>
      </w:r>
    </w:p>
    <w:p>
      <w:pPr>
        <w:spacing w:after="0" w:line="59"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4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80" w:hanging="446"/>
        <w:spacing w:after="0" w:line="259" w:lineRule="auto"/>
        <w:tabs>
          <w:tab w:leader="none" w:pos="900" w:val="left"/>
        </w:tabs>
        <w:numPr>
          <w:ilvl w:val="1"/>
          <w:numId w:val="4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1"/>
          <w:numId w:val="4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80" w:hanging="446"/>
        <w:spacing w:after="0" w:line="259" w:lineRule="auto"/>
        <w:tabs>
          <w:tab w:leader="none" w:pos="900" w:val="left"/>
        </w:tabs>
        <w:numPr>
          <w:ilvl w:val="1"/>
          <w:numId w:val="4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4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4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4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July 29, 2011</w:t>
      </w:r>
      <w:r>
        <w:rPr>
          <w:sz w:val="20"/>
          <w:szCs w:val="20"/>
          <w:color w:val="auto"/>
        </w:rPr>
        <w:tab/>
      </w:r>
      <w:r>
        <w:rPr>
          <w:rFonts w:ascii="Arial" w:cs="Arial" w:eastAsia="Arial" w:hAnsi="Arial"/>
          <w:sz w:val="16"/>
          <w:szCs w:val="16"/>
          <w:color w:val="auto"/>
        </w:rPr>
        <w:t>/s/ John B. Henneman,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John B. Henneman, III</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Executive Vice President, Finance and Administration,</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and Chief Financial Officer</w:t>
      </w:r>
    </w:p>
    <w:p>
      <w:pPr>
        <w:sectPr>
          <w:pgSz w:w="11900" w:h="16838" w:orient="portrait"/>
          <w:cols w:equalWidth="0" w:num="1">
            <w:col w:w="11420"/>
          </w:cols>
          <w:pgMar w:left="240" w:top="125" w:right="239" w:bottom="1440" w:gutter="0" w:footer="0" w:header="0"/>
        </w:sectPr>
      </w:pPr>
    </w:p>
    <w:bookmarkStart w:id="396" w:name="page397"/>
    <w:bookmarkEnd w:id="39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I, Stuart M. Essig, Chief Executive Officer and Director of Integra LifeSciences Holdings Corporation (the “Company”), hereby certify that, to my knowledge:</w:t>
      </w:r>
    </w:p>
    <w:p>
      <w:pPr>
        <w:spacing w:after="0" w:line="113" w:lineRule="exact"/>
        <w:rPr>
          <w:sz w:val="20"/>
          <w:szCs w:val="20"/>
          <w:color w:val="auto"/>
        </w:rPr>
      </w:pPr>
    </w:p>
    <w:p>
      <w:pPr>
        <w:ind w:left="460" w:right="900" w:hanging="452"/>
        <w:spacing w:after="0" w:line="268" w:lineRule="auto"/>
        <w:tabs>
          <w:tab w:leader="none" w:pos="46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2011 (the “Report”) fully complies with the requirement of Section 13(a) or Section 15(d), as applicable, of the Securities Exchange Act of 1934, as amended; and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July 29, 2011</w:t>
      </w:r>
      <w:r>
        <w:rPr>
          <w:sz w:val="20"/>
          <w:szCs w:val="20"/>
          <w:color w:val="auto"/>
        </w:rPr>
        <w:tab/>
      </w:r>
      <w:r>
        <w:rPr>
          <w:rFonts w:ascii="Arial" w:cs="Arial" w:eastAsia="Arial" w:hAnsi="Arial"/>
          <w:sz w:val="16"/>
          <w:szCs w:val="16"/>
          <w:color w:val="auto"/>
        </w:rPr>
        <w:t>/s/ Stuart M. Essig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Stuart M. Essig</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397" w:name="page398"/>
    <w:bookmarkEnd w:id="397"/>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6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 John B. Henneman, III, Executive Vice President Finance and Administration and Chief Financial Officer of Integra LifeSciences Holdings Corporation (the “Company”), hereby certify that, to my knowledge:</w:t>
      </w:r>
    </w:p>
    <w:p>
      <w:pPr>
        <w:spacing w:after="0" w:line="51" w:lineRule="exact"/>
        <w:rPr>
          <w:sz w:val="20"/>
          <w:szCs w:val="20"/>
          <w:color w:val="auto"/>
        </w:rPr>
      </w:pPr>
    </w:p>
    <w:p>
      <w:pPr>
        <w:ind w:left="460" w:right="900" w:hanging="452"/>
        <w:spacing w:after="0" w:line="268" w:lineRule="auto"/>
        <w:tabs>
          <w:tab w:leader="none" w:pos="46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2011 (the “Report”) fully complies with the requirement of Section 13(a) or Section 15(d), as applicable, of the Securities Exchange Act of 1934, as amended; and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July 29, 2011</w:t>
      </w:r>
      <w:r>
        <w:rPr>
          <w:sz w:val="20"/>
          <w:szCs w:val="20"/>
          <w:color w:val="auto"/>
        </w:rPr>
        <w:tab/>
      </w:r>
      <w:r>
        <w:rPr>
          <w:rFonts w:ascii="Arial" w:cs="Arial" w:eastAsia="Arial" w:hAnsi="Arial"/>
          <w:sz w:val="16"/>
          <w:szCs w:val="16"/>
          <w:color w:val="auto"/>
        </w:rPr>
        <w:t>/s/ John B. Henneman,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John B. Henneman, III</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Executive Vice President, Finance and Administration,</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and 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B71329"/>
    <w:multiLevelType w:val="hybridMultilevel"/>
    <w:lvl w:ilvl="0">
      <w:lvlJc w:val="left"/>
      <w:lvlText w:val="☒"/>
      <w:numFmt w:val="bullet"/>
      <w:start w:val="1"/>
    </w:lvl>
  </w:abstractNum>
  <w:abstractNum w:abstractNumId="1">
    <w:nsid w:val="3DA97044"/>
    <w:multiLevelType w:val="hybridMultilevel"/>
    <w:lvl w:ilvl="0">
      <w:lvlJc w:val="left"/>
      <w:lvlText w:val="☐"/>
      <w:numFmt w:val="bullet"/>
      <w:start w:val="1"/>
    </w:lvl>
  </w:abstractNum>
  <w:abstractNum w:abstractNumId="2">
    <w:nsid w:val="1CDCE2DE"/>
    <w:multiLevelType w:val="hybridMultilevel"/>
    <w:lvl w:ilvl="0">
      <w:lvlJc w:val="left"/>
      <w:lvlText w:val="%1."/>
      <w:numFmt w:val="decimal"/>
      <w:start w:val="1"/>
    </w:lvl>
  </w:abstractNum>
  <w:abstractNum w:abstractNumId="3">
    <w:nsid w:val="69D3947C"/>
    <w:multiLevelType w:val="hybridMultilevel"/>
    <w:lvl w:ilvl="0">
      <w:lvlJc w:val="left"/>
      <w:lvlText w:val="%1."/>
      <w:numFmt w:val="decimal"/>
      <w:start w:val="2"/>
    </w:lvl>
  </w:abstractNum>
  <w:abstractNum w:abstractNumId="4">
    <w:nsid w:val="2539DFA5"/>
    <w:multiLevelType w:val="hybridMultilevel"/>
    <w:lvl w:ilvl="0">
      <w:lvlJc w:val="left"/>
      <w:lvlText w:val="*"/>
      <w:numFmt w:val="bullet"/>
      <w:start w:val="1"/>
    </w:lvl>
  </w:abstractNum>
  <w:abstractNum w:abstractNumId="5">
    <w:nsid w:val="2DB88089"/>
    <w:multiLevelType w:val="hybridMultilevel"/>
    <w:lvl w:ilvl="0">
      <w:lvlJc w:val="left"/>
      <w:lvlText w:val="(%1)"/>
      <w:numFmt w:val="lowerLetter"/>
      <w:start w:val="1"/>
    </w:lvl>
  </w:abstractNum>
  <w:abstractNum w:abstractNumId="6">
    <w:nsid w:val="706B674E"/>
    <w:multiLevelType w:val="hybridMultilevel"/>
    <w:lvl w:ilvl="0">
      <w:lvlJc w:val="left"/>
      <w:lvlText w:val="%1."/>
      <w:numFmt w:val="decimal"/>
      <w:start w:val="6"/>
    </w:lvl>
  </w:abstractNum>
  <w:abstractNum w:abstractNumId="7">
    <w:nsid w:val="2C106A57"/>
    <w:multiLevelType w:val="hybridMultilevel"/>
    <w:lvl w:ilvl="0">
      <w:lvlJc w:val="left"/>
      <w:lvlText w:val="(%1)"/>
      <w:numFmt w:val="lowerLetter"/>
      <w:start w:val="1"/>
    </w:lvl>
  </w:abstractNum>
  <w:abstractNum w:abstractNumId="8">
    <w:nsid w:val="684EED59"/>
    <w:multiLevelType w:val="hybridMultilevel"/>
    <w:lvl w:ilvl="0">
      <w:lvlJc w:val="left"/>
      <w:lvlText w:val="%1."/>
      <w:numFmt w:val="decimal"/>
      <w:start w:val="12"/>
    </w:lvl>
  </w:abstractNum>
  <w:abstractNum w:abstractNumId="9">
    <w:nsid w:val="545EE5D3"/>
    <w:multiLevelType w:val="hybridMultilevel"/>
    <w:lvl w:ilvl="0">
      <w:lvlJc w:val="left"/>
      <w:lvlText w:val="•"/>
      <w:numFmt w:val="bullet"/>
      <w:start w:val="1"/>
    </w:lvl>
  </w:abstractNum>
  <w:abstractNum w:abstractNumId="10">
    <w:nsid w:val="4A66051"/>
    <w:multiLevelType w:val="hybridMultilevel"/>
    <w:lvl w:ilvl="0">
      <w:lvlJc w:val="left"/>
      <w:lvlText w:val="•"/>
      <w:numFmt w:val="bullet"/>
      <w:start w:val="1"/>
    </w:lvl>
  </w:abstractNum>
  <w:abstractNum w:abstractNumId="11">
    <w:nsid w:val="20F4BDAD"/>
    <w:multiLevelType w:val="hybridMultilevel"/>
    <w:lvl w:ilvl="0">
      <w:lvlJc w:val="left"/>
      <w:lvlText w:val="(%1)"/>
      <w:numFmt w:val="lowerRoman"/>
      <w:start w:val="1"/>
    </w:lvl>
  </w:abstractNum>
  <w:abstractNum w:abstractNumId="12">
    <w:nsid w:val="639DEFAC"/>
    <w:multiLevelType w:val="hybridMultilevel"/>
    <w:lvl w:ilvl="0">
      <w:lvlJc w:val="left"/>
      <w:lvlText w:val="(%1)"/>
      <w:numFmt w:val="lowerLetter"/>
      <w:start w:val="1"/>
    </w:lvl>
  </w:abstractNum>
  <w:abstractNum w:abstractNumId="13">
    <w:nsid w:val="501F9786"/>
    <w:multiLevelType w:val="hybridMultilevel"/>
    <w:lvl w:ilvl="0">
      <w:lvlJc w:val="left"/>
      <w:lvlText w:val="(%1)"/>
      <w:numFmt w:val="decimal"/>
      <w:start w:val="1"/>
    </w:lvl>
  </w:abstractNum>
  <w:abstractNum w:abstractNumId="14">
    <w:nsid w:val="6B057295"/>
    <w:multiLevelType w:val="hybridMultilevel"/>
    <w:lvl w:ilvl="0">
      <w:lvlJc w:val="left"/>
      <w:lvlText w:val="•"/>
      <w:numFmt w:val="bullet"/>
      <w:start w:val="1"/>
    </w:lvl>
  </w:abstractNum>
  <w:abstractNum w:abstractNumId="15">
    <w:nsid w:val="2771AC80"/>
    <w:multiLevelType w:val="hybridMultilevel"/>
    <w:lvl w:ilvl="0">
      <w:lvlJc w:val="left"/>
      <w:lvlText w:val="†"/>
      <w:numFmt w:val="bullet"/>
      <w:start w:val="1"/>
    </w:lvl>
  </w:abstractNum>
  <w:abstractNum w:abstractNumId="16">
    <w:nsid w:val="1C4A08EC"/>
    <w:multiLevelType w:val="hybridMultilevel"/>
    <w:lvl w:ilvl="0">
      <w:lvlJc w:val="left"/>
      <w:lvlText w:val="†"/>
      <w:numFmt w:val="bullet"/>
      <w:start w:val="1"/>
    </w:lvl>
  </w:abstractNum>
  <w:abstractNum w:abstractNumId="17">
    <w:nsid w:val="1958BD17"/>
    <w:multiLevelType w:val="hybridMultilevel"/>
    <w:lvl w:ilvl="0">
      <w:lvlJc w:val="left"/>
      <w:lvlText w:val="%1"/>
      <w:numFmt w:val="lowerLetter"/>
      <w:start w:val="1"/>
    </w:lvl>
    <w:lvl w:ilvl="1">
      <w:lvlJc w:val="left"/>
      <w:lvlText w:val="(%2)"/>
      <w:numFmt w:val="lowerLetter"/>
      <w:start w:val="1"/>
    </w:lvl>
  </w:abstractNum>
  <w:abstractNum w:abstractNumId="18">
    <w:nsid w:val="4E647FE4"/>
    <w:multiLevelType w:val="hybridMultilevel"/>
    <w:lvl w:ilvl="0">
      <w:lvlJc w:val="left"/>
      <w:lvlText w:val="(%1)"/>
      <w:numFmt w:val="lowerLetter"/>
      <w:start w:val="9"/>
    </w:lvl>
    <w:lvl w:ilvl="1">
      <w:lvlJc w:val="left"/>
      <w:lvlText w:val="(%2)"/>
      <w:numFmt w:val="lowerLetter"/>
      <w:start w:val="4"/>
    </w:lvl>
  </w:abstractNum>
  <w:abstractNum w:abstractNumId="19">
    <w:nsid w:val="E0BB885"/>
    <w:multiLevelType w:val="hybridMultilevel"/>
    <w:lvl w:ilvl="0">
      <w:lvlJc w:val="left"/>
      <w:lvlText w:val="(%1)"/>
      <w:numFmt w:val="lowerLetter"/>
      <w:start w:val="1"/>
    </w:lvl>
  </w:abstractNum>
  <w:abstractNum w:abstractNumId="20">
    <w:nsid w:val="565976F1"/>
    <w:multiLevelType w:val="hybridMultilevel"/>
    <w:lvl w:ilvl="0">
      <w:lvlJc w:val="left"/>
      <w:lvlText w:val="(%1)"/>
      <w:numFmt w:val="lowerLetter"/>
      <w:start w:val="2"/>
    </w:lvl>
  </w:abstractNum>
  <w:abstractNum w:abstractNumId="21">
    <w:nsid w:val="64212B8C"/>
    <w:multiLevelType w:val="hybridMultilevel"/>
    <w:lvl w:ilvl="0">
      <w:lvlJc w:val="left"/>
      <w:lvlText w:val="(%1)"/>
      <w:numFmt w:val="lowerLetter"/>
      <w:start w:val="1"/>
    </w:lvl>
  </w:abstractNum>
  <w:abstractNum w:abstractNumId="22">
    <w:nsid w:val="5C17530C"/>
    <w:multiLevelType w:val="hybridMultilevel"/>
    <w:lvl w:ilvl="0">
      <w:lvlJc w:val="left"/>
      <w:lvlText w:val="(%1)"/>
      <w:numFmt w:val="lowerLetter"/>
      <w:start w:val="1"/>
    </w:lvl>
  </w:abstractNum>
  <w:abstractNum w:abstractNumId="23">
    <w:nsid w:val="19A52566"/>
    <w:multiLevelType w:val="hybridMultilevel"/>
    <w:lvl w:ilvl="0">
      <w:lvlJc w:val="left"/>
      <w:lvlText w:val="(%1)"/>
      <w:numFmt w:val="lowerLetter"/>
      <w:start w:val="25"/>
    </w:lvl>
  </w:abstractNum>
  <w:abstractNum w:abstractNumId="24">
    <w:nsid w:val="335A1DF1"/>
    <w:multiLevelType w:val="hybridMultilevel"/>
    <w:lvl w:ilvl="0">
      <w:lvlJc w:val="left"/>
      <w:lvlText w:val="(%1)"/>
      <w:numFmt w:val="lowerRoman"/>
      <w:start w:val="1"/>
    </w:lvl>
  </w:abstractNum>
  <w:abstractNum w:abstractNumId="25">
    <w:nsid w:val="28677B7C"/>
    <w:multiLevelType w:val="hybridMultilevel"/>
    <w:lvl w:ilvl="0">
      <w:lvlJc w:val="left"/>
      <w:lvlText w:val="(%1)"/>
      <w:numFmt w:val="lowerLetter"/>
      <w:start w:val="2"/>
    </w:lvl>
  </w:abstractNum>
  <w:abstractNum w:abstractNumId="26">
    <w:nsid w:val="378D97C0"/>
    <w:multiLevelType w:val="hybridMultilevel"/>
    <w:lvl w:ilvl="0">
      <w:lvlJc w:val="left"/>
      <w:lvlText w:val="(%1)"/>
      <w:numFmt w:val="lowerLetter"/>
      <w:start w:val="5"/>
    </w:lvl>
  </w:abstractNum>
  <w:abstractNum w:abstractNumId="27">
    <w:nsid w:val="1D91467C"/>
    <w:multiLevelType w:val="hybridMultilevel"/>
    <w:lvl w:ilvl="0">
      <w:lvlJc w:val="left"/>
      <w:lvlText w:val="(%1)"/>
      <w:numFmt w:val="lowerLetter"/>
      <w:start w:val="1"/>
    </w:lvl>
  </w:abstractNum>
  <w:abstractNum w:abstractNumId="28">
    <w:nsid w:val="316032BB"/>
    <w:multiLevelType w:val="hybridMultilevel"/>
    <w:lvl w:ilvl="0">
      <w:lvlJc w:val="left"/>
      <w:lvlText w:val="(%1)"/>
      <w:numFmt w:val="lowerLetter"/>
      <w:start w:val="2"/>
    </w:lvl>
  </w:abstractNum>
  <w:abstractNum w:abstractNumId="29">
    <w:nsid w:val="44344C22"/>
    <w:multiLevelType w:val="hybridMultilevel"/>
    <w:lvl w:ilvl="0">
      <w:lvlJc w:val="left"/>
      <w:lvlText w:val="(%1)"/>
      <w:numFmt w:val="lowerLetter"/>
      <w:start w:val="1"/>
    </w:lvl>
  </w:abstractNum>
  <w:abstractNum w:abstractNumId="30">
    <w:nsid w:val="13CDFCFC"/>
    <w:multiLevelType w:val="hybridMultilevel"/>
    <w:lvl w:ilvl="0">
      <w:lvlJc w:val="left"/>
      <w:lvlText w:val="(%1)"/>
      <w:numFmt w:val="lowerLetter"/>
      <w:start w:val="8"/>
    </w:lvl>
  </w:abstractNum>
  <w:abstractNum w:abstractNumId="31">
    <w:nsid w:val="471745E4"/>
    <w:multiLevelType w:val="hybridMultilevel"/>
    <w:lvl w:ilvl="0">
      <w:lvlJc w:val="left"/>
      <w:lvlText w:val="(%1)"/>
      <w:numFmt w:val="lowerLetter"/>
      <w:start w:val="10"/>
    </w:lvl>
  </w:abstractNum>
  <w:abstractNum w:abstractNumId="32">
    <w:nsid w:val="1DDBC66"/>
    <w:multiLevelType w:val="hybridMultilevel"/>
    <w:lvl w:ilvl="0">
      <w:lvlJc w:val="left"/>
      <w:lvlText w:val="(%1)"/>
      <w:numFmt w:val="lowerLetter"/>
      <w:start w:val="11"/>
    </w:lvl>
  </w:abstractNum>
  <w:abstractNum w:abstractNumId="33">
    <w:nsid w:val="30AADFDA"/>
    <w:multiLevelType w:val="hybridMultilevel"/>
    <w:lvl w:ilvl="0">
      <w:lvlJc w:val="left"/>
      <w:lvlText w:val="(%1)"/>
      <w:numFmt w:val="lowerLetter"/>
      <w:start w:val="13"/>
    </w:lvl>
  </w:abstractNum>
  <w:abstractNum w:abstractNumId="34">
    <w:nsid w:val="30EADA61"/>
    <w:multiLevelType w:val="hybridMultilevel"/>
    <w:lvl w:ilvl="0">
      <w:lvlJc w:val="left"/>
      <w:lvlText w:val="(%1)"/>
      <w:numFmt w:val="lowerLetter"/>
      <w:start w:val="1"/>
    </w:lvl>
  </w:abstractNum>
  <w:abstractNum w:abstractNumId="35">
    <w:nsid w:val="27179C0B"/>
    <w:multiLevelType w:val="hybridMultilevel"/>
    <w:lvl w:ilvl="0">
      <w:lvlJc w:val="left"/>
      <w:lvlText w:val="(%1)"/>
      <w:numFmt w:val="lowerLetter"/>
      <w:start w:val="2"/>
    </w:lvl>
  </w:abstractNum>
  <w:abstractNum w:abstractNumId="36">
    <w:nsid w:val="5E636063"/>
    <w:multiLevelType w:val="hybridMultilevel"/>
    <w:lvl w:ilvl="0">
      <w:lvlJc w:val="left"/>
      <w:lvlText w:val="(%1)"/>
      <w:numFmt w:val="lowerLetter"/>
      <w:start w:val="9"/>
    </w:lvl>
  </w:abstractNum>
  <w:abstractNum w:abstractNumId="37">
    <w:nsid w:val="215641AF"/>
    <w:multiLevelType w:val="hybridMultilevel"/>
    <w:lvl w:ilvl="0">
      <w:lvlJc w:val="left"/>
      <w:lvlText w:val="(%1)"/>
      <w:numFmt w:val="decimal"/>
      <w:start w:val="12"/>
    </w:lvl>
  </w:abstractNum>
  <w:abstractNum w:abstractNumId="38">
    <w:nsid w:val="53280662"/>
    <w:multiLevelType w:val="hybridMultilevel"/>
    <w:lvl w:ilvl="0">
      <w:lvlJc w:val="left"/>
      <w:lvlText w:val="(%1)"/>
      <w:numFmt w:val="lowerLetter"/>
      <w:start w:val="2"/>
    </w:lvl>
  </w:abstractNum>
  <w:abstractNum w:abstractNumId="39">
    <w:nsid w:val="46B24DBC"/>
    <w:multiLevelType w:val="hybridMultilevel"/>
    <w:lvl w:ilvl="0">
      <w:lvlJc w:val="left"/>
      <w:lvlText w:val="(%1)"/>
      <w:numFmt w:val="lowerLetter"/>
      <w:start w:val="1"/>
    </w:lvl>
  </w:abstractNum>
  <w:abstractNum w:abstractNumId="40">
    <w:nsid w:val="75B52783"/>
    <w:multiLevelType w:val="hybridMultilevel"/>
    <w:lvl w:ilvl="0">
      <w:lvlJc w:val="left"/>
      <w:lvlText w:val="(%1)"/>
      <w:numFmt w:val="lowerLetter"/>
      <w:start w:val="2"/>
    </w:lvl>
  </w:abstractNum>
  <w:abstractNum w:abstractNumId="41">
    <w:nsid w:val="57CE66B4"/>
    <w:multiLevelType w:val="hybridMultilevel"/>
    <w:lvl w:ilvl="0">
      <w:lvlJc w:val="left"/>
      <w:lvlText w:val="%1"/>
      <w:numFmt w:val="lowerLetter"/>
      <w:start w:val="1"/>
    </w:lvl>
    <w:lvl w:ilvl="1">
      <w:lvlJc w:val="left"/>
      <w:lvlText w:val="(%2)"/>
      <w:numFmt w:val="lowerLetter"/>
      <w:start w:val="2"/>
    </w:lvl>
  </w:abstractNum>
  <w:abstractNum w:abstractNumId="42">
    <w:nsid w:val="67A70B69"/>
    <w:multiLevelType w:val="hybridMultilevel"/>
    <w:lvl w:ilvl="0">
      <w:lvlJc w:val="left"/>
      <w:lvlText w:val="(%1)"/>
      <w:numFmt w:val="lowerLetter"/>
      <w:start w:val="9"/>
    </w:lvl>
    <w:lvl w:ilvl="1">
      <w:lvlJc w:val="left"/>
      <w:lvlText w:val="%2"/>
      <w:numFmt w:val="lowerLetter"/>
      <w:start w:val="1"/>
    </w:lvl>
  </w:abstractNum>
  <w:abstractNum w:abstractNumId="43">
    <w:nsid w:val="5953172F"/>
    <w:multiLevelType w:val="hybridMultilevel"/>
    <w:lvl w:ilvl="0">
      <w:lvlJc w:val="left"/>
      <w:lvlText w:val="(%1)"/>
      <w:numFmt w:val="lowerRoman"/>
      <w:start w:val="2"/>
    </w:lvl>
  </w:abstractNum>
  <w:abstractNum w:abstractNumId="44">
    <w:nsid w:val="27EDFE3A"/>
    <w:multiLevelType w:val="hybridMultilevel"/>
    <w:lvl w:ilvl="0">
      <w:lvlJc w:val="left"/>
      <w:lvlText w:val="(%1)"/>
      <w:numFmt w:val="lowerLetter"/>
      <w:start w:val="4"/>
    </w:lvl>
  </w:abstractNum>
  <w:abstractNum w:abstractNumId="45">
    <w:nsid w:val="52AC7DFF"/>
    <w:multiLevelType w:val="hybridMultilevel"/>
    <w:lvl w:ilvl="0">
      <w:lvlJc w:val="left"/>
      <w:lvlText w:val="(%1)"/>
      <w:numFmt w:val="lowerLetter"/>
      <w:start w:val="1"/>
    </w:lvl>
  </w:abstractNum>
  <w:abstractNum w:abstractNumId="46">
    <w:nsid w:val="C4C3AF"/>
    <w:multiLevelType w:val="hybridMultilevel"/>
    <w:lvl w:ilvl="0">
      <w:lvlJc w:val="left"/>
      <w:lvlText w:val="(%1)"/>
      <w:numFmt w:val="lowerLetter"/>
      <w:start w:val="2"/>
    </w:lvl>
  </w:abstractNum>
  <w:abstractNum w:abstractNumId="47">
    <w:nsid w:val="44380727"/>
    <w:multiLevelType w:val="hybridMultilevel"/>
    <w:lvl w:ilvl="0">
      <w:lvlJc w:val="left"/>
      <w:lvlText w:val="%1"/>
      <w:numFmt w:val="lowerLetter"/>
      <w:start w:val="1"/>
    </w:lvl>
    <w:lvl w:ilvl="1">
      <w:lvlJc w:val="left"/>
      <w:lvlText w:val="(%2)"/>
      <w:numFmt w:val="lowerLetter"/>
      <w:start w:val="1"/>
    </w:lvl>
  </w:abstractNum>
  <w:abstractNum w:abstractNumId="48">
    <w:nsid w:val="6C053B16"/>
    <w:multiLevelType w:val="hybridMultilevel"/>
    <w:lvl w:ilvl="0">
      <w:lvlJc w:val="left"/>
      <w:lvlText w:val="(%1)"/>
      <w:numFmt w:val="lowerLetter"/>
      <w:start w:val="9"/>
    </w:lvl>
    <w:lvl w:ilvl="1">
      <w:lvlJc w:val="left"/>
      <w:lvlText w:val="(%2)"/>
      <w:numFmt w:val="lowerLetter"/>
      <w:start w:val="3"/>
    </w:lvl>
  </w:abstractNum>
  <w:abstractNum w:abstractNumId="49">
    <w:nsid w:val="4F294393"/>
    <w:multiLevelType w:val="hybridMultilevel"/>
    <w:lvl w:ilvl="0">
      <w:lvlJc w:val="left"/>
      <w:lvlText w:val="(%1)"/>
      <w:numFmt w:val="lowerLetter"/>
      <w:start w:val="2"/>
    </w:lvl>
  </w:abstractNum>
  <w:abstractNum w:abstractNumId="50">
    <w:nsid w:val="5243BFAC"/>
    <w:multiLevelType w:val="hybridMultilevel"/>
    <w:lvl w:ilvl="0">
      <w:lvlJc w:val="left"/>
      <w:lvlText w:val="(%1)"/>
      <w:numFmt w:val="lowerRoman"/>
      <w:start w:val="2"/>
    </w:lvl>
    <w:lvl w:ilvl="1">
      <w:lvlJc w:val="left"/>
      <w:lvlText w:val="(%2)"/>
      <w:numFmt w:val="upperLetter"/>
      <w:start w:val="1"/>
    </w:lvl>
  </w:abstractNum>
  <w:abstractNum w:abstractNumId="51">
    <w:nsid w:val="425EB207"/>
    <w:multiLevelType w:val="hybridMultilevel"/>
    <w:lvl w:ilvl="0">
      <w:lvlJc w:val="left"/>
      <w:lvlText w:val="%1"/>
      <w:numFmt w:val="lowerRoman"/>
      <w:start w:val="1"/>
    </w:lvl>
    <w:lvl w:ilvl="1">
      <w:lvlJc w:val="left"/>
      <w:lvlText w:val="(%2)"/>
      <w:numFmt w:val="upperLetter"/>
      <w:start w:val="2"/>
    </w:lvl>
  </w:abstractNum>
  <w:abstractNum w:abstractNumId="52">
    <w:nsid w:val="334A6F1F"/>
    <w:multiLevelType w:val="hybridMultilevel"/>
    <w:lvl w:ilvl="0">
      <w:lvlJc w:val="left"/>
      <w:lvlText w:val="(%1)"/>
      <w:numFmt w:val="lowerRoman"/>
      <w:start w:val="4"/>
    </w:lvl>
    <w:lvl w:ilvl="1">
      <w:lvlJc w:val="left"/>
      <w:lvlText w:val="%2"/>
      <w:numFmt w:val="upperLetter"/>
      <w:start w:val="1"/>
    </w:lvl>
  </w:abstractNum>
  <w:abstractNum w:abstractNumId="53">
    <w:nsid w:val="2E5B12B8"/>
    <w:multiLevelType w:val="hybridMultilevel"/>
    <w:lvl w:ilvl="0">
      <w:lvlJc w:val="left"/>
      <w:lvlText w:val="(%1)"/>
      <w:numFmt w:val="lowerLetter"/>
      <w:start w:val="2"/>
    </w:lvl>
  </w:abstractNum>
  <w:abstractNum w:abstractNumId="54">
    <w:nsid w:val="5C03D76D"/>
    <w:multiLevelType w:val="hybridMultilevel"/>
    <w:lvl w:ilvl="0">
      <w:lvlJc w:val="left"/>
      <w:lvlText w:val="(%1)"/>
      <w:numFmt w:val="lowerRoman"/>
      <w:start w:val="2"/>
    </w:lvl>
  </w:abstractNum>
  <w:abstractNum w:abstractNumId="55">
    <w:nsid w:val="66A48D11"/>
    <w:multiLevelType w:val="hybridMultilevel"/>
    <w:lvl w:ilvl="0">
      <w:lvlJc w:val="left"/>
      <w:lvlText w:val="(%1)"/>
      <w:numFmt w:val="lowerRoman"/>
      <w:start w:val="4"/>
    </w:lvl>
  </w:abstractNum>
  <w:abstractNum w:abstractNumId="56">
    <w:nsid w:val="56C28E34"/>
    <w:multiLevelType w:val="hybridMultilevel"/>
    <w:lvl w:ilvl="0">
      <w:lvlJc w:val="left"/>
      <w:lvlText w:val="(%1)"/>
      <w:numFmt w:val="lowerLetter"/>
      <w:start w:val="3"/>
    </w:lvl>
  </w:abstractNum>
  <w:abstractNum w:abstractNumId="57">
    <w:nsid w:val="13916F2D"/>
    <w:multiLevelType w:val="hybridMultilevel"/>
    <w:lvl w:ilvl="0">
      <w:lvlJc w:val="left"/>
      <w:lvlText w:val="(%1)"/>
      <w:numFmt w:val="lowerRoman"/>
      <w:start w:val="2"/>
    </w:lvl>
  </w:abstractNum>
  <w:abstractNum w:abstractNumId="58">
    <w:nsid w:val="435D38D"/>
    <w:multiLevelType w:val="hybridMultilevel"/>
    <w:lvl w:ilvl="0">
      <w:lvlJc w:val="left"/>
      <w:lvlText w:val="(%1)"/>
      <w:numFmt w:val="lowerRoman"/>
      <w:start w:val="3"/>
    </w:lvl>
  </w:abstractNum>
  <w:abstractNum w:abstractNumId="59">
    <w:nsid w:val="822C0EF"/>
    <w:multiLevelType w:val="hybridMultilevel"/>
    <w:lvl w:ilvl="0">
      <w:lvlJc w:val="left"/>
      <w:lvlText w:val="(%1)"/>
      <w:numFmt w:val="lowerLetter"/>
      <w:start w:val="4"/>
    </w:lvl>
    <w:lvl w:ilvl="1">
      <w:lvlJc w:val="left"/>
      <w:lvlText w:val="%2"/>
      <w:numFmt w:val="lowerLetter"/>
      <w:start w:val="1"/>
    </w:lvl>
  </w:abstractNum>
  <w:abstractNum w:abstractNumId="60">
    <w:nsid w:val="57C5BB4F"/>
    <w:multiLevelType w:val="hybridMultilevel"/>
    <w:lvl w:ilvl="0">
      <w:lvlJc w:val="left"/>
      <w:lvlText w:val="(%1)"/>
      <w:numFmt w:val="lowerLetter"/>
      <w:start w:val="35"/>
    </w:lvl>
    <w:lvl w:ilvl="1">
      <w:lvlJc w:val="left"/>
      <w:lvlText w:val="%2"/>
      <w:numFmt w:val="lowerLetter"/>
      <w:start w:val="1"/>
    </w:lvl>
  </w:abstractNum>
  <w:abstractNum w:abstractNumId="61">
    <w:nsid w:val="1803D089"/>
    <w:multiLevelType w:val="hybridMultilevel"/>
    <w:lvl w:ilvl="0">
      <w:lvlJc w:val="left"/>
      <w:lvlText w:val="(%1)"/>
      <w:numFmt w:val="lowerLetter"/>
      <w:start w:val="5"/>
    </w:lvl>
    <w:lvl w:ilvl="1">
      <w:lvlJc w:val="left"/>
      <w:lvlText w:val="%2"/>
      <w:numFmt w:val="lowerLetter"/>
      <w:start w:val="1"/>
    </w:lvl>
  </w:abstractNum>
  <w:abstractNum w:abstractNumId="62">
    <w:nsid w:val="4F3A06D4"/>
    <w:multiLevelType w:val="hybridMultilevel"/>
    <w:lvl w:ilvl="0">
      <w:lvlJc w:val="left"/>
      <w:lvlText w:val="(%1)"/>
      <w:numFmt w:val="lowerRoman"/>
      <w:start w:val="1"/>
    </w:lvl>
  </w:abstractNum>
  <w:abstractNum w:abstractNumId="63">
    <w:nsid w:val="59A377B6"/>
    <w:multiLevelType w:val="hybridMultilevel"/>
    <w:lvl w:ilvl="0">
      <w:lvlJc w:val="left"/>
      <w:lvlText w:val="(%1)"/>
      <w:numFmt w:val="lowerRoman"/>
      <w:start w:val="4"/>
    </w:lvl>
  </w:abstractNum>
  <w:abstractNum w:abstractNumId="64">
    <w:nsid w:val="48AEB063"/>
    <w:multiLevelType w:val="hybridMultilevel"/>
    <w:lvl w:ilvl="0">
      <w:lvlJc w:val="left"/>
      <w:lvlText w:val="%1"/>
      <w:numFmt w:val="lowerRoman"/>
      <w:start w:val="1"/>
    </w:lvl>
    <w:lvl w:ilvl="1">
      <w:lvlJc w:val="left"/>
      <w:lvlText w:val="(%2)"/>
      <w:numFmt w:val="lowerLetter"/>
      <w:start w:val="6"/>
    </w:lvl>
  </w:abstractNum>
  <w:abstractNum w:abstractNumId="65">
    <w:nsid w:val="24E135"/>
    <w:multiLevelType w:val="hybridMultilevel"/>
    <w:lvl w:ilvl="0">
      <w:lvlJc w:val="left"/>
      <w:lvlText w:val="(%1)"/>
      <w:numFmt w:val="lowerRoman"/>
      <w:start w:val="1"/>
    </w:lvl>
    <w:lvl w:ilvl="1">
      <w:lvlJc w:val="left"/>
      <w:lvlText w:val="%2"/>
      <w:numFmt w:val="lowerLetter"/>
      <w:start w:val="1"/>
    </w:lvl>
  </w:abstractNum>
  <w:abstractNum w:abstractNumId="66">
    <w:nsid w:val="BB13C1"/>
    <w:multiLevelType w:val="hybridMultilevel"/>
    <w:lvl w:ilvl="0">
      <w:lvlJc w:val="left"/>
      <w:lvlText w:val="%1"/>
      <w:numFmt w:val="lowerLetter"/>
      <w:start w:val="1"/>
    </w:lvl>
    <w:lvl w:ilvl="1">
      <w:lvlJc w:val="left"/>
      <w:lvlText w:val="(%2)"/>
      <w:numFmt w:val="lowerLetter"/>
      <w:start w:val="7"/>
    </w:lvl>
  </w:abstractNum>
  <w:abstractNum w:abstractNumId="67">
    <w:nsid w:val="271210C7"/>
    <w:multiLevelType w:val="hybridMultilevel"/>
    <w:lvl w:ilvl="0">
      <w:lvlJc w:val="left"/>
      <w:lvlText w:val="(%1)"/>
      <w:numFmt w:val="lowerLetter"/>
      <w:start w:val="35"/>
    </w:lvl>
    <w:lvl w:ilvl="1">
      <w:lvlJc w:val="left"/>
      <w:lvlText w:val="(%2)"/>
      <w:numFmt w:val="lowerLetter"/>
      <w:start w:val="9"/>
    </w:lvl>
  </w:abstractNum>
  <w:abstractNum w:abstractNumId="68">
    <w:nsid w:val="217B22E4"/>
    <w:multiLevelType w:val="hybridMultilevel"/>
    <w:lvl w:ilvl="0">
      <w:lvlJc w:val="left"/>
      <w:lvlText w:val="(%1)"/>
      <w:numFmt w:val="lowerLetter"/>
      <w:start w:val="10"/>
    </w:lvl>
  </w:abstractNum>
  <w:abstractNum w:abstractNumId="69">
    <w:nsid w:val="53E31A24"/>
    <w:multiLevelType w:val="hybridMultilevel"/>
    <w:lvl w:ilvl="0">
      <w:lvlJc w:val="left"/>
      <w:lvlText w:val="(%1)"/>
      <w:numFmt w:val="lowerLetter"/>
      <w:start w:val="2"/>
    </w:lvl>
  </w:abstractNum>
  <w:abstractNum w:abstractNumId="70">
    <w:nsid w:val="6DC45E83"/>
    <w:multiLevelType w:val="hybridMultilevel"/>
    <w:lvl w:ilvl="0">
      <w:lvlJc w:val="left"/>
      <w:lvlText w:val="(%1)"/>
      <w:numFmt w:val="lowerRoman"/>
      <w:start w:val="2"/>
    </w:lvl>
    <w:lvl w:ilvl="1">
      <w:lvlJc w:val="left"/>
      <w:lvlText w:val="(%2)"/>
      <w:numFmt w:val="lowerLetter"/>
      <w:start w:val="4"/>
    </w:lvl>
  </w:abstractNum>
  <w:abstractNum w:abstractNumId="71">
    <w:nsid w:val="17304A67"/>
    <w:multiLevelType w:val="hybridMultilevel"/>
    <w:lvl w:ilvl="0">
      <w:lvlJc w:val="left"/>
      <w:lvlText w:val="(%1)"/>
      <w:numFmt w:val="lowerRoman"/>
      <w:start w:val="2"/>
    </w:lvl>
  </w:abstractNum>
  <w:abstractNum w:abstractNumId="72">
    <w:nsid w:val="2BB180D8"/>
    <w:multiLevelType w:val="hybridMultilevel"/>
    <w:lvl w:ilvl="0">
      <w:lvlJc w:val="left"/>
      <w:lvlText w:val="(%1)"/>
      <w:numFmt w:val="lowerLetter"/>
      <w:start w:val="5"/>
    </w:lvl>
  </w:abstractNum>
  <w:abstractNum w:abstractNumId="73">
    <w:nsid w:val="556B69ED"/>
    <w:multiLevelType w:val="hybridMultilevel"/>
    <w:lvl w:ilvl="0">
      <w:lvlJc w:val="left"/>
      <w:lvlText w:val="(%1)"/>
      <w:numFmt w:val="lowerLetter"/>
      <w:start w:val="25"/>
    </w:lvl>
  </w:abstractNum>
  <w:abstractNum w:abstractNumId="74">
    <w:nsid w:val="70836196"/>
    <w:multiLevelType w:val="hybridMultilevel"/>
    <w:lvl w:ilvl="0">
      <w:lvlJc w:val="left"/>
      <w:lvlText w:val="(%1)"/>
      <w:numFmt w:val="lowerLetter"/>
      <w:start w:val="35"/>
    </w:lvl>
    <w:lvl w:ilvl="1">
      <w:lvlJc w:val="left"/>
      <w:lvlText w:val="%2"/>
      <w:numFmt w:val="lowerLetter"/>
      <w:start w:val="1"/>
    </w:lvl>
  </w:abstractNum>
  <w:abstractNum w:abstractNumId="75">
    <w:nsid w:val="539F7F12"/>
    <w:multiLevelType w:val="hybridMultilevel"/>
    <w:lvl w:ilvl="0">
      <w:lvlJc w:val="left"/>
      <w:lvlText w:val="(%1)"/>
      <w:numFmt w:val="lowerLetter"/>
      <w:start w:val="2"/>
    </w:lvl>
    <w:lvl w:ilvl="1">
      <w:lvlJc w:val="left"/>
      <w:lvlText w:val="%2"/>
      <w:numFmt w:val="lowerLetter"/>
      <w:start w:val="1"/>
    </w:lvl>
  </w:abstractNum>
  <w:abstractNum w:abstractNumId="76">
    <w:nsid w:val="2817E7EC"/>
    <w:multiLevelType w:val="hybridMultilevel"/>
    <w:lvl w:ilvl="0">
      <w:lvlJc w:val="left"/>
      <w:lvlText w:val="(%1)"/>
      <w:numFmt w:val="lowerRoman"/>
      <w:start w:val="1"/>
    </w:lvl>
  </w:abstractNum>
  <w:abstractNum w:abstractNumId="77">
    <w:nsid w:val="71482545"/>
    <w:multiLevelType w:val="hybridMultilevel"/>
    <w:lvl w:ilvl="0">
      <w:lvlJc w:val="left"/>
      <w:lvlText w:val="(%1)"/>
      <w:numFmt w:val="lowerRoman"/>
      <w:start w:val="3"/>
    </w:lvl>
  </w:abstractNum>
  <w:abstractNum w:abstractNumId="78">
    <w:nsid w:val="17D78639"/>
    <w:multiLevelType w:val="hybridMultilevel"/>
    <w:lvl w:ilvl="0">
      <w:lvlJc w:val="left"/>
      <w:lvlText w:val="%1"/>
      <w:numFmt w:val="lowerRoman"/>
      <w:start w:val="1"/>
    </w:lvl>
    <w:lvl w:ilvl="1">
      <w:lvlJc w:val="left"/>
      <w:lvlText w:val="(%2)"/>
      <w:numFmt w:val="lowerLetter"/>
      <w:start w:val="2"/>
    </w:lvl>
  </w:abstractNum>
  <w:abstractNum w:abstractNumId="79">
    <w:nsid w:val="141D2302"/>
    <w:multiLevelType w:val="hybridMultilevel"/>
    <w:lvl w:ilvl="0">
      <w:lvlJc w:val="left"/>
      <w:lvlText w:val="(%1)"/>
      <w:numFmt w:val="lowerRoman"/>
      <w:start w:val="1"/>
    </w:lvl>
    <w:lvl w:ilvl="1">
      <w:lvlJc w:val="left"/>
      <w:lvlText w:val="(%2)"/>
      <w:numFmt w:val="lowerLetter"/>
      <w:start w:val="3"/>
    </w:lvl>
  </w:abstractNum>
  <w:abstractNum w:abstractNumId="80">
    <w:nsid w:val="407168D8"/>
    <w:multiLevelType w:val="hybridMultilevel"/>
    <w:lvl w:ilvl="0">
      <w:lvlJc w:val="left"/>
      <w:lvlText w:val="(%1)"/>
      <w:numFmt w:val="lowerLetter"/>
      <w:start w:val="1"/>
    </w:lvl>
  </w:abstractNum>
  <w:abstractNum w:abstractNumId="81">
    <w:nsid w:val="6A1B45E5"/>
    <w:multiLevelType w:val="hybridMultilevel"/>
    <w:lvl w:ilvl="0">
      <w:lvlJc w:val="left"/>
      <w:lvlText w:val="(%1)"/>
      <w:numFmt w:val="lowerLetter"/>
      <w:start w:val="35"/>
    </w:lvl>
    <w:lvl w:ilvl="1">
      <w:lvlJc w:val="left"/>
      <w:lvlText w:val="(%2)"/>
      <w:numFmt w:val="lowerLetter"/>
      <w:start w:val="2"/>
    </w:lvl>
  </w:abstractNum>
  <w:abstractNum w:abstractNumId="82">
    <w:nsid w:val="567BD50A"/>
    <w:multiLevelType w:val="hybridMultilevel"/>
    <w:lvl w:ilvl="0">
      <w:lvlJc w:val="left"/>
      <w:lvlText w:val="(%1)"/>
      <w:numFmt w:val="lowerRoman"/>
      <w:start w:val="2"/>
    </w:lvl>
    <w:lvl w:ilvl="1">
      <w:lvlJc w:val="left"/>
      <w:lvlText w:val="(%2)"/>
      <w:numFmt w:val="lowerLetter"/>
      <w:start w:val="3"/>
    </w:lvl>
  </w:abstractNum>
  <w:abstractNum w:abstractNumId="83">
    <w:nsid w:val="73BBD7F8"/>
    <w:multiLevelType w:val="hybridMultilevel"/>
    <w:lvl w:ilvl="0">
      <w:lvlJc w:val="left"/>
      <w:lvlText w:val="(%1)"/>
      <w:numFmt w:val="lowerLetter"/>
      <w:start w:val="1"/>
    </w:lvl>
  </w:abstractNum>
  <w:abstractNum w:abstractNumId="84">
    <w:nsid w:val="1876589D"/>
    <w:multiLevelType w:val="hybridMultilevel"/>
    <w:lvl w:ilvl="0">
      <w:lvlJc w:val="left"/>
      <w:lvlText w:val="(%1)"/>
      <w:numFmt w:val="lowerRoman"/>
      <w:start w:val="2"/>
    </w:lvl>
  </w:abstractNum>
  <w:abstractNum w:abstractNumId="85">
    <w:nsid w:val="327FAC77"/>
    <w:multiLevelType w:val="hybridMultilevel"/>
    <w:lvl w:ilvl="0">
      <w:lvlJc w:val="left"/>
      <w:lvlText w:val="(%1)"/>
      <w:numFmt w:val="lowerLetter"/>
      <w:start w:val="2"/>
    </w:lvl>
  </w:abstractNum>
  <w:abstractNum w:abstractNumId="86">
    <w:nsid w:val="5A606509"/>
    <w:multiLevelType w:val="hybridMultilevel"/>
    <w:lvl w:ilvl="0">
      <w:lvlJc w:val="left"/>
      <w:lvlText w:val="(%1)"/>
      <w:numFmt w:val="lowerLetter"/>
      <w:start w:val="2"/>
    </w:lvl>
  </w:abstractNum>
  <w:abstractNum w:abstractNumId="87">
    <w:nsid w:val="6F38E6D1"/>
    <w:multiLevelType w:val="hybridMultilevel"/>
    <w:lvl w:ilvl="0">
      <w:lvlJc w:val="left"/>
      <w:lvlText w:val="(%1)"/>
      <w:numFmt w:val="lowerLetter"/>
      <w:start w:val="3"/>
    </w:lvl>
  </w:abstractNum>
  <w:abstractNum w:abstractNumId="88">
    <w:nsid w:val="46111BA5"/>
    <w:multiLevelType w:val="hybridMultilevel"/>
    <w:lvl w:ilvl="0">
      <w:lvlJc w:val="left"/>
      <w:lvlText w:val="(%1)"/>
      <w:numFmt w:val="lowerLetter"/>
      <w:start w:val="2"/>
    </w:lvl>
  </w:abstractNum>
  <w:abstractNum w:abstractNumId="89">
    <w:nsid w:val="5E963896"/>
    <w:multiLevelType w:val="hybridMultilevel"/>
    <w:lvl w:ilvl="0">
      <w:lvlJc w:val="left"/>
      <w:lvlText w:val="(%1)"/>
      <w:numFmt w:val="lowerRoman"/>
      <w:start w:val="2"/>
    </w:lvl>
  </w:abstractNum>
  <w:abstractNum w:abstractNumId="90">
    <w:nsid w:val="775BA7C1"/>
    <w:multiLevelType w:val="hybridMultilevel"/>
    <w:lvl w:ilvl="0">
      <w:lvlJc w:val="left"/>
      <w:lvlText w:val="(%1)"/>
      <w:numFmt w:val="lowerLetter"/>
      <w:start w:val="3"/>
    </w:lvl>
  </w:abstractNum>
  <w:abstractNum w:abstractNumId="91">
    <w:nsid w:val="1DD6D6F4"/>
    <w:multiLevelType w:val="hybridMultilevel"/>
    <w:lvl w:ilvl="0">
      <w:lvlJc w:val="left"/>
      <w:lvlText w:val="(%1)"/>
      <w:numFmt w:val="lowerLetter"/>
      <w:start w:val="5"/>
    </w:lvl>
  </w:abstractNum>
  <w:abstractNum w:abstractNumId="92">
    <w:nsid w:val="769A091F"/>
    <w:multiLevelType w:val="hybridMultilevel"/>
    <w:lvl w:ilvl="0">
      <w:lvlJc w:val="left"/>
      <w:lvlText w:val="(%1)"/>
      <w:numFmt w:val="lowerRoman"/>
      <w:start w:val="1"/>
    </w:lvl>
  </w:abstractNum>
  <w:abstractNum w:abstractNumId="93">
    <w:nsid w:val="4695AE95"/>
    <w:multiLevelType w:val="hybridMultilevel"/>
    <w:lvl w:ilvl="0">
      <w:lvlJc w:val="left"/>
      <w:lvlText w:val="(%1)"/>
      <w:numFmt w:val="lowerLetter"/>
      <w:start w:val="1"/>
    </w:lvl>
  </w:abstractNum>
  <w:abstractNum w:abstractNumId="94">
    <w:nsid w:val="777A4EAA"/>
    <w:multiLevelType w:val="hybridMultilevel"/>
    <w:lvl w:ilvl="0">
      <w:lvlJc w:val="left"/>
      <w:lvlText w:val="(%1)"/>
      <w:numFmt w:val="lowerLetter"/>
      <w:start w:val="4"/>
    </w:lvl>
  </w:abstractNum>
  <w:abstractNum w:abstractNumId="95">
    <w:nsid w:val="3F48B982"/>
    <w:multiLevelType w:val="hybridMultilevel"/>
    <w:lvl w:ilvl="0">
      <w:lvlJc w:val="left"/>
      <w:lvlText w:val="%1"/>
      <w:numFmt w:val="lowerRoman"/>
      <w:start w:val="1"/>
    </w:lvl>
    <w:lvl w:ilvl="1">
      <w:lvlJc w:val="left"/>
      <w:lvlText w:val="(%2)"/>
      <w:numFmt w:val="lowerLetter"/>
      <w:start w:val="1"/>
    </w:lvl>
  </w:abstractNum>
  <w:abstractNum w:abstractNumId="96">
    <w:nsid w:val="46BA8FCA"/>
    <w:multiLevelType w:val="hybridMultilevel"/>
    <w:lvl w:ilvl="0">
      <w:lvlJc w:val="left"/>
      <w:lvlText w:val="(%1)"/>
      <w:numFmt w:val="lowerRoman"/>
      <w:start w:val="1"/>
    </w:lvl>
    <w:lvl w:ilvl="1">
      <w:lvlJc w:val="left"/>
      <w:lvlText w:val="%2"/>
      <w:numFmt w:val="lowerLetter"/>
      <w:start w:val="1"/>
    </w:lvl>
  </w:abstractNum>
  <w:abstractNum w:abstractNumId="97">
    <w:nsid w:val="7835626C"/>
    <w:multiLevelType w:val="hybridMultilevel"/>
    <w:lvl w:ilvl="0">
      <w:lvlJc w:val="left"/>
      <w:lvlText w:val="(%1)"/>
      <w:numFmt w:val="lowerRoman"/>
      <w:start w:val="3"/>
    </w:lvl>
  </w:abstractNum>
  <w:abstractNum w:abstractNumId="98">
    <w:nsid w:val="665ACA49"/>
    <w:multiLevelType w:val="hybridMultilevel"/>
    <w:lvl w:ilvl="0">
      <w:lvlJc w:val="left"/>
      <w:lvlText w:val="(%1)"/>
      <w:numFmt w:val="lowerLetter"/>
      <w:start w:val="2"/>
    </w:lvl>
  </w:abstractNum>
  <w:abstractNum w:abstractNumId="99">
    <w:nsid w:val="6835B2AE"/>
    <w:multiLevelType w:val="hybridMultilevel"/>
    <w:lvl w:ilvl="0">
      <w:lvlJc w:val="left"/>
      <w:lvlText w:val="(%1)"/>
      <w:numFmt w:val="lowerLetter"/>
      <w:start w:val="35"/>
    </w:lvl>
    <w:lvl w:ilvl="1">
      <w:lvlJc w:val="left"/>
      <w:lvlText w:val="(%2)"/>
      <w:numFmt w:val="lowerLetter"/>
      <w:start w:val="2"/>
    </w:lvl>
  </w:abstractNum>
  <w:abstractNum w:abstractNumId="100">
    <w:nsid w:val="4C187C90"/>
    <w:multiLevelType w:val="hybridMultilevel"/>
    <w:lvl w:ilvl="0">
      <w:lvlJc w:val="left"/>
      <w:lvlText w:val="(%1)"/>
      <w:numFmt w:val="lowerLetter"/>
      <w:start w:val="24"/>
    </w:lvl>
    <w:lvl w:ilvl="1">
      <w:lvlJc w:val="left"/>
      <w:lvlText w:val="%2"/>
      <w:numFmt w:val="lowerLetter"/>
      <w:start w:val="1"/>
    </w:lvl>
  </w:abstractNum>
  <w:abstractNum w:abstractNumId="101">
    <w:nsid w:val="541F28CD"/>
    <w:multiLevelType w:val="hybridMultilevel"/>
    <w:lvl w:ilvl="0">
      <w:lvlJc w:val="left"/>
      <w:lvlText w:val="(%1)"/>
      <w:numFmt w:val="lowerLetter"/>
      <w:start w:val="6"/>
    </w:lvl>
  </w:abstractNum>
  <w:abstractNum w:abstractNumId="102">
    <w:nsid w:val="7F65FD16"/>
    <w:multiLevelType w:val="hybridMultilevel"/>
    <w:lvl w:ilvl="0">
      <w:lvlJc w:val="left"/>
      <w:lvlText w:val="%1"/>
      <w:numFmt w:val="upperLetter"/>
      <w:start w:val="1"/>
    </w:lvl>
    <w:lvl w:ilvl="1">
      <w:lvlJc w:val="left"/>
      <w:lvlText w:val="(%2)"/>
      <w:numFmt w:val="lowerRoman"/>
      <w:start w:val="2"/>
    </w:lvl>
  </w:abstractNum>
  <w:abstractNum w:abstractNumId="103">
    <w:nsid w:val="77C9FD68"/>
    <w:multiLevelType w:val="hybridMultilevel"/>
    <w:lvl w:ilvl="0">
      <w:lvlJc w:val="left"/>
      <w:lvlText w:val="(%1)"/>
      <w:numFmt w:val="upperLetter"/>
      <w:start w:val="2"/>
    </w:lvl>
    <w:lvl w:ilvl="1">
      <w:lvlJc w:val="left"/>
      <w:lvlText w:val="%2"/>
      <w:numFmt w:val="lowerRoman"/>
      <w:start w:val="1"/>
    </w:lvl>
  </w:abstractNum>
  <w:abstractNum w:abstractNumId="104">
    <w:nsid w:val="298A92BA"/>
    <w:multiLevelType w:val="hybridMultilevel"/>
    <w:lvl w:ilvl="0">
      <w:lvlJc w:val="left"/>
      <w:lvlText w:val="(%1)"/>
      <w:numFmt w:val="lowerLetter"/>
      <w:start w:val="2"/>
    </w:lvl>
    <w:lvl w:ilvl="1">
      <w:lvlJc w:val="left"/>
      <w:lvlText w:val="%2"/>
      <w:numFmt w:val="lowerLetter"/>
      <w:start w:val="1"/>
    </w:lvl>
  </w:abstractNum>
  <w:abstractNum w:abstractNumId="105">
    <w:nsid w:val="6FE95EAC"/>
    <w:multiLevelType w:val="hybridMultilevel"/>
    <w:lvl w:ilvl="0">
      <w:lvlJc w:val="left"/>
      <w:lvlText w:val="(%1)"/>
      <w:numFmt w:val="lowerLetter"/>
      <w:start w:val="35"/>
    </w:lvl>
    <w:lvl w:ilvl="1">
      <w:lvlJc w:val="left"/>
      <w:lvlText w:val="%2"/>
      <w:numFmt w:val="lowerLetter"/>
      <w:start w:val="1"/>
    </w:lvl>
  </w:abstractNum>
  <w:abstractNum w:abstractNumId="106">
    <w:nsid w:val="4B697C7A"/>
    <w:multiLevelType w:val="hybridMultilevel"/>
    <w:lvl w:ilvl="0">
      <w:lvlJc w:val="left"/>
      <w:lvlText w:val="(%1)"/>
      <w:numFmt w:val="lowerLetter"/>
      <w:start w:val="4"/>
    </w:lvl>
    <w:lvl w:ilvl="1">
      <w:lvlJc w:val="left"/>
      <w:lvlText w:val="%2"/>
      <w:numFmt w:val="lowerLetter"/>
      <w:start w:val="1"/>
    </w:lvl>
  </w:abstractNum>
  <w:abstractNum w:abstractNumId="107">
    <w:nsid w:val="51A27AA6"/>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5"/>
    </w:lvl>
  </w:abstractNum>
  <w:abstractNum w:abstractNumId="108">
    <w:nsid w:val="613183F2"/>
    <w:multiLevelType w:val="hybridMultilevel"/>
    <w:lvl w:ilvl="0">
      <w:lvlJc w:val="left"/>
      <w:lvlText w:val="(%1)"/>
      <w:numFmt w:val="upperLetter"/>
      <w:start w:val="2"/>
    </w:lvl>
    <w:lvl w:ilvl="1">
      <w:lvlJc w:val="left"/>
      <w:lvlText w:val="(%2)"/>
      <w:numFmt w:val="lowerLetter"/>
      <w:start w:val="35"/>
    </w:lvl>
    <w:lvl w:ilvl="2">
      <w:lvlJc w:val="left"/>
      <w:lvlText w:val="%3"/>
      <w:numFmt w:val="lowerLetter"/>
      <w:start w:val="1"/>
    </w:lvl>
  </w:abstractNum>
  <w:abstractNum w:abstractNumId="109">
    <w:nsid w:val="634102B4"/>
    <w:multiLevelType w:val="hybridMultilevel"/>
    <w:lvl w:ilvl="0">
      <w:lvlJc w:val="left"/>
      <w:lvlText w:val="(%1)"/>
      <w:numFmt w:val="upperLetter"/>
      <w:start w:val="1"/>
    </w:lvl>
  </w:abstractNum>
  <w:abstractNum w:abstractNumId="110">
    <w:nsid w:val="65BF9DA8"/>
    <w:multiLevelType w:val="hybridMultilevel"/>
    <w:lvl w:ilvl="0">
      <w:lvlJc w:val="left"/>
      <w:lvlText w:val="(%1)"/>
      <w:numFmt w:val="upperLetter"/>
      <w:start w:val="9"/>
    </w:lvl>
  </w:abstractNum>
  <w:abstractNum w:abstractNumId="111">
    <w:nsid w:val="21A2ECCA"/>
    <w:multiLevelType w:val="hybridMultilevel"/>
    <w:lvl w:ilvl="0">
      <w:lvlJc w:val="left"/>
      <w:lvlText w:val="(%1)"/>
      <w:numFmt w:val="upperLetter"/>
      <w:start w:val="61"/>
    </w:lvl>
  </w:abstractNum>
  <w:abstractNum w:abstractNumId="112">
    <w:nsid w:val="4D5C4899"/>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2"/>
    </w:lvl>
  </w:abstractNum>
  <w:abstractNum w:abstractNumId="113">
    <w:nsid w:val="3C3B72B2"/>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114">
    <w:nsid w:val="155EC4C2"/>
    <w:multiLevelType w:val="hybridMultilevel"/>
    <w:lvl w:ilvl="0">
      <w:lvlJc w:val="left"/>
      <w:lvlText w:val="(%1)"/>
      <w:numFmt w:val="lowerLetter"/>
      <w:start w:val="6"/>
    </w:lvl>
    <w:lvl w:ilvl="1">
      <w:lvlJc w:val="left"/>
      <w:lvlText w:val="%2"/>
      <w:numFmt w:val="lowerLetter"/>
      <w:start w:val="1"/>
    </w:lvl>
    <w:lvl w:ilvl="2">
      <w:lvlJc w:val="left"/>
      <w:lvlText w:val="%3"/>
      <w:numFmt w:val="upperLetter"/>
      <w:start w:val="1"/>
    </w:lvl>
  </w:abstractNum>
  <w:abstractNum w:abstractNumId="115">
    <w:nsid w:val="65D2A137"/>
    <w:multiLevelType w:val="hybridMultilevel"/>
    <w:lvl w:ilvl="0">
      <w:lvlJc w:val="left"/>
      <w:lvlText w:val="(%1)"/>
      <w:numFmt w:val="lowerRoman"/>
      <w:start w:val="1"/>
    </w:lvl>
  </w:abstractNum>
  <w:abstractNum w:abstractNumId="116">
    <w:nsid w:val="6EBB1F2A"/>
    <w:multiLevelType w:val="hybridMultilevel"/>
    <w:lvl w:ilvl="0">
      <w:lvlJc w:val="left"/>
      <w:lvlText w:val="(%1)"/>
      <w:numFmt w:val="lowerLetter"/>
      <w:start w:val="2"/>
    </w:lvl>
  </w:abstractNum>
  <w:abstractNum w:abstractNumId="117">
    <w:nsid w:val="6FBF29CB"/>
    <w:multiLevelType w:val="hybridMultilevel"/>
    <w:lvl w:ilvl="0">
      <w:lvlJc w:val="left"/>
      <w:lvlText w:val="(%1)"/>
      <w:numFmt w:val="lowerLetter"/>
      <w:start w:val="3"/>
    </w:lvl>
  </w:abstractNum>
  <w:abstractNum w:abstractNumId="118">
    <w:nsid w:val="550B8808"/>
    <w:multiLevelType w:val="hybridMultilevel"/>
    <w:lvl w:ilvl="0">
      <w:lvlJc w:val="left"/>
      <w:lvlText w:val="(%1)"/>
      <w:numFmt w:val="lowerLetter"/>
      <w:start w:val="1"/>
    </w:lvl>
  </w:abstractNum>
  <w:abstractNum w:abstractNumId="119">
    <w:nsid w:val="34CC3ACF"/>
    <w:multiLevelType w:val="hybridMultilevel"/>
    <w:lvl w:ilvl="0">
      <w:lvlJc w:val="left"/>
      <w:lvlText w:val="(%1)"/>
      <w:numFmt w:val="lowerLetter"/>
      <w:start w:val="2"/>
    </w:lvl>
  </w:abstractNum>
  <w:abstractNum w:abstractNumId="120">
    <w:nsid w:val="4E556261"/>
    <w:multiLevelType w:val="hybridMultilevel"/>
    <w:lvl w:ilvl="0">
      <w:lvlJc w:val="left"/>
      <w:lvlText w:val="(%1)"/>
      <w:numFmt w:val="lowerLetter"/>
      <w:start w:val="9"/>
    </w:lvl>
    <w:lvl w:ilvl="1">
      <w:lvlJc w:val="left"/>
      <w:lvlText w:val="(%2)"/>
      <w:numFmt w:val="lowerLetter"/>
      <w:start w:val="2"/>
    </w:lvl>
  </w:abstractNum>
  <w:abstractNum w:abstractNumId="121">
    <w:nsid w:val="4C672FC9"/>
    <w:multiLevelType w:val="hybridMultilevel"/>
    <w:lvl w:ilvl="0">
      <w:lvlJc w:val="left"/>
      <w:lvlText w:val="%1"/>
      <w:numFmt w:val="lowerRoman"/>
      <w:start w:val="1"/>
    </w:lvl>
    <w:lvl w:ilvl="1">
      <w:lvlJc w:val="left"/>
      <w:lvlText w:val="(%2)"/>
      <w:numFmt w:val="lowerLetter"/>
      <w:start w:val="1"/>
    </w:lvl>
  </w:abstractNum>
  <w:abstractNum w:abstractNumId="122">
    <w:nsid w:val="52A311C3"/>
    <w:multiLevelType w:val="hybridMultilevel"/>
    <w:lvl w:ilvl="0">
      <w:lvlJc w:val="left"/>
      <w:lvlText w:val="(%1)"/>
      <w:numFmt w:val="lowerRoman"/>
      <w:start w:val="1"/>
    </w:lvl>
    <w:lvl w:ilvl="1">
      <w:lvlJc w:val="left"/>
      <w:lvlText w:val="%2"/>
      <w:numFmt w:val="lowerLetter"/>
      <w:start w:val="1"/>
    </w:lvl>
  </w:abstractNum>
  <w:abstractNum w:abstractNumId="123">
    <w:nsid w:val="44EF6B80"/>
    <w:multiLevelType w:val="hybridMultilevel"/>
    <w:lvl w:ilvl="0">
      <w:lvlJc w:val="left"/>
      <w:lvlText w:val="(%1)"/>
      <w:numFmt w:val="lowerRoman"/>
      <w:start w:val="7"/>
    </w:lvl>
  </w:abstractNum>
  <w:abstractNum w:abstractNumId="124">
    <w:nsid w:val="12FCDE5E"/>
    <w:multiLevelType w:val="hybridMultilevel"/>
    <w:lvl w:ilvl="0">
      <w:lvlJc w:val="left"/>
      <w:lvlText w:val="(%1)"/>
      <w:numFmt w:val="lowerRoman"/>
      <w:start w:val="13"/>
    </w:lvl>
    <w:lvl w:ilvl="1">
      <w:lvlJc w:val="left"/>
      <w:lvlText w:val="(%2)"/>
      <w:numFmt w:val="lowerLetter"/>
      <w:start w:val="2"/>
    </w:lvl>
  </w:abstractNum>
  <w:abstractNum w:abstractNumId="125">
    <w:nsid w:val="4A1D606E"/>
    <w:multiLevelType w:val="hybridMultilevel"/>
    <w:lvl w:ilvl="0">
      <w:lvlJc w:val="left"/>
      <w:lvlText w:val="(%1)"/>
      <w:numFmt w:val="lowerLetter"/>
      <w:start w:val="6"/>
    </w:lvl>
  </w:abstractNum>
  <w:abstractNum w:abstractNumId="126">
    <w:nsid w:val="4382503"/>
    <w:multiLevelType w:val="hybridMultilevel"/>
    <w:lvl w:ilvl="0">
      <w:lvlJc w:val="left"/>
      <w:lvlText w:val="(%1)"/>
      <w:numFmt w:val="lowerLetter"/>
      <w:start w:val="13"/>
    </w:lvl>
  </w:abstractNum>
  <w:abstractNum w:abstractNumId="127">
    <w:nsid w:val="59B76E28"/>
    <w:multiLevelType w:val="hybridMultilevel"/>
    <w:lvl w:ilvl="0">
      <w:lvlJc w:val="left"/>
      <w:lvlText w:val="(%1)"/>
      <w:numFmt w:val="lowerLetter"/>
      <w:start w:val="1"/>
    </w:lvl>
  </w:abstractNum>
  <w:abstractNum w:abstractNumId="128">
    <w:nsid w:val="4252C2DA"/>
    <w:multiLevelType w:val="hybridMultilevel"/>
    <w:lvl w:ilvl="0">
      <w:lvlJc w:val="left"/>
      <w:lvlText w:val="(%1)"/>
      <w:numFmt w:val="lowerLetter"/>
      <w:start w:val="1"/>
    </w:lvl>
  </w:abstractNum>
  <w:abstractNum w:abstractNumId="129">
    <w:nsid w:val="6A92EF4C"/>
    <w:multiLevelType w:val="hybridMultilevel"/>
    <w:lvl w:ilvl="0">
      <w:lvlJc w:val="left"/>
      <w:lvlText w:val="(%1)"/>
      <w:numFmt w:val="lowerRoman"/>
      <w:start w:val="1"/>
    </w:lvl>
  </w:abstractNum>
  <w:abstractNum w:abstractNumId="130">
    <w:nsid w:val="41ED20D7"/>
    <w:multiLevelType w:val="hybridMultilevel"/>
    <w:lvl w:ilvl="0">
      <w:lvlJc w:val="left"/>
      <w:lvlText w:val="(%1)"/>
      <w:numFmt w:val="lowerLetter"/>
      <w:start w:val="2"/>
    </w:lvl>
  </w:abstractNum>
  <w:abstractNum w:abstractNumId="131">
    <w:nsid w:val="E6B3F6A"/>
    <w:multiLevelType w:val="hybridMultilevel"/>
    <w:lvl w:ilvl="0">
      <w:lvlJc w:val="left"/>
      <w:lvlText w:val="(%1)"/>
      <w:numFmt w:val="lowerLetter"/>
      <w:start w:val="2"/>
    </w:lvl>
  </w:abstractNum>
  <w:abstractNum w:abstractNumId="132">
    <w:nsid w:val="3EB21819"/>
    <w:multiLevelType w:val="hybridMultilevel"/>
    <w:lvl w:ilvl="0">
      <w:lvlJc w:val="left"/>
      <w:lvlText w:val="(%1)"/>
      <w:numFmt w:val="lowerLetter"/>
      <w:start w:val="1"/>
    </w:lvl>
  </w:abstractNum>
  <w:abstractNum w:abstractNumId="133">
    <w:nsid w:val="41531DED"/>
    <w:multiLevelType w:val="hybridMultilevel"/>
    <w:lvl w:ilvl="0">
      <w:lvlJc w:val="left"/>
      <w:lvlText w:val="(%1)"/>
      <w:numFmt w:val="lowerLetter"/>
      <w:start w:val="2"/>
    </w:lvl>
  </w:abstractNum>
  <w:abstractNum w:abstractNumId="134">
    <w:nsid w:val="6353CD2"/>
    <w:multiLevelType w:val="hybridMultilevel"/>
    <w:lvl w:ilvl="0">
      <w:lvlJc w:val="left"/>
      <w:lvlText w:val="(%1)"/>
      <w:numFmt w:val="lowerLetter"/>
      <w:start w:val="2"/>
    </w:lvl>
  </w:abstractNum>
  <w:abstractNum w:abstractNumId="135">
    <w:nsid w:val="683CAAD3"/>
    <w:multiLevelType w:val="hybridMultilevel"/>
    <w:lvl w:ilvl="0">
      <w:lvlJc w:val="left"/>
      <w:lvlText w:val="(%1)"/>
      <w:numFmt w:val="lowerLetter"/>
      <w:start w:val="2"/>
    </w:lvl>
  </w:abstractNum>
  <w:abstractNum w:abstractNumId="136">
    <w:nsid w:val="313C7C99"/>
    <w:multiLevelType w:val="hybridMultilevel"/>
    <w:lvl w:ilvl="0">
      <w:lvlJc w:val="left"/>
      <w:lvlText w:val="(%1)"/>
      <w:numFmt w:val="lowerLetter"/>
      <w:start w:val="3"/>
    </w:lvl>
  </w:abstractNum>
  <w:abstractNum w:abstractNumId="137">
    <w:nsid w:val="519EB94C"/>
    <w:multiLevelType w:val="hybridMultilevel"/>
    <w:lvl w:ilvl="0">
      <w:lvlJc w:val="left"/>
      <w:lvlText w:val="(%1)"/>
      <w:numFmt w:val="lowerLetter"/>
      <w:start w:val="2"/>
    </w:lvl>
  </w:abstractNum>
  <w:abstractNum w:abstractNumId="138">
    <w:nsid w:val="39DF2579"/>
    <w:multiLevelType w:val="hybridMultilevel"/>
    <w:lvl w:ilvl="0">
      <w:lvlJc w:val="left"/>
      <w:lvlText w:val="(%1)"/>
      <w:numFmt w:val="lowerLetter"/>
      <w:start w:val="1"/>
    </w:lvl>
  </w:abstractNum>
  <w:abstractNum w:abstractNumId="139">
    <w:nsid w:val="126E008B"/>
    <w:multiLevelType w:val="hybridMultilevel"/>
    <w:lvl w:ilvl="0">
      <w:lvlJc w:val="left"/>
      <w:lvlText w:val="(%1)"/>
      <w:numFmt w:val="lowerLetter"/>
      <w:start w:val="1"/>
    </w:lvl>
  </w:abstractNum>
  <w:abstractNum w:abstractNumId="140">
    <w:nsid w:val="34DFBC00"/>
    <w:multiLevelType w:val="hybridMultilevel"/>
    <w:lvl w:ilvl="0">
      <w:lvlJc w:val="left"/>
      <w:lvlText w:val="(%1)"/>
      <w:numFmt w:val="lowerLetter"/>
      <w:start w:val="2"/>
    </w:lvl>
  </w:abstractNum>
  <w:abstractNum w:abstractNumId="141">
    <w:nsid w:val="1F9EC322"/>
    <w:multiLevelType w:val="hybridMultilevel"/>
    <w:lvl w:ilvl="0">
      <w:lvlJc w:val="left"/>
      <w:lvlText w:val="(%1)"/>
      <w:numFmt w:val="lowerLetter"/>
      <w:start w:val="1"/>
    </w:lvl>
  </w:abstractNum>
  <w:abstractNum w:abstractNumId="142">
    <w:nsid w:val="3410ED56"/>
    <w:multiLevelType w:val="hybridMultilevel"/>
    <w:lvl w:ilvl="0">
      <w:lvlJc w:val="left"/>
      <w:lvlText w:val="(%1)"/>
      <w:numFmt w:val="lowerLetter"/>
      <w:start w:val="2"/>
    </w:lvl>
  </w:abstractNum>
  <w:abstractNum w:abstractNumId="143">
    <w:nsid w:val="23C049A"/>
    <w:multiLevelType w:val="hybridMultilevel"/>
    <w:lvl w:ilvl="0">
      <w:lvlJc w:val="left"/>
      <w:lvlText w:val="(%1)"/>
      <w:numFmt w:val="lowerLetter"/>
      <w:start w:val="1"/>
    </w:lvl>
  </w:abstractNum>
  <w:abstractNum w:abstractNumId="144">
    <w:nsid w:val="5BDA35D4"/>
    <w:multiLevelType w:val="hybridMultilevel"/>
    <w:lvl w:ilvl="0">
      <w:lvlJc w:val="left"/>
      <w:lvlText w:val="(%1)"/>
      <w:numFmt w:val="lowerLetter"/>
      <w:start w:val="3"/>
    </w:lvl>
  </w:abstractNum>
  <w:abstractNum w:abstractNumId="145">
    <w:nsid w:val="496FB218"/>
    <w:multiLevelType w:val="hybridMultilevel"/>
    <w:lvl w:ilvl="0">
      <w:lvlJc w:val="left"/>
      <w:lvlText w:val="(%1)"/>
      <w:numFmt w:val="decimal"/>
      <w:start w:val="30"/>
    </w:lvl>
    <w:lvl w:ilvl="1">
      <w:lvlJc w:val="left"/>
      <w:lvlText w:val="(%2)"/>
      <w:numFmt w:val="lowerLetter"/>
      <w:start w:val="2"/>
    </w:lvl>
  </w:abstractNum>
  <w:abstractNum w:abstractNumId="146">
    <w:nsid w:val="680EA5D1"/>
    <w:multiLevelType w:val="hybridMultilevel"/>
    <w:lvl w:ilvl="0">
      <w:lvlJc w:val="left"/>
      <w:lvlText w:val="(%1)"/>
      <w:numFmt w:val="lowerLetter"/>
      <w:start w:val="61"/>
    </w:lvl>
    <w:lvl w:ilvl="1">
      <w:lvlJc w:val="left"/>
      <w:lvlText w:val="(%2)"/>
      <w:numFmt w:val="lowerLetter"/>
      <w:start w:val="2"/>
    </w:lvl>
  </w:abstractNum>
  <w:abstractNum w:abstractNumId="147">
    <w:nsid w:val="4A9554FE"/>
    <w:multiLevelType w:val="hybridMultilevel"/>
    <w:lvl w:ilvl="0">
      <w:lvlJc w:val="left"/>
      <w:lvlText w:val="(%1)"/>
      <w:numFmt w:val="decimal"/>
      <w:start w:val="5"/>
    </w:lvl>
  </w:abstractNum>
  <w:abstractNum w:abstractNumId="148">
    <w:nsid w:val="392EDBE4"/>
    <w:multiLevelType w:val="hybridMultilevel"/>
    <w:lvl w:ilvl="0">
      <w:lvlJc w:val="left"/>
      <w:lvlText w:val="(%1)"/>
      <w:numFmt w:val="lowerLetter"/>
      <w:start w:val="2"/>
    </w:lvl>
  </w:abstractNum>
  <w:abstractNum w:abstractNumId="149">
    <w:nsid w:val="3D1A2DD9"/>
    <w:multiLevelType w:val="hybridMultilevel"/>
    <w:lvl w:ilvl="0">
      <w:lvlJc w:val="left"/>
      <w:lvlText w:val="%1"/>
      <w:numFmt w:val="lowerLetter"/>
      <w:start w:val="1"/>
    </w:lvl>
    <w:lvl w:ilvl="1">
      <w:lvlJc w:val="left"/>
      <w:lvlText w:val="(%2)"/>
      <w:numFmt w:val="lowerLetter"/>
      <w:start w:val="2"/>
    </w:lvl>
  </w:abstractNum>
  <w:abstractNum w:abstractNumId="150">
    <w:nsid w:val="7F618FCD"/>
    <w:multiLevelType w:val="hybridMultilevel"/>
    <w:lvl w:ilvl="0">
      <w:lvlJc w:val="left"/>
      <w:lvlText w:val="(%1)"/>
      <w:numFmt w:val="lowerLetter"/>
      <w:start w:val="9"/>
    </w:lvl>
    <w:lvl w:ilvl="1">
      <w:lvlJc w:val="left"/>
      <w:lvlText w:val="(%2)"/>
      <w:numFmt w:val="lowerLetter"/>
      <w:start w:val="5"/>
    </w:lvl>
  </w:abstractNum>
  <w:abstractNum w:abstractNumId="151">
    <w:nsid w:val="7843E45"/>
    <w:multiLevelType w:val="hybridMultilevel"/>
    <w:lvl w:ilvl="0">
      <w:lvlJc w:val="left"/>
      <w:lvlText w:val="(%1)"/>
      <w:numFmt w:val="lowerLetter"/>
      <w:start w:val="11"/>
    </w:lvl>
  </w:abstractNum>
  <w:abstractNum w:abstractNumId="152">
    <w:nsid w:val="9815DA3"/>
    <w:multiLevelType w:val="hybridMultilevel"/>
    <w:lvl w:ilvl="0">
      <w:lvlJc w:val="left"/>
      <w:lvlText w:val="(%1)"/>
      <w:numFmt w:val="lowerLetter"/>
      <w:start w:val="1"/>
    </w:lvl>
  </w:abstractNum>
  <w:abstractNum w:abstractNumId="153">
    <w:nsid w:val="5204A191"/>
    <w:multiLevelType w:val="hybridMultilevel"/>
    <w:lvl w:ilvl="0">
      <w:lvlJc w:val="left"/>
      <w:lvlText w:val="(%1)"/>
      <w:numFmt w:val="lowerLetter"/>
      <w:start w:val="8"/>
    </w:lvl>
  </w:abstractNum>
  <w:abstractNum w:abstractNumId="154">
    <w:nsid w:val="4C73A9C6"/>
    <w:multiLevelType w:val="hybridMultilevel"/>
    <w:lvl w:ilvl="0">
      <w:lvlJc w:val="left"/>
      <w:lvlText w:val="%1"/>
      <w:numFmt w:val="decimal"/>
      <w:start w:val="1"/>
    </w:lvl>
    <w:lvl w:ilvl="1">
      <w:lvlJc w:val="left"/>
      <w:lvlText w:val="(%2)"/>
      <w:numFmt w:val="lowerLetter"/>
      <w:start w:val="1"/>
    </w:lvl>
  </w:abstractNum>
  <w:abstractNum w:abstractNumId="155">
    <w:nsid w:val="1C7E3C01"/>
    <w:multiLevelType w:val="hybridMultilevel"/>
    <w:lvl w:ilvl="0">
      <w:lvlJc w:val="left"/>
      <w:lvlText w:val="(%1)"/>
      <w:numFmt w:val="decimal"/>
      <w:start w:val="3"/>
    </w:lvl>
    <w:lvl w:ilvl="1">
      <w:lvlJc w:val="left"/>
      <w:lvlText w:val="(%2)"/>
      <w:numFmt w:val="lowerLetter"/>
      <w:start w:val="7"/>
    </w:lvl>
  </w:abstractNum>
  <w:abstractNum w:abstractNumId="156">
    <w:nsid w:val="1C2201FF"/>
    <w:multiLevelType w:val="hybridMultilevel"/>
    <w:lvl w:ilvl="0">
      <w:lvlJc w:val="left"/>
      <w:lvlText w:val="%1"/>
      <w:numFmt w:val="lowerLetter"/>
      <w:start w:val="1"/>
    </w:lvl>
    <w:lvl w:ilvl="1">
      <w:lvlJc w:val="left"/>
      <w:lvlText w:val="(%2)"/>
      <w:numFmt w:val="lowerLetter"/>
      <w:start w:val="8"/>
    </w:lvl>
  </w:abstractNum>
  <w:abstractNum w:abstractNumId="157">
    <w:nsid w:val="50ABCEC9"/>
    <w:multiLevelType w:val="hybridMultilevel"/>
    <w:lvl w:ilvl="0">
      <w:lvlJc w:val="left"/>
      <w:lvlText w:val="(%1)"/>
      <w:numFmt w:val="lowerLetter"/>
      <w:start w:val="12"/>
    </w:lvl>
    <w:lvl w:ilvl="1">
      <w:lvlJc w:val="left"/>
      <w:lvlText w:val="%2"/>
      <w:numFmt w:val="lowerLetter"/>
      <w:start w:val="1"/>
    </w:lvl>
  </w:abstractNum>
  <w:abstractNum w:abstractNumId="158">
    <w:nsid w:val="7635AA2A"/>
    <w:multiLevelType w:val="hybridMultilevel"/>
    <w:lvl w:ilvl="0">
      <w:lvlJc w:val="left"/>
      <w:lvlText w:val="(%1)"/>
      <w:numFmt w:val="lowerLetter"/>
      <w:start w:val="12"/>
    </w:lvl>
  </w:abstractNum>
  <w:abstractNum w:abstractNumId="159">
    <w:nsid w:val="5E74C4D9"/>
    <w:multiLevelType w:val="hybridMultilevel"/>
    <w:lvl w:ilvl="0">
      <w:lvlJc w:val="left"/>
      <w:lvlText w:val="%1"/>
      <w:numFmt w:val="lowerRoman"/>
      <w:start w:val="1"/>
    </w:lvl>
    <w:lvl w:ilvl="1">
      <w:lvlJc w:val="left"/>
      <w:lvlText w:val="(%2)"/>
      <w:numFmt w:val="lowerLetter"/>
      <w:start w:val="1"/>
    </w:lvl>
  </w:abstractNum>
  <w:abstractNum w:abstractNumId="160">
    <w:nsid w:val="3B3EBE15"/>
    <w:multiLevelType w:val="hybridMultilevel"/>
    <w:lvl w:ilvl="0">
      <w:lvlJc w:val="left"/>
      <w:lvlText w:val="(%1)"/>
      <w:numFmt w:val="lowerRoman"/>
      <w:start w:val="1"/>
    </w:lvl>
    <w:lvl w:ilvl="1">
      <w:lvlJc w:val="left"/>
      <w:lvlText w:val="%2"/>
      <w:numFmt w:val="lowerLetter"/>
      <w:start w:val="1"/>
    </w:lvl>
  </w:abstractNum>
  <w:abstractNum w:abstractNumId="161">
    <w:nsid w:val="3822CB01"/>
    <w:multiLevelType w:val="hybridMultilevel"/>
    <w:lvl w:ilvl="0">
      <w:lvlJc w:val="left"/>
      <w:lvlText w:val="(%1)"/>
      <w:numFmt w:val="lowerRoman"/>
      <w:start w:val="8"/>
    </w:lvl>
  </w:abstractNum>
  <w:abstractNum w:abstractNumId="162">
    <w:nsid w:val="6CE00443"/>
    <w:multiLevelType w:val="hybridMultilevel"/>
    <w:lvl w:ilvl="0">
      <w:lvlJc w:val="left"/>
      <w:lvlText w:val="%1"/>
      <w:numFmt w:val="lowerLetter"/>
      <w:start w:val="1"/>
    </w:lvl>
    <w:lvl w:ilvl="1">
      <w:lvlJc w:val="left"/>
      <w:lvlText w:val="(%2)"/>
      <w:numFmt w:val="lowerLetter"/>
      <w:start w:val="2"/>
    </w:lvl>
  </w:abstractNum>
  <w:abstractNum w:abstractNumId="163">
    <w:nsid w:val="79F0D62F"/>
    <w:multiLevelType w:val="hybridMultilevel"/>
    <w:lvl w:ilvl="0">
      <w:lvlJc w:val="left"/>
      <w:lvlText w:val="(%1)"/>
      <w:numFmt w:val="lowerLetter"/>
      <w:start w:val="61"/>
    </w:lvl>
    <w:lvl w:ilvl="1">
      <w:lvlJc w:val="left"/>
      <w:lvlText w:val="%2"/>
      <w:numFmt w:val="lowerLetter"/>
      <w:start w:val="1"/>
    </w:lvl>
  </w:abstractNum>
  <w:abstractNum w:abstractNumId="164">
    <w:nsid w:val="7975E8EE"/>
    <w:multiLevelType w:val="hybridMultilevel"/>
    <w:lvl w:ilvl="0">
      <w:lvlJc w:val="left"/>
      <w:lvlText w:val="(%1)"/>
      <w:numFmt w:val="lowerLetter"/>
      <w:start w:val="1"/>
    </w:lvl>
  </w:abstractNum>
  <w:abstractNum w:abstractNumId="165">
    <w:nsid w:val="73154115"/>
    <w:multiLevelType w:val="hybridMultilevel"/>
    <w:lvl w:ilvl="0">
      <w:lvlJc w:val="left"/>
      <w:lvlText w:val="(%1)"/>
      <w:numFmt w:val="lowerLetter"/>
      <w:start w:val="10"/>
    </w:lvl>
  </w:abstractNum>
  <w:abstractNum w:abstractNumId="166">
    <w:nsid w:val="622D8102"/>
    <w:multiLevelType w:val="hybridMultilevel"/>
    <w:lvl w:ilvl="0">
      <w:lvlJc w:val="left"/>
      <w:lvlText w:val="%1"/>
      <w:numFmt w:val="lowerLetter"/>
      <w:start w:val="1"/>
    </w:lvl>
    <w:lvl w:ilvl="1">
      <w:lvlJc w:val="left"/>
      <w:lvlText w:val="(%2)"/>
      <w:numFmt w:val="lowerLetter"/>
      <w:start w:val="1"/>
    </w:lvl>
  </w:abstractNum>
  <w:abstractNum w:abstractNumId="167">
    <w:nsid w:val="2AB26587"/>
    <w:multiLevelType w:val="hybridMultilevel"/>
    <w:lvl w:ilvl="0">
      <w:lvlJc w:val="left"/>
      <w:lvlText w:val="(%1)"/>
      <w:numFmt w:val="lowerLetter"/>
      <w:start w:val="9"/>
    </w:lvl>
    <w:lvl w:ilvl="1">
      <w:lvlJc w:val="left"/>
      <w:lvlText w:val="%2"/>
      <w:numFmt w:val="lowerLetter"/>
      <w:start w:val="1"/>
    </w:lvl>
  </w:abstractNum>
  <w:abstractNum w:abstractNumId="168">
    <w:nsid w:val="44B3FA61"/>
    <w:multiLevelType w:val="hybridMultilevel"/>
    <w:lvl w:ilvl="0">
      <w:lvlJc w:val="left"/>
      <w:lvlText w:val="(%1)"/>
      <w:numFmt w:val="lowerLetter"/>
      <w:start w:val="9"/>
    </w:lvl>
    <w:lvl w:ilvl="1">
      <w:lvlJc w:val="left"/>
      <w:lvlText w:val="(%2)"/>
      <w:numFmt w:val="lowerLetter"/>
      <w:start w:val="5"/>
    </w:lvl>
  </w:abstractNum>
  <w:abstractNum w:abstractNumId="169">
    <w:nsid w:val="1C0CA67C"/>
    <w:multiLevelType w:val="hybridMultilevel"/>
    <w:lvl w:ilvl="0">
      <w:lvlJc w:val="left"/>
      <w:lvlText w:val="(%1)"/>
      <w:numFmt w:val="lowerLetter"/>
      <w:start w:val="6"/>
    </w:lvl>
  </w:abstractNum>
  <w:abstractNum w:abstractNumId="170">
    <w:nsid w:val="3D206613"/>
    <w:multiLevelType w:val="hybridMultilevel"/>
    <w:lvl w:ilvl="0">
      <w:lvlJc w:val="left"/>
      <w:lvlText w:val="(%1)"/>
      <w:numFmt w:val="lowerLetter"/>
      <w:start w:val="1"/>
    </w:lvl>
  </w:abstractNum>
  <w:abstractNum w:abstractNumId="171">
    <w:nsid w:val="7993B662"/>
    <w:multiLevelType w:val="hybridMultilevel"/>
    <w:lvl w:ilvl="0">
      <w:lvlJc w:val="left"/>
      <w:lvlText w:val="(%1)"/>
      <w:numFmt w:val="lowerLetter"/>
      <w:start w:val="3"/>
    </w:lvl>
  </w:abstractNum>
  <w:abstractNum w:abstractNumId="172">
    <w:nsid w:val="3BAB699E"/>
    <w:multiLevelType w:val="hybridMultilevel"/>
    <w:lvl w:ilvl="0">
      <w:lvlJc w:val="left"/>
      <w:lvlText w:val="(%1)"/>
      <w:numFmt w:val="lowerRoman"/>
      <w:start w:val="5"/>
    </w:lvl>
  </w:abstractNum>
  <w:abstractNum w:abstractNumId="173">
    <w:nsid w:val="71315369"/>
    <w:multiLevelType w:val="hybridMultilevel"/>
    <w:lvl w:ilvl="0">
      <w:lvlJc w:val="left"/>
      <w:lvlText w:val="(%1)"/>
      <w:numFmt w:val="lowerLetter"/>
      <w:start w:val="2"/>
    </w:lvl>
  </w:abstractNum>
  <w:abstractNum w:abstractNumId="174">
    <w:nsid w:val="7BCFBAFC"/>
    <w:multiLevelType w:val="hybridMultilevel"/>
    <w:lvl w:ilvl="0">
      <w:lvlJc w:val="left"/>
      <w:lvlText w:val="(%1)"/>
      <w:numFmt w:val="lowerLetter"/>
      <w:start w:val="4"/>
    </w:lvl>
  </w:abstractNum>
  <w:abstractNum w:abstractNumId="175">
    <w:nsid w:val="17859F72"/>
    <w:multiLevelType w:val="hybridMultilevel"/>
    <w:lvl w:ilvl="0">
      <w:lvlJc w:val="left"/>
      <w:lvlText w:val="(%1)"/>
      <w:numFmt w:val="lowerLetter"/>
      <w:start w:val="1"/>
    </w:lvl>
  </w:abstractNum>
  <w:abstractNum w:abstractNumId="176">
    <w:nsid w:val="3AA10581"/>
    <w:multiLevelType w:val="hybridMultilevel"/>
    <w:lvl w:ilvl="0">
      <w:lvlJc w:val="left"/>
      <w:lvlText w:val="(%1)"/>
      <w:numFmt w:val="lowerLetter"/>
      <w:start w:val="3"/>
    </w:lvl>
  </w:abstractNum>
  <w:abstractNum w:abstractNumId="177">
    <w:nsid w:val="63DE60CD"/>
    <w:multiLevelType w:val="hybridMultilevel"/>
    <w:lvl w:ilvl="0">
      <w:lvlJc w:val="left"/>
      <w:lvlText w:val="(%1)"/>
      <w:numFmt w:val="lowerLetter"/>
      <w:start w:val="7"/>
    </w:lvl>
  </w:abstractNum>
  <w:abstractNum w:abstractNumId="178">
    <w:nsid w:val="621AF471"/>
    <w:multiLevelType w:val="hybridMultilevel"/>
    <w:lvl w:ilvl="0">
      <w:lvlJc w:val="left"/>
      <w:lvlText w:val="(%1)"/>
      <w:numFmt w:val="lowerLetter"/>
      <w:start w:val="1"/>
    </w:lvl>
  </w:abstractNum>
  <w:abstractNum w:abstractNumId="179">
    <w:nsid w:val="73CFE165"/>
    <w:multiLevelType w:val="hybridMultilevel"/>
    <w:lvl w:ilvl="0">
      <w:lvlJc w:val="left"/>
      <w:lvlText w:val="(%1)"/>
      <w:numFmt w:val="lowerLetter"/>
      <w:start w:val="2"/>
    </w:lvl>
  </w:abstractNum>
  <w:abstractNum w:abstractNumId="180">
    <w:nsid w:val="20F88EA6"/>
    <w:multiLevelType w:val="hybridMultilevel"/>
    <w:lvl w:ilvl="0">
      <w:lvlJc w:val="left"/>
      <w:lvlText w:val="(%1)"/>
      <w:numFmt w:val="lowerLetter"/>
      <w:start w:val="1"/>
    </w:lvl>
  </w:abstractNum>
  <w:abstractNum w:abstractNumId="181">
    <w:nsid w:val="617C843E"/>
    <w:multiLevelType w:val="hybridMultilevel"/>
    <w:lvl w:ilvl="0">
      <w:lvlJc w:val="left"/>
      <w:lvlText w:val="(%1)"/>
      <w:numFmt w:val="lowerLetter"/>
      <w:start w:val="2"/>
    </w:lvl>
  </w:abstractNum>
  <w:abstractNum w:abstractNumId="182">
    <w:nsid w:val="7B541FAB"/>
    <w:multiLevelType w:val="hybridMultilevel"/>
    <w:lvl w:ilvl="0">
      <w:lvlJc w:val="left"/>
      <w:lvlText w:val="(%1)"/>
      <w:numFmt w:val="lowerLetter"/>
      <w:start w:val="1"/>
    </w:lvl>
  </w:abstractNum>
  <w:abstractNum w:abstractNumId="183">
    <w:nsid w:val="2A79EC49"/>
    <w:multiLevelType w:val="hybridMultilevel"/>
    <w:lvl w:ilvl="0">
      <w:lvlJc w:val="left"/>
      <w:lvlText w:val="(%1)"/>
      <w:numFmt w:val="lowerLetter"/>
      <w:start w:val="1"/>
    </w:lvl>
  </w:abstractNum>
  <w:abstractNum w:abstractNumId="184">
    <w:nsid w:val="338125CF"/>
    <w:multiLevelType w:val="hybridMultilevel"/>
    <w:lvl w:ilvl="0">
      <w:lvlJc w:val="left"/>
      <w:lvlText w:val="(%1)"/>
      <w:numFmt w:val="lowerLetter"/>
      <w:start w:val="1"/>
    </w:lvl>
  </w:abstractNum>
  <w:abstractNum w:abstractNumId="185">
    <w:nsid w:val="47C7C971"/>
    <w:multiLevelType w:val="hybridMultilevel"/>
    <w:lvl w:ilvl="0">
      <w:lvlJc w:val="left"/>
      <w:lvlText w:val="(%1)"/>
      <w:numFmt w:val="lowerLetter"/>
      <w:start w:val="6"/>
    </w:lvl>
  </w:abstractNum>
  <w:abstractNum w:abstractNumId="186">
    <w:nsid w:val="46F8284B"/>
    <w:multiLevelType w:val="hybridMultilevel"/>
    <w:lvl w:ilvl="0">
      <w:lvlJc w:val="left"/>
      <w:lvlText w:val="(%1)"/>
      <w:numFmt w:val="lowerRoman"/>
      <w:start w:val="5"/>
    </w:lvl>
  </w:abstractNum>
  <w:abstractNum w:abstractNumId="187">
    <w:nsid w:val="4FA327CE"/>
    <w:multiLevelType w:val="hybridMultilevel"/>
    <w:lvl w:ilvl="0">
      <w:lvlJc w:val="left"/>
      <w:lvlText w:val="(%1)"/>
      <w:numFmt w:val="lowerRoman"/>
      <w:start w:val="1"/>
    </w:lvl>
  </w:abstractNum>
  <w:abstractNum w:abstractNumId="188">
    <w:nsid w:val="1873983A"/>
    <w:multiLevelType w:val="hybridMultilevel"/>
    <w:lvl w:ilvl="0">
      <w:lvlJc w:val="left"/>
      <w:lvlText w:val="(%1)"/>
      <w:numFmt w:val="lowerLetter"/>
      <w:start w:val="2"/>
    </w:lvl>
  </w:abstractNum>
  <w:abstractNum w:abstractNumId="189">
    <w:nsid w:val="3D2DD275"/>
    <w:multiLevelType w:val="hybridMultilevel"/>
    <w:lvl w:ilvl="0">
      <w:lvlJc w:val="left"/>
      <w:lvlText w:val="%1"/>
      <w:numFmt w:val="lowerLetter"/>
      <w:start w:val="1"/>
    </w:lvl>
    <w:lvl w:ilvl="1">
      <w:lvlJc w:val="left"/>
      <w:lvlText w:val="(%2)"/>
      <w:numFmt w:val="lowerLetter"/>
      <w:start w:val="3"/>
    </w:lvl>
  </w:abstractNum>
  <w:abstractNum w:abstractNumId="190">
    <w:nsid w:val="2E17ECA7"/>
    <w:multiLevelType w:val="hybridMultilevel"/>
    <w:lvl w:ilvl="0">
      <w:lvlJc w:val="left"/>
      <w:lvlText w:val="(%1)"/>
      <w:numFmt w:val="lowerLetter"/>
      <w:start w:val="9"/>
    </w:lvl>
    <w:lvl w:ilvl="1">
      <w:lvlJc w:val="left"/>
      <w:lvlText w:val="%2"/>
      <w:numFmt w:val="lowerLetter"/>
      <w:start w:val="1"/>
    </w:lvl>
  </w:abstractNum>
  <w:abstractNum w:abstractNumId="191">
    <w:nsid w:val="53B2564F"/>
    <w:multiLevelType w:val="hybridMultilevel"/>
    <w:lvl w:ilvl="0">
      <w:lvlJc w:val="left"/>
      <w:lvlText w:val="(%1)"/>
      <w:numFmt w:val="lowerLetter"/>
      <w:start w:val="5"/>
    </w:lvl>
  </w:abstractNum>
  <w:abstractNum w:abstractNumId="192">
    <w:nsid w:val="75509D76"/>
    <w:multiLevelType w:val="hybridMultilevel"/>
    <w:lvl w:ilvl="0">
      <w:lvlJc w:val="left"/>
      <w:lvlText w:val="(%1)"/>
      <w:numFmt w:val="lowerLetter"/>
      <w:start w:val="2"/>
    </w:lvl>
  </w:abstractNum>
  <w:abstractNum w:abstractNumId="193">
    <w:nsid w:val="1AF7F0EA"/>
    <w:multiLevelType w:val="hybridMultilevel"/>
    <w:lvl w:ilvl="0">
      <w:lvlJc w:val="left"/>
      <w:lvlText w:val="%1"/>
      <w:numFmt w:val="lowerLetter"/>
      <w:start w:val="1"/>
    </w:lvl>
    <w:lvl w:ilvl="1">
      <w:lvlJc w:val="left"/>
      <w:lvlText w:val="(%2)"/>
      <w:numFmt w:val="lowerLetter"/>
      <w:start w:val="3"/>
    </w:lvl>
  </w:abstractNum>
  <w:abstractNum w:abstractNumId="194">
    <w:nsid w:val="4DA32C7E"/>
    <w:multiLevelType w:val="hybridMultilevel"/>
    <w:lvl w:ilvl="0">
      <w:lvlJc w:val="left"/>
      <w:lvlText w:val="(%1)"/>
      <w:numFmt w:val="lowerLetter"/>
      <w:start w:val="2"/>
    </w:lvl>
    <w:lvl w:ilvl="1">
      <w:lvlJc w:val="left"/>
      <w:lvlText w:val="(%2)"/>
      <w:numFmt w:val="lowerLetter"/>
      <w:start w:val="4"/>
    </w:lvl>
  </w:abstractNum>
  <w:abstractNum w:abstractNumId="195">
    <w:nsid w:val="6EC68664"/>
    <w:multiLevelType w:val="hybridMultilevel"/>
    <w:lvl w:ilvl="0">
      <w:lvlJc w:val="left"/>
      <w:lvlText w:val="(%1)"/>
      <w:numFmt w:val="lowerLetter"/>
      <w:start w:val="6"/>
    </w:lvl>
  </w:abstractNum>
  <w:abstractNum w:abstractNumId="196">
    <w:nsid w:val="E0D31FF"/>
    <w:multiLevelType w:val="hybridMultilevel"/>
    <w:lvl w:ilvl="0">
      <w:lvlJc w:val="left"/>
      <w:lvlText w:val="(%1)"/>
      <w:numFmt w:val="lowerLetter"/>
      <w:start w:val="2"/>
    </w:lvl>
  </w:abstractNum>
  <w:abstractNum w:abstractNumId="197">
    <w:nsid w:val="2FD0AD81"/>
    <w:multiLevelType w:val="hybridMultilevel"/>
    <w:lvl w:ilvl="0">
      <w:lvlJc w:val="left"/>
      <w:lvlText w:val="(%1)"/>
      <w:numFmt w:val="lowerRoman"/>
      <w:start w:val="1"/>
    </w:lvl>
    <w:lvl w:ilvl="1">
      <w:lvlJc w:val="left"/>
      <w:lvlText w:val="(%2)"/>
      <w:numFmt w:val="upperLetter"/>
      <w:start w:val="1"/>
    </w:lvl>
  </w:abstractNum>
  <w:abstractNum w:abstractNumId="198">
    <w:nsid w:val="1978EBEB"/>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3"/>
    </w:lvl>
  </w:abstractNum>
  <w:abstractNum w:abstractNumId="199">
    <w:nsid w:val="52C12C61"/>
    <w:multiLevelType w:val="hybridMultilevel"/>
    <w:lvl w:ilvl="0">
      <w:lvlJc w:val="left"/>
      <w:lvlText w:val="%1"/>
      <w:numFmt w:val="upperLetter"/>
      <w:start w:val="1"/>
    </w:lvl>
    <w:lvl w:ilvl="1">
      <w:lvlJc w:val="left"/>
      <w:lvlText w:val="(%2)"/>
      <w:numFmt w:val="lowerRoman"/>
      <w:start w:val="4"/>
    </w:lvl>
    <w:lvl w:ilvl="2">
      <w:lvlJc w:val="left"/>
      <w:lvlText w:val="%3"/>
      <w:numFmt w:val="upperLetter"/>
      <w:start w:val="1"/>
    </w:lvl>
  </w:abstractNum>
  <w:abstractNum w:abstractNumId="200">
    <w:nsid w:val="4BDD53FD"/>
    <w:multiLevelType w:val="hybridMultilevel"/>
    <w:lvl w:ilvl="0">
      <w:lvlJc w:val="left"/>
      <w:lvlText w:val="(%1)"/>
      <w:numFmt w:val="upperLetter"/>
      <w:start w:val="2"/>
    </w:lvl>
    <w:lvl w:ilvl="1">
      <w:lvlJc w:val="left"/>
      <w:lvlText w:val="(%2)"/>
      <w:numFmt w:val="lowerRoman"/>
      <w:start w:val="6"/>
    </w:lvl>
    <w:lvl w:ilvl="2">
      <w:lvlJc w:val="left"/>
      <w:lvlText w:val="%3"/>
      <w:numFmt w:val="upperLetter"/>
      <w:start w:val="1"/>
    </w:lvl>
  </w:abstractNum>
  <w:abstractNum w:abstractNumId="201">
    <w:nsid w:val="569951FE"/>
    <w:multiLevelType w:val="hybridMultilevel"/>
    <w:lvl w:ilvl="0">
      <w:lvlJc w:val="left"/>
      <w:lvlText w:val="(%1)"/>
      <w:numFmt w:val="lowerLetter"/>
      <w:start w:val="3"/>
    </w:lvl>
  </w:abstractNum>
  <w:abstractNum w:abstractNumId="202">
    <w:nsid w:val="4C54E2C3"/>
    <w:multiLevelType w:val="hybridMultilevel"/>
    <w:lvl w:ilvl="0">
      <w:lvlJc w:val="left"/>
      <w:lvlText w:val="%1"/>
      <w:numFmt w:val="lowerLetter"/>
      <w:start w:val="1"/>
    </w:lvl>
    <w:lvl w:ilvl="1">
      <w:lvlJc w:val="left"/>
      <w:lvlText w:val="(%2)"/>
      <w:numFmt w:val="lowerLetter"/>
      <w:start w:val="5"/>
    </w:lvl>
  </w:abstractNum>
  <w:abstractNum w:abstractNumId="203">
    <w:nsid w:val="788BD9B"/>
    <w:multiLevelType w:val="hybridMultilevel"/>
    <w:lvl w:ilvl="0">
      <w:lvlJc w:val="left"/>
      <w:lvlText w:val="(%1)"/>
      <w:numFmt w:val="lowerLetter"/>
      <w:start w:val="9"/>
    </w:lvl>
    <w:lvl w:ilvl="1">
      <w:lvlJc w:val="left"/>
      <w:lvlText w:val="%2"/>
      <w:numFmt w:val="lowerLetter"/>
      <w:start w:val="1"/>
    </w:lvl>
  </w:abstractNum>
  <w:abstractNum w:abstractNumId="204">
    <w:nsid w:val="47CAA567"/>
    <w:multiLevelType w:val="hybridMultilevel"/>
    <w:lvl w:ilvl="0">
      <w:lvlJc w:val="left"/>
      <w:lvlText w:val="(%1)"/>
      <w:numFmt w:val="lowerLetter"/>
      <w:start w:val="8"/>
    </w:lvl>
  </w:abstractNum>
  <w:abstractNum w:abstractNumId="205">
    <w:nsid w:val="48249DBF"/>
    <w:multiLevelType w:val="hybridMultilevel"/>
    <w:lvl w:ilvl="0">
      <w:lvlJc w:val="left"/>
      <w:lvlText w:val="(%1)"/>
      <w:numFmt w:val="lowerLetter"/>
      <w:start w:val="1"/>
    </w:lvl>
  </w:abstractNum>
  <w:abstractNum w:abstractNumId="206">
    <w:nsid w:val="1F0E5D0D"/>
    <w:multiLevelType w:val="hybridMultilevel"/>
    <w:lvl w:ilvl="0">
      <w:lvlJc w:val="left"/>
      <w:lvlText w:val="(%1)"/>
      <w:numFmt w:val="lowerLetter"/>
      <w:start w:val="61"/>
    </w:lvl>
    <w:lvl w:ilvl="1">
      <w:lvlJc w:val="left"/>
      <w:lvlText w:val="(%2)"/>
      <w:numFmt w:val="lowerLetter"/>
      <w:start w:val="1"/>
    </w:lvl>
  </w:abstractNum>
  <w:abstractNum w:abstractNumId="207">
    <w:nsid w:val="26BAAE9"/>
    <w:multiLevelType w:val="hybridMultilevel"/>
    <w:lvl w:ilvl="0">
      <w:lvlJc w:val="left"/>
      <w:lvlText w:val="(%1)"/>
      <w:numFmt w:val="lowerLetter"/>
      <w:start w:val="2"/>
    </w:lvl>
  </w:abstractNum>
  <w:abstractNum w:abstractNumId="208">
    <w:nsid w:val="2C02FE8C"/>
    <w:multiLevelType w:val="hybridMultilevel"/>
    <w:lvl w:ilvl="0">
      <w:lvlJc w:val="left"/>
      <w:lvlText w:val="(%1)"/>
      <w:numFmt w:val="lowerLetter"/>
      <w:start w:val="3"/>
    </w:lvl>
  </w:abstractNum>
  <w:abstractNum w:abstractNumId="209">
    <w:nsid w:val="129517E"/>
    <w:multiLevelType w:val="hybridMultilevel"/>
    <w:lvl w:ilvl="0">
      <w:lvlJc w:val="left"/>
      <w:lvlText w:val="(%1)"/>
      <w:numFmt w:val="lowerRoman"/>
      <w:start w:val="2"/>
    </w:lvl>
  </w:abstractNum>
  <w:abstractNum w:abstractNumId="210">
    <w:nsid w:val="763B8C4E"/>
    <w:multiLevelType w:val="hybridMultilevel"/>
    <w:lvl w:ilvl="0">
      <w:lvlJc w:val="left"/>
      <w:lvlText w:val="%1."/>
      <w:numFmt w:val="decimal"/>
      <w:start w:val="1"/>
    </w:lvl>
  </w:abstractNum>
  <w:abstractNum w:abstractNumId="211">
    <w:nsid w:val="4CFB8D32"/>
    <w:multiLevelType w:val="hybridMultilevel"/>
    <w:lvl w:ilvl="0">
      <w:lvlJc w:val="left"/>
      <w:lvlText w:val="%1."/>
      <w:numFmt w:val="decimal"/>
      <w:start w:val="1"/>
    </w:lvl>
    <w:lvl w:ilvl="1">
      <w:lvlJc w:val="left"/>
      <w:lvlText w:val="(%2)"/>
      <w:numFmt w:val="lowerRoman"/>
      <w:start w:val="1"/>
    </w:lvl>
  </w:abstractNum>
  <w:abstractNum w:abstractNumId="212">
    <w:nsid w:val="62A5D5BD"/>
    <w:multiLevelType w:val="hybridMultilevel"/>
    <w:lvl w:ilvl="0">
      <w:lvlJc w:val="left"/>
      <w:lvlText w:val="%1."/>
      <w:numFmt w:val="decimal"/>
      <w:start w:val="4"/>
    </w:lvl>
  </w:abstractNum>
  <w:abstractNum w:abstractNumId="213">
    <w:nsid w:val="718FABF9"/>
    <w:multiLevelType w:val="hybridMultilevel"/>
    <w:lvl w:ilvl="0">
      <w:lvlJc w:val="left"/>
      <w:lvlText w:val="%1."/>
      <w:numFmt w:val="decimal"/>
      <w:start w:val="1"/>
    </w:lvl>
  </w:abstractNum>
  <w:abstractNum w:abstractNumId="214">
    <w:nsid w:val="7775797C"/>
    <w:multiLevelType w:val="hybridMultilevel"/>
    <w:lvl w:ilvl="0">
      <w:lvlJc w:val="left"/>
      <w:lvlText w:val="%1."/>
      <w:numFmt w:val="decimal"/>
      <w:start w:val="1"/>
    </w:lvl>
  </w:abstractNum>
  <w:abstractNum w:abstractNumId="215">
    <w:nsid w:val="1626FB8C"/>
    <w:multiLevelType w:val="hybridMultilevel"/>
    <w:lvl w:ilvl="0">
      <w:lvlJc w:val="left"/>
      <w:lvlText w:val="%1."/>
      <w:numFmt w:val="decimal"/>
      <w:start w:val="1"/>
    </w:lvl>
  </w:abstractNum>
  <w:abstractNum w:abstractNumId="216">
    <w:nsid w:val="3957756A"/>
    <w:multiLevelType w:val="hybridMultilevel"/>
    <w:lvl w:ilvl="0">
      <w:lvlJc w:val="left"/>
      <w:lvlText w:val="%1."/>
      <w:numFmt w:val="decimal"/>
      <w:start w:val="1"/>
    </w:lvl>
  </w:abstractNum>
  <w:abstractNum w:abstractNumId="217">
    <w:nsid w:val="3E6DA1C7"/>
    <w:multiLevelType w:val="hybridMultilevel"/>
    <w:lvl w:ilvl="0">
      <w:lvlJc w:val="left"/>
      <w:lvlText w:val="%1."/>
      <w:numFmt w:val="decimal"/>
      <w:start w:val="1"/>
    </w:lvl>
  </w:abstractNum>
  <w:abstractNum w:abstractNumId="218">
    <w:nsid w:val="65CA235B"/>
    <w:multiLevelType w:val="hybridMultilevel"/>
    <w:lvl w:ilvl="0">
      <w:lvlJc w:val="left"/>
      <w:lvlText w:val="☐"/>
      <w:numFmt w:val="bullet"/>
      <w:start w:val="1"/>
    </w:lvl>
  </w:abstractNum>
  <w:abstractNum w:abstractNumId="219">
    <w:nsid w:val="51CB0DA4"/>
    <w:multiLevelType w:val="hybridMultilevel"/>
    <w:lvl w:ilvl="0">
      <w:lvlJc w:val="left"/>
      <w:lvlText w:val="%1."/>
      <w:numFmt w:val="decimal"/>
      <w:start w:val="1"/>
    </w:lvl>
  </w:abstractNum>
  <w:abstractNum w:abstractNumId="220">
    <w:nsid w:val="7B9B743C"/>
    <w:multiLevelType w:val="hybridMultilevel"/>
    <w:lvl w:ilvl="0">
      <w:lvlJc w:val="left"/>
      <w:lvlText w:val="%1."/>
      <w:numFmt w:val="decimal"/>
      <w:start w:val="1"/>
    </w:lvl>
  </w:abstractNum>
  <w:abstractNum w:abstractNumId="221">
    <w:nsid w:val="13E21002"/>
    <w:multiLevelType w:val="hybridMultilevel"/>
    <w:lvl w:ilvl="0">
      <w:lvlJc w:val="left"/>
      <w:lvlText w:val="%1."/>
      <w:numFmt w:val="decimal"/>
      <w:start w:val="4"/>
    </w:lvl>
  </w:abstractNum>
  <w:abstractNum w:abstractNumId="222">
    <w:nsid w:val="257D63F4"/>
    <w:multiLevelType w:val="hybridMultilevel"/>
    <w:lvl w:ilvl="0">
      <w:lvlJc w:val="left"/>
      <w:lvlText w:val="%1"/>
      <w:numFmt w:val="upperLetter"/>
      <w:start w:val="61"/>
    </w:lvl>
    <w:lvl w:ilvl="1">
      <w:lvlJc w:val="left"/>
      <w:lvlText w:val="%2."/>
      <w:numFmt w:val="decimal"/>
      <w:start w:val="8"/>
    </w:lvl>
  </w:abstractNum>
  <w:abstractNum w:abstractNumId="223">
    <w:nsid w:val="70EC11B2"/>
    <w:multiLevelType w:val="hybridMultilevel"/>
    <w:lvl w:ilvl="0">
      <w:lvlJc w:val="left"/>
      <w:lvlText w:val="%1."/>
      <w:numFmt w:val="decimal"/>
      <w:start w:val="9"/>
    </w:lvl>
  </w:abstractNum>
  <w:abstractNum w:abstractNumId="224">
    <w:nsid w:val="2EDA00ED"/>
    <w:multiLevelType w:val="hybridMultilevel"/>
    <w:lvl w:ilvl="0">
      <w:lvlJc w:val="left"/>
      <w:lvlText w:val=","/>
      <w:numFmt w:val="bullet"/>
      <w:start w:val="1"/>
    </w:lvl>
  </w:abstractNum>
  <w:abstractNum w:abstractNumId="225">
    <w:nsid w:val="73209072"/>
    <w:multiLevelType w:val="hybridMultilevel"/>
    <w:lvl w:ilvl="0">
      <w:lvlJc w:val="left"/>
      <w:lvlText w:val="%1."/>
      <w:numFmt w:val="upperLetter"/>
      <w:start w:val="9"/>
    </w:lvl>
  </w:abstractNum>
  <w:abstractNum w:abstractNumId="226">
    <w:nsid w:val="5FB29816"/>
    <w:multiLevelType w:val="hybridMultilevel"/>
    <w:lvl w:ilvl="0">
      <w:lvlJc w:val="left"/>
      <w:lvlText w:val="%1."/>
      <w:numFmt w:val="upperLetter"/>
      <w:start w:val="2"/>
    </w:lvl>
  </w:abstractNum>
  <w:abstractNum w:abstractNumId="227">
    <w:nsid w:val="3CE732EC"/>
    <w:multiLevelType w:val="hybridMultilevel"/>
    <w:lvl w:ilvl="0">
      <w:lvlJc w:val="left"/>
      <w:lvlText w:val="(%1)"/>
      <w:numFmt w:val="decimal"/>
      <w:start w:val="1"/>
    </w:lvl>
  </w:abstractNum>
  <w:abstractNum w:abstractNumId="228">
    <w:nsid w:val="22F13DF3"/>
    <w:multiLevelType w:val="hybridMultilevel"/>
    <w:lvl w:ilvl="0">
      <w:lvlJc w:val="left"/>
      <w:lvlText w:val="%1."/>
      <w:numFmt w:val="lowerRoman"/>
      <w:start w:val="3"/>
    </w:lvl>
  </w:abstractNum>
  <w:abstractNum w:abstractNumId="229">
    <w:nsid w:val="792B8401"/>
    <w:multiLevelType w:val="hybridMultilevel"/>
    <w:lvl w:ilvl="0">
      <w:lvlJc w:val="left"/>
      <w:lvlText w:val="%1."/>
      <w:numFmt w:val="lowerRoman"/>
      <w:start w:val="4"/>
    </w:lvl>
  </w:abstractNum>
  <w:abstractNum w:abstractNumId="230">
    <w:nsid w:val="FA85F4D"/>
    <w:multiLevelType w:val="hybridMultilevel"/>
    <w:lvl w:ilvl="0">
      <w:lvlJc w:val="left"/>
      <w:lvlText w:val="%1."/>
      <w:numFmt w:val="lowerRoman"/>
      <w:start w:val="6"/>
    </w:lvl>
  </w:abstractNum>
  <w:abstractNum w:abstractNumId="231">
    <w:nsid w:val="6ECE91F0"/>
    <w:multiLevelType w:val="hybridMultilevel"/>
    <w:lvl w:ilvl="0">
      <w:lvlJc w:val="left"/>
      <w:lvlText w:val="%1."/>
      <w:numFmt w:val="lowerRoman"/>
      <w:start w:val="7"/>
    </w:lvl>
  </w:abstractNum>
  <w:abstractNum w:abstractNumId="232">
    <w:nsid w:val="4FC4D600"/>
    <w:multiLevelType w:val="hybridMultilevel"/>
    <w:lvl w:ilvl="0">
      <w:lvlJc w:val="left"/>
      <w:lvlText w:val="%1."/>
      <w:numFmt w:val="upperLetter"/>
      <w:start w:val="3"/>
    </w:lvl>
  </w:abstractNum>
  <w:abstractNum w:abstractNumId="233">
    <w:nsid w:val="5BFD4210"/>
    <w:multiLevelType w:val="hybridMultilevel"/>
    <w:lvl w:ilvl="0">
      <w:lvlJc w:val="left"/>
      <w:lvlText w:val="%1."/>
      <w:numFmt w:val="upperLetter"/>
      <w:start w:val="35"/>
    </w:lvl>
  </w:abstractNum>
  <w:abstractNum w:abstractNumId="234">
    <w:nsid w:val="76574F8B"/>
    <w:multiLevelType w:val="hybridMultilevel"/>
    <w:lvl w:ilvl="0">
      <w:lvlJc w:val="left"/>
      <w:lvlText w:val="(%1)"/>
      <w:numFmt w:val="decimal"/>
      <w:start w:val="2"/>
    </w:lvl>
  </w:abstractNum>
  <w:abstractNum w:abstractNumId="235">
    <w:nsid w:val="178F7B67"/>
    <w:multiLevelType w:val="hybridMultilevel"/>
    <w:lvl w:ilvl="0">
      <w:lvlJc w:val="left"/>
      <w:lvlText w:val="%1."/>
      <w:numFmt w:val="upperLetter"/>
      <w:start w:val="3"/>
    </w:lvl>
  </w:abstractNum>
  <w:abstractNum w:abstractNumId="236">
    <w:nsid w:val="2421DFCF"/>
    <w:multiLevelType w:val="hybridMultilevel"/>
    <w:lvl w:ilvl="0">
      <w:lvlJc w:val="left"/>
      <w:lvlText w:val="%1."/>
      <w:numFmt w:val="upperLetter"/>
      <w:start w:val="3"/>
    </w:lvl>
  </w:abstractNum>
  <w:abstractNum w:abstractNumId="237">
    <w:nsid w:val="1565AC99"/>
    <w:multiLevelType w:val="hybridMultilevel"/>
    <w:lvl w:ilvl="0">
      <w:lvlJc w:val="left"/>
      <w:lvlText w:val="%1."/>
      <w:numFmt w:val="decimal"/>
      <w:start w:val="1"/>
    </w:lvl>
  </w:abstractNum>
  <w:abstractNum w:abstractNumId="238">
    <w:nsid w:val="19FB2650"/>
    <w:multiLevelType w:val="hybridMultilevel"/>
    <w:lvl w:ilvl="0">
      <w:lvlJc w:val="left"/>
      <w:lvlText w:val="%1."/>
      <w:numFmt w:val="decimal"/>
      <w:start w:val="6"/>
    </w:lvl>
  </w:abstractNum>
  <w:abstractNum w:abstractNumId="239">
    <w:nsid w:val="5024DE5B"/>
    <w:multiLevelType w:val="hybridMultilevel"/>
    <w:lvl w:ilvl="0">
      <w:lvlJc w:val="left"/>
      <w:lvlText w:val="6"/>
      <w:numFmt w:val="bullet"/>
      <w:start w:val="1"/>
    </w:lvl>
  </w:abstractNum>
  <w:abstractNum w:abstractNumId="240">
    <w:nsid w:val="168EFE17"/>
    <w:multiLevelType w:val="hybridMultilevel"/>
    <w:lvl w:ilvl="0">
      <w:lvlJc w:val="left"/>
      <w:lvlText w:val="7"/>
      <w:numFmt w:val="bullet"/>
      <w:start w:val="1"/>
    </w:lvl>
  </w:abstractNum>
  <w:abstractNum w:abstractNumId="241">
    <w:nsid w:val="1036B29F"/>
    <w:multiLevelType w:val="hybridMultilevel"/>
    <w:lvl w:ilvl="0">
      <w:lvlJc w:val="left"/>
      <w:lvlText w:val="8"/>
      <w:numFmt w:val="bullet"/>
      <w:start w:val="1"/>
    </w:lvl>
  </w:abstractNum>
  <w:abstractNum w:abstractNumId="242">
    <w:nsid w:val="1D206B8E"/>
    <w:multiLevelType w:val="hybridMultilevel"/>
    <w:lvl w:ilvl="0">
      <w:lvlJc w:val="left"/>
      <w:lvlText w:val="9"/>
      <w:numFmt w:val="bullet"/>
      <w:start w:val="1"/>
    </w:lvl>
  </w:abstractNum>
  <w:abstractNum w:abstractNumId="243">
    <w:nsid w:val="7934D3D4"/>
    <w:multiLevelType w:val="hybridMultilevel"/>
    <w:lvl w:ilvl="0">
      <w:lvlJc w:val="left"/>
      <w:lvlText w:val="%1"/>
      <w:numFmt w:val="decimal"/>
      <w:start w:val="10"/>
    </w:lvl>
  </w:abstractNum>
  <w:abstractNum w:abstractNumId="244">
    <w:nsid w:val="1C65E98"/>
    <w:multiLevelType w:val="hybridMultilevel"/>
    <w:lvl w:ilvl="0">
      <w:lvlJc w:val="left"/>
      <w:lvlText w:val="%1"/>
      <w:numFmt w:val="decimal"/>
      <w:start w:val="11"/>
    </w:lvl>
  </w:abstractNum>
  <w:abstractNum w:abstractNumId="245">
    <w:nsid w:val="1495E50A"/>
    <w:multiLevelType w:val="hybridMultilevel"/>
    <w:lvl w:ilvl="0">
      <w:lvlJc w:val="left"/>
      <w:lvlText w:val="%1."/>
      <w:numFmt w:val="decimal"/>
      <w:start w:val="1"/>
    </w:lvl>
  </w:abstractNum>
  <w:abstractNum w:abstractNumId="246">
    <w:nsid w:val="F5BCF61"/>
    <w:multiLevelType w:val="hybridMultilevel"/>
    <w:lvl w:ilvl="0">
      <w:lvlJc w:val="left"/>
      <w:lvlText w:val="%1."/>
      <w:numFmt w:val="decimal"/>
      <w:start w:val="2"/>
    </w:lvl>
  </w:abstractNum>
  <w:abstractNum w:abstractNumId="247">
    <w:nsid w:val="3B1DD403"/>
    <w:multiLevelType w:val="hybridMultilevel"/>
    <w:lvl w:ilvl="0">
      <w:lvlJc w:val="left"/>
      <w:lvlText w:val="(%1)"/>
      <w:numFmt w:val="lowerLetter"/>
      <w:start w:val="1"/>
    </w:lvl>
  </w:abstractNum>
  <w:abstractNum w:abstractNumId="248">
    <w:nsid w:val="530386D1"/>
    <w:multiLevelType w:val="hybridMultilevel"/>
    <w:lvl w:ilvl="0">
      <w:lvlJc w:val="left"/>
      <w:lvlText w:val="(%1)"/>
      <w:numFmt w:val="lowerLetter"/>
      <w:start w:val="2"/>
    </w:lvl>
  </w:abstractNum>
  <w:abstractNum w:abstractNumId="249">
    <w:nsid w:val="7525F2BC"/>
    <w:multiLevelType w:val="hybridMultilevel"/>
    <w:lvl w:ilvl="0">
      <w:lvlJc w:val="left"/>
      <w:lvlText w:val="(%1)"/>
      <w:numFmt w:val="lowerLetter"/>
      <w:start w:val="1"/>
    </w:lvl>
  </w:abstractNum>
  <w:abstractNum w:abstractNumId="250">
    <w:nsid w:val="CE8E1A7"/>
    <w:multiLevelType w:val="hybridMultilevel"/>
    <w:lvl w:ilvl="0">
      <w:lvlJc w:val="left"/>
      <w:lvlText w:val="(%1)"/>
      <w:numFmt w:val="lowerLetter"/>
      <w:start w:val="8"/>
    </w:lvl>
  </w:abstractNum>
  <w:abstractNum w:abstractNumId="251">
    <w:nsid w:val="4E9EFB0D"/>
    <w:multiLevelType w:val="hybridMultilevel"/>
    <w:lvl w:ilvl="0">
      <w:lvlJc w:val="left"/>
      <w:lvlText w:val="(%1)"/>
      <w:numFmt w:val="lowerLetter"/>
      <w:start w:val="1"/>
    </w:lvl>
  </w:abstractNum>
  <w:abstractNum w:abstractNumId="252">
    <w:nsid w:val="90802BE"/>
    <w:multiLevelType w:val="hybridMultilevel"/>
    <w:lvl w:ilvl="0">
      <w:lvlJc w:val="left"/>
      <w:lvlText w:val="(%1)"/>
      <w:numFmt w:val="lowerLetter"/>
      <w:start w:val="5"/>
    </w:lvl>
  </w:abstractNum>
  <w:abstractNum w:abstractNumId="253">
    <w:nsid w:val="3266459B"/>
    <w:multiLevelType w:val="hybridMultilevel"/>
    <w:lvl w:ilvl="0">
      <w:lvlJc w:val="left"/>
      <w:lvlText w:val="(%1)"/>
      <w:numFmt w:val="lowerLetter"/>
      <w:start w:val="2"/>
    </w:lvl>
    <w:lvl w:ilvl="1">
      <w:lvlJc w:val="left"/>
      <w:lvlText w:val="(%2)"/>
      <w:numFmt w:val="lowerRoman"/>
      <w:start w:val="1"/>
    </w:lvl>
  </w:abstractNum>
  <w:abstractNum w:abstractNumId="254">
    <w:nsid w:val="3F8B0CBF"/>
    <w:multiLevelType w:val="hybridMultilevel"/>
    <w:lvl w:ilvl="0">
      <w:lvlJc w:val="left"/>
      <w:lvlText w:val="%1"/>
      <w:numFmt w:val="lowerLetter"/>
      <w:start w:val="1"/>
    </w:lvl>
    <w:lvl w:ilvl="1">
      <w:lvlJc w:val="left"/>
      <w:lvlText w:val="(%2)"/>
      <w:numFmt w:val="lowerRoman"/>
      <w:start w:val="3"/>
    </w:lvl>
  </w:abstractNum>
  <w:abstractNum w:abstractNumId="255">
    <w:nsid w:val="37E203AB"/>
    <w:multiLevelType w:val="hybridMultilevel"/>
    <w:lvl w:ilvl="0">
      <w:lvlJc w:val="left"/>
      <w:lvlText w:val="(%1)"/>
      <w:numFmt w:val="lowerLetter"/>
      <w:start w:val="3"/>
    </w:lvl>
    <w:lvl w:ilvl="1">
      <w:lvlJc w:val="left"/>
      <w:lvlText w:val="%2"/>
      <w:numFmt w:val="lowerRoman"/>
      <w:start w:val="1"/>
    </w:lvl>
  </w:abstractNum>
  <w:abstractNum w:abstractNumId="256">
    <w:nsid w:val="2586D60E"/>
    <w:multiLevelType w:val="hybridMultilevel"/>
    <w:lvl w:ilvl="0">
      <w:lvlJc w:val="left"/>
      <w:lvlText w:val="(%1)"/>
      <w:numFmt w:val="lowerLetter"/>
      <w:start w:val="2"/>
    </w:lvl>
  </w:abstractNum>
  <w:abstractNum w:abstractNumId="257">
    <w:nsid w:val="1F3DA4D5"/>
    <w:multiLevelType w:val="hybridMultilevel"/>
    <w:lvl w:ilvl="0">
      <w:lvlJc w:val="left"/>
      <w:lvlText w:val="(%1)"/>
      <w:numFmt w:val="lowerLetter"/>
      <w:start w:val="2"/>
    </w:lvl>
  </w:abstractNum>
  <w:abstractNum w:abstractNumId="258">
    <w:nsid w:val="74C93698"/>
    <w:multiLevelType w:val="hybridMultilevel"/>
    <w:lvl w:ilvl="0">
      <w:lvlJc w:val="left"/>
      <w:lvlText w:val="(%1)"/>
      <w:numFmt w:val="lowerLetter"/>
      <w:start w:val="2"/>
    </w:lvl>
  </w:abstractNum>
  <w:abstractNum w:abstractNumId="259">
    <w:nsid w:val="48781401"/>
    <w:multiLevelType w:val="hybridMultilevel"/>
    <w:lvl w:ilvl="0">
      <w:lvlJc w:val="left"/>
      <w:lvlText w:val="(%1)"/>
      <w:numFmt w:val="lowerLetter"/>
      <w:start w:val="2"/>
    </w:lvl>
  </w:abstractNum>
  <w:abstractNum w:abstractNumId="260">
    <w:nsid w:val="186928D6"/>
    <w:multiLevelType w:val="hybridMultilevel"/>
    <w:lvl w:ilvl="0">
      <w:lvlJc w:val="left"/>
      <w:lvlText w:val="(%1)"/>
      <w:numFmt w:val="upperLetter"/>
      <w:start w:val="1"/>
    </w:lvl>
  </w:abstractNum>
  <w:abstractNum w:abstractNumId="261">
    <w:nsid w:val="47195E5"/>
    <w:multiLevelType w:val="hybridMultilevel"/>
    <w:lvl w:ilvl="0">
      <w:lvlJc w:val="left"/>
      <w:lvlText w:val="(%1)"/>
      <w:numFmt w:val="lowerLetter"/>
      <w:start w:val="1"/>
    </w:lvl>
  </w:abstractNum>
  <w:abstractNum w:abstractNumId="262">
    <w:nsid w:val="3746A5F2"/>
    <w:multiLevelType w:val="hybridMultilevel"/>
    <w:lvl w:ilvl="0">
      <w:lvlJc w:val="left"/>
      <w:lvlText w:val="(%1)"/>
      <w:numFmt w:val="lowerLetter"/>
      <w:start w:val="3"/>
    </w:lvl>
  </w:abstractNum>
  <w:abstractNum w:abstractNumId="263">
    <w:nsid w:val="682DFED6"/>
    <w:multiLevelType w:val="hybridMultilevel"/>
    <w:lvl w:ilvl="0">
      <w:lvlJc w:val="left"/>
      <w:lvlText w:val="(%1)"/>
      <w:numFmt w:val="lowerLetter"/>
      <w:start w:val="1"/>
    </w:lvl>
  </w:abstractNum>
  <w:abstractNum w:abstractNumId="264">
    <w:nsid w:val="606ED7F6"/>
    <w:multiLevelType w:val="hybridMultilevel"/>
    <w:lvl w:ilvl="0">
      <w:lvlJc w:val="left"/>
      <w:lvlText w:val="(%1)"/>
      <w:numFmt w:val="lowerLetter"/>
      <w:start w:val="1"/>
    </w:lvl>
    <w:lvl w:ilvl="1">
      <w:lvlJc w:val="left"/>
      <w:lvlText w:val="(%2)"/>
      <w:numFmt w:val="lowerRoman"/>
      <w:start w:val="1"/>
    </w:lvl>
  </w:abstractNum>
  <w:abstractNum w:abstractNumId="265">
    <w:nsid w:val="2D9DF57D"/>
    <w:multiLevelType w:val="hybridMultilevel"/>
    <w:lvl w:ilvl="0">
      <w:lvlJc w:val="left"/>
      <w:lvlText w:val="%1"/>
      <w:numFmt w:val="lowerLetter"/>
      <w:start w:val="1"/>
    </w:lvl>
    <w:lvl w:ilvl="1">
      <w:lvlJc w:val="left"/>
      <w:lvlText w:val="(%2)"/>
      <w:numFmt w:val="lowerRoman"/>
      <w:start w:val="9"/>
    </w:lvl>
  </w:abstractNum>
  <w:abstractNum w:abstractNumId="266">
    <w:nsid w:val="7FBD7A3E"/>
    <w:multiLevelType w:val="hybridMultilevel"/>
    <w:lvl w:ilvl="0">
      <w:lvlJc w:val="left"/>
      <w:lvlText w:val="(%1)"/>
      <w:numFmt w:val="lowerLetter"/>
      <w:start w:val="2"/>
    </w:lvl>
    <w:lvl w:ilvl="1">
      <w:lvlJc w:val="left"/>
      <w:lvlText w:val="%2"/>
      <w:numFmt w:val="lowerRoman"/>
      <w:start w:val="1"/>
    </w:lvl>
  </w:abstractNum>
  <w:abstractNum w:abstractNumId="267">
    <w:nsid w:val="490B7C5"/>
    <w:multiLevelType w:val="hybridMultilevel"/>
    <w:lvl w:ilvl="0">
      <w:lvlJc w:val="left"/>
      <w:lvlText w:val="(%1)"/>
      <w:numFmt w:val="lowerLetter"/>
      <w:start w:val="1"/>
    </w:lvl>
    <w:lvl w:ilvl="1">
      <w:lvlJc w:val="left"/>
      <w:lvlText w:val="-"/>
      <w:numFmt w:val="bullet"/>
      <w:start w:val="1"/>
    </w:lvl>
  </w:abstractNum>
  <w:abstractNum w:abstractNumId="268">
    <w:nsid w:val="4303A216"/>
    <w:multiLevelType w:val="hybridMultilevel"/>
    <w:lvl w:ilvl="0">
      <w:lvlJc w:val="left"/>
      <w:lvlText w:val="%1"/>
      <w:numFmt w:val="lowerLetter"/>
      <w:start w:val="1"/>
    </w:lvl>
    <w:lvl w:ilvl="1">
      <w:lvlJc w:val="left"/>
      <w:lvlText w:val="(%2)"/>
      <w:numFmt w:val="lowerLetter"/>
      <w:start w:val="4"/>
    </w:lvl>
  </w:abstractNum>
  <w:abstractNum w:abstractNumId="269">
    <w:nsid w:val="19B8A08E"/>
    <w:multiLevelType w:val="hybridMultilevel"/>
    <w:lvl w:ilvl="0">
      <w:lvlJc w:val="left"/>
      <w:lvlText w:val="(%1)"/>
      <w:numFmt w:val="lowerLetter"/>
      <w:start w:val="3"/>
    </w:lvl>
    <w:lvl w:ilvl="1">
      <w:lvlJc w:val="left"/>
      <w:lvlText w:val="(%2)"/>
      <w:numFmt w:val="lowerLetter"/>
      <w:start w:val="5"/>
    </w:lvl>
  </w:abstractNum>
  <w:abstractNum w:abstractNumId="270">
    <w:nsid w:val="54B59621"/>
    <w:multiLevelType w:val="hybridMultilevel"/>
    <w:lvl w:ilvl="0">
      <w:lvlJc w:val="left"/>
      <w:lvlText w:val="(%1)"/>
      <w:numFmt w:val="lowerLetter"/>
      <w:start w:val="2"/>
    </w:lvl>
  </w:abstractNum>
  <w:abstractNum w:abstractNumId="271">
    <w:nsid w:val="5992A02E"/>
    <w:multiLevelType w:val="hybridMultilevel"/>
    <w:lvl w:ilvl="0">
      <w:lvlJc w:val="left"/>
      <w:lvlText w:val="(%1)"/>
      <w:numFmt w:val="lowerLetter"/>
      <w:start w:val="2"/>
    </w:lvl>
  </w:abstractNum>
  <w:abstractNum w:abstractNumId="272">
    <w:nsid w:val="29EF532D"/>
    <w:multiLevelType w:val="hybridMultilevel"/>
    <w:lvl w:ilvl="0">
      <w:lvlJc w:val="left"/>
      <w:lvlText w:val="(%1)"/>
      <w:numFmt w:val="lowerRoman"/>
      <w:start w:val="1"/>
    </w:lvl>
    <w:lvl w:ilvl="1">
      <w:lvlJc w:val="left"/>
      <w:lvlText w:val="-"/>
      <w:numFmt w:val="bullet"/>
      <w:start w:val="1"/>
    </w:lvl>
  </w:abstractNum>
  <w:abstractNum w:abstractNumId="273">
    <w:nsid w:val="71D601AF"/>
    <w:multiLevelType w:val="hybridMultilevel"/>
    <w:lvl w:ilvl="0">
      <w:lvlJc w:val="left"/>
      <w:lvlText w:val="%1"/>
      <w:numFmt w:val="lowerLetter"/>
      <w:start w:val="1"/>
    </w:lvl>
    <w:lvl w:ilvl="1">
      <w:lvlJc w:val="left"/>
      <w:lvlText w:val="(%2)"/>
      <w:numFmt w:val="lowerLetter"/>
      <w:start w:val="35"/>
    </w:lvl>
  </w:abstractNum>
  <w:abstractNum w:abstractNumId="274">
    <w:nsid w:val="52C77402"/>
    <w:multiLevelType w:val="hybridMultilevel"/>
    <w:lvl w:ilvl="0">
      <w:lvlJc w:val="left"/>
      <w:lvlText w:val="(%1)"/>
      <w:numFmt w:val="lowerLetter"/>
      <w:start w:val="2"/>
    </w:lvl>
    <w:lvl w:ilvl="1">
      <w:lvlJc w:val="left"/>
      <w:lvlText w:val="%2"/>
      <w:numFmt w:val="lowerLetter"/>
      <w:start w:val="1"/>
    </w:lvl>
  </w:abstractNum>
  <w:abstractNum w:abstractNumId="275">
    <w:nsid w:val="2BB5B1C6"/>
    <w:multiLevelType w:val="hybridMultilevel"/>
    <w:lvl w:ilvl="0">
      <w:lvlJc w:val="left"/>
      <w:lvlText w:val="(%1)"/>
      <w:numFmt w:val="lowerLetter"/>
      <w:start w:val="2"/>
    </w:lvl>
    <w:lvl w:ilvl="1">
      <w:lvlJc w:val="left"/>
      <w:lvlText w:val="-"/>
      <w:numFmt w:val="bullet"/>
      <w:start w:val="1"/>
    </w:lvl>
  </w:abstractNum>
  <w:abstractNum w:abstractNumId="276">
    <w:nsid w:val="66BE6B9"/>
    <w:multiLevelType w:val="hybridMultilevel"/>
    <w:lvl w:ilvl="0">
      <w:lvlJc w:val="left"/>
      <w:lvlText w:val="(%1)"/>
      <w:numFmt w:val="lowerLetter"/>
      <w:start w:val="5"/>
    </w:lvl>
  </w:abstractNum>
  <w:abstractNum w:abstractNumId="277">
    <w:nsid w:val="62234363"/>
    <w:multiLevelType w:val="hybridMultilevel"/>
    <w:lvl w:ilvl="0">
      <w:lvlJc w:val="left"/>
      <w:lvlText w:val="(%1)"/>
      <w:numFmt w:val="lowerLetter"/>
      <w:start w:val="1"/>
    </w:lvl>
  </w:abstractNum>
  <w:abstractNum w:abstractNumId="278">
    <w:nsid w:val="66D385C9"/>
    <w:multiLevelType w:val="hybridMultilevel"/>
    <w:lvl w:ilvl="0">
      <w:lvlJc w:val="left"/>
      <w:lvlText w:val="(%1)"/>
      <w:numFmt w:val="lowerLetter"/>
      <w:start w:val="2"/>
    </w:lvl>
  </w:abstractNum>
  <w:abstractNum w:abstractNumId="279">
    <w:nsid w:val="596F6D8A"/>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280">
    <w:nsid w:val="5749361F"/>
    <w:multiLevelType w:val="hybridMultilevel"/>
    <w:lvl w:ilvl="0">
      <w:lvlJc w:val="left"/>
      <w:lvlText w:val="(%1)"/>
      <w:numFmt w:val="lowerLetter"/>
      <w:start w:val="35"/>
    </w:lvl>
    <w:lvl w:ilvl="1">
      <w:lvlJc w:val="left"/>
      <w:lvlText w:val="%2"/>
      <w:numFmt w:val="lowerLetter"/>
      <w:start w:val="1"/>
    </w:lvl>
    <w:lvl w:ilvl="2">
      <w:lvlJc w:val="left"/>
      <w:lvlText w:val="-"/>
      <w:numFmt w:val="bullet"/>
      <w:start w:val="1"/>
    </w:lvl>
  </w:abstractNum>
  <w:abstractNum w:abstractNumId="281">
    <w:nsid w:val="73BC6770"/>
    <w:multiLevelType w:val="hybridMultilevel"/>
    <w:lvl w:ilvl="0">
      <w:lvlJc w:val="left"/>
      <w:lvlText w:val="%1"/>
      <w:numFmt w:val="lowerLetter"/>
      <w:start w:val="1"/>
    </w:lvl>
    <w:lvl w:ilvl="1">
      <w:lvlJc w:val="left"/>
      <w:lvlText w:val="(%2)"/>
      <w:numFmt w:val="lowerLetter"/>
      <w:start w:val="3"/>
    </w:lvl>
  </w:abstractNum>
  <w:abstractNum w:abstractNumId="282">
    <w:nsid w:val="280E6897"/>
    <w:multiLevelType w:val="hybridMultilevel"/>
    <w:lvl w:ilvl="0">
      <w:lvlJc w:val="left"/>
      <w:lvlText w:val="(%1)"/>
      <w:numFmt w:val="lowerLetter"/>
      <w:start w:val="9"/>
    </w:lvl>
    <w:lvl w:ilvl="1">
      <w:lvlJc w:val="left"/>
      <w:lvlText w:val="%2"/>
      <w:numFmt w:val="lowerLetter"/>
      <w:start w:val="1"/>
    </w:lvl>
  </w:abstractNum>
  <w:abstractNum w:abstractNumId="283">
    <w:nsid w:val="605138DE"/>
    <w:multiLevelType w:val="hybridMultilevel"/>
    <w:lvl w:ilvl="0">
      <w:lvlJc w:val="left"/>
      <w:lvlText w:val="(%1)"/>
      <w:numFmt w:val="lowerLetter"/>
      <w:start w:val="61"/>
    </w:lvl>
    <w:lvl w:ilvl="1">
      <w:lvlJc w:val="left"/>
      <w:lvlText w:val="(%2)"/>
      <w:numFmt w:val="lowerLetter"/>
      <w:start w:val="4"/>
    </w:lvl>
  </w:abstractNum>
  <w:abstractNum w:abstractNumId="284">
    <w:nsid w:val="2622AD0C"/>
    <w:multiLevelType w:val="hybridMultilevel"/>
    <w:lvl w:ilvl="0">
      <w:lvlJc w:val="left"/>
      <w:lvlText w:val="(%1)"/>
      <w:numFmt w:val="lowerLetter"/>
      <w:start w:val="1"/>
    </w:lvl>
    <w:lvl w:ilvl="1">
      <w:lvlJc w:val="left"/>
      <w:lvlText w:val="(%2)"/>
      <w:numFmt w:val="lowerRoman"/>
      <w:start w:val="1"/>
    </w:lvl>
  </w:abstractNum>
  <w:abstractNum w:abstractNumId="285">
    <w:nsid w:val="67997556"/>
    <w:multiLevelType w:val="hybridMultilevel"/>
    <w:lvl w:ilvl="0">
      <w:lvlJc w:val="left"/>
      <w:lvlText w:val="(%1)"/>
      <w:numFmt w:val="lowerRoman"/>
      <w:start w:val="1"/>
    </w:lvl>
    <w:lvl w:ilvl="1">
      <w:lvlJc w:val="left"/>
      <w:lvlText w:val="-"/>
      <w:numFmt w:val="bullet"/>
      <w:start w:val="1"/>
    </w:lvl>
  </w:abstractNum>
  <w:abstractNum w:abstractNumId="286">
    <w:nsid w:val="18333C89"/>
    <w:multiLevelType w:val="hybridMultilevel"/>
    <w:lvl w:ilvl="0">
      <w:lvlJc w:val="left"/>
      <w:lvlText w:val="%1"/>
      <w:numFmt w:val="lowerLetter"/>
      <w:start w:val="1"/>
    </w:lvl>
    <w:lvl w:ilvl="1">
      <w:lvlJc w:val="left"/>
      <w:lvlText w:val="(%2)"/>
      <w:numFmt w:val="lowerLetter"/>
      <w:start w:val="35"/>
    </w:lvl>
  </w:abstractNum>
  <w:abstractNum w:abstractNumId="287">
    <w:nsid w:val="4BA9831A"/>
    <w:multiLevelType w:val="hybridMultilevel"/>
    <w:lvl w:ilvl="0">
      <w:lvlJc w:val="left"/>
      <w:lvlText w:val="(%1)"/>
      <w:numFmt w:val="lowerLetter"/>
      <w:start w:val="2"/>
    </w:lvl>
    <w:lvl w:ilvl="1">
      <w:lvlJc w:val="left"/>
      <w:lvlText w:val="(%2)"/>
      <w:numFmt w:val="lowerLetter"/>
      <w:start w:val="9"/>
    </w:lvl>
  </w:abstractNum>
  <w:abstractNum w:abstractNumId="288">
    <w:nsid w:val="6D71A2B"/>
    <w:multiLevelType w:val="hybridMultilevel"/>
    <w:lvl w:ilvl="0">
      <w:lvlJc w:val="left"/>
      <w:lvlText w:val="(%1)"/>
      <w:numFmt w:val="lowerRoman"/>
      <w:start w:val="2"/>
    </w:lvl>
  </w:abstractNum>
  <w:abstractNum w:abstractNumId="289">
    <w:nsid w:val="CFC7321"/>
    <w:multiLevelType w:val="hybridMultilevel"/>
    <w:lvl w:ilvl="0">
      <w:lvlJc w:val="left"/>
      <w:lvlText w:val="(%1)"/>
      <w:numFmt w:val="lowerLetter"/>
      <w:start w:val="1"/>
    </w:lvl>
  </w:abstractNum>
  <w:abstractNum w:abstractNumId="290">
    <w:nsid w:val="1421971B"/>
    <w:multiLevelType w:val="hybridMultilevel"/>
    <w:lvl w:ilvl="0">
      <w:lvlJc w:val="left"/>
      <w:lvlText w:val="(%1)"/>
      <w:numFmt w:val="lowerLetter"/>
      <w:start w:val="1"/>
    </w:lvl>
  </w:abstractNum>
  <w:abstractNum w:abstractNumId="291">
    <w:nsid w:val="1F404301"/>
    <w:multiLevelType w:val="hybridMultilevel"/>
    <w:lvl w:ilvl="0">
      <w:lvlJc w:val="left"/>
      <w:lvlText w:val="(%1)"/>
      <w:numFmt w:val="lowerLetter"/>
      <w:start w:val="2"/>
    </w:lvl>
  </w:abstractNum>
  <w:abstractNum w:abstractNumId="292">
    <w:nsid w:val="116E0907"/>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93">
    <w:nsid w:val="4B683D0D"/>
    <w:multiLevelType w:val="hybridMultilevel"/>
    <w:lvl w:ilvl="0">
      <w:lvlJc w:val="left"/>
      <w:lvlText w:val="(%1)"/>
      <w:numFmt w:val="lowerRoman"/>
      <w:start w:val="3"/>
    </w:lvl>
  </w:abstractNum>
  <w:abstractNum w:abstractNumId="294">
    <w:nsid w:val="76E41D8"/>
    <w:multiLevelType w:val="hybridMultilevel"/>
    <w:lvl w:ilvl="0">
      <w:lvlJc w:val="left"/>
      <w:lvlText w:val="(%1)"/>
      <w:numFmt w:val="lowerLetter"/>
      <w:start w:val="1"/>
    </w:lvl>
  </w:abstractNum>
  <w:abstractNum w:abstractNumId="295">
    <w:nsid w:val="71DCE0FD"/>
    <w:multiLevelType w:val="hybridMultilevel"/>
    <w:lvl w:ilvl="0">
      <w:lvlJc w:val="left"/>
      <w:lvlText w:val="(%1)"/>
      <w:numFmt w:val="lowerLetter"/>
      <w:start w:val="1"/>
    </w:lvl>
    <w:lvl w:ilvl="1">
      <w:lvlJc w:val="left"/>
      <w:lvlText w:val="-"/>
      <w:numFmt w:val="bullet"/>
      <w:start w:val="1"/>
    </w:lvl>
  </w:abstractNum>
  <w:abstractNum w:abstractNumId="296">
    <w:nsid w:val="7906328B"/>
    <w:multiLevelType w:val="hybridMultilevel"/>
    <w:lvl w:ilvl="0">
      <w:lvlJc w:val="left"/>
      <w:lvlText w:val="(%1)"/>
      <w:numFmt w:val="lowerLetter"/>
      <w:start w:val="2"/>
    </w:lvl>
  </w:abstractNum>
  <w:abstractNum w:abstractNumId="297">
    <w:nsid w:val="72BBC16"/>
    <w:multiLevelType w:val="hybridMultilevel"/>
    <w:lvl w:ilvl="0">
      <w:lvlJc w:val="left"/>
      <w:lvlText w:val="(%1)"/>
      <w:numFmt w:val="lowerLetter"/>
      <w:start w:val="2"/>
    </w:lvl>
  </w:abstractNum>
  <w:abstractNum w:abstractNumId="298">
    <w:nsid w:val="766D98C2"/>
    <w:multiLevelType w:val="hybridMultilevel"/>
    <w:lvl w:ilvl="0">
      <w:lvlJc w:val="left"/>
      <w:lvlText w:val="(%1)"/>
      <w:numFmt w:val="lowerLetter"/>
      <w:start w:val="1"/>
    </w:lvl>
    <w:lvl w:ilvl="1">
      <w:lvlJc w:val="left"/>
      <w:lvlText w:val="-"/>
      <w:numFmt w:val="bullet"/>
      <w:start w:val="1"/>
    </w:lvl>
  </w:abstractNum>
  <w:abstractNum w:abstractNumId="299">
    <w:nsid w:val="3C09D4A1"/>
    <w:multiLevelType w:val="hybridMultilevel"/>
    <w:lvl w:ilvl="0">
      <w:lvlJc w:val="left"/>
      <w:lvlText w:val="(%1)"/>
      <w:numFmt w:val="lowerLetter"/>
      <w:start w:val="2"/>
    </w:lvl>
  </w:abstractNum>
  <w:abstractNum w:abstractNumId="300">
    <w:nsid w:val="20E45CA4"/>
    <w:multiLevelType w:val="hybridMultilevel"/>
    <w:lvl w:ilvl="0">
      <w:lvlJc w:val="left"/>
      <w:lvlText w:val="(%1)"/>
      <w:numFmt w:val="lowerLetter"/>
      <w:start w:val="2"/>
    </w:lvl>
    <w:lvl w:ilvl="1">
      <w:lvlJc w:val="left"/>
      <w:lvlText w:val="-"/>
      <w:numFmt w:val="bullet"/>
      <w:start w:val="1"/>
    </w:lvl>
  </w:abstractNum>
  <w:abstractNum w:abstractNumId="301">
    <w:nsid w:val="4B232EE3"/>
    <w:multiLevelType w:val="hybridMultilevel"/>
    <w:lvl w:ilvl="0">
      <w:lvlJc w:val="left"/>
      <w:lvlText w:val="(%1)"/>
      <w:numFmt w:val="upperLetter"/>
      <w:start w:val="1"/>
    </w:lvl>
  </w:abstractNum>
  <w:abstractNum w:abstractNumId="302">
    <w:nsid w:val="159C74CF"/>
    <w:multiLevelType w:val="hybridMultilevel"/>
    <w:lvl w:ilvl="0">
      <w:lvlJc w:val="left"/>
      <w:lvlText w:val="(%1)"/>
      <w:numFmt w:val="lowerLetter"/>
      <w:start w:val="1"/>
    </w:lvl>
    <w:lvl w:ilvl="1">
      <w:lvlJc w:val="left"/>
      <w:lvlText w:val="-"/>
      <w:numFmt w:val="bullet"/>
      <w:start w:val="1"/>
    </w:lvl>
  </w:abstractNum>
  <w:abstractNum w:abstractNumId="303">
    <w:nsid w:val="4AD3AFD2"/>
    <w:multiLevelType w:val="hybridMultilevel"/>
    <w:lvl w:ilvl="0">
      <w:lvlJc w:val="left"/>
      <w:lvlText w:val="(%1)"/>
      <w:numFmt w:val="lowerLetter"/>
      <w:start w:val="3"/>
    </w:lvl>
  </w:abstractNum>
  <w:abstractNum w:abstractNumId="304">
    <w:nsid w:val="3CF93092"/>
    <w:multiLevelType w:val="hybridMultilevel"/>
    <w:lvl w:ilvl="0">
      <w:lvlJc w:val="left"/>
      <w:lvlText w:val="H"/>
      <w:numFmt w:val="bullet"/>
      <w:start w:val="1"/>
    </w:lvl>
  </w:abstractNum>
  <w:abstractNum w:abstractNumId="305">
    <w:nsid w:val="6863E8D2"/>
    <w:multiLevelType w:val="hybridMultilevel"/>
    <w:lvl w:ilvl="0">
      <w:lvlJc w:val="left"/>
      <w:lvlText w:val="I"/>
      <w:numFmt w:val="bullet"/>
      <w:start w:val="1"/>
    </w:lvl>
  </w:abstractNum>
  <w:abstractNum w:abstractNumId="306">
    <w:nsid w:val="76896198"/>
    <w:multiLevelType w:val="hybridMultilevel"/>
    <w:lvl w:ilvl="0">
      <w:lvlJc w:val="left"/>
      <w:lvlText w:val="L"/>
      <w:numFmt w:val="bullet"/>
      <w:start w:val="1"/>
    </w:lvl>
  </w:abstractNum>
  <w:abstractNum w:abstractNumId="307">
    <w:nsid w:val="4365174B"/>
    <w:multiLevelType w:val="hybridMultilevel"/>
    <w:lvl w:ilvl="0">
      <w:lvlJc w:val="left"/>
      <w:lvlText w:val="B"/>
      <w:numFmt w:val="bullet"/>
      <w:start w:val="1"/>
    </w:lvl>
  </w:abstractNum>
  <w:abstractNum w:abstractNumId="308">
    <w:nsid w:val="4A872C35"/>
    <w:multiLevelType w:val="hybridMultilevel"/>
    <w:lvl w:ilvl="0">
      <w:lvlJc w:val="left"/>
      <w:lvlText w:val="Q"/>
      <w:numFmt w:val="bullet"/>
      <w:start w:val="1"/>
    </w:lvl>
  </w:abstractNum>
  <w:abstractNum w:abstractNumId="309">
    <w:nsid w:val="5D5CE761"/>
    <w:multiLevelType w:val="hybridMultilevel"/>
    <w:lvl w:ilvl="0">
      <w:lvlJc w:val="left"/>
      <w:lvlText w:val="K"/>
      <w:numFmt w:val="bullet"/>
      <w:start w:val="1"/>
    </w:lvl>
  </w:abstractNum>
  <w:abstractNum w:abstractNumId="310">
    <w:nsid w:val="1CD484D5"/>
    <w:multiLevelType w:val="hybridMultilevel"/>
    <w:lvl w:ilvl="0">
      <w:lvlJc w:val="left"/>
      <w:lvlText w:val="(%1)"/>
      <w:numFmt w:val="lowerLetter"/>
      <w:start w:val="1"/>
    </w:lvl>
  </w:abstractNum>
  <w:abstractNum w:abstractNumId="311">
    <w:nsid w:val="21D06255"/>
    <w:multiLevelType w:val="hybridMultilevel"/>
    <w:lvl w:ilvl="0">
      <w:lvlJc w:val="left"/>
      <w:lvlText w:val="(%1)"/>
      <w:numFmt w:val="lowerLetter"/>
      <w:start w:val="2"/>
    </w:lvl>
  </w:abstractNum>
  <w:abstractNum w:abstractNumId="312">
    <w:nsid w:val="51194ED1"/>
    <w:multiLevelType w:val="hybridMultilevel"/>
    <w:lvl w:ilvl="0">
      <w:lvlJc w:val="left"/>
      <w:lvlText w:val="(%1)"/>
      <w:numFmt w:val="lowerLetter"/>
      <w:start w:val="1"/>
    </w:lvl>
    <w:lvl w:ilvl="1">
      <w:lvlJc w:val="left"/>
      <w:lvlText w:val="(%2)"/>
      <w:numFmt w:val="lowerRoman"/>
      <w:start w:val="1"/>
    </w:lvl>
  </w:abstractNum>
  <w:abstractNum w:abstractNumId="313">
    <w:nsid w:val="44E2ED6C"/>
    <w:multiLevelType w:val="hybridMultilevel"/>
    <w:lvl w:ilvl="0">
      <w:lvlJc w:val="left"/>
      <w:lvlText w:val="(%1)"/>
      <w:numFmt w:val="lowerLetter"/>
      <w:start w:val="1"/>
    </w:lvl>
  </w:abstractNum>
  <w:abstractNum w:abstractNumId="314">
    <w:nsid w:val="2219B33"/>
    <w:multiLevelType w:val="hybridMultilevel"/>
    <w:lvl w:ilvl="0">
      <w:lvlJc w:val="left"/>
      <w:lvlText w:val="(%1)"/>
      <w:numFmt w:val="lowerLetter"/>
      <w:start w:val="1"/>
    </w:lvl>
  </w:abstractNum>
  <w:abstractNum w:abstractNumId="315">
    <w:nsid w:val="773BFBDD"/>
    <w:multiLevelType w:val="hybridMultilevel"/>
    <w:lvl w:ilvl="0">
      <w:lvlJc w:val="left"/>
      <w:lvlText w:val="(%1)"/>
      <w:numFmt w:val="lowerLetter"/>
      <w:start w:val="2"/>
    </w:lvl>
  </w:abstractNum>
  <w:abstractNum w:abstractNumId="316">
    <w:nsid w:val="2C7C62C2"/>
    <w:multiLevelType w:val="hybridMultilevel"/>
    <w:lvl w:ilvl="0">
      <w:lvlJc w:val="left"/>
      <w:lvlText w:val="(%1)"/>
      <w:numFmt w:val="lowerLetter"/>
      <w:start w:val="1"/>
    </w:lvl>
  </w:abstractNum>
  <w:abstractNum w:abstractNumId="317">
    <w:nsid w:val="1A54D7BC"/>
    <w:multiLevelType w:val="hybridMultilevel"/>
    <w:lvl w:ilvl="0">
      <w:lvlJc w:val="left"/>
      <w:lvlText w:val="(%1)"/>
      <w:numFmt w:val="lowerLetter"/>
      <w:start w:val="1"/>
    </w:lvl>
  </w:abstractNum>
  <w:abstractNum w:abstractNumId="318">
    <w:nsid w:val="42E57EF7"/>
    <w:multiLevelType w:val="hybridMultilevel"/>
    <w:lvl w:ilvl="0">
      <w:lvlJc w:val="left"/>
      <w:lvlText w:val="(%1)"/>
      <w:numFmt w:val="lowerLetter"/>
      <w:start w:val="1"/>
    </w:lvl>
  </w:abstractNum>
  <w:abstractNum w:abstractNumId="319">
    <w:nsid w:val="33537CED"/>
    <w:multiLevelType w:val="hybridMultilevel"/>
    <w:lvl w:ilvl="0">
      <w:lvlJc w:val="left"/>
      <w:lvlText w:val="(%1)"/>
      <w:numFmt w:val="lowerLetter"/>
      <w:start w:val="1"/>
    </w:lvl>
  </w:abstractNum>
  <w:abstractNum w:abstractNumId="320">
    <w:nsid w:val="27514ADE"/>
    <w:multiLevelType w:val="hybridMultilevel"/>
    <w:lvl w:ilvl="0">
      <w:lvlJc w:val="left"/>
      <w:lvlText w:val="(%1)"/>
      <w:numFmt w:val="lowerLetter"/>
      <w:start w:val="1"/>
    </w:lvl>
  </w:abstractNum>
  <w:abstractNum w:abstractNumId="321">
    <w:nsid w:val="57071613"/>
    <w:multiLevelType w:val="hybridMultilevel"/>
    <w:lvl w:ilvl="0">
      <w:lvlJc w:val="left"/>
      <w:lvlText w:val="(%1)"/>
      <w:numFmt w:val="lowerLetter"/>
      <w:start w:val="1"/>
    </w:lvl>
  </w:abstractNum>
  <w:abstractNum w:abstractNumId="322">
    <w:nsid w:val="5293BFEF"/>
    <w:multiLevelType w:val="hybridMultilevel"/>
    <w:lvl w:ilvl="0">
      <w:lvlJc w:val="left"/>
      <w:lvlText w:val="(%1)"/>
      <w:numFmt w:val="lowerLetter"/>
      <w:start w:val="1"/>
    </w:lvl>
  </w:abstractNum>
  <w:abstractNum w:abstractNumId="323">
    <w:nsid w:val="38BF53E5"/>
    <w:multiLevelType w:val="hybridMultilevel"/>
    <w:lvl w:ilvl="0">
      <w:lvlJc w:val="left"/>
      <w:lvlText w:val="(%1)"/>
      <w:numFmt w:val="lowerLetter"/>
      <w:start w:val="2"/>
    </w:lvl>
  </w:abstractNum>
  <w:abstractNum w:abstractNumId="324">
    <w:nsid w:val="226F5320"/>
    <w:multiLevelType w:val="hybridMultilevel"/>
    <w:lvl w:ilvl="0">
      <w:lvlJc w:val="left"/>
      <w:lvlText w:val="(%1)"/>
      <w:numFmt w:val="lowerLetter"/>
      <w:start w:val="4"/>
    </w:lvl>
  </w:abstractNum>
  <w:abstractNum w:abstractNumId="325">
    <w:nsid w:val="5A0201C7"/>
    <w:multiLevelType w:val="hybridMultilevel"/>
    <w:lvl w:ilvl="0">
      <w:lvlJc w:val="left"/>
      <w:lvlText w:val="(%1)"/>
      <w:numFmt w:val="lowerLetter"/>
      <w:start w:val="1"/>
    </w:lvl>
  </w:abstractNum>
  <w:abstractNum w:abstractNumId="326">
    <w:nsid w:val="2A9C34E2"/>
    <w:multiLevelType w:val="hybridMultilevel"/>
    <w:lvl w:ilvl="0">
      <w:lvlJc w:val="left"/>
      <w:lvlText w:val="(%1)"/>
      <w:numFmt w:val="lowerLetter"/>
      <w:start w:val="2"/>
    </w:lvl>
  </w:abstractNum>
  <w:abstractNum w:abstractNumId="327">
    <w:nsid w:val="1B7585AB"/>
    <w:multiLevelType w:val="hybridMultilevel"/>
    <w:lvl w:ilvl="0">
      <w:lvlJc w:val="left"/>
      <w:lvlText w:val="(%1)"/>
      <w:numFmt w:val="lowerLetter"/>
      <w:start w:val="2"/>
    </w:lvl>
  </w:abstractNum>
  <w:abstractNum w:abstractNumId="328">
    <w:nsid w:val="612DBDDD"/>
    <w:multiLevelType w:val="hybridMultilevel"/>
    <w:lvl w:ilvl="0">
      <w:lvlJc w:val="left"/>
      <w:lvlText w:val="(%1)"/>
      <w:numFmt w:val="lowerLetter"/>
      <w:start w:val="1"/>
    </w:lvl>
  </w:abstractNum>
  <w:abstractNum w:abstractNumId="329">
    <w:nsid w:val="2109CDA4"/>
    <w:multiLevelType w:val="hybridMultilevel"/>
    <w:lvl w:ilvl="0">
      <w:lvlJc w:val="left"/>
      <w:lvlText w:val="(%1)"/>
      <w:numFmt w:val="lowerLetter"/>
      <w:start w:val="3"/>
    </w:lvl>
  </w:abstractNum>
  <w:abstractNum w:abstractNumId="330">
    <w:nsid w:val="577F5A4D"/>
    <w:multiLevelType w:val="hybridMultilevel"/>
    <w:lvl w:ilvl="0">
      <w:lvlJc w:val="left"/>
      <w:lvlText w:val="%1"/>
      <w:numFmt w:val="lowerLetter"/>
      <w:start w:val="1"/>
    </w:lvl>
    <w:lvl w:ilvl="1">
      <w:lvlJc w:val="left"/>
      <w:lvlText w:val="(%2)"/>
      <w:numFmt w:val="lowerLetter"/>
      <w:start w:val="1"/>
    </w:lvl>
  </w:abstractNum>
  <w:abstractNum w:abstractNumId="331">
    <w:nsid w:val="2121A81"/>
    <w:multiLevelType w:val="hybridMultilevel"/>
    <w:lvl w:ilvl="0">
      <w:lvlJc w:val="left"/>
      <w:lvlText w:val="(%1)"/>
      <w:numFmt w:val="lowerLetter"/>
      <w:start w:val="61"/>
    </w:lvl>
    <w:lvl w:ilvl="1">
      <w:lvlJc w:val="left"/>
      <w:lvlText w:val="(%2)"/>
      <w:numFmt w:val="lowerLetter"/>
      <w:start w:val="2"/>
    </w:lvl>
  </w:abstractNum>
  <w:abstractNum w:abstractNumId="332">
    <w:nsid w:val="6C2CFC88"/>
    <w:multiLevelType w:val="hybridMultilevel"/>
    <w:lvl w:ilvl="0">
      <w:lvlJc w:val="left"/>
      <w:lvlText w:val="(%1)"/>
      <w:numFmt w:val="lowerLetter"/>
      <w:start w:val="1"/>
    </w:lvl>
  </w:abstractNum>
  <w:abstractNum w:abstractNumId="333">
    <w:nsid w:val="6D1BCF1C"/>
    <w:multiLevelType w:val="hybridMultilevel"/>
    <w:lvl w:ilvl="0">
      <w:lvlJc w:val="left"/>
      <w:lvlText w:val="(%1)"/>
      <w:numFmt w:val="lowerLetter"/>
      <w:start w:val="1"/>
    </w:lvl>
  </w:abstractNum>
  <w:abstractNum w:abstractNumId="334">
    <w:nsid w:val="4CE5CA53"/>
    <w:multiLevelType w:val="hybridMultilevel"/>
    <w:lvl w:ilvl="0">
      <w:lvlJc w:val="left"/>
      <w:lvlText w:val="%1"/>
      <w:numFmt w:val="lowerLetter"/>
      <w:start w:val="1"/>
    </w:lvl>
    <w:lvl w:ilvl="1">
      <w:lvlJc w:val="left"/>
      <w:lvlText w:val="(%2)"/>
      <w:numFmt w:val="lowerLetter"/>
      <w:start w:val="1"/>
    </w:lvl>
  </w:abstractNum>
  <w:abstractNum w:abstractNumId="335">
    <w:nsid w:val="29262D1A"/>
    <w:multiLevelType w:val="hybridMultilevel"/>
    <w:lvl w:ilvl="0">
      <w:lvlJc w:val="left"/>
      <w:lvlText w:val="(%1)"/>
      <w:numFmt w:val="lowerLetter"/>
      <w:start w:val="61"/>
    </w:lvl>
    <w:lvl w:ilvl="1">
      <w:lvlJc w:val="left"/>
      <w:lvlText w:val="%2"/>
      <w:numFmt w:val="lowerLetter"/>
      <w:start w:val="1"/>
    </w:lvl>
  </w:abstractNum>
  <w:abstractNum w:abstractNumId="336">
    <w:nsid w:val="557FB7EE"/>
    <w:multiLevelType w:val="hybridMultilevel"/>
    <w:lvl w:ilvl="0">
      <w:lvlJc w:val="left"/>
      <w:lvlText w:val="(%1)"/>
      <w:numFmt w:val="lowerLetter"/>
      <w:start w:val="2"/>
    </w:lvl>
  </w:abstractNum>
  <w:abstractNum w:abstractNumId="337">
    <w:nsid w:val="436F2BEB"/>
    <w:multiLevelType w:val="hybridMultilevel"/>
    <w:lvl w:ilvl="0">
      <w:lvlJc w:val="left"/>
      <w:lvlText w:val="(%1)"/>
      <w:numFmt w:val="lowerLetter"/>
      <w:start w:val="1"/>
    </w:lvl>
  </w:abstractNum>
  <w:abstractNum w:abstractNumId="338">
    <w:nsid w:val="6C8B4466"/>
    <w:multiLevelType w:val="hybridMultilevel"/>
    <w:lvl w:ilvl="0">
      <w:lvlJc w:val="left"/>
      <w:lvlText w:val="(%1)"/>
      <w:numFmt w:val="lowerRoman"/>
      <w:start w:val="2"/>
    </w:lvl>
  </w:abstractNum>
  <w:abstractNum w:abstractNumId="339">
    <w:nsid w:val="2006E424"/>
    <w:multiLevelType w:val="hybridMultilevel"/>
    <w:lvl w:ilvl="0">
      <w:lvlJc w:val="left"/>
      <w:lvlText w:val="%1"/>
      <w:numFmt w:val="lowerLetter"/>
      <w:start w:val="1"/>
    </w:lvl>
    <w:lvl w:ilvl="1">
      <w:lvlJc w:val="left"/>
      <w:lvlText w:val="(%2)"/>
      <w:numFmt w:val="lowerRoman"/>
      <w:start w:val="9"/>
    </w:lvl>
  </w:abstractNum>
  <w:abstractNum w:abstractNumId="340">
    <w:nsid w:val="20CC134C"/>
    <w:multiLevelType w:val="hybridMultilevel"/>
    <w:lvl w:ilvl="0">
      <w:lvlJc w:val="left"/>
      <w:lvlText w:val="(%1)"/>
      <w:numFmt w:val="lowerLetter"/>
      <w:start w:val="2"/>
    </w:lvl>
    <w:lvl w:ilvl="1">
      <w:lvlJc w:val="left"/>
      <w:lvlText w:val="%2"/>
      <w:numFmt w:val="lowerRoman"/>
      <w:start w:val="1"/>
    </w:lvl>
  </w:abstractNum>
  <w:abstractNum w:abstractNumId="341">
    <w:nsid w:val="95FC93B"/>
    <w:multiLevelType w:val="hybridMultilevel"/>
    <w:lvl w:ilvl="0">
      <w:lvlJc w:val="left"/>
      <w:lvlText w:val="(%1)"/>
      <w:numFmt w:val="lowerLetter"/>
      <w:start w:val="1"/>
    </w:lvl>
    <w:lvl w:ilvl="1">
      <w:lvlJc w:val="left"/>
      <w:lvlText w:val="(%2)"/>
      <w:numFmt w:val="lowerRoman"/>
      <w:start w:val="1"/>
    </w:lvl>
  </w:abstractNum>
  <w:abstractNum w:abstractNumId="342">
    <w:nsid w:val="41D74679"/>
    <w:multiLevelType w:val="hybridMultilevel"/>
    <w:lvl w:ilvl="0">
      <w:lvlJc w:val="left"/>
      <w:lvlText w:val="%1"/>
      <w:numFmt w:val="lowerLetter"/>
      <w:start w:val="1"/>
    </w:lvl>
    <w:lvl w:ilvl="1">
      <w:lvlJc w:val="left"/>
      <w:lvlText w:val="(%2)"/>
      <w:numFmt w:val="lowerLetter"/>
      <w:start w:val="1"/>
    </w:lvl>
  </w:abstractNum>
  <w:abstractNum w:abstractNumId="343">
    <w:nsid w:val="71E5621E"/>
    <w:multiLevelType w:val="hybridMultilevel"/>
    <w:lvl w:ilvl="0">
      <w:lvlJc w:val="left"/>
      <w:lvlText w:val="(%1)"/>
      <w:numFmt w:val="lowerLetter"/>
      <w:start w:val="61"/>
    </w:lvl>
    <w:lvl w:ilvl="1">
      <w:lvlJc w:val="left"/>
      <w:lvlText w:val="(%2)"/>
      <w:numFmt w:val="lowerLetter"/>
      <w:start w:val="2"/>
    </w:lvl>
  </w:abstractNum>
  <w:abstractNum w:abstractNumId="344">
    <w:nsid w:val="4E42B6A8"/>
    <w:multiLevelType w:val="hybridMultilevel"/>
    <w:lvl w:ilvl="0">
      <w:lvlJc w:val="left"/>
      <w:lvlText w:val="(%1)"/>
      <w:numFmt w:val="lowerLetter"/>
      <w:start w:val="3"/>
    </w:lvl>
  </w:abstractNum>
  <w:abstractNum w:abstractNumId="345">
    <w:nsid w:val="43F8E1AC"/>
    <w:multiLevelType w:val="hybridMultilevel"/>
    <w:lvl w:ilvl="0">
      <w:lvlJc w:val="left"/>
      <w:lvlText w:val="(%1)"/>
      <w:numFmt w:val="lowerLetter"/>
      <w:start w:val="1"/>
    </w:lvl>
  </w:abstractNum>
  <w:abstractNum w:abstractNumId="346">
    <w:nsid w:val="69215DFB"/>
    <w:multiLevelType w:val="hybridMultilevel"/>
    <w:lvl w:ilvl="0">
      <w:lvlJc w:val="left"/>
      <w:lvlText w:val="(%1)"/>
      <w:numFmt w:val="lowerLetter"/>
      <w:start w:val="2"/>
    </w:lvl>
  </w:abstractNum>
  <w:abstractNum w:abstractNumId="347">
    <w:nsid w:val="7ABF196A"/>
    <w:multiLevelType w:val="hybridMultilevel"/>
    <w:lvl w:ilvl="0">
      <w:lvlJc w:val="left"/>
      <w:lvlText w:val="(%1)"/>
      <w:numFmt w:val="lowerLetter"/>
      <w:start w:val="1"/>
    </w:lvl>
    <w:lvl w:ilvl="1">
      <w:lvlJc w:val="left"/>
      <w:lvlText w:val="(%2)"/>
      <w:numFmt w:val="lowerRoman"/>
      <w:start w:val="1"/>
    </w:lvl>
  </w:abstractNum>
  <w:abstractNum w:abstractNumId="348">
    <w:nsid w:val="5E4DB968"/>
    <w:multiLevelType w:val="hybridMultilevel"/>
    <w:lvl w:ilvl="0">
      <w:lvlJc w:val="left"/>
      <w:lvlText w:val="(%1)"/>
      <w:numFmt w:val="lowerLetter"/>
      <w:start w:val="2"/>
    </w:lvl>
  </w:abstractNum>
  <w:abstractNum w:abstractNumId="349">
    <w:nsid w:val="2C06DCF3"/>
    <w:multiLevelType w:val="hybridMultilevel"/>
    <w:lvl w:ilvl="0">
      <w:lvlJc w:val="left"/>
      <w:lvlText w:val="(%1)"/>
      <w:numFmt w:val="lowerLetter"/>
      <w:start w:val="25"/>
    </w:lvl>
    <w:lvl w:ilvl="1">
      <w:lvlJc w:val="left"/>
      <w:lvlText w:val="(%2)"/>
      <w:numFmt w:val="lowerLetter"/>
      <w:start w:val="1"/>
    </w:lvl>
  </w:abstractNum>
  <w:abstractNum w:abstractNumId="350">
    <w:nsid w:val="2E129658"/>
    <w:multiLevelType w:val="hybridMultilevel"/>
    <w:lvl w:ilvl="0">
      <w:lvlJc w:val="left"/>
      <w:lvlText w:val="(%1)"/>
      <w:numFmt w:val="lowerLetter"/>
      <w:start w:val="1"/>
    </w:lvl>
  </w:abstractNum>
  <w:abstractNum w:abstractNumId="351">
    <w:nsid w:val="59F0446"/>
    <w:multiLevelType w:val="hybridMultilevel"/>
    <w:lvl w:ilvl="0">
      <w:lvlJc w:val="left"/>
      <w:lvlText w:val="(%1)"/>
      <w:numFmt w:val="lowerLetter"/>
      <w:start w:val="1"/>
    </w:lvl>
  </w:abstractNum>
  <w:abstractNum w:abstractNumId="352">
    <w:nsid w:val="30DF306"/>
    <w:multiLevelType w:val="hybridMultilevel"/>
    <w:lvl w:ilvl="0">
      <w:lvlJc w:val="left"/>
      <w:lvlText w:val="(%1)"/>
      <w:numFmt w:val="lowerLetter"/>
      <w:start w:val="3"/>
    </w:lvl>
  </w:abstractNum>
  <w:abstractNum w:abstractNumId="353">
    <w:nsid w:val="A65647"/>
    <w:multiLevelType w:val="hybridMultilevel"/>
    <w:lvl w:ilvl="0">
      <w:lvlJc w:val="left"/>
      <w:lvlText w:val="(%1)"/>
      <w:numFmt w:val="lowerLetter"/>
      <w:start w:val="1"/>
    </w:lvl>
  </w:abstractNum>
  <w:abstractNum w:abstractNumId="354">
    <w:nsid w:val="3E5E582B"/>
    <w:multiLevelType w:val="hybridMultilevel"/>
    <w:lvl w:ilvl="0">
      <w:lvlJc w:val="left"/>
      <w:lvlText w:val="(%1)"/>
      <w:numFmt w:val="lowerLetter"/>
      <w:start w:val="2"/>
    </w:lvl>
  </w:abstractNum>
  <w:abstractNum w:abstractNumId="355">
    <w:nsid w:val="257D4626"/>
    <w:multiLevelType w:val="hybridMultilevel"/>
    <w:lvl w:ilvl="0">
      <w:lvlJc w:val="left"/>
      <w:lvlText w:val="(%1)"/>
      <w:numFmt w:val="upperLetter"/>
      <w:start w:val="1"/>
    </w:lvl>
  </w:abstractNum>
  <w:abstractNum w:abstractNumId="356">
    <w:nsid w:val="5AA8580E"/>
    <w:multiLevelType w:val="hybridMultilevel"/>
    <w:lvl w:ilvl="0">
      <w:lvlJc w:val="left"/>
      <w:lvlText w:val="(%1)"/>
      <w:numFmt w:val="lowerLetter"/>
      <w:start w:val="1"/>
    </w:lvl>
  </w:abstractNum>
  <w:abstractNum w:abstractNumId="357">
    <w:nsid w:val="68FA8D0D"/>
    <w:multiLevelType w:val="hybridMultilevel"/>
    <w:lvl w:ilvl="0">
      <w:lvlJc w:val="left"/>
      <w:lvlText w:val="(%1)"/>
      <w:numFmt w:val="lowerLetter"/>
      <w:start w:val="3"/>
    </w:lvl>
  </w:abstractNum>
  <w:abstractNum w:abstractNumId="358">
    <w:nsid w:val="40F2CBD2"/>
    <w:multiLevelType w:val="hybridMultilevel"/>
    <w:lvl w:ilvl="0">
      <w:lvlJc w:val="left"/>
      <w:lvlText w:val="%1."/>
      <w:numFmt w:val="upperLetter"/>
      <w:start w:val="9"/>
    </w:lvl>
  </w:abstractNum>
  <w:abstractNum w:abstractNumId="359">
    <w:nsid w:val="3BD615EB"/>
    <w:multiLevelType w:val="hybridMultilevel"/>
    <w:lvl w:ilvl="0">
      <w:lvlJc w:val="left"/>
      <w:lvlText w:val="%1."/>
      <w:numFmt w:val="upperLetter"/>
      <w:start w:val="35"/>
    </w:lvl>
  </w:abstractNum>
  <w:abstractNum w:abstractNumId="360">
    <w:nsid w:val="A045AB2"/>
    <w:multiLevelType w:val="hybridMultilevel"/>
    <w:lvl w:ilvl="0">
      <w:lvlJc w:val="left"/>
      <w:lvlText w:val="%1."/>
      <w:numFmt w:val="upperLetter"/>
      <w:start w:val="61"/>
    </w:lvl>
  </w:abstractNum>
  <w:abstractNum w:abstractNumId="361">
    <w:nsid w:val="1872261F"/>
    <w:multiLevelType w:val="hybridMultilevel"/>
    <w:lvl w:ilvl="0">
      <w:lvlJc w:val="left"/>
      <w:lvlText w:val="%1."/>
      <w:numFmt w:val="decimal"/>
      <w:start w:val="1"/>
    </w:lvl>
  </w:abstractNum>
  <w:abstractNum w:abstractNumId="362">
    <w:nsid w:val="3DE8306C"/>
    <w:multiLevelType w:val="hybridMultilevel"/>
    <w:lvl w:ilvl="0">
      <w:lvlJc w:val="left"/>
      <w:lvlText w:val="(%1)"/>
      <w:numFmt w:val="lowerLetter"/>
      <w:start w:val="2"/>
    </w:lvl>
  </w:abstractNum>
  <w:abstractNum w:abstractNumId="363">
    <w:nsid w:val="7631573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2"/>
    </w:lvl>
  </w:abstractNum>
  <w:abstractNum w:abstractNumId="364">
    <w:nsid w:val="58DF53B"/>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365">
    <w:nsid w:val="ACDFAC0"/>
    <w:multiLevelType w:val="hybridMultilevel"/>
    <w:lvl w:ilvl="0">
      <w:lvlJc w:val="left"/>
      <w:lvlText w:val="%1."/>
      <w:numFmt w:val="decimal"/>
      <w:start w:val="4"/>
    </w:lvl>
    <w:lvl w:ilvl="1">
      <w:lvlJc w:val="left"/>
      <w:lvlText w:val="(%2)"/>
      <w:numFmt w:val="lowerLetter"/>
      <w:start w:val="2"/>
    </w:lvl>
    <w:lvl w:ilvl="2">
      <w:lvlJc w:val="left"/>
      <w:lvlText w:val="%3"/>
      <w:numFmt w:val="lowerRoman"/>
      <w:start w:val="1"/>
    </w:lvl>
  </w:abstractNum>
  <w:abstractNum w:abstractNumId="366">
    <w:nsid w:val="1F57845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67">
    <w:nsid w:val="5B0DAD2A"/>
    <w:multiLevelType w:val="hybridMultilevel"/>
    <w:lvl w:ilvl="0">
      <w:lvlJc w:val="left"/>
      <w:lvlText w:val="(%1)"/>
      <w:numFmt w:val="lowerRoman"/>
      <w:start w:val="4"/>
    </w:lvl>
    <w:lvl w:ilvl="1">
      <w:lvlJc w:val="left"/>
      <w:lvlText w:val="%2."/>
      <w:numFmt w:val="decimal"/>
      <w:start w:val="5"/>
    </w:lvl>
    <w:lvl w:ilvl="2">
      <w:lvlJc w:val="left"/>
      <w:lvlText w:val="(%3)"/>
      <w:numFmt w:val="lowerLetter"/>
      <w:start w:val="3"/>
    </w:lvl>
  </w:abstractNum>
  <w:abstractNum w:abstractNumId="368">
    <w:nsid w:val="4E3D26AB"/>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2"/>
    </w:lvl>
  </w:abstractNum>
  <w:abstractNum w:abstractNumId="369">
    <w:nsid w:val="BE2C8BA"/>
    <w:multiLevelType w:val="hybridMultilevel"/>
    <w:lvl w:ilvl="0">
      <w:lvlJc w:val="left"/>
      <w:lvlText w:val="%1"/>
      <w:numFmt w:val="decimal"/>
      <w:start w:val="1"/>
    </w:lvl>
    <w:lvl w:ilvl="1">
      <w:lvlJc w:val="left"/>
      <w:lvlText w:val="(%2)"/>
      <w:numFmt w:val="lowerLetter"/>
      <w:start w:val="6"/>
    </w:lvl>
  </w:abstractNum>
  <w:abstractNum w:abstractNumId="370">
    <w:nsid w:val="7B14914E"/>
    <w:multiLevelType w:val="hybridMultilevel"/>
    <w:lvl w:ilvl="0">
      <w:lvlJc w:val="left"/>
      <w:lvlText w:val="%1."/>
      <w:numFmt w:val="decimal"/>
      <w:start w:val="7"/>
    </w:lvl>
    <w:lvl w:ilvl="1">
      <w:lvlJc w:val="left"/>
      <w:lvlText w:val="(%2)"/>
      <w:numFmt w:val="lowerLetter"/>
      <w:start w:val="2"/>
    </w:lvl>
  </w:abstractNum>
  <w:abstractNum w:abstractNumId="371">
    <w:nsid w:val="6F0939F8"/>
    <w:multiLevelType w:val="hybridMultilevel"/>
    <w:lvl w:ilvl="0">
      <w:lvlJc w:val="left"/>
      <w:lvlText w:val="%1."/>
      <w:numFmt w:val="decimal"/>
      <w:start w:val="10"/>
    </w:lvl>
  </w:abstractNum>
  <w:abstractNum w:abstractNumId="372">
    <w:nsid w:val="154291F6"/>
    <w:multiLevelType w:val="hybridMultilevel"/>
    <w:lvl w:ilvl="0">
      <w:lvlJc w:val="left"/>
      <w:lvlText w:val="%1."/>
      <w:numFmt w:val="decimal"/>
      <w:start w:val="1"/>
    </w:lvl>
  </w:abstractNum>
  <w:abstractNum w:abstractNumId="373">
    <w:nsid w:val="3CEBD7C7"/>
    <w:multiLevelType w:val="hybridMultilevel"/>
    <w:lvl w:ilvl="0">
      <w:lvlJc w:val="left"/>
      <w:lvlText w:val="%1."/>
      <w:numFmt w:val="decimal"/>
      <w:start w:val="2"/>
    </w:lvl>
    <w:lvl w:ilvl="1">
      <w:lvlJc w:val="left"/>
      <w:lvlText w:val="(%2)"/>
      <w:numFmt w:val="lowerLetter"/>
      <w:start w:val="1"/>
    </w:lvl>
  </w:abstractNum>
  <w:abstractNum w:abstractNumId="374">
    <w:nsid w:val="60EE9C16"/>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375">
    <w:nsid w:val="6385489E"/>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35"/>
    </w:lvl>
  </w:abstractNum>
  <w:abstractNum w:abstractNumId="376">
    <w:nsid w:val="E4B97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377">
    <w:nsid w:val="4A0FFA11"/>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78">
    <w:nsid w:val="5E446208"/>
    <w:multiLevelType w:val="hybridMultilevel"/>
    <w:lvl w:ilvl="0">
      <w:lvlJc w:val="left"/>
      <w:lvlText w:val="%1."/>
      <w:numFmt w:val="decimal"/>
      <w:start w:val="4"/>
    </w:lvl>
    <w:lvl w:ilvl="1">
      <w:lvlJc w:val="left"/>
      <w:lvlText w:val="(%2)"/>
      <w:numFmt w:val="lowerLetter"/>
      <w:start w:val="2"/>
    </w:lvl>
    <w:lvl w:ilvl="2">
      <w:lvlJc w:val="left"/>
      <w:lvlText w:val="%3"/>
      <w:numFmt w:val="lowerRoman"/>
      <w:start w:val="1"/>
    </w:lvl>
  </w:abstractNum>
  <w:abstractNum w:abstractNumId="379">
    <w:nsid w:val="5F3272D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80">
    <w:nsid w:val="7616D70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81">
    <w:nsid w:val="C56F860"/>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82">
    <w:nsid w:val="64D17722"/>
    <w:multiLevelType w:val="hybridMultilevel"/>
    <w:lvl w:ilvl="0">
      <w:lvlJc w:val="left"/>
      <w:lvlText w:val="%1."/>
      <w:numFmt w:val="decimal"/>
      <w:start w:val="6"/>
    </w:lvl>
    <w:lvl w:ilvl="1">
      <w:lvlJc w:val="left"/>
      <w:lvlText w:val="(%2)"/>
      <w:numFmt w:val="lowerLetter"/>
      <w:start w:val="2"/>
    </w:lvl>
    <w:lvl w:ilvl="2">
      <w:lvlJc w:val="left"/>
      <w:lvlText w:val="%3"/>
      <w:numFmt w:val="lowerRoman"/>
      <w:start w:val="1"/>
    </w:lvl>
  </w:abstractNum>
  <w:abstractNum w:abstractNumId="383">
    <w:nsid w:val="7924CA0A"/>
    <w:multiLevelType w:val="hybridMultilevel"/>
    <w:lvl w:ilvl="0">
      <w:lvlJc w:val="left"/>
      <w:lvlText w:val="%1"/>
      <w:numFmt w:val="decimal"/>
      <w:start w:val="1"/>
    </w:lvl>
    <w:lvl w:ilvl="1">
      <w:lvlJc w:val="left"/>
      <w:lvlText w:val="(%2)"/>
      <w:numFmt w:val="lowerLetter"/>
      <w:start w:val="4"/>
    </w:lvl>
  </w:abstractNum>
  <w:abstractNum w:abstractNumId="384">
    <w:nsid w:val="CFD4EA7"/>
    <w:multiLevelType w:val="hybridMultilevel"/>
    <w:lvl w:ilvl="0">
      <w:lvlJc w:val="left"/>
      <w:lvlText w:val="%1."/>
      <w:numFmt w:val="decimal"/>
      <w:start w:val="7"/>
    </w:lvl>
    <w:lvl w:ilvl="1">
      <w:lvlJc w:val="left"/>
      <w:lvlText w:val="(%2)"/>
      <w:numFmt w:val="lowerLetter"/>
      <w:start w:val="2"/>
    </w:lvl>
  </w:abstractNum>
  <w:abstractNum w:abstractNumId="385">
    <w:nsid w:val="232FCF4D"/>
    <w:multiLevelType w:val="hybridMultilevel"/>
    <w:lvl w:ilvl="0">
      <w:lvlJc w:val="left"/>
      <w:lvlText w:val="%1."/>
      <w:numFmt w:val="decimal"/>
      <w:start w:val="10"/>
    </w:lvl>
  </w:abstractNum>
  <w:abstractNum w:abstractNumId="386">
    <w:nsid w:val="1EA21031"/>
    <w:multiLevelType w:val="hybridMultilevel"/>
    <w:lvl w:ilvl="0">
      <w:lvlJc w:val="left"/>
      <w:lvlText w:val="%1."/>
      <w:numFmt w:val="decimal"/>
      <w:start w:val="1"/>
    </w:lvl>
  </w:abstractNum>
  <w:abstractNum w:abstractNumId="387">
    <w:nsid w:val="67A5A6B5"/>
    <w:multiLevelType w:val="hybridMultilevel"/>
    <w:lvl w:ilvl="0">
      <w:lvlJc w:val="left"/>
      <w:lvlText w:val="%1."/>
      <w:numFmt w:val="decimal"/>
      <w:start w:val="3"/>
    </w:lvl>
  </w:abstractNum>
  <w:abstractNum w:abstractNumId="388">
    <w:nsid w:val="C2A5C5B"/>
    <w:multiLevelType w:val="hybridMultilevel"/>
    <w:lvl w:ilvl="0">
      <w:lvlJc w:val="left"/>
      <w:lvlText w:val="%1"/>
      <w:numFmt w:val="lowerLetter"/>
      <w:start w:val="1"/>
    </w:lvl>
    <w:lvl w:ilvl="1">
      <w:lvlJc w:val="left"/>
      <w:lvlText w:val="%2."/>
      <w:numFmt w:val="decimal"/>
      <w:start w:val="6"/>
    </w:lvl>
  </w:abstractNum>
  <w:abstractNum w:abstractNumId="389">
    <w:nsid w:val="5F94DC03"/>
    <w:multiLevelType w:val="hybridMultilevel"/>
    <w:lvl w:ilvl="0">
      <w:lvlJc w:val="left"/>
      <w:lvlText w:val="(%1)"/>
      <w:numFmt w:val="lowerLetter"/>
      <w:start w:val="1"/>
    </w:lvl>
    <w:lvl w:ilvl="1">
      <w:lvlJc w:val="left"/>
      <w:lvlText w:val="%2."/>
      <w:numFmt w:val="decimal"/>
      <w:start w:val="7"/>
    </w:lvl>
  </w:abstractNum>
  <w:abstractNum w:abstractNumId="390">
    <w:nsid w:val="237BBCA0"/>
    <w:multiLevelType w:val="hybridMultilevel"/>
    <w:lvl w:ilvl="0">
      <w:lvlJc w:val="left"/>
      <w:lvlText w:val=","/>
      <w:numFmt w:val="bullet"/>
      <w:start w:val="1"/>
    </w:lvl>
  </w:abstractNum>
  <w:abstractNum w:abstractNumId="391">
    <w:nsid w:val="162EB70D"/>
    <w:multiLevelType w:val="hybridMultilevel"/>
    <w:lvl w:ilvl="0">
      <w:lvlJc w:val="left"/>
      <w:lvlText w:val="%1."/>
      <w:numFmt w:val="decimal"/>
      <w:start w:val="1"/>
    </w:lvl>
  </w:abstractNum>
  <w:abstractNum w:abstractNumId="392">
    <w:nsid w:val="78070222"/>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393">
    <w:nsid w:val="6163ED0D"/>
    <w:multiLevelType w:val="hybridMultilevel"/>
    <w:lvl w:ilvl="0">
      <w:lvlJc w:val="left"/>
      <w:lvlText w:val="%1"/>
      <w:numFmt w:val="lowerLetter"/>
      <w:start w:val="1"/>
    </w:lvl>
    <w:lvl w:ilvl="1">
      <w:lvlJc w:val="left"/>
      <w:lvlText w:val="(%2)"/>
      <w:numFmt w:val="lowerRoman"/>
      <w:start w:val="2"/>
    </w:lvl>
  </w:abstractNum>
  <w:abstractNum w:abstractNumId="394">
    <w:nsid w:val="C600E47"/>
    <w:multiLevelType w:val="hybridMultilevel"/>
    <w:lvl w:ilvl="0">
      <w:lvlJc w:val="left"/>
      <w:lvlText w:val="(%1)"/>
      <w:numFmt w:val="lowerLetter"/>
      <w:start w:val="2"/>
    </w:lvl>
    <w:lvl w:ilvl="1">
      <w:lvlJc w:val="left"/>
      <w:lvlText w:val="%2"/>
      <w:numFmt w:val="lowerRoman"/>
      <w:start w:val="1"/>
    </w:lvl>
  </w:abstractNum>
  <w:abstractNum w:abstractNumId="395">
    <w:nsid w:val="7D94F75D"/>
    <w:multiLevelType w:val="hybridMultilevel"/>
    <w:lvl w:ilvl="0">
      <w:lvlJc w:val="left"/>
      <w:lvlText w:val="%1"/>
      <w:numFmt w:val="lowerLetter"/>
      <w:start w:val="1"/>
    </w:lvl>
    <w:lvl w:ilvl="1">
      <w:lvlJc w:val="left"/>
      <w:lvlText w:val="(%2)"/>
      <w:numFmt w:val="lowerRoman"/>
      <w:start w:val="1"/>
    </w:lvl>
  </w:abstractNum>
  <w:abstractNum w:abstractNumId="396">
    <w:nsid w:val="6C31E7CD"/>
    <w:multiLevelType w:val="hybridMultilevel"/>
    <w:lvl w:ilvl="0">
      <w:lvlJc w:val="left"/>
      <w:lvlText w:val="(%1)"/>
      <w:numFmt w:val="lowerLetter"/>
      <w:start w:val="3"/>
    </w:lvl>
    <w:lvl w:ilvl="1">
      <w:lvlJc w:val="left"/>
      <w:lvlText w:val="%2"/>
      <w:numFmt w:val="lowerRoman"/>
      <w:start w:val="1"/>
    </w:lvl>
  </w:abstractNum>
  <w:abstractNum w:abstractNumId="397">
    <w:nsid w:val="2BB7929B"/>
    <w:multiLevelType w:val="hybridMultilevel"/>
    <w:lvl w:ilvl="0">
      <w:lvlJc w:val="left"/>
      <w:lvlText w:val="%1."/>
      <w:numFmt w:val="decimal"/>
      <w:start w:val="4"/>
    </w:lvl>
  </w:abstractNum>
  <w:abstractNum w:abstractNumId="398">
    <w:nsid w:val="58A2A487"/>
    <w:multiLevelType w:val="hybridMultilevel"/>
    <w:lvl w:ilvl="0">
      <w:lvlJc w:val="left"/>
      <w:lvlText w:val="%1."/>
      <w:numFmt w:val="decimal"/>
      <w:start w:val="5"/>
    </w:lvl>
    <w:lvl w:ilvl="1">
      <w:lvlJc w:val="left"/>
      <w:lvlText w:val="(%2)"/>
      <w:numFmt w:val="lowerLetter"/>
      <w:start w:val="1"/>
    </w:lvl>
  </w:abstractNum>
  <w:abstractNum w:abstractNumId="399">
    <w:nsid w:val="3A6F0E78"/>
    <w:multiLevelType w:val="hybridMultilevel"/>
    <w:lvl w:ilvl="0">
      <w:lvlJc w:val="left"/>
      <w:lvlText w:val="%1"/>
      <w:numFmt w:val="decimal"/>
      <w:start w:val="1"/>
    </w:lvl>
    <w:lvl w:ilvl="1">
      <w:lvlJc w:val="left"/>
      <w:lvlText w:val="(%2)"/>
      <w:numFmt w:val="lowerLetter"/>
      <w:start w:val="6"/>
    </w:lvl>
  </w:abstractNum>
  <w:abstractNum w:abstractNumId="400">
    <w:nsid w:val="379A5B56"/>
    <w:multiLevelType w:val="hybridMultilevel"/>
    <w:lvl w:ilvl="0">
      <w:lvlJc w:val="left"/>
      <w:lvlText w:val="%1."/>
      <w:numFmt w:val="decimal"/>
      <w:start w:val="7"/>
    </w:lvl>
    <w:lvl w:ilvl="1">
      <w:lvlJc w:val="left"/>
      <w:lvlText w:val="(%2)"/>
      <w:numFmt w:val="lowerLetter"/>
      <w:start w:val="1"/>
    </w:lvl>
  </w:abstractNum>
  <w:abstractNum w:abstractNumId="401">
    <w:nsid w:val="53B735D5"/>
    <w:multiLevelType w:val="hybridMultilevel"/>
    <w:lvl w:ilvl="0">
      <w:lvlJc w:val="left"/>
      <w:lvlText w:val="(%1)"/>
      <w:numFmt w:val="lowerLetter"/>
      <w:start w:val="2"/>
    </w:lvl>
  </w:abstractNum>
  <w:abstractNum w:abstractNumId="402">
    <w:nsid w:val="29784870"/>
    <w:multiLevelType w:val="hybridMultilevel"/>
    <w:lvl w:ilvl="0">
      <w:lvlJc w:val="left"/>
      <w:lvlText w:val="%1"/>
      <w:numFmt w:val="lowerRoman"/>
      <w:start w:val="1"/>
    </w:lvl>
    <w:lvl w:ilvl="1">
      <w:lvlJc w:val="left"/>
      <w:lvlText w:val="(%2)"/>
      <w:numFmt w:val="lowerLetter"/>
      <w:start w:val="6"/>
    </w:lvl>
  </w:abstractNum>
  <w:abstractNum w:abstractNumId="403">
    <w:nsid w:val="4CDCED4C"/>
    <w:multiLevelType w:val="hybridMultilevel"/>
    <w:lvl w:ilvl="0">
      <w:lvlJc w:val="left"/>
      <w:lvlText w:val="(%1)"/>
      <w:numFmt w:val="lowerRoman"/>
      <w:start w:val="4"/>
    </w:lvl>
    <w:lvl w:ilvl="1">
      <w:lvlJc w:val="left"/>
      <w:lvlText w:val="(%2)"/>
      <w:numFmt w:val="lowerLetter"/>
      <w:start w:val="9"/>
    </w:lvl>
  </w:abstractNum>
  <w:abstractNum w:abstractNumId="404">
    <w:nsid w:val="10A30D9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0"/>
    </w:lvl>
  </w:abstractNum>
  <w:abstractNum w:abstractNumId="405">
    <w:nsid w:val="A66E486"/>
    <w:multiLevelType w:val="hybridMultilevel"/>
    <w:lvl w:ilvl="0">
      <w:lvlJc w:val="left"/>
      <w:lvlText w:val="%1"/>
      <w:numFmt w:val="decimal"/>
      <w:start w:val="1"/>
    </w:lvl>
    <w:lvl w:ilvl="1">
      <w:lvlJc w:val="left"/>
      <w:lvlText w:val="%2."/>
      <w:numFmt w:val="decimal"/>
      <w:start w:val="9"/>
    </w:lvl>
    <w:lvl w:ilvl="2">
      <w:lvlJc w:val="left"/>
      <w:lvlText w:val="%3"/>
      <w:numFmt w:val="lowerLetter"/>
      <w:start w:val="1"/>
    </w:lvl>
  </w:abstractNum>
  <w:abstractNum w:abstractNumId="406">
    <w:nsid w:val="306235EA"/>
    <w:multiLevelType w:val="hybridMultilevel"/>
    <w:lvl w:ilvl="0">
      <w:lvlJc w:val="left"/>
      <w:lvlText w:val="(%1)"/>
      <w:numFmt w:val="decimal"/>
      <w:start w:val="90"/>
    </w:lvl>
    <w:lvl w:ilvl="1">
      <w:lvlJc w:val="left"/>
      <w:lvlText w:val="%2"/>
      <w:numFmt w:val="decimal"/>
      <w:start w:val="1"/>
    </w:lvl>
    <w:lvl w:ilvl="2">
      <w:lvlJc w:val="left"/>
      <w:lvlText w:val="%3"/>
      <w:numFmt w:val="lowerLetter"/>
      <w:start w:val="1"/>
    </w:lvl>
  </w:abstractNum>
  <w:abstractNum w:abstractNumId="407">
    <w:nsid w:val="1187C70F"/>
    <w:multiLevelType w:val="hybridMultilevel"/>
    <w:lvl w:ilvl="0">
      <w:lvlJc w:val="left"/>
      <w:lvlText w:val="%1."/>
      <w:numFmt w:val="decimal"/>
      <w:start w:val="12"/>
    </w:lvl>
  </w:abstractNum>
  <w:abstractNum w:abstractNumId="408">
    <w:nsid w:val="5476DE98"/>
    <w:multiLevelType w:val="hybridMultilevel"/>
    <w:lvl w:ilvl="0">
      <w:lvlJc w:val="left"/>
      <w:lvlText w:val="%1."/>
      <w:numFmt w:val="decimal"/>
      <w:start w:val="15"/>
    </w:lvl>
  </w:abstractNum>
  <w:abstractNum w:abstractNumId="409">
    <w:nsid w:val="EA697F2"/>
    <w:multiLevelType w:val="hybridMultilevel"/>
    <w:lvl w:ilvl="0">
      <w:lvlJc w:val="left"/>
      <w:lvlText w:val="(%1)"/>
      <w:numFmt w:val="lowerRoman"/>
      <w:start w:val="1"/>
    </w:lvl>
  </w:abstractNum>
  <w:abstractNum w:abstractNumId="410">
    <w:nsid w:val="70BA39EB"/>
    <w:multiLevelType w:val="hybridMultilevel"/>
    <w:lvl w:ilvl="0">
      <w:lvlJc w:val="left"/>
      <w:lvlText w:val="%1"/>
      <w:numFmt w:val="decimal"/>
      <w:start w:val="1"/>
    </w:lvl>
    <w:lvl w:ilvl="1">
      <w:lvlJc w:val="left"/>
      <w:lvlText w:val="(%2)"/>
      <w:numFmt w:val="lowerRoman"/>
      <w:start w:val="3"/>
    </w:lvl>
  </w:abstractNum>
  <w:abstractNum w:abstractNumId="411">
    <w:nsid w:val="4A8DB59C"/>
    <w:multiLevelType w:val="hybridMultilevel"/>
    <w:lvl w:ilvl="0">
      <w:lvlJc w:val="left"/>
      <w:lvlText w:val="%1."/>
      <w:numFmt w:val="decimal"/>
      <w:start w:val="2"/>
    </w:lvl>
    <w:lvl w:ilvl="1">
      <w:lvlJc w:val="left"/>
      <w:lvlText w:val="%2"/>
      <w:numFmt w:val="lowerRoman"/>
      <w:start w:val="1"/>
    </w:lvl>
  </w:abstractNum>
  <w:abstractNum w:abstractNumId="412">
    <w:nsid w:val="1AFD9053"/>
    <w:multiLevelType w:val="hybridMultilevel"/>
    <w:lvl w:ilvl="0">
      <w:lvlJc w:val="left"/>
      <w:lvlText w:val="%1."/>
      <w:numFmt w:val="decimal"/>
      <w:start w:val="3"/>
    </w:lvl>
  </w:abstractNum>
  <w:abstractNum w:abstractNumId="413">
    <w:nsid w:val="558BB10D"/>
    <w:multiLevelType w:val="hybridMultilevel"/>
    <w:lvl w:ilvl="0">
      <w:lvlJc w:val="left"/>
      <w:lvlText w:val="%1."/>
      <w:numFmt w:val="decimal"/>
      <w:start w:val="1"/>
    </w:lvl>
  </w:abstractNum>
  <w:abstractNum w:abstractNumId="414">
    <w:nsid w:val="43B27FA7"/>
    <w:multiLevelType w:val="hybridMultilevel"/>
    <w:lvl w:ilvl="0">
      <w:lvlJc w:val="left"/>
      <w:lvlText w:val="%1."/>
      <w:numFmt w:val="decimal"/>
      <w:start w:val="1"/>
    </w:lvl>
  </w:abstractNum>
  <w:abstractNum w:abstractNumId="415">
    <w:nsid w:val="27FADEFA"/>
    <w:multiLevelType w:val="hybridMultilevel"/>
    <w:lvl w:ilvl="0">
      <w:lvlJc w:val="left"/>
      <w:lvlText w:val="%1."/>
      <w:numFmt w:val="decimal"/>
      <w:start w:val="1"/>
    </w:lvl>
    <w:lvl w:ilvl="1">
      <w:lvlJc w:val="left"/>
      <w:lvlText w:val="(%2)"/>
      <w:numFmt w:val="lowerLetter"/>
      <w:start w:val="1"/>
    </w:lvl>
  </w:abstractNum>
  <w:abstractNum w:abstractNumId="416">
    <w:nsid w:val="78BB805A"/>
    <w:multiLevelType w:val="hybridMultilevel"/>
    <w:lvl w:ilvl="0">
      <w:lvlJc w:val="left"/>
      <w:lvlText w:val="%1."/>
      <w:numFmt w:val="decimal"/>
      <w:start w:val="1"/>
    </w:lvl>
    <w:lvl w:ilvl="1">
      <w:lvlJc w:val="left"/>
      <w:lvlText w:val="(%2)"/>
      <w:numFmt w:val="lowerLetter"/>
      <w:start w:val="1"/>
    </w:lvl>
  </w:abstractNum>
  <w:abstractNum w:abstractNumId="417">
    <w:nsid w:val="62548FD8"/>
    <w:multiLevelType w:val="hybridMultilevel"/>
    <w:lvl w:ilvl="0">
      <w:lvlJc w:val="left"/>
      <w:lvlText w:val="%1."/>
      <w:numFmt w:val="decimal"/>
      <w:start w:val="1"/>
    </w:lvl>
  </w:abstractNum>
  <w:abstractNum w:abstractNumId="418">
    <w:nsid w:val="FA085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2019-12-10T13:15:00Z</dcterms:created>
  <dcterms:modified xsi:type="dcterms:W3CDTF">2019-12-10T13:15:00Z</dcterms:modified>
</cp:coreProperties>
</file>