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ectPr>
          <w:pgSz w:w="11900" w:h="16838" w:orient="portrait"/>
          <w:cols w:equalWidth="0" w:num="1">
            <w:col w:w="11420"/>
          </w:cols>
          <w:pgMar w:left="240" w:top="230" w:right="239" w:bottom="1440" w:gutter="0" w:footer="0" w:header="0"/>
        </w:sectPr>
      </w:pPr>
    </w:p>
    <w:p>
      <w:pPr>
        <w:spacing w:after="0" w:line="105"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73" w:lineRule="exact"/>
        <w:rPr>
          <w:sz w:val="24"/>
          <w:szCs w:val="24"/>
          <w:color w:val="auto"/>
        </w:rPr>
      </w:pPr>
    </w:p>
    <w:p>
      <w:pPr>
        <w:ind w:left="680"/>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13 OR 15(d)</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3" w:lineRule="exact"/>
        <w:rPr>
          <w:sz w:val="24"/>
          <w:szCs w:val="24"/>
          <w:color w:val="auto"/>
        </w:rPr>
      </w:pPr>
    </w:p>
    <w:p>
      <w:pPr>
        <w:sectPr>
          <w:pgSz w:w="11900" w:h="16838" w:orient="portrait"/>
          <w:cols w:equalWidth="0" w:num="2">
            <w:col w:w="1020" w:space="460"/>
            <w:col w:w="9940"/>
          </w:cols>
          <w:pgMar w:left="240" w:top="230" w:right="239" w:bottom="1440" w:gutter="0" w:footer="0" w:header="0"/>
          <w:type w:val="continuous"/>
        </w:sectPr>
      </w:pPr>
    </w:p>
    <w:p>
      <w:pPr>
        <w:ind w:left="150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64" w:lineRule="exact"/>
        <w:rPr>
          <w:sz w:val="24"/>
          <w:szCs w:val="24"/>
          <w:color w:val="auto"/>
        </w:rPr>
      </w:pPr>
    </w:p>
    <w:p>
      <w:pPr>
        <w:ind w:left="1480" w:hanging="797"/>
        <w:spacing w:after="0"/>
        <w:tabs>
          <w:tab w:leader="none" w:pos="1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w:t>
      </w:r>
    </w:p>
    <w:p>
      <w:pPr>
        <w:spacing w:after="0" w:line="14" w:lineRule="exact"/>
        <w:rPr>
          <w:rFonts w:ascii="MS PGothic" w:cs="MS PGothic" w:eastAsia="MS PGothic" w:hAnsi="MS PGothic"/>
          <w:sz w:val="18"/>
          <w:szCs w:val="18"/>
          <w:color w:val="auto"/>
          <w:highlight w:val="black"/>
        </w:rPr>
      </w:pPr>
    </w:p>
    <w:p>
      <w:pPr>
        <w:ind w:left="1480"/>
        <w:spacing w:after="0"/>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OF THE SECURITIES EXCHANGE ACT OF 1934</w:t>
      </w:r>
    </w:p>
    <w:p>
      <w:pPr>
        <w:spacing w:after="0" w:line="33" w:lineRule="exact"/>
        <w:rPr>
          <w:sz w:val="24"/>
          <w:szCs w:val="24"/>
          <w:color w:val="auto"/>
        </w:rPr>
      </w:pPr>
    </w:p>
    <w:p>
      <w:pPr>
        <w:ind w:left="1500"/>
        <w:spacing w:after="0"/>
        <w:tabs>
          <w:tab w:leader="none" w:pos="4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40"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2620" w:type="dxa"/>
            <w:vAlign w:val="bottom"/>
            <w:gridSpan w:val="2"/>
          </w:tcPr>
          <w:p>
            <w:pPr>
              <w:jc w:val="center"/>
              <w:ind w:right="1392"/>
              <w:spacing w:after="0"/>
              <w:rPr>
                <w:sz w:val="20"/>
                <w:szCs w:val="20"/>
                <w:color w:val="auto"/>
              </w:rPr>
            </w:pPr>
            <w:r>
              <w:rPr>
                <w:rFonts w:ascii="Arial" w:cs="Arial" w:eastAsia="Arial" w:hAnsi="Arial"/>
                <w:sz w:val="18"/>
                <w:szCs w:val="18"/>
                <w:b w:val="1"/>
                <w:bCs w:val="1"/>
                <w:color w:val="auto"/>
                <w:w w:val="88"/>
              </w:rPr>
              <w:t>Delaware</w:t>
            </w:r>
          </w:p>
        </w:tc>
        <w:tc>
          <w:tcPr>
            <w:tcW w:w="47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51-0317849</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49"/>
        </w:trPr>
        <w:tc>
          <w:tcPr>
            <w:tcW w:w="4400" w:type="dxa"/>
            <w:vAlign w:val="bottom"/>
            <w:gridSpan w:val="3"/>
          </w:tcPr>
          <w:p>
            <w:pPr>
              <w:jc w:val="center"/>
              <w:ind w:left="220"/>
              <w:spacing w:after="0" w:line="149" w:lineRule="exact"/>
              <w:rPr>
                <w:sz w:val="20"/>
                <w:szCs w:val="20"/>
                <w:color w:val="auto"/>
              </w:rPr>
            </w:pPr>
            <w:r>
              <w:rPr>
                <w:rFonts w:ascii="Arial" w:cs="Arial" w:eastAsia="Arial" w:hAnsi="Arial"/>
                <w:sz w:val="14"/>
                <w:szCs w:val="14"/>
                <w:i w:val="1"/>
                <w:iCs w:val="1"/>
                <w:color w:val="auto"/>
                <w:w w:val="87"/>
              </w:rPr>
              <w:t>(STATE OR OTHER JURISDICTION OF</w:t>
            </w:r>
          </w:p>
        </w:tc>
        <w:tc>
          <w:tcPr>
            <w:tcW w:w="2640" w:type="dxa"/>
            <w:vAlign w:val="bottom"/>
          </w:tcPr>
          <w:p>
            <w:pPr>
              <w:spacing w:after="0"/>
              <w:rPr>
                <w:sz w:val="12"/>
                <w:szCs w:val="12"/>
                <w:color w:val="auto"/>
              </w:rPr>
            </w:pPr>
          </w:p>
        </w:tc>
        <w:tc>
          <w:tcPr>
            <w:tcW w:w="2060" w:type="dxa"/>
            <w:vAlign w:val="bottom"/>
          </w:tcPr>
          <w:p>
            <w:pPr>
              <w:jc w:val="center"/>
              <w:ind w:left="348"/>
              <w:spacing w:after="0" w:line="149" w:lineRule="exact"/>
              <w:rPr>
                <w:sz w:val="20"/>
                <w:szCs w:val="20"/>
                <w:color w:val="auto"/>
              </w:rPr>
            </w:pPr>
            <w:r>
              <w:rPr>
                <w:rFonts w:ascii="Arial" w:cs="Arial" w:eastAsia="Arial" w:hAnsi="Arial"/>
                <w:sz w:val="14"/>
                <w:szCs w:val="14"/>
                <w:i w:val="1"/>
                <w:iCs w:val="1"/>
                <w:color w:val="auto"/>
                <w:w w:val="88"/>
              </w:rPr>
              <w:t>(I.R.S. EMPLOYER</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4400" w:type="dxa"/>
            <w:vAlign w:val="bottom"/>
            <w:gridSpan w:val="3"/>
          </w:tcPr>
          <w:p>
            <w:pPr>
              <w:jc w:val="center"/>
              <w:ind w:left="220"/>
              <w:spacing w:after="0"/>
              <w:rPr>
                <w:sz w:val="20"/>
                <w:szCs w:val="20"/>
                <w:color w:val="auto"/>
              </w:rPr>
            </w:pPr>
            <w:r>
              <w:rPr>
                <w:rFonts w:ascii="Arial" w:cs="Arial" w:eastAsia="Arial" w:hAnsi="Arial"/>
                <w:sz w:val="14"/>
                <w:szCs w:val="14"/>
                <w:i w:val="1"/>
                <w:iCs w:val="1"/>
                <w:color w:val="auto"/>
                <w:w w:val="89"/>
              </w:rPr>
              <w:t>INCORPORATION OR ORGANIZATION)</w:t>
            </w:r>
          </w:p>
        </w:tc>
        <w:tc>
          <w:tcPr>
            <w:tcW w:w="2640" w:type="dxa"/>
            <w:vAlign w:val="bottom"/>
          </w:tcPr>
          <w:p>
            <w:pPr>
              <w:spacing w:after="0"/>
              <w:rPr>
                <w:sz w:val="14"/>
                <w:szCs w:val="14"/>
                <w:color w:val="auto"/>
              </w:rPr>
            </w:pPr>
          </w:p>
        </w:tc>
        <w:tc>
          <w:tcPr>
            <w:tcW w:w="2060" w:type="dxa"/>
            <w:vAlign w:val="bottom"/>
          </w:tcPr>
          <w:p>
            <w:pPr>
              <w:jc w:val="center"/>
              <w:ind w:left="348"/>
              <w:spacing w:after="0"/>
              <w:rPr>
                <w:sz w:val="20"/>
                <w:szCs w:val="20"/>
                <w:color w:val="auto"/>
              </w:rPr>
            </w:pPr>
            <w:r>
              <w:rPr>
                <w:rFonts w:ascii="Arial" w:cs="Arial" w:eastAsia="Arial" w:hAnsi="Arial"/>
                <w:sz w:val="14"/>
                <w:szCs w:val="14"/>
                <w:i w:val="1"/>
                <w:iCs w:val="1"/>
                <w:color w:val="auto"/>
                <w:w w:val="91"/>
              </w:rPr>
              <w:t>IDENTIFICATION NO.)</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70"/>
        </w:trPr>
        <w:tc>
          <w:tcPr>
            <w:tcW w:w="4400" w:type="dxa"/>
            <w:vAlign w:val="bottom"/>
            <w:gridSpan w:val="3"/>
          </w:tcPr>
          <w:p>
            <w:pPr>
              <w:jc w:val="center"/>
              <w:ind w:left="240"/>
              <w:spacing w:after="0"/>
              <w:rPr>
                <w:sz w:val="20"/>
                <w:szCs w:val="20"/>
                <w:color w:val="auto"/>
              </w:rPr>
            </w:pPr>
            <w:r>
              <w:rPr>
                <w:rFonts w:ascii="Arial" w:cs="Arial" w:eastAsia="Arial" w:hAnsi="Arial"/>
                <w:sz w:val="18"/>
                <w:szCs w:val="18"/>
                <w:b w:val="1"/>
                <w:bCs w:val="1"/>
                <w:color w:val="auto"/>
                <w:w w:val="89"/>
              </w:rPr>
              <w:t>311 Enterprise Drive</w:t>
            </w:r>
          </w:p>
        </w:tc>
        <w:tc>
          <w:tcPr>
            <w:tcW w:w="4700" w:type="dxa"/>
            <w:vAlign w:val="bottom"/>
            <w:gridSpan w:val="2"/>
          </w:tcPr>
          <w:p>
            <w:pPr>
              <w:jc w:val="right"/>
              <w:ind w:right="528"/>
              <w:spacing w:after="0"/>
              <w:rPr>
                <w:sz w:val="20"/>
                <w:szCs w:val="20"/>
                <w:color w:val="auto"/>
              </w:rPr>
            </w:pPr>
            <w:r>
              <w:rPr>
                <w:rFonts w:ascii="Arial" w:cs="Arial" w:eastAsia="Arial" w:hAnsi="Arial"/>
                <w:sz w:val="18"/>
                <w:szCs w:val="18"/>
                <w:b w:val="1"/>
                <w:bCs w:val="1"/>
                <w:color w:val="auto"/>
              </w:rPr>
              <w:t>08536</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28"/>
        </w:trPr>
        <w:tc>
          <w:tcPr>
            <w:tcW w:w="4400" w:type="dxa"/>
            <w:vAlign w:val="bottom"/>
            <w:gridSpan w:val="3"/>
          </w:tcPr>
          <w:p>
            <w:pPr>
              <w:jc w:val="center"/>
              <w:ind w:left="220"/>
              <w:spacing w:after="0"/>
              <w:rPr>
                <w:sz w:val="20"/>
                <w:szCs w:val="20"/>
                <w:color w:val="auto"/>
              </w:rPr>
            </w:pPr>
            <w:r>
              <w:rPr>
                <w:rFonts w:ascii="Arial" w:cs="Arial" w:eastAsia="Arial" w:hAnsi="Arial"/>
                <w:sz w:val="18"/>
                <w:szCs w:val="18"/>
                <w:b w:val="1"/>
                <w:bCs w:val="1"/>
                <w:color w:val="auto"/>
                <w:w w:val="95"/>
              </w:rPr>
              <w:t>PLAINSBORO, NEW JERSEY</w:t>
            </w:r>
          </w:p>
        </w:tc>
        <w:tc>
          <w:tcPr>
            <w:tcW w:w="2640" w:type="dxa"/>
            <w:vAlign w:val="bottom"/>
          </w:tcPr>
          <w:p>
            <w:pPr>
              <w:spacing w:after="0"/>
              <w:rPr>
                <w:sz w:val="19"/>
                <w:szCs w:val="19"/>
                <w:color w:val="auto"/>
              </w:rPr>
            </w:pPr>
          </w:p>
        </w:tc>
        <w:tc>
          <w:tcPr>
            <w:tcW w:w="2060" w:type="dxa"/>
            <w:vAlign w:val="bottom"/>
          </w:tcPr>
          <w:p>
            <w:pPr>
              <w:jc w:val="center"/>
              <w:ind w:left="348"/>
              <w:spacing w:after="0"/>
              <w:rPr>
                <w:sz w:val="20"/>
                <w:szCs w:val="20"/>
                <w:color w:val="auto"/>
              </w:rPr>
            </w:pPr>
            <w:r>
              <w:rPr>
                <w:rFonts w:ascii="Arial" w:cs="Arial" w:eastAsia="Arial" w:hAnsi="Arial"/>
                <w:sz w:val="14"/>
                <w:szCs w:val="14"/>
                <w:i w:val="1"/>
                <w:iCs w:val="1"/>
                <w:color w:val="auto"/>
                <w:w w:val="90"/>
              </w:rPr>
              <w:t>(ZIP CODE)</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7"/>
        </w:trPr>
        <w:tc>
          <w:tcPr>
            <w:tcW w:w="4400" w:type="dxa"/>
            <w:vAlign w:val="bottom"/>
            <w:gridSpan w:val="3"/>
          </w:tcPr>
          <w:p>
            <w:pPr>
              <w:jc w:val="center"/>
              <w:ind w:left="220"/>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2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55"/>
        </w:trPr>
        <w:tc>
          <w:tcPr>
            <w:tcW w:w="1780" w:type="dxa"/>
            <w:vAlign w:val="bottom"/>
          </w:tcPr>
          <w:p>
            <w:pPr>
              <w:spacing w:after="0"/>
              <w:rPr>
                <w:sz w:val="22"/>
                <w:szCs w:val="22"/>
                <w:color w:val="auto"/>
              </w:rPr>
            </w:pPr>
          </w:p>
        </w:tc>
        <w:tc>
          <w:tcPr>
            <w:tcW w:w="7320" w:type="dxa"/>
            <w:vAlign w:val="bottom"/>
            <w:gridSpan w:val="4"/>
          </w:tcPr>
          <w:p>
            <w:pPr>
              <w:jc w:val="center"/>
              <w:ind w:right="288"/>
              <w:spacing w:after="0"/>
              <w:rPr>
                <w:sz w:val="20"/>
                <w:szCs w:val="20"/>
                <w:color w:val="auto"/>
              </w:rPr>
            </w:pPr>
            <w:r>
              <w:rPr>
                <w:rFonts w:ascii="Arial" w:cs="Arial" w:eastAsia="Arial" w:hAnsi="Arial"/>
                <w:sz w:val="18"/>
                <w:szCs w:val="18"/>
                <w:b w:val="1"/>
                <w:bCs w:val="1"/>
                <w:color w:val="auto"/>
                <w:w w:val="96"/>
              </w:rPr>
              <w:t>REGISTRANT’S TELEPHONE NUMBER, INCLUDING AREA CODE: (609) 275-0500</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1780" w:type="dxa"/>
            <w:vAlign w:val="bottom"/>
          </w:tcPr>
          <w:p>
            <w:pPr>
              <w:spacing w:after="0"/>
              <w:rPr>
                <w:sz w:val="23"/>
                <w:szCs w:val="23"/>
                <w:color w:val="auto"/>
              </w:rPr>
            </w:pPr>
          </w:p>
        </w:tc>
        <w:tc>
          <w:tcPr>
            <w:tcW w:w="7320" w:type="dxa"/>
            <w:vAlign w:val="bottom"/>
            <w:gridSpan w:val="4"/>
          </w:tcPr>
          <w:p>
            <w:pPr>
              <w:jc w:val="center"/>
              <w:ind w:right="308"/>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8"/>
        </w:trPr>
        <w:tc>
          <w:tcPr>
            <w:tcW w:w="17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1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c>
          <w:tcPr>
            <w:tcW w:w="4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920" w:type="dxa"/>
            <w:vAlign w:val="bottom"/>
            <w:gridSpan w:val="2"/>
          </w:tcPr>
          <w:p>
            <w:pPr>
              <w:ind w:left="880"/>
              <w:spacing w:after="0"/>
              <w:rPr>
                <w:sz w:val="20"/>
                <w:szCs w:val="20"/>
                <w:color w:val="auto"/>
              </w:rPr>
            </w:pPr>
            <w:r>
              <w:rPr>
                <w:rFonts w:ascii="Arial" w:cs="Arial" w:eastAsia="Arial" w:hAnsi="Arial"/>
                <w:sz w:val="18"/>
                <w:szCs w:val="18"/>
                <w:color w:val="auto"/>
                <w:w w:val="88"/>
              </w:rPr>
              <w:t>Common Stock, Par Value $</w:t>
            </w:r>
          </w:p>
        </w:tc>
        <w:tc>
          <w:tcPr>
            <w:tcW w:w="1480" w:type="dxa"/>
            <w:vAlign w:val="bottom"/>
          </w:tcPr>
          <w:p>
            <w:pPr>
              <w:spacing w:after="0"/>
              <w:rPr>
                <w:sz w:val="20"/>
                <w:szCs w:val="20"/>
                <w:color w:val="auto"/>
              </w:rPr>
            </w:pPr>
            <w:r>
              <w:rPr>
                <w:rFonts w:ascii="Arial" w:cs="Arial" w:eastAsia="Arial" w:hAnsi="Arial"/>
                <w:sz w:val="18"/>
                <w:szCs w:val="18"/>
                <w:color w:val="auto"/>
              </w:rPr>
              <w:t>.01 Per Share</w:t>
            </w:r>
          </w:p>
        </w:tc>
        <w:tc>
          <w:tcPr>
            <w:tcW w:w="2640" w:type="dxa"/>
            <w:vAlign w:val="bottom"/>
          </w:tcPr>
          <w:p>
            <w:pPr>
              <w:spacing w:after="0"/>
              <w:rPr>
                <w:sz w:val="18"/>
                <w:szCs w:val="18"/>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color w:val="auto"/>
                <w:w w:val="89"/>
              </w:rPr>
              <w:t>The Nasdaq Stock Market LLC</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62"/>
        </w:trPr>
        <w:tc>
          <w:tcPr>
            <w:tcW w:w="1780" w:type="dxa"/>
            <w:vAlign w:val="bottom"/>
          </w:tcPr>
          <w:p>
            <w:pPr>
              <w:spacing w:after="0"/>
              <w:rPr>
                <w:sz w:val="22"/>
                <w:szCs w:val="22"/>
                <w:color w:val="auto"/>
              </w:rPr>
            </w:pPr>
          </w:p>
        </w:tc>
        <w:tc>
          <w:tcPr>
            <w:tcW w:w="7320" w:type="dxa"/>
            <w:vAlign w:val="bottom"/>
            <w:gridSpan w:val="4"/>
          </w:tcPr>
          <w:p>
            <w:pPr>
              <w:jc w:val="center"/>
              <w:ind w:right="308"/>
              <w:spacing w:after="0"/>
              <w:rPr>
                <w:sz w:val="20"/>
                <w:szCs w:val="20"/>
                <w:color w:val="auto"/>
              </w:rPr>
            </w:pPr>
            <w:r>
              <w:rPr>
                <w:rFonts w:ascii="Arial" w:cs="Arial" w:eastAsia="Arial" w:hAnsi="Arial"/>
                <w:sz w:val="18"/>
                <w:szCs w:val="18"/>
                <w:b w:val="1"/>
                <w:bCs w:val="1"/>
                <w:color w:val="auto"/>
                <w:w w:val="96"/>
              </w:rPr>
              <w:t>SECURITIES REGISTERED PURSUANT TO SECTION 12(g) OF THE ACT:</w:t>
            </w: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70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6"/>
              </w:rPr>
              <w:t>NONE</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85"/>
        </w:trPr>
        <w:tc>
          <w:tcPr>
            <w:tcW w:w="9100" w:type="dxa"/>
            <w:vAlign w:val="bottom"/>
            <w:gridSpan w:val="5"/>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380" w:type="dxa"/>
            <w:vAlign w:val="bottom"/>
          </w:tcPr>
          <w:p>
            <w:pPr>
              <w:ind w:left="160"/>
              <w:spacing w:after="0"/>
              <w:rPr>
                <w:sz w:val="20"/>
                <w:szCs w:val="20"/>
                <w:color w:val="auto"/>
              </w:rPr>
            </w:pPr>
            <w:r>
              <w:rPr>
                <w:rFonts w:ascii="Arial" w:cs="Arial" w:eastAsia="Arial" w:hAnsi="Arial"/>
                <w:sz w:val="18"/>
                <w:szCs w:val="18"/>
                <w:color w:val="auto"/>
                <w:w w:val="86"/>
              </w:rPr>
              <w:t>No</w:t>
            </w:r>
          </w:p>
        </w:tc>
        <w:tc>
          <w:tcPr>
            <w:tcW w:w="40" w:type="dxa"/>
            <w:vAlign w:val="bottom"/>
          </w:tcPr>
          <w:p>
            <w:pPr>
              <w:spacing w:after="0"/>
              <w:rPr>
                <w:sz w:val="24"/>
                <w:szCs w:val="24"/>
                <w:color w:val="auto"/>
              </w:rPr>
            </w:pPr>
          </w:p>
        </w:tc>
        <w:tc>
          <w:tcPr>
            <w:tcW w:w="6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r>
      <w:tr>
        <w:trPr>
          <w:trHeight w:val="275"/>
        </w:trPr>
        <w:tc>
          <w:tcPr>
            <w:tcW w:w="948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Securities Exchange Act.</w:t>
            </w:r>
          </w:p>
        </w:tc>
        <w:tc>
          <w:tcPr>
            <w:tcW w:w="6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2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jc w:val="both"/>
        <w:ind w:right="2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spacing w:after="0" w:line="207" w:lineRule="exact"/>
        <w:tabs>
          <w:tab w:leader="none" w:pos="3280" w:val="left"/>
          <w:tab w:leader="none" w:pos="5600" w:val="left"/>
          <w:tab w:leader="none" w:pos="9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(Do not check if a smaller reporting company)</w:t>
      </w:r>
    </w:p>
    <w:p>
      <w:pPr>
        <w:spacing w:after="0" w:line="17" w:lineRule="exact"/>
        <w:rPr>
          <w:sz w:val="24"/>
          <w:szCs w:val="24"/>
          <w:color w:val="auto"/>
        </w:rPr>
      </w:pPr>
    </w:p>
    <w:p>
      <w:pPr>
        <w:ind w:left="460"/>
        <w:spacing w:after="0" w:line="207" w:lineRule="exact"/>
        <w:tabs>
          <w:tab w:leader="none" w:pos="8580" w:val="left"/>
          <w:tab w:leader="none" w:pos="9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June 30, 2011, the aggregate market value of the registrant’s common stock held by non-affiliates was approximately $956.2 million based upon the closing sales price of the registrant’s common stock on The Nasdaq Global Market on such date. The number of shares of the registrant’s Common Stock outstanding as of February 21, 2012 was 26,879,851.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jc w:val="both"/>
        <w:ind w:firstLine="456"/>
        <w:spacing w:after="0" w:line="268" w:lineRule="auto"/>
        <w:rPr>
          <w:sz w:val="20"/>
          <w:szCs w:val="20"/>
          <w:color w:val="auto"/>
        </w:rPr>
      </w:pPr>
      <w:r>
        <w:rPr>
          <w:rFonts w:ascii="Arial" w:cs="Arial" w:eastAsia="Arial" w:hAnsi="Arial"/>
          <w:sz w:val="18"/>
          <w:szCs w:val="18"/>
          <w:color w:val="auto"/>
        </w:rPr>
        <w:t>Certain portions of the registrant’s definitive proxy statement relating to its scheduled May 17, 2012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80" w:type="dxa"/>
            <w:vAlign w:val="bottom"/>
            <w:gridSpan w:val="11"/>
          </w:tcPr>
          <w:p>
            <w:pPr>
              <w:ind w:left="6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160" w:type="dxa"/>
            <w:vAlign w:val="bottom"/>
            <w:gridSpan w:val="9"/>
            <w:vMerge w:val="restart"/>
          </w:tcPr>
          <w:p>
            <w:pPr>
              <w:spacing w:after="0"/>
              <w:rPr>
                <w:sz w:val="20"/>
                <w:szCs w:val="20"/>
                <w:color w:val="auto"/>
              </w:rPr>
            </w:pPr>
            <w:r>
              <w:rPr>
                <w:rFonts w:ascii="Arial" w:cs="Arial" w:eastAsia="Arial" w:hAnsi="Arial"/>
                <w:sz w:val="18"/>
                <w:szCs w:val="18"/>
                <w:b w:val="1"/>
                <w:bCs w:val="1"/>
                <w:color w:val="0000EE"/>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2160" w:type="dxa"/>
            <w:vAlign w:val="bottom"/>
            <w:gridSpan w:val="9"/>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26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800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68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2.</w:t>
            </w:r>
          </w:p>
        </w:tc>
        <w:tc>
          <w:tcPr>
            <w:tcW w:w="888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75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4.</w:t>
            </w:r>
          </w:p>
        </w:tc>
        <w:tc>
          <w:tcPr>
            <w:tcW w:w="888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0000EE"/>
              </w:rPr>
              <w:t>PART 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Market for Registrant’s Common Equity, Related Stockholder Matters and Issuer Purchases of Equity Securities</w:t>
              </w:r>
            </w:hyperlink>
          </w:p>
        </w:tc>
        <w:tc>
          <w:tcPr>
            <w:tcW w:w="10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6.</w:t>
            </w:r>
          </w:p>
        </w:tc>
        <w:tc>
          <w:tcPr>
            <w:tcW w:w="888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Management’s Discussion and Analysis of Financial Condition and Results of Operations</w:t>
              </w:r>
            </w:hyperlink>
          </w:p>
        </w:tc>
        <w:tc>
          <w:tcPr>
            <w:tcW w:w="25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7A.</w:t>
            </w:r>
          </w:p>
        </w:tc>
        <w:tc>
          <w:tcPr>
            <w:tcW w:w="888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4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Changes in and Disagreements with Accountants on Accounting and Financial Disclosure</w:t>
              </w:r>
            </w:hyperlink>
          </w:p>
        </w:tc>
        <w:tc>
          <w:tcPr>
            <w:tcW w:w="25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9A.</w:t>
            </w:r>
          </w:p>
        </w:tc>
        <w:tc>
          <w:tcPr>
            <w:tcW w:w="888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1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0000EE"/>
              </w:rPr>
              <w:t>PART III</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10.</w:t>
            </w:r>
          </w:p>
        </w:tc>
        <w:tc>
          <w:tcPr>
            <w:tcW w:w="8880" w:type="dxa"/>
            <w:vAlign w:val="bottom"/>
            <w:gridSpan w:val="20"/>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Executive Compensation</w:t>
            </w:r>
          </w:p>
        </w:tc>
        <w:tc>
          <w:tcPr>
            <w:tcW w:w="2220" w:type="dxa"/>
            <w:vAlign w:val="bottom"/>
            <w:tcBorders>
              <w:top w:val="single" w:sz="8" w:color="0000EE"/>
            </w:tcBorders>
            <w:gridSpan w:val="5"/>
          </w:tcPr>
          <w:p>
            <w:pPr>
              <w:spacing w:after="0"/>
              <w:rPr>
                <w:sz w:val="17"/>
                <w:szCs w:val="17"/>
                <w:color w:val="auto"/>
              </w:rPr>
            </w:pPr>
          </w:p>
        </w:tc>
        <w:tc>
          <w:tcPr>
            <w:tcW w:w="49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12.</w:t>
            </w:r>
          </w:p>
        </w:tc>
        <w:tc>
          <w:tcPr>
            <w:tcW w:w="8880" w:type="dxa"/>
            <w:vAlign w:val="bottom"/>
            <w:gridSpan w:val="20"/>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13.</w:t>
            </w:r>
          </w:p>
        </w:tc>
        <w:tc>
          <w:tcPr>
            <w:tcW w:w="506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7"/>
              </w:rPr>
              <w:t>Certain Relationships, Related Transactions, and Director Independence</w:t>
            </w:r>
          </w:p>
        </w:tc>
        <w:tc>
          <w:tcPr>
            <w:tcW w:w="2040" w:type="dxa"/>
            <w:vAlign w:val="bottom"/>
            <w:tcBorders>
              <w:top w:val="single" w:sz="8" w:color="0000EE"/>
            </w:tcBorders>
            <w:gridSpan w:val="3"/>
          </w:tcPr>
          <w:p>
            <w:pPr>
              <w:spacing w:after="0"/>
              <w:rPr>
                <w:sz w:val="17"/>
                <w:szCs w:val="17"/>
                <w:color w:val="auto"/>
              </w:rPr>
            </w:pPr>
          </w:p>
        </w:tc>
        <w:tc>
          <w:tcPr>
            <w:tcW w:w="1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14.</w:t>
            </w:r>
          </w:p>
        </w:tc>
        <w:tc>
          <w:tcPr>
            <w:tcW w:w="8880" w:type="dxa"/>
            <w:vAlign w:val="bottom"/>
            <w:gridSpan w:val="20"/>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2160" w:type="dxa"/>
            <w:vAlign w:val="bottom"/>
            <w:gridSpan w:val="9"/>
          </w:tcPr>
          <w:p>
            <w:pPr>
              <w:spacing w:after="0"/>
              <w:rPr>
                <w:sz w:val="20"/>
                <w:szCs w:val="20"/>
                <w:color w:val="auto"/>
              </w:rPr>
            </w:pPr>
            <w:r>
              <w:rPr>
                <w:rFonts w:ascii="Arial" w:cs="Arial" w:eastAsia="Arial" w:hAnsi="Arial"/>
                <w:sz w:val="18"/>
                <w:szCs w:val="18"/>
                <w:b w:val="1"/>
                <w:bCs w:val="1"/>
                <w:color w:val="0000EE"/>
              </w:rPr>
              <w:t>PART IV</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3"/>
          </w:tcPr>
          <w:p>
            <w:pPr>
              <w:ind w:left="140"/>
              <w:spacing w:after="0" w:line="196" w:lineRule="exact"/>
              <w:rPr>
                <w:sz w:val="20"/>
                <w:szCs w:val="20"/>
                <w:color w:val="auto"/>
              </w:rPr>
            </w:pPr>
            <w:r>
              <w:rPr>
                <w:rFonts w:ascii="Arial" w:cs="Arial" w:eastAsia="Arial" w:hAnsi="Arial"/>
                <w:sz w:val="18"/>
                <w:szCs w:val="18"/>
                <w:color w:val="auto"/>
              </w:rPr>
              <w:t>Item 15.</w:t>
            </w:r>
          </w:p>
        </w:tc>
        <w:tc>
          <w:tcPr>
            <w:tcW w:w="888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Exhibit and Financial Statements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16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40" w:type="dxa"/>
            <w:vAlign w:val="bottom"/>
          </w:tcPr>
          <w:p>
            <w:pPr>
              <w:spacing w:after="0"/>
              <w:rPr>
                <w:sz w:val="19"/>
                <w:szCs w:val="19"/>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auto"/>
              </w:rPr>
              <w:t>EX-10.16(c)</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8"/>
                <w:szCs w:val="18"/>
                <w:color w:val="auto"/>
              </w:rPr>
              <w:t>EX-10.39(n)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720" w:type="dxa"/>
            <w:vAlign w:val="bottom"/>
            <w:gridSpan w:val="8"/>
          </w:tcPr>
          <w:p>
            <w:pPr>
              <w:spacing w:after="0" w:line="184" w:lineRule="exact"/>
              <w:rPr>
                <w:sz w:val="20"/>
                <w:szCs w:val="20"/>
                <w:color w:val="auto"/>
              </w:rPr>
            </w:pPr>
            <w:r>
              <w:rPr>
                <w:rFonts w:ascii="Arial" w:cs="Arial" w:eastAsia="Arial" w:hAnsi="Arial"/>
                <w:sz w:val="18"/>
                <w:szCs w:val="18"/>
                <w:color w:val="auto"/>
              </w:rPr>
              <w:t>EX-21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gridSpan w:val="8"/>
          </w:tcPr>
          <w:p>
            <w:pPr>
              <w:spacing w:after="0" w:line="196" w:lineRule="exact"/>
              <w:rPr>
                <w:sz w:val="20"/>
                <w:szCs w:val="20"/>
                <w:color w:val="auto"/>
              </w:rPr>
            </w:pPr>
            <w:r>
              <w:rPr>
                <w:rFonts w:ascii="Arial" w:cs="Arial" w:eastAsia="Arial" w:hAnsi="Arial"/>
                <w:sz w:val="18"/>
                <w:szCs w:val="18"/>
                <w:color w:val="auto"/>
              </w:rPr>
              <w:t>EX-23</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9"/>
              </w:rPr>
              <w:t>EX-31.1</w:t>
            </w: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EX-31.2</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EX-32.2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INSTANCE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SCHEMA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CALCULATION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DEFINITION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LABELS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PRESENTATION LINKBASE DOCUMENT</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Integra, headquartered in Plainsboro, New Jersey, is a world leader in medical devices. The Company employs approximately 3,400 people around the world who are dedicated to limiting uncertainty for surgeons, so they can concentrate on providing the best patient care. Integra offers innovative solutions in orthopedic extremity surgery, neurosurgery, spine surgery, and reconstructive and general surgery. Revenues grew to $780.1 million in 2011, an increase of 7% from $732.1 million in 2010.</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Integra was founded on a technology platform to repair and regenerate tissue with engineered collagen devices. The Company has developed numerous product lines for applications ranging from burn and deep tissue wounds to regeneration of dura mater in the brain and repair of nerve and tendon. Over the past 20 years, Integra has built upon this core regenerative medicine technology, acquiring businesses in markets with overlapping customer bases and developing products to further meet the needs of its target customers. Integra today has three revenue categories in Orthopedics, which includes spine, extremity reconstruction, and private label product lines, Neurosurgery, and Instruments.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Integra’s orthopedic products include devices and implants for foot and ankle, hand and wrist, shoulder and elbow, tendon and peripheral nerve protection and repair, wound repair and spine. Integra is a leader in cranial neurosurgery, offering a broad portfolio of implants, devices, instruments and systems used in neurosurgery, neuromonitoring, neurotrauma, and related critical care. In the United States, we are one of the largest providers of surgical instruments to hospitals, surgery centers and alternate care sites, including physician and dental offices.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aspire to be a diversified global medical device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a global medical devices company whose products touch millions of lives. Key elements of our strategy include: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Geographic Expansion</w:t>
      </w:r>
      <w:r>
        <w:rPr>
          <w:rFonts w:ascii="Arial" w:cs="Arial" w:eastAsia="Arial" w:hAnsi="Arial"/>
          <w:sz w:val="18"/>
          <w:szCs w:val="18"/>
          <w:color w:val="auto"/>
        </w:rPr>
        <w:t>. With less than one quarter of our revenues generated from markets outside the United States, we see an opportunity to accelerate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growth by increasing our International presence. We are expanding our infrastructure functions in key markets and developing our distribution and service structures to fuel this expansion.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Margin Expansion. </w:t>
      </w:r>
      <w:r>
        <w:rPr>
          <w:rFonts w:ascii="Arial" w:cs="Arial" w:eastAsia="Arial" w:hAnsi="Arial"/>
          <w:sz w:val="18"/>
          <w:szCs w:val="18"/>
          <w:color w:val="auto"/>
        </w:rPr>
        <w:t>We have a large manufacturing and distribution footprint. We see an opportunity to generate higher marginal profit and increase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through efforts to optimize these operations.</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Leverage Platform Synergies</w:t>
      </w:r>
      <w:r>
        <w:rPr>
          <w:rFonts w:ascii="Arial" w:cs="Arial" w:eastAsia="Arial" w:hAnsi="Arial"/>
          <w:sz w:val="15"/>
          <w:szCs w:val="15"/>
          <w:color w:val="auto"/>
        </w:rPr>
        <w:t>. Our diversification in Orthopedics, Neurosurgery and Instruments has some advantages that provide opportunities for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leverage. These opportunities include instrument sourcing in Orthopedics, optimizing our company-wide sourcing strategy, contracting with group purchasing organizations (“GPOs”) contracting and corporate account management, and regenerative medicine product development projects across all three categories.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Disciplined Focus and Execution</w:t>
      </w:r>
      <w:r>
        <w:rPr>
          <w:rFonts w:ascii="Arial" w:cs="Arial" w:eastAsia="Arial" w:hAnsi="Arial"/>
          <w:sz w:val="16"/>
          <w:szCs w:val="16"/>
          <w:color w:val="auto"/>
        </w:rPr>
        <w:t>. We have put in place new operating mechanisms and strategic initiatives aimed at improving execution. Organizational</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align and focus employees on achieving a prioritized set of goals. We expect that over time, these efforts will result in better planning and execution.</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Global Quality Assurance</w:t>
      </w:r>
      <w:r>
        <w:rPr>
          <w:rFonts w:ascii="Arial" w:cs="Arial" w:eastAsia="Arial" w:hAnsi="Arial"/>
          <w:sz w:val="18"/>
          <w:szCs w:val="18"/>
          <w:color w:val="auto"/>
        </w:rPr>
        <w:t>. We are working toward a common corporate quality system to support our global growth expectations. This updated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will enable a consistent approach across locations, reduce redundancies, and increase overall efficiency in this function.</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Acquiring or In-licensing Products That Fit Existing Sales Channels. </w:t>
      </w:r>
      <w:r>
        <w:rPr>
          <w:rFonts w:ascii="Arial" w:cs="Arial" w:eastAsia="Arial" w:hAnsi="Arial"/>
          <w:sz w:val="18"/>
          <w:szCs w:val="18"/>
          <w:color w:val="auto"/>
        </w:rPr>
        <w:t>We acquire businesses and acquire or in-license new products to increase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and size of our sales force, stimulate the development of new products, and extend the commercial lives of existing products. During 2011, we completed the acquisitions of SeaSpine, which developed and distributed spinal fixation products, including both hardware and biologics, and Ascension Orthopedics, which developed and sold implants for the shoulder, elbow, wrist, hand, foot and ankle. Through these and over 40 other acquisitions in the history of the Company, we have demonstrated that we can quickly and profitably integrate new products and businesses, and have an active program to evaluate similar opportunities.</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strategy allows us to expand our presence in hospitals and other health care facilities, to integrate acquired products effectively, to create strong sales platforms, and to drive short- and long-term revenue and earnings growth.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We sell products in three market categories: Orthopedics, Neurosurgery and Instruments. Within the Orthopedics category, we sell through a large direct sales organization and through specialty distributors focused on their respective surgical specialties. Neurosurgery sells products through directly employed sales representatives. Instruments are sold through two sales channels, both directly and through distributors and wholesalers, depending on the customer call point.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 OVERVIEW</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 fully integrated medical device company that offers thousands of products for the medical specialties which we target. We distinguish ourselves by emphasizing the importance of regenerative medicine, which we define as surgical implants derived from our proprietary collagen matrix technology and other biologic platforms. Our objective is to develop, acquire or otherwise provide products that will limit uncertainty in the surgical theatre. These products include our regenerative medicine implants, metal implants, instruments and equipment for orthopedic surgery, neurosurgery and general surgery.</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2011, approximately 23% of our revenues came from regenerative medicine.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promote the development of new native extracellular matrix. In their interaction with the patient’s body, our collagen matrices provide an environment to inhibit the formation of scar tissue, so the implant is absorbed over time, leaving healthy native tissue in its place. This basic technology can be applied to many different procedures. We sell these regenerative medicine products through most of our sales channels.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ORTHOPEDICS PRODUCT PORTFOLIO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orthopedics market category includes products that our Extremity Reconstruction and Spine sales organizations sell.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September 2011, we acquired Ascension Orthopedics, Inc. (“Ascension”), a provider of high quality implants for the shoulder, elbow, wrist, hand, foot and ankle. The acquisition provided us with a new entry into the fast-growing shoulder market. Key benefits of the combination include:</w:t>
      </w:r>
    </w:p>
    <w:p>
      <w:pPr>
        <w:spacing w:after="0" w:line="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Complementary Product Portfolio</w:t>
      </w:r>
      <w:r>
        <w:rPr>
          <w:rFonts w:ascii="Arial" w:cs="Arial" w:eastAsia="Arial" w:hAnsi="Arial"/>
          <w:sz w:val="16"/>
          <w:szCs w:val="16"/>
          <w:color w:val="auto"/>
        </w:rPr>
        <w:t>. Ascension’s strong position in upper extremities complements our leading foot and ankle product line.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New Entry Into Shoulder Market</w:t>
      </w:r>
      <w:r>
        <w:rPr>
          <w:rFonts w:ascii="Arial" w:cs="Arial" w:eastAsia="Arial" w:hAnsi="Arial"/>
          <w:sz w:val="16"/>
          <w:szCs w:val="16"/>
          <w:color w:val="auto"/>
        </w:rPr>
        <w:t>. Ascension offers an attractive shoulder technology, opening the $600 million shoulder market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PyroCarbon Technology</w:t>
      </w:r>
      <w:r>
        <w:rPr>
          <w:rFonts w:ascii="Arial" w:cs="Arial" w:eastAsia="Arial" w:hAnsi="Arial"/>
          <w:sz w:val="18"/>
          <w:szCs w:val="18"/>
          <w:color w:val="auto"/>
        </w:rPr>
        <w:t>. This proprietary technology adds exciting new potential to our product development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Industry Experience</w:t>
      </w:r>
      <w:r>
        <w:rPr>
          <w:rFonts w:ascii="Arial" w:cs="Arial" w:eastAsia="Arial" w:hAnsi="Arial"/>
          <w:sz w:val="18"/>
          <w:szCs w:val="18"/>
          <w:color w:val="auto"/>
        </w:rPr>
        <w:t>. Ascension’s management and development teams provide us with valuable extremities industry experience.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Extremity Reconstruction Product Portfolio</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Extremity reconstruction is a growing area of the orthopedic market. We define extremity reconstruction to mean the repair of soft tissue and the orthopedic reconstruction of bone in the foot, ankle and leg below the knee, and the hand, wrist, elbow and shoulder.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Skin and Wound. </w:t>
      </w:r>
      <w:r>
        <w:rPr>
          <w:rFonts w:ascii="Arial" w:cs="Arial" w:eastAsia="Arial" w:hAnsi="Arial"/>
          <w:sz w:val="18"/>
          <w:szCs w:val="18"/>
          <w:color w:val="auto"/>
        </w:rPr>
        <w:t>Our dermal repair and regeneration products are used to treat acute and chronic wounds.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Integra’s matrix wound dressings are indicated for the management of wounds, including partial and full-thickness wounds, pressure ulcers, venous ulcers, diabetic ulcers, chronic vascular ulcers, tunneled/undermined wounds, surgical wounds (donor sites/grafts, post-laser surgery, podiatric, and wound dehiscence), trauma wounds (abrasions, lacerations, second-degree burns, and skin tears) and draining wounds. We estimate that the market opportunity for products used to treat trauma and chronic wounds in the United States exceeds $2 billion.</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There are currently 26 million people with diabetes in the United States. Approximately 15% of these patients incur one or more diabetic foot ulcers during their lifetime. This population is also 15 times more likely to suffer an amputation due to non-healing diabetic foot ulcers. However, approximately 85% of all amputations are preventable if proper intervention is provided. Approximately 500,000 adults seek treatment for venous leg ulcers annually in the United States.</w:t>
      </w:r>
    </w:p>
    <w:p>
      <w:pPr>
        <w:spacing w:after="0" w:line="10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Bone and Joint Fixation Devices and Instruments. </w:t>
      </w:r>
      <w:r>
        <w:rPr>
          <w:rFonts w:ascii="Arial" w:cs="Arial" w:eastAsia="Arial" w:hAnsi="Arial"/>
          <w:sz w:val="15"/>
          <w:szCs w:val="15"/>
          <w:color w:val="auto"/>
        </w:rPr>
        <w:t>We offer the extremity reconstruction surgeon a comprehensive set of bone and joint fixation devices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upper and lower extremity, including orthopedic implants and surgical devices for small bone and joint procedures involving the foot, ankle, hand, wrist, shoulder and elbow. Our products address the trauma and reconstructive segments of the extremities market, an estimated $1 billion market in the United States.</w:t>
      </w:r>
    </w:p>
    <w:p>
      <w:pPr>
        <w:spacing w:after="0" w:line="8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Lower Extremity. </w:t>
      </w:r>
      <w:r>
        <w:rPr>
          <w:rFonts w:ascii="Arial" w:cs="Arial" w:eastAsia="Arial" w:hAnsi="Arial"/>
          <w:sz w:val="18"/>
          <w:szCs w:val="18"/>
          <w:color w:val="auto"/>
        </w:rPr>
        <w:t>We are a leading developer and marketer of specialty implants and instruments specifically designed for foot and ankle surgery.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include orthopedic and podiatric surgeons specializing in lower extremity injuries, of which there are approximately 2,300 and 6,200, respectively, in the United States. We have a full suite of products for orthopedic procedures that address pathology in the forefoot, midfoot, hindfoot, and ankle. The lower extremity market is estimated to exceed $700 million in the United States.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Upper Extremity. </w:t>
      </w:r>
      <w:r>
        <w:rPr>
          <w:rFonts w:ascii="Arial" w:cs="Arial" w:eastAsia="Arial" w:hAnsi="Arial"/>
          <w:sz w:val="18"/>
          <w:szCs w:val="18"/>
          <w:color w:val="auto"/>
        </w:rPr>
        <w:t>For upper extremity reconstruction, we are recognized for the premier implant for wrist arthroplasty, a procedure that restores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of the arthritic wrist. Our other leading products in this therapeutic area are used in small bone fixation, treatment of carpel tunnel syndrome and treatment of cubital tunnel syndrome. This segment of the upper extremity market, excluding shoulder, is estimated to be nearly $250 million in the United States. Our acquisition of Ascension provides us with leading-edge shoulder products, opening up the largest component of the extremities market, estimated at $600 million.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Bone Graft Substitutes for Extremity Reconstruction. </w:t>
      </w:r>
      <w:r>
        <w:rPr>
          <w:rFonts w:ascii="Arial" w:cs="Arial" w:eastAsia="Arial" w:hAnsi="Arial"/>
          <w:sz w:val="16"/>
          <w:szCs w:val="16"/>
          <w:color w:val="auto"/>
        </w:rPr>
        <w:t>Our comprehensive line of bone graft substitute products includes three distinct products — a bone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void filler manufactured from beta tri-calcium phosphate and type I bovine collagen; demineralized bone matrix (“DBM”); and demineralized bone matrix premixed with cancellous bone. Bone graft substitutes are used in many of the more than 700,000 extremity fusion and osteotomy procedures annually. The extremity reconstruction bone graft market is estimated at more than $50 million annually in the United States.</w:t>
      </w:r>
    </w:p>
    <w:p>
      <w:pPr>
        <w:spacing w:after="0" w:line="11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b w:val="1"/>
          <w:bCs w:val="1"/>
          <w:i w:val="1"/>
          <w:iCs w:val="1"/>
          <w:color w:val="auto"/>
        </w:rPr>
        <w:t xml:space="preserve">Nerve and Tendon. </w:t>
      </w:r>
      <w:r>
        <w:rPr>
          <w:rFonts w:ascii="Arial" w:cs="Arial" w:eastAsia="Arial" w:hAnsi="Arial"/>
          <w:sz w:val="15"/>
          <w:szCs w:val="15"/>
          <w:color w:val="auto"/>
        </w:rPr>
        <w:t>Surgeons who specialize in foot or hand orthopedic surgery often have to repair nerves and tendons. To address these needs, we offer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regenerative medicine products for peripheral nerve repair and protection and tendon repair. We estimate that the worldwide market for the repair of severed, injured, compressed and scarred peripheral nerves is approximately $50 million. Tendon and ligament injuries are some of the most common musculoskeletal disorders. Industry sources estimate that there are approximately 750,000 tendon and ligament repair procedures in the United States annually.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Spine Product Portfolio</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Orthopedic and neurological spine surgeons treat debilitating pain arising from a variety of disorders, which include degenerative disk disease (“DDD”), deformity, trauma and tumors. DDD is the most common disorder and is expected to increase in the United States due to the aging population. To treat the pain arising from spinal disorders, surgeons could need to perform spinal fusion procedures. We offer comprehensive spinal fusion technologies that surgeons use from the occiput to the sacrum, and a full line of related orthobiologics.</w:t>
      </w:r>
    </w:p>
    <w:p>
      <w:pPr>
        <w:spacing w:after="0" w:line="14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United States spinal implant market, consisting of thoracolumbar fusion devices, cervical fusion devices, interbody fusion devices, and motion preservation technologies, is valued at approximately $5 billion. The United States market size for bone graft substitutes in orthopedic spinal procedures is estimated to be over $750 million.</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May 2011, we acquired SeaSpine, Inc., a provider of high quality, innovative products for the spine fusion market. This acquisition doubled our distribution network and revenue base in spinal hardware. Key benefits of the combination include:</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Scale</w:t>
      </w:r>
      <w:r>
        <w:rPr>
          <w:rFonts w:ascii="Arial" w:cs="Arial" w:eastAsia="Arial" w:hAnsi="Arial"/>
          <w:sz w:val="18"/>
          <w:szCs w:val="18"/>
          <w:color w:val="auto"/>
        </w:rPr>
        <w:t>. Doubled our revenue base in spinal hardware.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Expanded Customer Base</w:t>
      </w:r>
      <w:r>
        <w:rPr>
          <w:rFonts w:ascii="Arial" w:cs="Arial" w:eastAsia="Arial" w:hAnsi="Arial"/>
          <w:sz w:val="18"/>
          <w:szCs w:val="18"/>
          <w:color w:val="auto"/>
        </w:rPr>
        <w:t>. Brought new distributors and customers, doubling existing distribution network in the U.S. and establishing a new base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outside the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Expertise and Resources</w:t>
      </w:r>
      <w:r>
        <w:rPr>
          <w:rFonts w:ascii="Arial" w:cs="Arial" w:eastAsia="Arial" w:hAnsi="Arial"/>
          <w:sz w:val="16"/>
          <w:szCs w:val="16"/>
          <w:color w:val="auto"/>
        </w:rPr>
        <w:t>. Brought management team with industry experience and a West Coast facility with a product development cadaver lab.</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Comprehensive Product Portfolio</w:t>
      </w:r>
      <w:r>
        <w:rPr>
          <w:rFonts w:ascii="Arial" w:cs="Arial" w:eastAsia="Arial" w:hAnsi="Arial"/>
          <w:sz w:val="16"/>
          <w:szCs w:val="16"/>
          <w:color w:val="auto"/>
        </w:rPr>
        <w:t>. Combined two comprehensive product portfolios to offer our surgeons more options for their patients.</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successfully integrating the SeaSpine acquisition, our Spine division launched multiple new implants into targeted growth markets including the integrated interbody fusion device market, the minimally invasive market, and the deformity market.</w:t>
      </w:r>
    </w:p>
    <w:p>
      <w:pPr>
        <w:spacing w:after="0" w:line="132" w:lineRule="exact"/>
        <w:rPr>
          <w:sz w:val="20"/>
          <w:szCs w:val="20"/>
          <w:color w:val="auto"/>
        </w:rPr>
      </w:pPr>
    </w:p>
    <w:p>
      <w:pPr>
        <w:ind w:left="460" w:right="140" w:firstLine="438"/>
        <w:spacing w:after="0" w:line="294" w:lineRule="auto"/>
        <w:rPr>
          <w:sz w:val="20"/>
          <w:szCs w:val="20"/>
          <w:color w:val="auto"/>
        </w:rPr>
      </w:pPr>
      <w:r>
        <w:rPr>
          <w:rFonts w:ascii="Arial" w:cs="Arial" w:eastAsia="Arial" w:hAnsi="Arial"/>
          <w:sz w:val="16"/>
          <w:szCs w:val="16"/>
          <w:b w:val="1"/>
          <w:bCs w:val="1"/>
          <w:i w:val="1"/>
          <w:iCs w:val="1"/>
          <w:color w:val="auto"/>
        </w:rPr>
        <w:t xml:space="preserve">Integrated Interbody Fusion Devices. </w:t>
      </w:r>
      <w:r>
        <w:rPr>
          <w:rFonts w:ascii="Arial" w:cs="Arial" w:eastAsia="Arial" w:hAnsi="Arial"/>
          <w:sz w:val="16"/>
          <w:szCs w:val="16"/>
          <w:color w:val="auto"/>
        </w:rPr>
        <w:t>In 2011, we created a cornerstone of the latest technology for standalone interbody fusion devices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launching products applicable to both the cervical and lumbar spine. Integrated interbody devices consist of an interbody device integrated with a plate or screws. These devices eliminate the multiple steps required to implant traditional devices, while also limiting the uncertainty around implant stability and expulsion. As an example, our integrated anterior lumbar interbody device reduces the need for a surgeon to provide additional posterior fixation, thereby simplifying the procedure and expanding the market in which we participate.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b w:val="1"/>
          <w:bCs w:val="1"/>
          <w:i w:val="1"/>
          <w:iCs w:val="1"/>
          <w:color w:val="auto"/>
        </w:rPr>
        <w:t xml:space="preserve">Minimally Invasive Solutions. </w:t>
      </w:r>
      <w:r>
        <w:rPr>
          <w:rFonts w:ascii="Arial" w:cs="Arial" w:eastAsia="Arial" w:hAnsi="Arial"/>
          <w:sz w:val="18"/>
          <w:szCs w:val="18"/>
          <w:color w:val="auto"/>
        </w:rPr>
        <w:t>Minimally invasive fixation systems offer surgeons an opportunity to deliver pedicle screws with a small incision,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reducing blood loss and recovery time. Between increased patient demand and the increase of surgeons able to offer this technically demanding technique, the market for minimally invasive solutions will continue to rise. Our latest minimally invasive system features extended tabs for a small incision profile and two rod delivery options for both mini-open and percutaneous approaches. This product is expected to drive growth in our portfolio in 2012.</w:t>
      </w:r>
    </w:p>
    <w:p>
      <w:pPr>
        <w:spacing w:after="0" w:line="143" w:lineRule="exact"/>
        <w:rPr>
          <w:sz w:val="20"/>
          <w:szCs w:val="20"/>
          <w:color w:val="auto"/>
        </w:rPr>
      </w:pPr>
    </w:p>
    <w:p>
      <w:pPr>
        <w:ind w:left="460" w:right="120" w:firstLine="438"/>
        <w:spacing w:after="0" w:line="298" w:lineRule="auto"/>
        <w:rPr>
          <w:sz w:val="20"/>
          <w:szCs w:val="20"/>
          <w:color w:val="auto"/>
        </w:rPr>
      </w:pPr>
      <w:r>
        <w:rPr>
          <w:rFonts w:ascii="Arial" w:cs="Arial" w:eastAsia="Arial" w:hAnsi="Arial"/>
          <w:sz w:val="16"/>
          <w:szCs w:val="16"/>
          <w:b w:val="1"/>
          <w:bCs w:val="1"/>
          <w:i w:val="1"/>
          <w:iCs w:val="1"/>
          <w:color w:val="auto"/>
        </w:rPr>
        <w:t xml:space="preserve">Deformity Correction. </w:t>
      </w:r>
      <w:r>
        <w:rPr>
          <w:rFonts w:ascii="Arial" w:cs="Arial" w:eastAsia="Arial" w:hAnsi="Arial"/>
          <w:sz w:val="16"/>
          <w:szCs w:val="16"/>
          <w:color w:val="auto"/>
        </w:rPr>
        <w:t>To enhance our treatment options for deformity procedures, we introduced a titanium system for spinal deformity correction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This system features polyaxial and uniplanar pedicle screws, built-in rod reduction, straight and pre-contoured rods, and a comprehensive derotation system. The deformity market in the United States is estimated to be nearly $400 million. This system has been well received by our surgeon customers and is expected to help us establish a footprint in this important strategic market in 2012.</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Orthobiologics. </w:t>
      </w:r>
      <w:r>
        <w:rPr>
          <w:rFonts w:ascii="Arial" w:cs="Arial" w:eastAsia="Arial" w:hAnsi="Arial"/>
          <w:sz w:val="16"/>
          <w:szCs w:val="16"/>
          <w:color w:val="auto"/>
        </w:rPr>
        <w:t>We also market and sell a complete line of demineralized bone products, collagen ceramic matrices and pure synthetic bone grafting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Our third generation osteoinductive DBM, utilizing a patented technology, is unique in the market and has developed significant market share in a short period of time. This growth has been powered by its ability to provide both early and easy accessibility to a full cascade of growth factors combined with the slower-releasing traditional DBM particles. Separately, we have capitalized on our long history of collagen expertise to create and sell different variations of our collagen ceramic osteoconductive products in multiple configurations. The multiple configurations address surgeons’ differing procedural needs, which include strip, putty and morsels. Finally, we offer traditional cancellous chips, pure synthetic granules, and recently we introduced our cancellous bone sponge and strip.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NEUROSURGERY PRODUCT PORTFOLIO</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Integra Neurosurgery sales organization sells a full line of products specifically for neurosurgery and neuro critical care. We have products for each step of a cranial procedure and the care of the patient after surgery. We sell equipment used in the neurosurgery operating room and neurosurgery intensive care unit (“NICU”).</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Dural Repair Products. </w:t>
      </w:r>
      <w:r>
        <w:rPr>
          <w:rFonts w:ascii="Arial" w:cs="Arial" w:eastAsia="Arial" w:hAnsi="Arial"/>
          <w:sz w:val="16"/>
          <w:szCs w:val="16"/>
          <w:color w:val="auto"/>
        </w:rPr>
        <w:t>In the United States, over 225,000 craniotomy procedures are performed each year representing a market estimated to be over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$500 million. Most of these surgeries require an incision of the dura mater, which is the tough, fibrous membrane that surrounds and protects the brain and spinal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cord. The incision must be repaired, either by suturing or applying a dural graft to prevent cerebrospinal fluid leaks and facilitate healing. Since our introduction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original DuraGen</w:t>
      </w:r>
      <w:r>
        <w:rPr>
          <w:rFonts w:ascii="Arial" w:cs="Arial" w:eastAsia="Arial" w:hAnsi="Arial"/>
          <w:sz w:val="10"/>
          <w:szCs w:val="10"/>
          <w:color w:val="auto"/>
        </w:rPr>
        <w:t>®</w:t>
      </w:r>
      <w:r>
        <w:rPr>
          <w:rFonts w:ascii="Arial" w:cs="Arial" w:eastAsia="Arial" w:hAnsi="Arial"/>
          <w:sz w:val="16"/>
          <w:szCs w:val="16"/>
          <w:color w:val="auto"/>
        </w:rPr>
        <w:t xml:space="preserve"> Dural Graft Matrix in 1999, the first onlay collagen graft for dural repair, we have become the market leader in sutureless closure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dural defects in the United States. Our dural repair products are alternatives to tissue being removed and grafted from another location in the patient’s body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synthetic grafts that require extensive suturing.</w:t>
      </w:r>
    </w:p>
    <w:p>
      <w:pPr>
        <w:spacing w:after="0" w:line="16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Cerebral Spinal Fluid (“CSF”) Management Devices. </w:t>
      </w:r>
      <w:r>
        <w:rPr>
          <w:rFonts w:ascii="Arial" w:cs="Arial" w:eastAsia="Arial" w:hAnsi="Arial"/>
          <w:sz w:val="18"/>
          <w:szCs w:val="18"/>
          <w:color w:val="auto"/>
        </w:rPr>
        <w:t>CSF drainage is an important component of managing the intracranial pressure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neurologically compromised patient or a patient undergoing abdominal aortic aneurysm surgery. Over 250,000 procedures are performed annually in the United States using lumbar or ventricular drainage systems, including permanently implanted shunt systems and external ventricular drainage, representing an estimated $150 million market.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Hydrocephalus is a condition in which the primary characteristic is excessive accumulation of CSF in the brain. It is most commonly treated by inserting a shunt catheter into the ventricular system of the brain. The shunt is designed to divert the flow of CSF out of the brain to an appropriate drainage site, such as the peritoneal cavity or the heart’s right atrium, and through a pressure control valve to maintain a normal level of CSF. Each year there are approximately 50,000 new shunt implants and revision cases to treat hydrocephalus. We currently offer a diverse line of hydrocephalus management products, including a wide variety of valves and ventricular, lumbar, peritoneal and cardiac catheters.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Tissue Ablation Equipment. </w:t>
      </w:r>
      <w:r>
        <w:rPr>
          <w:rFonts w:ascii="Arial" w:cs="Arial" w:eastAsia="Arial" w:hAnsi="Arial"/>
          <w:sz w:val="18"/>
          <w:szCs w:val="18"/>
          <w:color w:val="auto"/>
        </w:rPr>
        <w:t>Our tissue ablation equipment uses high frequency acoustic pulses to selectively dissect soft tissues according to their density.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Integra’s CUSA</w:t>
      </w:r>
      <w:r>
        <w:rPr>
          <w:rFonts w:ascii="Arial" w:cs="Arial" w:eastAsia="Arial" w:hAnsi="Arial"/>
          <w:sz w:val="11"/>
          <w:szCs w:val="11"/>
          <w:color w:val="auto"/>
        </w:rPr>
        <w:t>®</w:t>
      </w:r>
      <w:r>
        <w:rPr>
          <w:rFonts w:ascii="Arial" w:cs="Arial" w:eastAsia="Arial" w:hAnsi="Arial"/>
          <w:sz w:val="18"/>
          <w:szCs w:val="18"/>
          <w:color w:val="auto"/>
        </w:rPr>
        <w:t xml:space="preserve"> tissue ablation system facilitates the ablation of unwanted tissue (such as tumors) adjacent to or attached to vital structures, helping to limit uncertainty for the surgeon. The CUSA</w:t>
      </w:r>
      <w:r>
        <w:rPr>
          <w:rFonts w:ascii="Arial" w:cs="Arial" w:eastAsia="Arial" w:hAnsi="Arial"/>
          <w:sz w:val="11"/>
          <w:szCs w:val="11"/>
          <w:color w:val="auto"/>
        </w:rPr>
        <w:t>®</w:t>
      </w:r>
      <w:r>
        <w:rPr>
          <w:rFonts w:ascii="Arial" w:cs="Arial" w:eastAsia="Arial" w:hAnsi="Arial"/>
          <w:sz w:val="18"/>
          <w:szCs w:val="18"/>
          <w:color w:val="auto"/>
        </w:rPr>
        <w:t xml:space="preserve"> tissue ablation system has been the leading ultrasonic surgical aspirator for over 25 years, and the related accessories for these products generate a recurring revenue stream.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systems are used in over 100,000 procedures annually at over 2,000 centers around the world for the removal of brain tumors, epilepsy foci,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gynecological and liver tumors. According to industry sources, the total United States market for ultrasonic tissue ablation products is estimated at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 million. Applications for ultrasonic tissue ablation technology continue to expand, both within neurosurgery and in other surgical specialties, and we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developing accessories to meet these new clinical applications. In 2011, we introduced the CUSA</w:t>
      </w:r>
      <w:r>
        <w:rPr>
          <w:rFonts w:ascii="Arial" w:cs="Arial" w:eastAsia="Arial" w:hAnsi="Arial"/>
          <w:sz w:val="10"/>
          <w:szCs w:val="10"/>
          <w:color w:val="auto"/>
        </w:rPr>
        <w:t>®</w:t>
      </w:r>
      <w:r>
        <w:rPr>
          <w:rFonts w:ascii="Arial" w:cs="Arial" w:eastAsia="Arial" w:hAnsi="Arial"/>
          <w:sz w:val="16"/>
          <w:szCs w:val="16"/>
          <w:color w:val="auto"/>
        </w:rPr>
        <w:t xml:space="preserve"> NXT Extended Length Tip for Integra’s CUSA</w:t>
      </w:r>
      <w:r>
        <w:rPr>
          <w:rFonts w:ascii="Arial" w:cs="Arial" w:eastAsia="Arial" w:hAnsi="Arial"/>
          <w:sz w:val="10"/>
          <w:szCs w:val="10"/>
          <w:color w:val="auto"/>
        </w:rPr>
        <w:t>®</w:t>
      </w:r>
      <w:r>
        <w:rPr>
          <w:rFonts w:ascii="Arial" w:cs="Arial" w:eastAsia="Arial" w:hAnsi="Arial"/>
          <w:sz w:val="16"/>
          <w:szCs w:val="16"/>
          <w:color w:val="auto"/>
        </w:rPr>
        <w:t xml:space="preserve"> NXT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CUSA</w:t>
      </w:r>
      <w:r>
        <w:rPr>
          <w:rFonts w:ascii="Arial" w:cs="Arial" w:eastAsia="Arial" w:hAnsi="Arial"/>
          <w:sz w:val="10"/>
          <w:szCs w:val="10"/>
          <w:color w:val="auto"/>
        </w:rPr>
        <w:t>®</w:t>
      </w:r>
      <w:r>
        <w:rPr>
          <w:rFonts w:ascii="Arial" w:cs="Arial" w:eastAsia="Arial" w:hAnsi="Arial"/>
          <w:sz w:val="16"/>
          <w:szCs w:val="16"/>
          <w:color w:val="auto"/>
        </w:rPr>
        <w:t xml:space="preserve"> Selector</w:t>
      </w:r>
      <w:r>
        <w:rPr>
          <w:rFonts w:ascii="Arial" w:cs="Arial" w:eastAsia="Arial" w:hAnsi="Arial"/>
          <w:sz w:val="10"/>
          <w:szCs w:val="10"/>
          <w:color w:val="auto"/>
        </w:rPr>
        <w:t>®</w:t>
      </w:r>
      <w:r>
        <w:rPr>
          <w:rFonts w:ascii="Arial" w:cs="Arial" w:eastAsia="Arial" w:hAnsi="Arial"/>
          <w:sz w:val="16"/>
          <w:szCs w:val="16"/>
          <w:color w:val="auto"/>
        </w:rPr>
        <w:t xml:space="preserve"> Ultrasonic Tissue Ablation Systems that allows surgeons to use ultrasonic tissue ablation in procedures characterized by a long path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target tissue.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Intracranial Monitoring Equipment. </w:t>
      </w:r>
      <w:r>
        <w:rPr>
          <w:rFonts w:ascii="Arial" w:cs="Arial" w:eastAsia="Arial" w:hAnsi="Arial"/>
          <w:sz w:val="18"/>
          <w:szCs w:val="18"/>
          <w:color w:val="auto"/>
        </w:rPr>
        <w:t>The NICU monitors a patient’s post-operative condition, following most neurosurgical procedures involving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craniotomy. We offer the leading products for monitoring intracranial pressure and brain tissue oxygenation and also offer equipment for the drainage of excess CSF.</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monitoring systems are also used in the treatment of traumatic brain injury (“TBI”). TBI is a major public health problem and costs the United States an estimated $56 billion a year. More than five million Americans alive today have had a TBI, resulting in a permanent need for help in performing daily activities, and TBI survivors are often left with significant cognitive, behavioral, and communicative disabilities. Research has shown that not all brain damage occurs at the moment of impact, but frequently evolves over the ensuing hours and days after the initial injury. The secondary damage may be controlled, in part, by using our products to monitor and manage intracranial pressure and brain tissue oxygen.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Cranial Stabilization Equipment. </w:t>
      </w:r>
      <w:r>
        <w:rPr>
          <w:rFonts w:ascii="Arial" w:cs="Arial" w:eastAsia="Arial" w:hAnsi="Arial"/>
          <w:sz w:val="18"/>
          <w:szCs w:val="18"/>
          <w:color w:val="auto"/>
        </w:rPr>
        <w:t>Most neurosurgery procedures require rigid fixation of the head. Our MAYFIELD</w:t>
      </w:r>
      <w:r>
        <w:rPr>
          <w:rFonts w:ascii="Arial" w:cs="Arial" w:eastAsia="Arial" w:hAnsi="Arial"/>
          <w:sz w:val="11"/>
          <w:szCs w:val="1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 cranial stabilization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rigidly fixes the head in an orientation determined by the surgeon. The device fixes the head via skull pins that are held in a frame that is anchored to the operating table and can be adjusted in multiple planes of movement to properly position the head for the surgical procedure. This system is used worldwide in over 400,000 brain procedures annually.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Intraoperative real-time imaging is being utilized more frequently in neurosurgical procedures and we market stabilization equipment that is made from a composite material that reduces the distortion in images compared to metal systems.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 PRODUCT PORTFOLIO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the largest surgical instrument company in the United States, providing more than 60,000 instrument patterns and surgical products to hospitals, surgery centers, and dental, podiatry, veterinary and physician offices. In addition to hand-held instruments, we sell surgical headlight systems and table-mounted retractors. Our instruments are sold and marketed via separate organizations to acute care and alternate site customers.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Jarit</w:t>
      </w:r>
      <w:r>
        <w:rPr>
          <w:rFonts w:ascii="Arial" w:cs="Arial" w:eastAsia="Arial" w:hAnsi="Arial"/>
          <w:sz w:val="10"/>
          <w:szCs w:val="10"/>
          <w:color w:val="auto"/>
        </w:rPr>
        <w:t>®</w:t>
      </w:r>
      <w:r>
        <w:rPr>
          <w:rFonts w:ascii="Arial" w:cs="Arial" w:eastAsia="Arial" w:hAnsi="Arial"/>
          <w:sz w:val="16"/>
          <w:szCs w:val="16"/>
          <w:color w:val="auto"/>
        </w:rPr>
        <w:t xml:space="preserve"> and Miltex</w:t>
      </w:r>
      <w:r>
        <w:rPr>
          <w:rFonts w:ascii="Arial" w:cs="Arial" w:eastAsia="Arial" w:hAnsi="Arial"/>
          <w:sz w:val="10"/>
          <w:szCs w:val="10"/>
          <w:color w:val="auto"/>
        </w:rPr>
        <w:t>®</w:t>
      </w:r>
      <w:r>
        <w:rPr>
          <w:rFonts w:ascii="Arial" w:cs="Arial" w:eastAsia="Arial" w:hAnsi="Arial"/>
          <w:sz w:val="16"/>
          <w:szCs w:val="16"/>
          <w:color w:val="auto"/>
        </w:rPr>
        <w:t xml:space="preserve"> brands of hand-held reusable surgical instrumentation encompass all of the clinical specialties within the acute care and alternate site clinical setting. Our markets include minimally invasive endoscopy surgery, general surgery, cardiovascular, neurosurgery, gynecological, orthopedic, ear, nose and throat, ophthalmology and all other venues that provide surgical care inside and outside the hospital setting. We are also a major player in animal health specialties, such as dentistry and orthopedics, as well as the emerging life sciences sector.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are a premium manufacturer of dental instruments related to hygiene, oral surgery, periodontal and endodontic instrumentation. We offer the dental market the largest array of choices in extraction forceps, market leadership in sterilization cassettes, and unique intra-oral lighting technologies. The Miltex</w:t>
      </w:r>
      <w:r>
        <w:rPr>
          <w:rFonts w:ascii="Arial" w:cs="Arial" w:eastAsia="Arial" w:hAnsi="Arial"/>
          <w:sz w:val="10"/>
          <w:szCs w:val="10"/>
          <w:color w:val="auto"/>
        </w:rPr>
        <w:t>®</w:t>
      </w:r>
      <w:r>
        <w:rPr>
          <w:rFonts w:ascii="Arial" w:cs="Arial" w:eastAsia="Arial" w:hAnsi="Arial"/>
          <w:sz w:val="16"/>
          <w:szCs w:val="16"/>
          <w:color w:val="auto"/>
        </w:rPr>
        <w:t xml:space="preserve"> brand has successfully incorporated Integra’s regenerative medicine materials into its oral surgery and periodontal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STRATEGY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research and development activities focus on identifying unmet surgical needs and meeting those needs with innovative solutions and products. We apply our core competency in regenerative medicine to products for neurosurgical, orthopedic and spinal applications, and have extensive programs in neuro-monitoring and CSF management, cranial stabilization, tissue ablation, spine, soft tissue, extremity small bone, and joint fixation. Our activities include the acquisition or in-licensing of new products.</w:t>
      </w:r>
    </w:p>
    <w:p>
      <w:pPr>
        <w:spacing w:after="0" w:line="143"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i w:val="1"/>
          <w:iCs w:val="1"/>
          <w:color w:val="auto"/>
        </w:rPr>
        <w:t xml:space="preserve">Regenerative Medicine. </w:t>
      </w:r>
      <w:r>
        <w:rPr>
          <w:rFonts w:ascii="Arial" w:cs="Arial" w:eastAsia="Arial" w:hAnsi="Arial"/>
          <w:sz w:val="15"/>
          <w:szCs w:val="15"/>
          <w:color w:val="auto"/>
        </w:rPr>
        <w:t>Because regenerative medicine implants represent a fast-growing, high-margin opportunity for us, we allocate a large portion of</w:t>
      </w:r>
      <w:r>
        <w:rPr>
          <w:rFonts w:ascii="Arial" w:cs="Arial" w:eastAsia="Arial" w:hAnsi="Arial"/>
          <w:sz w:val="15"/>
          <w:szCs w:val="15"/>
          <w:i w:val="1"/>
          <w:iCs w:val="1"/>
          <w:color w:val="auto"/>
        </w:rPr>
        <w:t xml:space="preserve"> </w:t>
      </w:r>
      <w:r>
        <w:rPr>
          <w:rFonts w:ascii="Arial" w:cs="Arial" w:eastAsia="Arial" w:hAnsi="Arial"/>
          <w:sz w:val="15"/>
          <w:szCs w:val="15"/>
          <w:color w:val="auto"/>
        </w:rPr>
        <w:t>our research and development budget to these products. Our regenerative medicine development program applies our expertise in biomaterials and collagen matrices to neurosurgical, orthopedic and spinal surgery applications, as well as dermal regeneration, tendon and nerve repair, and chronic and acute wounds.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Extremity Reconstruction. </w:t>
      </w:r>
      <w:r>
        <w:rPr>
          <w:rFonts w:ascii="Arial" w:cs="Arial" w:eastAsia="Arial" w:hAnsi="Arial"/>
          <w:sz w:val="18"/>
          <w:szCs w:val="18"/>
          <w:color w:val="auto"/>
        </w:rPr>
        <w:t>We develop fixation devices and other implants and instruments for upper and lower extremities.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Spine. </w:t>
      </w:r>
      <w:r>
        <w:rPr>
          <w:rFonts w:ascii="Arial" w:cs="Arial" w:eastAsia="Arial" w:hAnsi="Arial"/>
          <w:sz w:val="18"/>
          <w:szCs w:val="18"/>
          <w:color w:val="auto"/>
        </w:rPr>
        <w:t>Our expertise in implant engineering, biomaterials development and biomechanical testing provides a strong foundation for developing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the spine. Additionally, we hold a number of spine patents that serve as a platform for future products, with particular emphasis in minimally invasive technologies. While we plan to continue filling the gaps in our portfolio so our current customers can use our products for more procedures, we are also developing novel technologies and new indications.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based our strong orthobiologic product development capability that on our bone matrix technology and our collagen technology, which is the basis of our osteoconductive collagen ceramic scaffold. We continue to develop line extensions based on these foundation technologies that further complete our offerings. In 2011, we created a complete portfolio of orthobiologic products specifically for our spine distribution network. We will continue to invest in the development of new novel technologies for bone grafting.</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Neurosurgery. </w:t>
      </w:r>
      <w:r>
        <w:rPr>
          <w:rFonts w:ascii="Arial" w:cs="Arial" w:eastAsia="Arial" w:hAnsi="Arial"/>
          <w:sz w:val="16"/>
          <w:szCs w:val="16"/>
          <w:color w:val="auto"/>
        </w:rPr>
        <w:t>Our research and product development efforts are focused on protecting and extending our leadership positions in dural repair, developing</w:t>
      </w:r>
      <w:r>
        <w:rPr>
          <w:rFonts w:ascii="Arial" w:cs="Arial" w:eastAsia="Arial" w:hAnsi="Arial"/>
          <w:sz w:val="16"/>
          <w:szCs w:val="16"/>
          <w:i w:val="1"/>
          <w:iCs w:val="1"/>
          <w:color w:val="auto"/>
        </w:rPr>
        <w:t xml:space="preserve"> </w:t>
      </w:r>
      <w:r>
        <w:rPr>
          <w:rFonts w:ascii="Arial" w:cs="Arial" w:eastAsia="Arial" w:hAnsi="Arial"/>
          <w:sz w:val="16"/>
          <w:szCs w:val="16"/>
          <w:color w:val="auto"/>
        </w:rPr>
        <w:t>the next generation tissue ablation system, a new critical care neuro monitoring system, and an advanced hydrocephalus shunt valve.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competition in extremity reconstruction includes Johnson &amp; Johnson, Synthes, Inc., Stryker Corporation, Tornier, Inc., Wright Medical Group, Inc., Zimmer, Inc., and Small Bone Innovations, Inc., as well as other major orthopedic companies that carry a full line of small bone and joint fixation and soft tissue products.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Competitors in the spine and orthobiologics markets include Medtronic, Inc., Johnson &amp; Johnson, Globus Medical Inc., NuVasive, Inc., Orthofix, Stryker Corporation, Synthes, Inc., Zimmer, Inc., and Alphatec Spine, Inc., and also include several smaller, biologic-focused companies.</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competitors in the neurosurgery markets are Johnson &amp; Johnson, Medtronic, Inc. and Stryker Corporation. In addition, many of our neurosurgery product lines compete with smaller specialized companies and larger companies that do not otherwise focus on neurosurgery.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compete with the Aesculap division of B. Braun Medical Inc., as well as V. Mueller, a division of CareFusion in the United States. In addition, we compete with Johnson &amp; Johnson and many smaller instrument companies in the reusable and disposable specialty instruments markets. We rely on the depth and breadth of our sales and marketing organization and our procurement operation to maintain our competitive position in surgical instruments and allied surgical products.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distributor, sophistication of our technology and cost effectiveness of our solution to the customer’s medical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believe that we are in substantial compliance with these governmental regulations. We did, however, receive a warning letter from the FDA in December, 2011, related to quality systems and compliance issues at our manufacturing facility located in Plainsboro, New Jersey. The letter resulted from an inspection held at that facility in August 2011, and did not identify any new observations that were not provided in the Form 483 that followed the inspection. The warning letter does not restrict our ability to manufacture or ship products, nor does it require the recall of any product. Since the conclusion of the inspection, we have undertaken significant efforts to remediate the observations that the FDA has made and continue to do so. We have provided detailed monthly responses to the FDA as to our corrective actions, remain on track with our remediation program and are addressing the issues that the FDA identified. We completed remediation-related construction activities at the facility at the end of 2011, but continue to remediate process and quality system procedures.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“FD&amp;C Act”), an approved Premarket Approval application (or supplemental PMA application). Obtaining these approvals and clearances can take up to several years and involves preclinical studies and clinical testing. On December 27, 2011 the FDA issued a Draft Guidance, “</w:t>
      </w:r>
      <w:r>
        <w:rPr>
          <w:rFonts w:ascii="Arial" w:cs="Arial" w:eastAsia="Arial" w:hAnsi="Arial"/>
          <w:sz w:val="16"/>
          <w:szCs w:val="16"/>
          <w:i w:val="1"/>
          <w:iCs w:val="1"/>
          <w:color w:val="auto"/>
        </w:rPr>
        <w:t>The 510(k) Program: Evaluating Substantial</w:t>
      </w:r>
      <w:r>
        <w:rPr>
          <w:rFonts w:ascii="Arial" w:cs="Arial" w:eastAsia="Arial" w:hAnsi="Arial"/>
          <w:sz w:val="16"/>
          <w:szCs w:val="16"/>
          <w:color w:val="auto"/>
        </w:rPr>
        <w:t xml:space="preserve"> </w:t>
      </w:r>
      <w:r>
        <w:rPr>
          <w:rFonts w:ascii="Arial" w:cs="Arial" w:eastAsia="Arial" w:hAnsi="Arial"/>
          <w:sz w:val="16"/>
          <w:szCs w:val="16"/>
          <w:i w:val="1"/>
          <w:iCs w:val="1"/>
          <w:color w:val="auto"/>
        </w:rPr>
        <w:t>Equivalence in Premarket Notifications 510(k)</w:t>
      </w:r>
      <w:r>
        <w:rPr>
          <w:rFonts w:ascii="Arial" w:cs="Arial" w:eastAsia="Arial" w:hAnsi="Arial"/>
          <w:sz w:val="16"/>
          <w:szCs w:val="16"/>
          <w:color w:val="auto"/>
        </w:rPr>
        <w:t>.” These changes to the 510(k) Premarket Notification process may result in more extensive testing, clinical trial</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and other requirements. To perform clinical trials for significant risk devices in the United States on an unapproved product, we are required to obtain an Investigational Device Exemption (“IDE”) from the FDA. The FDA may also require a filing for FDA approval prior to marketing products that are modifications of existing products or new indications for existing products. Moreover, after clearance/approval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obtain approval/registration in the country we are exporting to and maintain certain records relating to exports and make these available to the FDA for inspection, if required.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FDA Medical Device User Fee and Modernization Act of 2002 and the FDA Amendments Act of 2007 established regulations governing user fees for certain regulatory submissions to the FDA. Currently user fees are required for 510(k) PMA’s, certain PMA supplements, PMA annual reports, FDA establishment registrations and other regulatory submissions.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Cells, Tissues and Cellular and Tissue-Based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Integra manufactures medical devices derived from human tissue (demineralized bone tissue).</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FD&amp;C Act. These biologic, device or drug HCT/Ps must comply both with the requirements exclusively applicable to HCT/Ps and, in addition, with requirements applicable to biologics, devices or drugs, including premarket clearance or approval from FDA.</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361 of the Public Health Service Act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when processing, storing, labeling, and distributing HCT/Ps, including required labeling information, stringent record keeping, and adverse event reporting.</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an AATB-accredited tissue establishment. In addition, some states have their own tissue banking regulations. We are licensed or have permits for tissue banking in California, Florida, New York and Maryland.</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National Organ Transplant Act. </w:t>
      </w:r>
      <w:r>
        <w:rPr>
          <w:rFonts w:ascii="Arial" w:cs="Arial" w:eastAsia="Arial" w:hAnsi="Arial"/>
          <w:sz w:val="16"/>
          <w:szCs w:val="16"/>
          <w:color w:val="auto"/>
        </w:rPr>
        <w:t>Procurement of certain human organs and tissue for transplantation is subject to the restrictions of the National Organ</w:t>
      </w:r>
      <w:r>
        <w:rPr>
          <w:rFonts w:ascii="Arial" w:cs="Arial" w:eastAsia="Arial" w:hAnsi="Arial"/>
          <w:sz w:val="16"/>
          <w:szCs w:val="16"/>
          <w:i w:val="1"/>
          <w:iCs w:val="1"/>
          <w:color w:val="auto"/>
        </w:rPr>
        <w:t xml:space="preserve"> </w:t>
      </w:r>
      <w:r>
        <w:rPr>
          <w:rFonts w:ascii="Arial" w:cs="Arial" w:eastAsia="Arial" w:hAnsi="Arial"/>
          <w:sz w:val="16"/>
          <w:szCs w:val="16"/>
          <w:color w:val="auto"/>
        </w:rPr>
        <w:t>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Postmarket Requirements. </w:t>
      </w:r>
      <w:r>
        <w:rPr>
          <w:rFonts w:ascii="Arial" w:cs="Arial" w:eastAsia="Arial" w:hAnsi="Arial"/>
          <w:sz w:val="18"/>
          <w:szCs w:val="18"/>
          <w:color w:val="auto"/>
        </w:rPr>
        <w:t>After a device is cleared or approved for commercial distribution, numerous regulatory requirements apply. These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Quality System Regulations which cover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corrective actions to the FDA if initiated to reduce a risk to health posed by the device or to remedy a violation of the FD&amp;C Act.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also required to register with the FDA as a medical device manufacturer. As such, our manufacturing sites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issue a warning letter, institute proceedings to detain or seize products, issue a recall order, impose operating restrictions, enjoin future violations and assess civil penalties against that company, its officers or its employees and may recommend criminal prosecution to the Department of Justice.</w:t>
      </w:r>
    </w:p>
    <w:p>
      <w:pPr>
        <w:spacing w:after="0" w:line="12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Medical device regulations also are in effect in many of the countries outside the United States in which we do business.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prior to marketing in the European Union (the “EU”). CE Mark Certification requires a comprehensive Quality System program, comprehensive technical documentation and data on the product, which are then reviewed by a Notified Body. A Notified Body is an organization designated by the national governments of the European Union member states to make independent judgments about whether a product complies with the protection requirements established by each CE marking directive. The Medical Device Directive, ISO 9000 series and ISO 13485 are recognized international quality standards that are designed to ensure that we develop and manufacture quality medical devices. Other countries are also instituting regulations regarding medical devices. Compliance with these regulations requires extensive documentation and clinical reports for all of our products, revisions to labeling, and other requirements such as facility inspections to comply with the registration requirements. A recognized Notified Body audits our facilities annually to verify our compliance with these standards.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EU, our products that contain human derived tissue, including those containing demineralized bone material, are not medical devices as defined in the Medical Device Directive (93/42/EC). They are also not medicinal products as defined in Directive 2001/83/EC. Today, regulations, if applicable, are different from one EU member state to the next. Because of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Certain countries, as well as the EU, have issued regulations that govern products that contain materials derived from animal sources. Regulatory authorities are particularly concerned with materials infected with the agent that causes bovine spongiform encephalopathy (“BSE”), otherwise known as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regulations, or a ban of our products,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Oversight of the medical device industry might affect the manner in which we may sell medical devices and compete in the marketplace.”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accident, we could be held liable for any damages that may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addition to the above regulations, we are and may be subject to regulation under federal and state laws, including, but not limited to, requirements regarding occupational health and safety, laboratory practices and the maintenance of personal information, including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Third-Party Reimbursement. </w:t>
      </w:r>
      <w:r>
        <w:rPr>
          <w:rFonts w:ascii="Arial" w:cs="Arial" w:eastAsia="Arial" w:hAnsi="Arial"/>
          <w:sz w:val="16"/>
          <w:szCs w:val="16"/>
          <w:color w:val="auto"/>
        </w:rPr>
        <w:t>Healthcare providers that purchase medical devices generally rely on third-party payors, including the Medicare and Medicaid</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and private payors, such as indemnity insurers, employer group health insurance programs and managed care plans, to reimburse all or part of the cost of the products. As a result, demand for our products is and will continue to be dependent in part on the coverage and reimbursement policies of these payors. The manner in which reimbursement is sought and obtained varies based upon the type of payor involved and the setting in which the product is furnished and utilized. Reimbursement from Medicare, Medicaid and other third-party payors may be subject to periodic adjustments as a result of legislative, regulatory and policy changes as well as budgetary pressures. Possible reductions in, or eliminations of, coverage or reimbursement by third-party payors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seek patent and trademark protection for our key technology, products and product improvements, both in the United States and in selected foreign countries. When determined appropriate, we have enforced and plan to continue to enforce and defend our patent and trademark rights. In general, however, we do not rely solely on our patent and trademark estate to provide us with any significant competitive advantages as it relates to our existing product lines.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AccuDrain</w:t>
      </w:r>
      <w:r>
        <w:rPr>
          <w:rFonts w:ascii="Arial" w:cs="Arial" w:eastAsia="Arial" w:hAnsi="Arial"/>
          <w:sz w:val="11"/>
          <w:szCs w:val="11"/>
          <w:color w:val="auto"/>
        </w:rPr>
        <w:t>®</w:t>
      </w:r>
      <w:r>
        <w:rPr>
          <w:rFonts w:ascii="Arial" w:cs="Arial" w:eastAsia="Arial" w:hAnsi="Arial"/>
          <w:sz w:val="18"/>
          <w:szCs w:val="18"/>
          <w:color w:val="auto"/>
        </w:rPr>
        <w:t>, Accell</w:t>
      </w:r>
      <w:r>
        <w:rPr>
          <w:rFonts w:ascii="Arial" w:cs="Arial" w:eastAsia="Arial" w:hAnsi="Arial"/>
          <w:sz w:val="11"/>
          <w:szCs w:val="11"/>
          <w:color w:val="auto"/>
        </w:rPr>
        <w:t>®</w:t>
      </w:r>
      <w:r>
        <w:rPr>
          <w:rFonts w:ascii="Arial" w:cs="Arial" w:eastAsia="Arial" w:hAnsi="Arial"/>
          <w:sz w:val="18"/>
          <w:szCs w:val="18"/>
          <w:color w:val="auto"/>
        </w:rPr>
        <w:t>, Accell Evo3</w:t>
      </w:r>
      <w:r>
        <w:rPr>
          <w:rFonts w:ascii="Arial" w:cs="Arial" w:eastAsia="Arial" w:hAnsi="Arial"/>
          <w:sz w:val="11"/>
          <w:szCs w:val="11"/>
          <w:color w:val="auto"/>
        </w:rPr>
        <w:t>®</w:t>
      </w:r>
      <w:r>
        <w:rPr>
          <w:rFonts w:ascii="Arial" w:cs="Arial" w:eastAsia="Arial" w:hAnsi="Arial"/>
          <w:sz w:val="18"/>
          <w:szCs w:val="18"/>
          <w:color w:val="auto"/>
        </w:rPr>
        <w:t>, Advansys</w:t>
      </w:r>
      <w:r>
        <w:rPr>
          <w:rFonts w:ascii="Arial" w:cs="Arial" w:eastAsia="Arial" w:hAnsi="Arial"/>
          <w:sz w:val="11"/>
          <w:szCs w:val="11"/>
          <w:color w:val="auto"/>
        </w:rPr>
        <w:t>®</w:t>
      </w:r>
      <w:r>
        <w:rPr>
          <w:rFonts w:ascii="Arial" w:cs="Arial" w:eastAsia="Arial" w:hAnsi="Arial"/>
          <w:sz w:val="18"/>
          <w:szCs w:val="18"/>
          <w:color w:val="auto"/>
        </w:rPr>
        <w:t xml:space="preserve">, Atoll </w:t>
      </w:r>
      <w:r>
        <w:rPr>
          <w:rFonts w:ascii="Arial" w:cs="Arial" w:eastAsia="Arial" w:hAnsi="Arial"/>
          <w:sz w:val="11"/>
          <w:szCs w:val="11"/>
          <w:color w:val="auto"/>
        </w:rPr>
        <w:t>™</w:t>
      </w:r>
      <w:r>
        <w:rPr>
          <w:rFonts w:ascii="Arial" w:cs="Arial" w:eastAsia="Arial" w:hAnsi="Arial"/>
          <w:sz w:val="18"/>
          <w:szCs w:val="18"/>
          <w:color w:val="auto"/>
        </w:rPr>
        <w:t>, Ascension</w:t>
      </w:r>
      <w:r>
        <w:rPr>
          <w:rFonts w:ascii="Arial" w:cs="Arial" w:eastAsia="Arial" w:hAnsi="Arial"/>
          <w:sz w:val="11"/>
          <w:szCs w:val="11"/>
          <w:color w:val="auto"/>
        </w:rPr>
        <w:t>®</w:t>
      </w:r>
      <w:r>
        <w:rPr>
          <w:rFonts w:ascii="Arial" w:cs="Arial" w:eastAsia="Arial" w:hAnsi="Arial"/>
          <w:sz w:val="18"/>
          <w:szCs w:val="18"/>
          <w:color w:val="auto"/>
        </w:rPr>
        <w:t xml:space="preserve">, Auragen </w:t>
      </w:r>
      <w:r>
        <w:rPr>
          <w:rFonts w:ascii="Arial" w:cs="Arial" w:eastAsia="Arial" w:hAnsi="Arial"/>
          <w:sz w:val="11"/>
          <w:szCs w:val="11"/>
          <w:color w:val="auto"/>
        </w:rPr>
        <w:t>™</w:t>
      </w:r>
      <w:r>
        <w:rPr>
          <w:rFonts w:ascii="Arial" w:cs="Arial" w:eastAsia="Arial" w:hAnsi="Arial"/>
          <w:sz w:val="18"/>
          <w:szCs w:val="18"/>
          <w:color w:val="auto"/>
        </w:rPr>
        <w:t>, Bold</w:t>
      </w:r>
      <w:r>
        <w:rPr>
          <w:rFonts w:ascii="Arial" w:cs="Arial" w:eastAsia="Arial" w:hAnsi="Arial"/>
          <w:sz w:val="11"/>
          <w:szCs w:val="11"/>
          <w:color w:val="auto"/>
        </w:rPr>
        <w:t>®</w:t>
      </w:r>
      <w:r>
        <w:rPr>
          <w:rFonts w:ascii="Arial" w:cs="Arial" w:eastAsia="Arial" w:hAnsi="Arial"/>
          <w:sz w:val="18"/>
          <w:szCs w:val="18"/>
          <w:color w:val="auto"/>
        </w:rPr>
        <w:t>, Budde</w:t>
      </w:r>
      <w:r>
        <w:rPr>
          <w:rFonts w:ascii="Arial" w:cs="Arial" w:eastAsia="Arial" w:hAnsi="Arial"/>
          <w:sz w:val="11"/>
          <w:szCs w:val="11"/>
          <w:color w:val="auto"/>
        </w:rPr>
        <w:t>®</w:t>
      </w:r>
      <w:r>
        <w:rPr>
          <w:rFonts w:ascii="Arial" w:cs="Arial" w:eastAsia="Arial" w:hAnsi="Arial"/>
          <w:sz w:val="18"/>
          <w:szCs w:val="18"/>
          <w:color w:val="auto"/>
        </w:rPr>
        <w:t xml:space="preserve">, Buzz </w:t>
      </w:r>
      <w:r>
        <w:rPr>
          <w:rFonts w:ascii="Arial" w:cs="Arial" w:eastAsia="Arial" w:hAnsi="Arial"/>
          <w:sz w:val="11"/>
          <w:szCs w:val="11"/>
          <w:color w:val="auto"/>
        </w:rPr>
        <w:t>™</w:t>
      </w:r>
      <w:r>
        <w:rPr>
          <w:rFonts w:ascii="Arial" w:cs="Arial" w:eastAsia="Arial" w:hAnsi="Arial"/>
          <w:sz w:val="18"/>
          <w:szCs w:val="18"/>
          <w:color w:val="auto"/>
        </w:rPr>
        <w:t>, Camino</w:t>
      </w:r>
      <w:r>
        <w:rPr>
          <w:rFonts w:ascii="Arial" w:cs="Arial" w:eastAsia="Arial" w:hAnsi="Arial"/>
          <w:sz w:val="11"/>
          <w:szCs w:val="11"/>
          <w:color w:val="auto"/>
        </w:rPr>
        <w:t>®</w:t>
      </w:r>
      <w:r>
        <w:rPr>
          <w:rFonts w:ascii="Arial" w:cs="Arial" w:eastAsia="Arial" w:hAnsi="Arial"/>
          <w:sz w:val="18"/>
          <w:szCs w:val="18"/>
          <w:color w:val="auto"/>
        </w:rPr>
        <w:t>, CRW</w:t>
      </w:r>
      <w:r>
        <w:rPr>
          <w:rFonts w:ascii="Arial" w:cs="Arial" w:eastAsia="Arial" w:hAnsi="Arial"/>
          <w:sz w:val="11"/>
          <w:szCs w:val="11"/>
          <w:color w:val="auto"/>
        </w:rPr>
        <w:t>®</w:t>
      </w:r>
      <w:r>
        <w:rPr>
          <w:rFonts w:ascii="Arial" w:cs="Arial" w:eastAsia="Arial" w:hAnsi="Arial"/>
          <w:sz w:val="18"/>
          <w:szCs w:val="18"/>
          <w:color w:val="auto"/>
        </w:rPr>
        <w:t>, Coral</w:t>
      </w:r>
      <w:r>
        <w:rPr>
          <w:rFonts w:ascii="Arial" w:cs="Arial" w:eastAsia="Arial" w:hAnsi="Arial"/>
          <w:sz w:val="11"/>
          <w:szCs w:val="11"/>
          <w:color w:val="auto"/>
        </w:rPr>
        <w:t>®</w:t>
      </w:r>
      <w:r>
        <w:rPr>
          <w:rFonts w:ascii="Arial" w:cs="Arial" w:eastAsia="Arial" w:hAnsi="Arial"/>
          <w:sz w:val="18"/>
          <w:szCs w:val="18"/>
          <w:color w:val="auto"/>
        </w:rPr>
        <w:t>, CUSA</w:t>
      </w:r>
      <w:r>
        <w:rPr>
          <w:rFonts w:ascii="Arial" w:cs="Arial" w:eastAsia="Arial" w:hAnsi="Arial"/>
          <w:sz w:val="11"/>
          <w:szCs w:val="11"/>
          <w:color w:val="auto"/>
        </w:rPr>
        <w:t>®</w:t>
      </w:r>
      <w:r>
        <w:rPr>
          <w:rFonts w:ascii="Arial" w:cs="Arial" w:eastAsia="Arial" w:hAnsi="Arial"/>
          <w:sz w:val="18"/>
          <w:szCs w:val="18"/>
          <w:color w:val="auto"/>
        </w:rPr>
        <w:t xml:space="preserve"> , Daytona </w:t>
      </w:r>
      <w:r>
        <w:rPr>
          <w:rFonts w:ascii="Arial" w:cs="Arial" w:eastAsia="Arial" w:hAnsi="Arial"/>
          <w:sz w:val="11"/>
          <w:szCs w:val="11"/>
          <w:color w:val="auto"/>
        </w:rPr>
        <w:t>™</w:t>
      </w:r>
      <w:r>
        <w:rPr>
          <w:rFonts w:ascii="Arial" w:cs="Arial" w:eastAsia="Arial" w:hAnsi="Arial"/>
          <w:sz w:val="18"/>
          <w:szCs w:val="18"/>
          <w:color w:val="auto"/>
        </w:rPr>
        <w:t>, DenLite</w:t>
      </w:r>
      <w:r>
        <w:rPr>
          <w:rFonts w:ascii="Arial" w:cs="Arial" w:eastAsia="Arial" w:hAnsi="Arial"/>
          <w:sz w:val="11"/>
          <w:szCs w:val="11"/>
          <w:color w:val="auto"/>
        </w:rPr>
        <w:t>®</w:t>
      </w:r>
      <w:r>
        <w:rPr>
          <w:rFonts w:ascii="Arial" w:cs="Arial" w:eastAsia="Arial" w:hAnsi="Arial"/>
          <w:sz w:val="18"/>
          <w:szCs w:val="18"/>
          <w:color w:val="auto"/>
        </w:rPr>
        <w:t>, DuraGen</w:t>
      </w:r>
      <w:r>
        <w:rPr>
          <w:rFonts w:ascii="Arial" w:cs="Arial" w:eastAsia="Arial" w:hAnsi="Arial"/>
          <w:sz w:val="11"/>
          <w:szCs w:val="11"/>
          <w:color w:val="auto"/>
        </w:rPr>
        <w:t>®</w:t>
      </w:r>
      <w:r>
        <w:rPr>
          <w:rFonts w:ascii="Arial" w:cs="Arial" w:eastAsia="Arial" w:hAnsi="Arial"/>
          <w:sz w:val="18"/>
          <w:szCs w:val="18"/>
          <w:color w:val="auto"/>
        </w:rPr>
        <w:t>, DuraGen Plus</w:t>
      </w:r>
      <w:r>
        <w:rPr>
          <w:rFonts w:ascii="Arial" w:cs="Arial" w:eastAsia="Arial" w:hAnsi="Arial"/>
          <w:sz w:val="11"/>
          <w:szCs w:val="11"/>
          <w:color w:val="auto"/>
        </w:rPr>
        <w:t>®</w:t>
      </w:r>
      <w:r>
        <w:rPr>
          <w:rFonts w:ascii="Arial" w:cs="Arial" w:eastAsia="Arial" w:hAnsi="Arial"/>
          <w:sz w:val="18"/>
          <w:szCs w:val="18"/>
          <w:color w:val="auto"/>
        </w:rPr>
        <w:t>, DynaGraft</w:t>
      </w:r>
      <w:r>
        <w:rPr>
          <w:rFonts w:ascii="Arial" w:cs="Arial" w:eastAsia="Arial" w:hAnsi="Arial"/>
          <w:sz w:val="11"/>
          <w:szCs w:val="11"/>
          <w:color w:val="auto"/>
        </w:rPr>
        <w:t>®</w:t>
      </w:r>
      <w:r>
        <w:rPr>
          <w:rFonts w:ascii="Arial" w:cs="Arial" w:eastAsia="Arial" w:hAnsi="Arial"/>
          <w:sz w:val="18"/>
          <w:szCs w:val="18"/>
          <w:color w:val="auto"/>
        </w:rPr>
        <w:t xml:space="preserve"> II, First Choice</w:t>
      </w:r>
      <w:r>
        <w:rPr>
          <w:rFonts w:ascii="Arial" w:cs="Arial" w:eastAsia="Arial" w:hAnsi="Arial"/>
          <w:sz w:val="11"/>
          <w:szCs w:val="11"/>
          <w:color w:val="auto"/>
        </w:rPr>
        <w:t>®</w:t>
      </w:r>
      <w:r>
        <w:rPr>
          <w:rFonts w:ascii="Arial" w:cs="Arial" w:eastAsia="Arial" w:hAnsi="Arial"/>
          <w:sz w:val="18"/>
          <w:szCs w:val="18"/>
          <w:color w:val="auto"/>
        </w:rPr>
        <w:t>, Hallu</w:t>
      </w:r>
      <w:r>
        <w:rPr>
          <w:rFonts w:ascii="Arial" w:cs="Arial" w:eastAsia="Arial" w:hAnsi="Arial"/>
          <w:sz w:val="11"/>
          <w:szCs w:val="11"/>
          <w:color w:val="auto"/>
        </w:rPr>
        <w:t>®</w:t>
      </w:r>
      <w:r>
        <w:rPr>
          <w:rFonts w:ascii="Arial" w:cs="Arial" w:eastAsia="Arial" w:hAnsi="Arial"/>
          <w:sz w:val="18"/>
          <w:szCs w:val="18"/>
          <w:color w:val="auto"/>
        </w:rPr>
        <w:t>, HeliCote</w:t>
      </w:r>
      <w:r>
        <w:rPr>
          <w:rFonts w:ascii="Arial" w:cs="Arial" w:eastAsia="Arial" w:hAnsi="Arial"/>
          <w:sz w:val="11"/>
          <w:szCs w:val="11"/>
          <w:color w:val="auto"/>
        </w:rPr>
        <w:t>®</w:t>
      </w:r>
      <w:r>
        <w:rPr>
          <w:rFonts w:ascii="Arial" w:cs="Arial" w:eastAsia="Arial" w:hAnsi="Arial"/>
          <w:sz w:val="18"/>
          <w:szCs w:val="18"/>
          <w:color w:val="auto"/>
        </w:rPr>
        <w:t>, HeliPlug</w:t>
      </w:r>
      <w:r>
        <w:rPr>
          <w:rFonts w:ascii="Arial" w:cs="Arial" w:eastAsia="Arial" w:hAnsi="Arial"/>
          <w:sz w:val="11"/>
          <w:szCs w:val="11"/>
          <w:color w:val="auto"/>
        </w:rPr>
        <w:t>®</w:t>
      </w:r>
      <w:r>
        <w:rPr>
          <w:rFonts w:ascii="Arial" w:cs="Arial" w:eastAsia="Arial" w:hAnsi="Arial"/>
          <w:sz w:val="18"/>
          <w:szCs w:val="18"/>
          <w:color w:val="auto"/>
        </w:rPr>
        <w:t>, HeliTape</w:t>
      </w:r>
      <w:r>
        <w:rPr>
          <w:rFonts w:ascii="Arial" w:cs="Arial" w:eastAsia="Arial" w:hAnsi="Arial"/>
          <w:sz w:val="11"/>
          <w:szCs w:val="11"/>
          <w:color w:val="auto"/>
        </w:rPr>
        <w:t>®</w:t>
      </w:r>
      <w:r>
        <w:rPr>
          <w:rFonts w:ascii="Arial" w:cs="Arial" w:eastAsia="Arial" w:hAnsi="Arial"/>
          <w:sz w:val="18"/>
          <w:szCs w:val="18"/>
          <w:color w:val="auto"/>
        </w:rPr>
        <w:t>, HeliMEND</w:t>
      </w:r>
      <w:r>
        <w:rPr>
          <w:rFonts w:ascii="Arial" w:cs="Arial" w:eastAsia="Arial" w:hAnsi="Arial"/>
          <w:sz w:val="11"/>
          <w:szCs w:val="11"/>
          <w:color w:val="auto"/>
        </w:rPr>
        <w:t>®</w:t>
      </w:r>
      <w:r>
        <w:rPr>
          <w:rFonts w:ascii="Arial" w:cs="Arial" w:eastAsia="Arial" w:hAnsi="Arial"/>
          <w:sz w:val="18"/>
          <w:szCs w:val="18"/>
          <w:color w:val="auto"/>
        </w:rPr>
        <w:t>, Helistat</w:t>
      </w:r>
      <w:r>
        <w:rPr>
          <w:rFonts w:ascii="Arial" w:cs="Arial" w:eastAsia="Arial" w:hAnsi="Arial"/>
          <w:sz w:val="11"/>
          <w:szCs w:val="11"/>
          <w:color w:val="auto"/>
        </w:rPr>
        <w:t>®</w:t>
      </w:r>
      <w:r>
        <w:rPr>
          <w:rFonts w:ascii="Arial" w:cs="Arial" w:eastAsia="Arial" w:hAnsi="Arial"/>
          <w:sz w:val="18"/>
          <w:szCs w:val="18"/>
          <w:color w:val="auto"/>
        </w:rPr>
        <w:t>, Helitene</w:t>
      </w:r>
      <w:r>
        <w:rPr>
          <w:rFonts w:ascii="Arial" w:cs="Arial" w:eastAsia="Arial" w:hAnsi="Arial"/>
          <w:sz w:val="11"/>
          <w:szCs w:val="11"/>
          <w:color w:val="auto"/>
        </w:rPr>
        <w:t>®</w:t>
      </w:r>
      <w:r>
        <w:rPr>
          <w:rFonts w:ascii="Arial" w:cs="Arial" w:eastAsia="Arial" w:hAnsi="Arial"/>
          <w:sz w:val="18"/>
          <w:szCs w:val="18"/>
          <w:color w:val="auto"/>
        </w:rPr>
        <w:t>, HINTEGRA</w:t>
      </w:r>
      <w:r>
        <w:rPr>
          <w:rFonts w:ascii="Arial" w:cs="Arial" w:eastAsia="Arial" w:hAnsi="Arial"/>
          <w:sz w:val="11"/>
          <w:szCs w:val="11"/>
          <w:color w:val="auto"/>
        </w:rPr>
        <w:t>®</w:t>
      </w:r>
      <w:r>
        <w:rPr>
          <w:rFonts w:ascii="Arial" w:cs="Arial" w:eastAsia="Arial" w:hAnsi="Arial"/>
          <w:sz w:val="18"/>
          <w:szCs w:val="18"/>
          <w:color w:val="auto"/>
        </w:rPr>
        <w:t xml:space="preserve">, ICOS </w:t>
      </w:r>
      <w:r>
        <w:rPr>
          <w:rFonts w:ascii="Arial" w:cs="Arial" w:eastAsia="Arial" w:hAnsi="Arial"/>
          <w:sz w:val="11"/>
          <w:szCs w:val="11"/>
          <w:color w:val="auto"/>
        </w:rPr>
        <w:t>™</w:t>
      </w:r>
      <w:r>
        <w:rPr>
          <w:rFonts w:ascii="Arial" w:cs="Arial" w:eastAsia="Arial" w:hAnsi="Arial"/>
          <w:sz w:val="18"/>
          <w:szCs w:val="18"/>
          <w:color w:val="auto"/>
        </w:rPr>
        <w:t>, Inforce</w:t>
      </w:r>
      <w:r>
        <w:rPr>
          <w:rFonts w:ascii="Arial" w:cs="Arial" w:eastAsia="Arial" w:hAnsi="Arial"/>
          <w:sz w:val="11"/>
          <w:szCs w:val="11"/>
          <w:color w:val="auto"/>
        </w:rPr>
        <w:t>®</w:t>
      </w:r>
      <w:r>
        <w:rPr>
          <w:rFonts w:ascii="Arial" w:cs="Arial" w:eastAsia="Arial" w:hAnsi="Arial"/>
          <w:sz w:val="18"/>
          <w:szCs w:val="18"/>
          <w:color w:val="auto"/>
        </w:rPr>
        <w:t>, Integra</w:t>
      </w:r>
      <w:r>
        <w:rPr>
          <w:rFonts w:ascii="Arial" w:cs="Arial" w:eastAsia="Arial" w:hAnsi="Arial"/>
          <w:sz w:val="11"/>
          <w:szCs w:val="11"/>
          <w:color w:val="auto"/>
        </w:rPr>
        <w:t>®</w:t>
      </w:r>
      <w:r>
        <w:rPr>
          <w:rFonts w:ascii="Arial" w:cs="Arial" w:eastAsia="Arial" w:hAnsi="Arial"/>
          <w:sz w:val="18"/>
          <w:szCs w:val="18"/>
          <w:color w:val="auto"/>
        </w:rPr>
        <w:t xml:space="preserve">, Integra Mozaik </w:t>
      </w:r>
      <w:r>
        <w:rPr>
          <w:rFonts w:ascii="Arial" w:cs="Arial" w:eastAsia="Arial" w:hAnsi="Arial"/>
          <w:sz w:val="11"/>
          <w:szCs w:val="11"/>
          <w:color w:val="auto"/>
        </w:rPr>
        <w:t>™</w:t>
      </w:r>
      <w:r>
        <w:rPr>
          <w:rFonts w:ascii="Arial" w:cs="Arial" w:eastAsia="Arial" w:hAnsi="Arial"/>
          <w:sz w:val="18"/>
          <w:szCs w:val="18"/>
          <w:color w:val="auto"/>
        </w:rPr>
        <w:t>, Integra OS</w:t>
      </w:r>
      <w:r>
        <w:rPr>
          <w:rFonts w:ascii="Arial" w:cs="Arial" w:eastAsia="Arial" w:hAnsi="Arial"/>
          <w:sz w:val="11"/>
          <w:szCs w:val="11"/>
          <w:color w:val="auto"/>
        </w:rPr>
        <w:t>®</w:t>
      </w:r>
      <w:r>
        <w:rPr>
          <w:rFonts w:ascii="Arial" w:cs="Arial" w:eastAsia="Arial" w:hAnsi="Arial"/>
          <w:sz w:val="18"/>
          <w:szCs w:val="18"/>
          <w:color w:val="auto"/>
        </w:rPr>
        <w:t>, Jarit</w:t>
      </w:r>
      <w:r>
        <w:rPr>
          <w:rFonts w:ascii="Arial" w:cs="Arial" w:eastAsia="Arial" w:hAnsi="Arial"/>
          <w:sz w:val="11"/>
          <w:szCs w:val="11"/>
          <w:color w:val="auto"/>
        </w:rPr>
        <w:t>®</w:t>
      </w:r>
      <w:r>
        <w:rPr>
          <w:rFonts w:ascii="Arial" w:cs="Arial" w:eastAsia="Arial" w:hAnsi="Arial"/>
          <w:sz w:val="18"/>
          <w:szCs w:val="18"/>
          <w:color w:val="auto"/>
        </w:rPr>
        <w:t>, Licox</w:t>
      </w:r>
      <w:r>
        <w:rPr>
          <w:rFonts w:ascii="Arial" w:cs="Arial" w:eastAsia="Arial" w:hAnsi="Arial"/>
          <w:sz w:val="11"/>
          <w:szCs w:val="11"/>
          <w:color w:val="auto"/>
        </w:rPr>
        <w:t>®</w:t>
      </w:r>
      <w:r>
        <w:rPr>
          <w:rFonts w:ascii="Arial" w:cs="Arial" w:eastAsia="Arial" w:hAnsi="Arial"/>
          <w:sz w:val="18"/>
          <w:szCs w:val="18"/>
          <w:color w:val="auto"/>
        </w:rPr>
        <w:t xml:space="preserve">, LimiTorr </w:t>
      </w:r>
      <w:r>
        <w:rPr>
          <w:rFonts w:ascii="Arial" w:cs="Arial" w:eastAsia="Arial" w:hAnsi="Arial"/>
          <w:sz w:val="11"/>
          <w:szCs w:val="11"/>
          <w:color w:val="auto"/>
        </w:rPr>
        <w:t>™</w:t>
      </w:r>
      <w:r>
        <w:rPr>
          <w:rFonts w:ascii="Arial" w:cs="Arial" w:eastAsia="Arial" w:hAnsi="Arial"/>
          <w:sz w:val="18"/>
          <w:szCs w:val="18"/>
          <w:color w:val="auto"/>
        </w:rPr>
        <w:t>, Luxtec</w:t>
      </w:r>
      <w:r>
        <w:rPr>
          <w:rFonts w:ascii="Arial" w:cs="Arial" w:eastAsia="Arial" w:hAnsi="Arial"/>
          <w:sz w:val="11"/>
          <w:szCs w:val="11"/>
          <w:color w:val="auto"/>
        </w:rPr>
        <w:t>®</w:t>
      </w:r>
      <w:r>
        <w:rPr>
          <w:rFonts w:ascii="Arial" w:cs="Arial" w:eastAsia="Arial" w:hAnsi="Arial"/>
          <w:sz w:val="18"/>
          <w:szCs w:val="18"/>
          <w:color w:val="auto"/>
        </w:rPr>
        <w:t xml:space="preserve">, Malibu </w:t>
      </w:r>
      <w:r>
        <w:rPr>
          <w:rFonts w:ascii="Arial" w:cs="Arial" w:eastAsia="Arial" w:hAnsi="Arial"/>
          <w:sz w:val="11"/>
          <w:szCs w:val="11"/>
          <w:color w:val="auto"/>
        </w:rPr>
        <w:t>™</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 xml:space="preserve">Manta Ray </w:t>
      </w:r>
      <w:r>
        <w:rPr>
          <w:rFonts w:ascii="Arial" w:cs="Arial" w:eastAsia="Arial" w:hAnsi="Arial"/>
          <w:sz w:val="10"/>
          <w:szCs w:val="10"/>
          <w:color w:val="auto"/>
        </w:rPr>
        <w:t>™</w:t>
      </w:r>
      <w:r>
        <w:rPr>
          <w:rFonts w:ascii="Arial" w:cs="Arial" w:eastAsia="Arial" w:hAnsi="Arial"/>
          <w:sz w:val="16"/>
          <w:szCs w:val="16"/>
          <w:color w:val="auto"/>
        </w:rPr>
        <w:t>, Miltex</w:t>
      </w:r>
      <w:r>
        <w:rPr>
          <w:rFonts w:ascii="Arial" w:cs="Arial" w:eastAsia="Arial" w:hAnsi="Arial"/>
          <w:sz w:val="10"/>
          <w:szCs w:val="10"/>
          <w:color w:val="auto"/>
        </w:rPr>
        <w:t>®</w:t>
      </w:r>
      <w:r>
        <w:rPr>
          <w:rFonts w:ascii="Arial" w:cs="Arial" w:eastAsia="Arial" w:hAnsi="Arial"/>
          <w:sz w:val="16"/>
          <w:szCs w:val="16"/>
          <w:color w:val="auto"/>
        </w:rPr>
        <w:t>, Movement</w:t>
      </w:r>
      <w:r>
        <w:rPr>
          <w:rFonts w:ascii="Arial" w:cs="Arial" w:eastAsia="Arial" w:hAnsi="Arial"/>
          <w:sz w:val="10"/>
          <w:szCs w:val="10"/>
          <w:color w:val="auto"/>
        </w:rPr>
        <w:t>®</w:t>
      </w:r>
      <w:r>
        <w:rPr>
          <w:rFonts w:ascii="Arial" w:cs="Arial" w:eastAsia="Arial" w:hAnsi="Arial"/>
          <w:sz w:val="16"/>
          <w:szCs w:val="16"/>
          <w:color w:val="auto"/>
        </w:rPr>
        <w:t>, NeuraGen</w:t>
      </w:r>
      <w:r>
        <w:rPr>
          <w:rFonts w:ascii="Arial" w:cs="Arial" w:eastAsia="Arial" w:hAnsi="Arial"/>
          <w:sz w:val="10"/>
          <w:szCs w:val="10"/>
          <w:color w:val="auto"/>
        </w:rPr>
        <w:t>®</w:t>
      </w:r>
      <w:r>
        <w:rPr>
          <w:rFonts w:ascii="Arial" w:cs="Arial" w:eastAsia="Arial" w:hAnsi="Arial"/>
          <w:sz w:val="16"/>
          <w:szCs w:val="16"/>
          <w:color w:val="auto"/>
        </w:rPr>
        <w:t xml:space="preserve">, NeuraWrap </w:t>
      </w:r>
      <w:r>
        <w:rPr>
          <w:rFonts w:ascii="Arial" w:cs="Arial" w:eastAsia="Arial" w:hAnsi="Arial"/>
          <w:sz w:val="10"/>
          <w:szCs w:val="10"/>
          <w:color w:val="auto"/>
        </w:rPr>
        <w:t>™</w:t>
      </w:r>
      <w:r>
        <w:rPr>
          <w:rFonts w:ascii="Arial" w:cs="Arial" w:eastAsia="Arial" w:hAnsi="Arial"/>
          <w:sz w:val="16"/>
          <w:szCs w:val="16"/>
          <w:color w:val="auto"/>
        </w:rPr>
        <w:t xml:space="preserve">, NewPort </w:t>
      </w:r>
      <w:r>
        <w:rPr>
          <w:rFonts w:ascii="Arial" w:cs="Arial" w:eastAsia="Arial" w:hAnsi="Arial"/>
          <w:sz w:val="10"/>
          <w:szCs w:val="10"/>
          <w:color w:val="auto"/>
        </w:rPr>
        <w:t>™</w:t>
      </w:r>
      <w:r>
        <w:rPr>
          <w:rFonts w:ascii="Arial" w:cs="Arial" w:eastAsia="Arial" w:hAnsi="Arial"/>
          <w:sz w:val="16"/>
          <w:szCs w:val="16"/>
          <w:color w:val="auto"/>
        </w:rPr>
        <w:t xml:space="preserve">, NuGrip </w:t>
      </w:r>
      <w:r>
        <w:rPr>
          <w:rFonts w:ascii="Arial" w:cs="Arial" w:eastAsia="Arial" w:hAnsi="Arial"/>
          <w:sz w:val="10"/>
          <w:szCs w:val="10"/>
          <w:color w:val="auto"/>
        </w:rPr>
        <w:t>™</w:t>
      </w:r>
      <w:r>
        <w:rPr>
          <w:rFonts w:ascii="Arial" w:cs="Arial" w:eastAsia="Arial" w:hAnsi="Arial"/>
          <w:sz w:val="16"/>
          <w:szCs w:val="16"/>
          <w:color w:val="auto"/>
        </w:rPr>
        <w:t>, Omni-Tract</w:t>
      </w:r>
      <w:r>
        <w:rPr>
          <w:rFonts w:ascii="Arial" w:cs="Arial" w:eastAsia="Arial" w:hAnsi="Arial"/>
          <w:sz w:val="10"/>
          <w:szCs w:val="10"/>
          <w:color w:val="auto"/>
        </w:rPr>
        <w:t>®</w:t>
      </w:r>
      <w:r>
        <w:rPr>
          <w:rFonts w:ascii="Arial" w:cs="Arial" w:eastAsia="Arial" w:hAnsi="Arial"/>
          <w:sz w:val="16"/>
          <w:szCs w:val="16"/>
          <w:color w:val="auto"/>
        </w:rPr>
        <w:t>, OrthoBlast</w:t>
      </w:r>
      <w:r>
        <w:rPr>
          <w:rFonts w:ascii="Arial" w:cs="Arial" w:eastAsia="Arial" w:hAnsi="Arial"/>
          <w:sz w:val="10"/>
          <w:szCs w:val="10"/>
          <w:color w:val="auto"/>
        </w:rPr>
        <w:t>®</w:t>
      </w:r>
      <w:r>
        <w:rPr>
          <w:rFonts w:ascii="Arial" w:cs="Arial" w:eastAsia="Arial" w:hAnsi="Arial"/>
          <w:sz w:val="16"/>
          <w:szCs w:val="16"/>
          <w:color w:val="auto"/>
        </w:rPr>
        <w:t xml:space="preserve"> II, OSV II</w:t>
      </w:r>
      <w:r>
        <w:rPr>
          <w:rFonts w:ascii="Arial" w:cs="Arial" w:eastAsia="Arial" w:hAnsi="Arial"/>
          <w:sz w:val="10"/>
          <w:szCs w:val="10"/>
          <w:color w:val="auto"/>
        </w:rPr>
        <w:t>®</w:t>
      </w:r>
      <w:r>
        <w:rPr>
          <w:rFonts w:ascii="Arial" w:cs="Arial" w:eastAsia="Arial" w:hAnsi="Arial"/>
          <w:sz w:val="16"/>
          <w:szCs w:val="16"/>
          <w:color w:val="auto"/>
        </w:rPr>
        <w:t>, Qwix</w:t>
      </w:r>
      <w:r>
        <w:rPr>
          <w:rFonts w:ascii="Arial" w:cs="Arial" w:eastAsia="Arial" w:hAnsi="Arial"/>
          <w:sz w:val="10"/>
          <w:szCs w:val="10"/>
          <w:color w:val="auto"/>
        </w:rPr>
        <w:t>®</w:t>
      </w:r>
      <w:r>
        <w:rPr>
          <w:rFonts w:ascii="Arial" w:cs="Arial" w:eastAsia="Arial" w:hAnsi="Arial"/>
          <w:sz w:val="16"/>
          <w:szCs w:val="16"/>
          <w:color w:val="auto"/>
        </w:rPr>
        <w:t>, Panta</w:t>
      </w:r>
      <w:r>
        <w:rPr>
          <w:rFonts w:ascii="Arial" w:cs="Arial" w:eastAsia="Arial" w:hAnsi="Arial"/>
          <w:sz w:val="10"/>
          <w:szCs w:val="10"/>
          <w:color w:val="auto"/>
        </w:rPr>
        <w:t>®</w:t>
      </w:r>
      <w:r>
        <w:rPr>
          <w:rFonts w:ascii="Arial" w:cs="Arial" w:eastAsia="Arial" w:hAnsi="Arial"/>
          <w:sz w:val="16"/>
          <w:szCs w:val="16"/>
          <w:color w:val="auto"/>
        </w:rPr>
        <w:t xml:space="preserve">, Redmond </w:t>
      </w:r>
      <w:r>
        <w:rPr>
          <w:rFonts w:ascii="Arial" w:cs="Arial" w:eastAsia="Arial" w:hAnsi="Arial"/>
          <w:sz w:val="10"/>
          <w:szCs w:val="10"/>
          <w:color w:val="auto"/>
        </w:rPr>
        <w:t>™</w:t>
      </w:r>
      <w:r>
        <w:rPr>
          <w:rFonts w:ascii="Arial" w:cs="Arial" w:eastAsia="Arial" w:hAnsi="Arial"/>
          <w:sz w:val="16"/>
          <w:szCs w:val="16"/>
          <w:color w:val="auto"/>
        </w:rPr>
        <w:t xml:space="preserve">, Ruggles </w:t>
      </w:r>
      <w:r>
        <w:rPr>
          <w:rFonts w:ascii="Arial" w:cs="Arial" w:eastAsia="Arial" w:hAnsi="Arial"/>
          <w:sz w:val="10"/>
          <w:szCs w:val="10"/>
          <w:color w:val="auto"/>
        </w:rPr>
        <w:t>™</w:t>
      </w:r>
      <w:r>
        <w:rPr>
          <w:rFonts w:ascii="Arial" w:cs="Arial" w:eastAsia="Arial" w:hAnsi="Arial"/>
          <w:sz w:val="16"/>
          <w:szCs w:val="16"/>
          <w:color w:val="auto"/>
        </w:rPr>
        <w:t>, SafeGuard</w:t>
      </w:r>
      <w:r>
        <w:rPr>
          <w:rFonts w:ascii="Arial" w:cs="Arial" w:eastAsia="Arial" w:hAnsi="Arial"/>
          <w:sz w:val="10"/>
          <w:szCs w:val="10"/>
          <w:color w:val="auto"/>
        </w:rPr>
        <w:t>®</w:t>
      </w:r>
      <w:r>
        <w:rPr>
          <w:rFonts w:ascii="Arial" w:cs="Arial" w:eastAsia="Arial" w:hAnsi="Arial"/>
          <w:sz w:val="16"/>
          <w:szCs w:val="16"/>
          <w:color w:val="auto"/>
        </w:rPr>
        <w:t>, SeaSpine</w:t>
      </w:r>
      <w:r>
        <w:rPr>
          <w:rFonts w:ascii="Arial" w:cs="Arial" w:eastAsia="Arial" w:hAnsi="Arial"/>
          <w:sz w:val="10"/>
          <w:szCs w:val="10"/>
          <w:color w:val="auto"/>
        </w:rPr>
        <w:t>®</w:t>
      </w:r>
      <w:r>
        <w:rPr>
          <w:rFonts w:ascii="Arial" w:cs="Arial" w:eastAsia="Arial" w:hAnsi="Arial"/>
          <w:sz w:val="16"/>
          <w:szCs w:val="16"/>
          <w:color w:val="auto"/>
        </w:rPr>
        <w:t>, Selector</w:t>
      </w:r>
      <w:r>
        <w:rPr>
          <w:rFonts w:ascii="Arial" w:cs="Arial" w:eastAsia="Arial" w:hAnsi="Arial"/>
          <w:sz w:val="10"/>
          <w:szCs w:val="10"/>
          <w:color w:val="auto"/>
        </w:rPr>
        <w:t>®</w:t>
      </w:r>
      <w:r>
        <w:rPr>
          <w:rFonts w:ascii="Arial" w:cs="Arial" w:eastAsia="Arial" w:hAnsi="Arial"/>
          <w:sz w:val="16"/>
          <w:szCs w:val="16"/>
          <w:color w:val="auto"/>
        </w:rPr>
        <w:t xml:space="preserve">, Sonoma </w:t>
      </w:r>
      <w:r>
        <w:rPr>
          <w:rFonts w:ascii="Arial" w:cs="Arial" w:eastAsia="Arial" w:hAnsi="Arial"/>
          <w:sz w:val="10"/>
          <w:szCs w:val="10"/>
          <w:color w:val="auto"/>
        </w:rPr>
        <w:t>™</w:t>
      </w:r>
      <w:r>
        <w:rPr>
          <w:rFonts w:ascii="Arial" w:cs="Arial" w:eastAsia="Arial" w:hAnsi="Arial"/>
          <w:sz w:val="16"/>
          <w:szCs w:val="16"/>
          <w:color w:val="auto"/>
        </w:rPr>
        <w:t xml:space="preserve"> , Subtalar MBA</w:t>
      </w:r>
      <w:r>
        <w:rPr>
          <w:rFonts w:ascii="Arial" w:cs="Arial" w:eastAsia="Arial" w:hAnsi="Arial"/>
          <w:sz w:val="10"/>
          <w:szCs w:val="10"/>
          <w:color w:val="auto"/>
        </w:rPr>
        <w:t>®</w:t>
      </w:r>
      <w:r>
        <w:rPr>
          <w:rFonts w:ascii="Arial" w:cs="Arial" w:eastAsia="Arial" w:hAnsi="Arial"/>
          <w:sz w:val="16"/>
          <w:szCs w:val="16"/>
          <w:color w:val="auto"/>
        </w:rPr>
        <w:t>, TenoGlide</w:t>
      </w:r>
      <w:r>
        <w:rPr>
          <w:rFonts w:ascii="Arial" w:cs="Arial" w:eastAsia="Arial" w:hAnsi="Arial"/>
          <w:sz w:val="10"/>
          <w:szCs w:val="10"/>
          <w:color w:val="auto"/>
        </w:rPr>
        <w:t>®</w:t>
      </w:r>
      <w:r>
        <w:rPr>
          <w:rFonts w:ascii="Arial" w:cs="Arial" w:eastAsia="Arial" w:hAnsi="Arial"/>
          <w:sz w:val="16"/>
          <w:szCs w:val="16"/>
          <w:color w:val="auto"/>
        </w:rPr>
        <w:t xml:space="preserve">, Titan </w:t>
      </w:r>
      <w:r>
        <w:rPr>
          <w:rFonts w:ascii="Arial" w:cs="Arial" w:eastAsia="Arial" w:hAnsi="Arial"/>
          <w:sz w:val="10"/>
          <w:szCs w:val="10"/>
          <w:color w:val="auto"/>
        </w:rPr>
        <w:t>™</w:t>
      </w:r>
      <w:r>
        <w:rPr>
          <w:rFonts w:ascii="Arial" w:cs="Arial" w:eastAsia="Arial" w:hAnsi="Arial"/>
          <w:sz w:val="16"/>
          <w:szCs w:val="16"/>
          <w:color w:val="auto"/>
        </w:rPr>
        <w:t xml:space="preserve"> , Trel-X </w:t>
      </w:r>
      <w:r>
        <w:rPr>
          <w:rFonts w:ascii="Arial" w:cs="Arial" w:eastAsia="Arial" w:hAnsi="Arial"/>
          <w:sz w:val="10"/>
          <w:szCs w:val="10"/>
          <w:color w:val="auto"/>
        </w:rPr>
        <w:t>™</w:t>
      </w:r>
      <w:r>
        <w:rPr>
          <w:rFonts w:ascii="Arial" w:cs="Arial" w:eastAsia="Arial" w:hAnsi="Arial"/>
          <w:sz w:val="16"/>
          <w:szCs w:val="16"/>
          <w:color w:val="auto"/>
        </w:rPr>
        <w:t>, Trel-XC</w:t>
      </w:r>
      <w:r>
        <w:rPr>
          <w:rFonts w:ascii="Arial" w:cs="Arial" w:eastAsia="Arial" w:hAnsi="Arial"/>
          <w:sz w:val="10"/>
          <w:szCs w:val="10"/>
          <w:color w:val="auto"/>
        </w:rPr>
        <w:t>®</w:t>
      </w:r>
      <w:r>
        <w:rPr>
          <w:rFonts w:ascii="Arial" w:cs="Arial" w:eastAsia="Arial" w:hAnsi="Arial"/>
          <w:sz w:val="16"/>
          <w:szCs w:val="16"/>
          <w:color w:val="auto"/>
        </w:rPr>
        <w:t>, Tibiaxys</w:t>
      </w:r>
      <w:r>
        <w:rPr>
          <w:rFonts w:ascii="Arial" w:cs="Arial" w:eastAsia="Arial" w:hAnsi="Arial"/>
          <w:sz w:val="10"/>
          <w:szCs w:val="10"/>
          <w:color w:val="auto"/>
        </w:rPr>
        <w:t>®</w:t>
      </w:r>
      <w:r>
        <w:rPr>
          <w:rFonts w:ascii="Arial" w:cs="Arial" w:eastAsia="Arial" w:hAnsi="Arial"/>
          <w:sz w:val="16"/>
          <w:szCs w:val="16"/>
          <w:color w:val="auto"/>
        </w:rPr>
        <w:t xml:space="preserve">, Uni-CP </w:t>
      </w:r>
      <w:r>
        <w:rPr>
          <w:rFonts w:ascii="Arial" w:cs="Arial" w:eastAsia="Arial" w:hAnsi="Arial"/>
          <w:sz w:val="10"/>
          <w:szCs w:val="10"/>
          <w:color w:val="auto"/>
        </w:rPr>
        <w:t>™</w:t>
      </w:r>
      <w:r>
        <w:rPr>
          <w:rFonts w:ascii="Arial" w:cs="Arial" w:eastAsia="Arial" w:hAnsi="Arial"/>
          <w:sz w:val="16"/>
          <w:szCs w:val="16"/>
          <w:color w:val="auto"/>
        </w:rPr>
        <w:t>, Uni-Clip</w:t>
      </w:r>
      <w:r>
        <w:rPr>
          <w:rFonts w:ascii="Arial" w:cs="Arial" w:eastAsia="Arial" w:hAnsi="Arial"/>
          <w:sz w:val="10"/>
          <w:szCs w:val="10"/>
          <w:color w:val="auto"/>
        </w:rPr>
        <w:t>®</w:t>
      </w:r>
      <w:r>
        <w:rPr>
          <w:rFonts w:ascii="Arial" w:cs="Arial" w:eastAsia="Arial" w:hAnsi="Arial"/>
          <w:sz w:val="16"/>
          <w:szCs w:val="16"/>
          <w:color w:val="auto"/>
        </w:rPr>
        <w:t xml:space="preserve">, Universal2 </w:t>
      </w:r>
      <w:r>
        <w:rPr>
          <w:rFonts w:ascii="Arial" w:cs="Arial" w:eastAsia="Arial" w:hAnsi="Arial"/>
          <w:sz w:val="10"/>
          <w:szCs w:val="10"/>
          <w:color w:val="auto"/>
        </w:rPr>
        <w:t>™</w:t>
      </w:r>
      <w:r>
        <w:rPr>
          <w:rFonts w:ascii="Arial" w:cs="Arial" w:eastAsia="Arial" w:hAnsi="Arial"/>
          <w:sz w:val="16"/>
          <w:szCs w:val="16"/>
          <w:color w:val="auto"/>
        </w:rPr>
        <w:t>, Ventrix</w:t>
      </w:r>
      <w:r>
        <w:rPr>
          <w:rFonts w:ascii="Arial" w:cs="Arial" w:eastAsia="Arial" w:hAnsi="Arial"/>
          <w:sz w:val="10"/>
          <w:szCs w:val="10"/>
          <w:color w:val="auto"/>
        </w:rPr>
        <w:t>®</w:t>
      </w:r>
      <w:r>
        <w:rPr>
          <w:rFonts w:ascii="Arial" w:cs="Arial" w:eastAsia="Arial" w:hAnsi="Arial"/>
          <w:sz w:val="16"/>
          <w:szCs w:val="16"/>
          <w:color w:val="auto"/>
        </w:rPr>
        <w:t>, XKnife</w:t>
      </w:r>
      <w:r>
        <w:rPr>
          <w:rFonts w:ascii="Arial" w:cs="Arial" w:eastAsia="Arial" w:hAnsi="Arial"/>
          <w:sz w:val="10"/>
          <w:szCs w:val="10"/>
          <w:color w:val="auto"/>
        </w:rPr>
        <w:t>®</w:t>
      </w:r>
      <w:r>
        <w:rPr>
          <w:rFonts w:ascii="Arial" w:cs="Arial" w:eastAsia="Arial" w:hAnsi="Arial"/>
          <w:sz w:val="16"/>
          <w:szCs w:val="16"/>
          <w:color w:val="auto"/>
        </w:rPr>
        <w:t xml:space="preserve">, Zuma </w:t>
      </w:r>
      <w:r>
        <w:rPr>
          <w:rFonts w:ascii="Arial" w:cs="Arial" w:eastAsia="Arial" w:hAnsi="Arial"/>
          <w:sz w:val="10"/>
          <w:szCs w:val="10"/>
          <w:color w:val="auto"/>
        </w:rPr>
        <w:t>™</w:t>
      </w:r>
      <w:r>
        <w:rPr>
          <w:rFonts w:ascii="Arial" w:cs="Arial" w:eastAsia="Arial" w:hAnsi="Arial"/>
          <w:sz w:val="16"/>
          <w:szCs w:val="16"/>
          <w:color w:val="auto"/>
        </w:rPr>
        <w:t>, and the Integra logo are some of the material trademarks of Integra LifeSciences Corporation and its subsidiaries. MAYFIELD</w:t>
      </w:r>
      <w:r>
        <w:rPr>
          <w:rFonts w:ascii="Arial" w:cs="Arial" w:eastAsia="Arial" w:hAnsi="Arial"/>
          <w:sz w:val="10"/>
          <w:szCs w:val="10"/>
          <w:color w:val="auto"/>
        </w:rPr>
        <w:t>®</w:t>
      </w:r>
      <w:r>
        <w:rPr>
          <w:rFonts w:ascii="Arial" w:cs="Arial" w:eastAsia="Arial" w:hAnsi="Arial"/>
          <w:sz w:val="16"/>
          <w:szCs w:val="16"/>
          <w:color w:val="auto"/>
        </w:rPr>
        <w:t xml:space="preserve"> is a registered trademark of SM USA, Inc., and is used by Integra under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At December 31, 2011, we had approximately 3,400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and Mexico, none of our employees is subject to a collective bargaining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Financial information about our geographical areas is set forth under “Item 7. Management’s Discussion and Analysis of Financial Condition and Results of Operations — International Revenues and Operations” and in our financial statements Note 13, “Segment and Geographic Information,”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general, raw materials essential to our businesses are readily available from multiple sources. For reasons of quality assurance,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107"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w:t>
      </w:r>
    </w:p>
    <w:p>
      <w:pPr>
        <w:spacing w:after="0" w:line="1" w:lineRule="exact"/>
        <w:rPr>
          <w:sz w:val="20"/>
          <w:szCs w:val="20"/>
          <w:color w:val="auto"/>
        </w:rPr>
      </w:pPr>
    </w:p>
    <w:p>
      <w:pPr>
        <w:jc w:val="both"/>
        <w:ind w:right="420"/>
        <w:spacing w:after="0" w:line="331" w:lineRule="auto"/>
        <w:rPr>
          <w:sz w:val="20"/>
          <w:szCs w:val="20"/>
          <w:color w:val="auto"/>
        </w:rPr>
      </w:pPr>
      <w:r>
        <w:rPr>
          <w:rFonts w:ascii="Arial" w:cs="Arial" w:eastAsia="Arial" w:hAnsi="Arial"/>
          <w:sz w:val="15"/>
          <w:szCs w:val="15"/>
          <w:color w:val="auto"/>
        </w:rPr>
        <w:t>24 months old from New Zealand, a country that has never had a reported case of bovine spongiform encephalopathy, or from the United States. The World Health Organization classifies different types of cattle tissue for relative risk of BSE transmission. Deep flexor tendon is in the lowest-risk category for BSE transmission (the same category as milk, for example), and is therefore considered to have a negligible risk of containing the agent that causes BSE.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of our demineralized bone matrix products contain human tissue in the form of ground cortical and cancellous bone. We source the bone tissue only from FDA and the American Association of Tissue Banks (“AATB”) registered and inspected tissue banks. The donors are rigorously screened, tested, and processed in accordance with the FDA and AATB requirements. Only donated tissue from FDA and AATB registered, inspected, non-profit tissue banks is qualified to source for our raw materials. Additionally, each donor must pass all of the FDA-specified bacterial and viral testing before the raw material is distributed to Integra for further processing. We receive with each donor lot a certification of the safety of the raw material from the tissue bank’s medical director.</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an added assurance of safety, each lot of bone is released into the manufacturing process only after our staff of quality assurance microbiologists screens the incoming bone and serology test records. During our manufacturing process, the bone particles are subjected to our proprietary process and terminally sterilized. We have demonstrated through our testing that this type of rigorous processing further enhances the safety and effectiveness of our demineralized bone material products.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Revenues during our fourth quarter tend to be stronger than other quarters because many hospitals increase their purchases of our products during the fourth quarter to coincide with the end of their budget cycles.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6"/>
          <w:szCs w:val="16"/>
          <w:u w:val="single" w:color="auto"/>
          <w:color w:val="auto"/>
        </w:rPr>
        <w:t>www.integralife.com</w:t>
      </w:r>
      <w:r>
        <w:rPr>
          <w:rFonts w:ascii="Arial" w:cs="Arial" w:eastAsia="Arial" w:hAnsi="Arial"/>
          <w:sz w:val="16"/>
          <w:szCs w:val="16"/>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6"/>
          <w:szCs w:val="16"/>
          <w:u w:val="single" w:color="auto"/>
          <w:color w:val="auto"/>
        </w:rPr>
        <w:t>www.sec.gov</w:t>
      </w:r>
      <w:r>
        <w:rPr>
          <w:rFonts w:ascii="Arial" w:cs="Arial" w:eastAsia="Arial" w:hAnsi="Arial"/>
          <w:sz w:val="16"/>
          <w:szCs w:val="16"/>
          <w:color w:val="auto"/>
        </w:rPr>
        <w:t>. Please call the Securities and Exchange Commission at 1-800-SEC-0330 for further information on the operation of the public reference facilities.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(the “Securities Act”), and Section 21E of the Exchange Act. These forward-looking statements are subject to a number of risks, uncertainties and assumptions about us including, among other things:</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both nationally and in our international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and estimates concerning future financial performance, financing plans and the impact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trends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anticipated demand for our products, particularly capital equipment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collagen-based products in sufficient quantities to meet sales demands;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concerning our ongoing restructuring, integration and manufacturing transfer and expansion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existing and future regulations affecting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additional debt and equity financing to fund capital expenditures and working capital requirements and acquisitions;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physicians’ willingness to adopt our recently launched and planned products, third-party payors’ willingness to provide or continue reimbursement for these products and our ability to secure regulatory approval for products in development;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initiatives launched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including trade secrets;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complete acquisitions, integrate operations post-acquisition and maintain relationships with customers of acquired entities;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all matters identified in the FDA warning letter that we received in December 2011;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 factors described in the section entitled “Risk Factors” in this report.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operating results may fluctuate.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59" w:lineRule="exact"/>
        <w:rPr>
          <w:sz w:val="20"/>
          <w:szCs w:val="20"/>
          <w:color w:val="auto"/>
        </w:rPr>
      </w:pPr>
    </w:p>
    <w:p>
      <w:pPr>
        <w:ind w:left="440" w:right="28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in the United States or abroad, especially in Europe, which could affect the ability of hospitals and other customers to purchase our products and could result in a reduction in elective and non-reimbursed operative procedures;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acquisitions;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restructuring activities;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timing of significant customer orders, which tend to increase in the fourth quarter to coincide with the end of budget cycles for many hospitals;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existing products, as well as products in development;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regulatory approvals;</w:t>
      </w:r>
    </w:p>
    <w:p>
      <w:pPr>
        <w:spacing w:after="0" w:line="90" w:lineRule="exact"/>
        <w:rPr>
          <w:rFonts w:ascii="Arial" w:cs="Arial" w:eastAsia="Arial" w:hAnsi="Arial"/>
          <w:sz w:val="18"/>
          <w:szCs w:val="18"/>
          <w:color w:val="auto"/>
        </w:rPr>
      </w:pPr>
    </w:p>
    <w:p>
      <w:pPr>
        <w:ind w:left="440" w:right="6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rates of exchange between the U.S. dollar and other currencies of foreign countries in which we do business, such as the euro and the British pound;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and business lost in connection with product field correction actions or recalls;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or decreases in the supply of raw materials, including energy and steel;</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manufacture our products efficiently or in sufficient quantities to meet sales demands;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our research and development expenditures;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for our products by third-party payors such as Medicare, Medicaid and private health insurers;</w:t>
      </w:r>
    </w:p>
    <w:p>
      <w:pPr>
        <w:spacing w:after="0" w:line="90" w:lineRule="exact"/>
        <w:rPr>
          <w:rFonts w:ascii="Arial" w:cs="Arial" w:eastAsia="Arial" w:hAnsi="Arial"/>
          <w:sz w:val="18"/>
          <w:szCs w:val="18"/>
          <w:color w:val="auto"/>
        </w:rPr>
      </w:pPr>
    </w:p>
    <w:p>
      <w:pPr>
        <w:ind w:left="440" w:right="700" w:hanging="324"/>
        <w:spacing w:after="0" w:line="33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inspections of our manufacturing facilities for compliance with Quality System Regulations (Good Manufacturing Practices) which could result in Form 483 observations, warning letters, injunctions or other adverse findings from the FDA or from equivalent regulatory bodies;</w:t>
      </w:r>
    </w:p>
    <w:p>
      <w:pPr>
        <w:spacing w:after="0" w:line="4" w:lineRule="exact"/>
        <w:rPr>
          <w:rFonts w:ascii="Arial" w:cs="Arial" w:eastAsia="Arial" w:hAnsi="Arial"/>
          <w:sz w:val="16"/>
          <w:szCs w:val="16"/>
          <w:color w:val="auto"/>
        </w:rPr>
      </w:pPr>
    </w:p>
    <w:p>
      <w:pPr>
        <w:ind w:left="440" w:right="3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FDA’s reform to the 510(k) Premarket Notification process which could make it more difficult to obtain clearance of our medical devices and could result in the requirement of clinical trial data in order to obtain FDA clearance; and</w:t>
      </w:r>
    </w:p>
    <w:p>
      <w:pPr>
        <w:spacing w:after="0" w:line="5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increased regulatory scrutiny of certain of our products, including products which we manufacture for others, could result in their being removed from the market.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industry and market segments in which we operate are highly competitive, and we may be unable to compete effectively with other companies.</w:t>
      </w:r>
    </w:p>
    <w:p>
      <w:pPr>
        <w:spacing w:after="0" w:line="1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administrative, consulting and other resources than we do. Our competitors may be more effective at developing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 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Additionally, purchasing decisions of our customers may be based on clinical evidence or comparative effectiveness and because of our vast array of products, we might not be able to fund the studies necessary or provide the required information to compete effectively. Other companies may have more resources available to fund such studies. For example, competitors have launched and have been developing products to compete with our duraplasty products, extremity reconstruction implants, neuro critical care monitors and ultrasonic tissue ablation devices, among others.</w:t>
      </w:r>
    </w:p>
    <w:p>
      <w:pPr>
        <w:spacing w:after="0" w:line="12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largest competitors in the neurosurgery markets are Medtronic, Inc., Johnson &amp; Johnson and Stryker Corporation. In addition, many of our neurosurgery product lines compete with smaller specialized companies or larger companies that do not otherwise focus on neurosurgery. Our competitors in extremity reconstruction include Johnson &amp; Johnson, Synthes, Inc. and Stryker Corporation, as well as other major orthopedic companies that carry a full line of reconstructive products. We also compete with Wright Medical Group, Inc., Small Bone Innovations, Inc., Tornier, Inc. and other companies in the extremity reconstruction market category. Our competitors in the spinal implant and orthobiologics markets include Medtronic, Inc., Johnson &amp; Johnson, Synthes, Inc., Stryker Corporation, Zimmer, Inc., NuVasive, Inc., Globus Medical, Inc., Alphatec Spine, Inc., Orthofix and several smaller, biologically focused companies. In surgical instruments, we compete with V. Mueller, as well as the Aesculap division of B. Braun Medical, Inc. In addition, we compete with Johnson &amp; Johnson and many smaller instrument companies in the reusable and disposable specialty instruments markets. Our private-label products face diverse and broad competition, depending on the market addressed by the product.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208"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Since the beginning of 2009, we have acquired 6 businesses or product lines at a total cost of approximately $171.9 million.</w:t>
      </w:r>
    </w:p>
    <w:p>
      <w:pPr>
        <w:spacing w:after="0" w:line="132"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could result in material transaction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ongoing development of our business and risks associated with entering markets in which our marketing and sales force has limited experience or where experienced distribution alliances are not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Since we have grown through acquisitions, we have $293.0 million of goodwill and $50.2 million of indefinite-lived intangible assets as of December 31, 2011.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finite-lived intangible assets, whenever events or changes in circumstances indicate that the carrying value may not be recoverable as measured by the sum of the expected future undiscounted cash flows. As of December 31, 2011, we had $186.9 million of finite-lived intangible assets.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Decisions relating to our trade names may occur over time as our re-branding strategy is implemented. Additionally, we may discontinue certain products in the future as we continue to assess the profitability of our product lines. As a result, we may need to record impairment charges or accelerate amortization on certain trade names or technology-related intangible assets in the future.</w:t>
      </w:r>
    </w:p>
    <w:p>
      <w:pPr>
        <w:spacing w:after="0" w:line="14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94" w:lineRule="exact"/>
        <w:rPr>
          <w:sz w:val="20"/>
          <w:szCs w:val="20"/>
          <w:color w:val="auto"/>
        </w:rPr>
      </w:pPr>
    </w:p>
    <w:p>
      <w:pPr>
        <w:jc w:val="both"/>
        <w:ind w:left="240" w:right="300"/>
        <w:spacing w:after="0" w:line="259" w:lineRule="auto"/>
        <w:rPr>
          <w:sz w:val="20"/>
          <w:szCs w:val="20"/>
          <w:color w:val="auto"/>
        </w:rPr>
      </w:pPr>
      <w:r>
        <w:rPr>
          <w:rFonts w:ascii="Arial" w:cs="Arial" w:eastAsia="Arial" w:hAnsi="Arial"/>
          <w:sz w:val="18"/>
          <w:szCs w:val="18"/>
          <w:b w:val="1"/>
          <w:bCs w:val="1"/>
          <w:i w:val="1"/>
          <w:iCs w:val="1"/>
          <w:color w:val="auto"/>
        </w:rPr>
        <w:t>Current economic conditions may adversely affect the ability of hospitals, other customers, suppliers and distributors to access funds or otherwise have available liquidity, which could reduce orders for our products or interrupt our production or distribution or result in a reduction in elective and non-reimbursed operative procedures.</w:t>
      </w:r>
    </w:p>
    <w:p>
      <w:pPr>
        <w:spacing w:after="0" w:line="5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Current economic conditions, especially in Europe, may adversely affect the ability of hospitals and other customers to access funds to enable them to fund their operating and capital budgets. As a result, hospitals and other customers may reduce budgets or put all or part of their budgets on hold or close their operations, which could have a negative effect on our sales, particularly the sales of more expensive capital equipment such as our ultrasonic surgical aspirators, neuromonitors and stereotactic products, or result in a reduction in elective and non-reimbursed procedures. Governmental austerity policies in Europe and other markets have reduced and may continue to reduce the amount of money available to purchase medical products, including our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20"/>
        <w:spacing w:after="0" w:line="332" w:lineRule="auto"/>
        <w:rPr>
          <w:sz w:val="20"/>
          <w:szCs w:val="20"/>
          <w:color w:val="auto"/>
        </w:rPr>
      </w:pPr>
      <w:r>
        <w:rPr>
          <w:rFonts w:ascii="Arial" w:cs="Arial" w:eastAsia="Arial" w:hAnsi="Arial"/>
          <w:sz w:val="16"/>
          <w:szCs w:val="16"/>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products under development are subject to FDA approval or clearance prior to marketing for commercial use. The process of obtaining necessary FDA approvals or clearances can take years and is expensive and uncertain. The FDA has implemented changes to the 510(k) premarket notification process. The FDA has issued a new Draft Guidance, “</w:t>
      </w:r>
      <w:r>
        <w:rPr>
          <w:rFonts w:ascii="Arial" w:cs="Arial" w:eastAsia="Arial" w:hAnsi="Arial"/>
          <w:sz w:val="18"/>
          <w:szCs w:val="18"/>
          <w:i w:val="1"/>
          <w:iCs w:val="1"/>
          <w:color w:val="auto"/>
        </w:rPr>
        <w:t>The 510(k) Program: Evaluating Substantial Equivalence in Premarket Notifications 510(k).</w:t>
      </w:r>
      <w:r>
        <w:rPr>
          <w:rFonts w:ascii="Arial" w:cs="Arial" w:eastAsia="Arial" w:hAnsi="Arial"/>
          <w:sz w:val="18"/>
          <w:szCs w:val="18"/>
          <w:color w:val="auto"/>
        </w:rPr>
        <w:t>” These changes to the 510(k) process may result in more extensive testing, clinical trial data, more extensive manufacturing information and postmarket surveillance requirements. The FDA may inspect the manufacturing facility for certain products prior to clearance of the 510(k), which is similar to the requirements of a Class III device approved under the PMA process.</w:t>
      </w:r>
    </w:p>
    <w:p>
      <w:pPr>
        <w:spacing w:after="0" w:line="14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These clinical trials could take years to complete and be expensive, and there is no guarantee that the FDA will approve the additional indications for use. There is also no guarantee that the payors will agree to continue reimbursement or provide additional coverage based upon these clinical trials. If the FDA does not approve the additional indications for use, our ability to obtain reimbursement for these products and our ability to compete against alternative products or technologies could suffer and, consequently, affect our sales.</w:t>
      </w:r>
    </w:p>
    <w:p>
      <w:pPr>
        <w:spacing w:after="0" w:line="12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 Furthermore, the timing of approvals in the U.S. and Europe is now dependent on the class of product. Any of our Class III devices (those categorized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supporting or sustaining human life, are of substantial importance in preventing impairment of human health, or which present a potential, unreasonable risk of illness or injury) and products of animal origin take an extensive amount of time to obtain approval in the European Union and all require clinical reports or clinical trial data which can be costly. Finally the FDA and AdvaMed (the principal United States trade association for the medical device industry) have agreed on a commitment letter regarding reauthorization of the Medical Device User Fee Authorization (“MDUFA”). This reauthorization is not expected to be finalized prior to October 2012 and the current proposal includes planned increases in fees over a five-year period. The amounts of such increases have not yet been published.</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Form 483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FDA inspected our Plainsboro, New Jersey regenerative medicine manufacturing facility during the third quarter of 2011, at the conclusion of which it issued FDA Form 483 inspectional observations that described violations of quality system regulations. We subsequently received a warning letter from the FDA dated December 21, 2011 pertaining to that facility. We filed the warning letter as an exhibit to a Current Report on Form 8-K filed January 5, 2012. The effect of the warning letter is to require regular reports to the FDA of progress made on remediation of issues identified in the warning letter. Further, the FDA will not approve PMA’s or supplements manufactured in that facility until the warning letter has been remediated.</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and will incur, substantial expenses to remediate those observations and others issued in connection with other inspections at other facilities, and to prepare our manufacturing facilities for anticipated FDA inspections. The FDA has notified us that it will not grant requests for exportation certificates to foreign governments until the violations identified in the warning letter have been corrected. If such remediations cannot be completed in a timely manner we may not be able to produce certain products for a period of time or may not be able to sell such products in certain markets. There can be no assurance that such remediation and preparation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activities will address all such observations to the FDA’s satisfaction, or that the FDA will not impose additional regulatory sanctions with respect to such observations.</w:t>
      </w:r>
    </w:p>
    <w:p>
      <w:pPr>
        <w:spacing w:after="0" w:line="13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are being implemented in some markets starting in July 2012 and will continue to be adopted over the following years worldwide. If our products are not modified in time and we do not comply with these standards, then our products could no longer be sold in the markets that have adopted the IEC updated standards.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also subject to other regulatory requirements of countries outside the United States where we do business. For example, under the European Union Medical Device Directive,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 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certain EU member states have instituted new requirements for additional testing that may be prohibitive to obtaining approval in those member states.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of our products, including our dermal regeneration products, duraplasty products, biomaterial products for the spine, nerve and tendon repair products and certain other products, contain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is in the lowest-risk categories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Certain countries, such as Japan, China, Taiwan and Argentina, have issued regulations that require our collagen products be processed from bovine tendon sourced from countries where no cases of BSE have occurred, and the EU has requested that our dural replacement products and other products that are used in neurological tissue be sourced from bovine tendon sourced from a country where no cases of BSE have occurred. Currently, we purchase our tendon from the United States and New Zealand. We received approval in the EU, Japan, Taiwan, China and Argentina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Some HCT/Ps also meet the definition of a biological product, medical device or drug regulated under the FD&amp;C ACT.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American Association of Tissue Banks (“AATB”) has issued operating standards for tissue banking. Compliance with these standards is a requirement in order to become a licensed tissue bank. In addition, some states have their own tissue banking regulations. We are licensed or have permits as a tissue bank in California, Florida, New York and Maryland.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procurement of certain human organs and tissue for transplantation is subject to the restrictions of the National Organ Transplant Act (“NOTA”), which 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EU, regulations, if applicable, differ from one EU member state to the next. Because of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w:t>
      </w:r>
    </w:p>
    <w:p>
      <w:pPr>
        <w:spacing w:after="0" w:line="201"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b w:val="1"/>
          <w:bCs w:val="1"/>
          <w:i w:val="1"/>
          <w:iCs w:val="1"/>
          <w:color w:val="auto"/>
        </w:rPr>
        <w:t>Lack of market acceptance for our products or market preference for technologies that compete with our products could reduce our revenues and profitability.</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cannot be certain that our current products or any other products that we may develop or market will achieve or maintain market acceptance. Certain of the medical indications that our devices can treat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our collagen-based wound care products.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market acceptance of our bone graft substitutes will depend on our ability to demonstrate that our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or maintain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insurers, against our products or third-party determinations that favor a competitor’s product over ours, could harm acceptance or continued use of our products. The industry is subject to rapid and continuous change arising from,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among other things, consolidation, technological improvements, the pressure on third-party payors and providers to reduce healthcare costs, and healthcare reform legislation. One or more of these factors may vary unpredictably, and such variations could have a material adverse effect on our competitive position. We may not be able to adjust our contemplated plan of development to meet changing market demands.</w:t>
      </w:r>
    </w:p>
    <w:p>
      <w:pPr>
        <w:spacing w:after="0" w:line="221" w:lineRule="exact"/>
        <w:rPr>
          <w:sz w:val="20"/>
          <w:szCs w:val="20"/>
          <w:color w:val="auto"/>
        </w:rPr>
      </w:pPr>
    </w:p>
    <w:p>
      <w:pPr>
        <w:ind w:left="240" w:right="720"/>
        <w:spacing w:after="0" w:line="268" w:lineRule="auto"/>
        <w:rPr>
          <w:sz w:val="20"/>
          <w:szCs w:val="20"/>
          <w:color w:val="auto"/>
        </w:rPr>
      </w:pPr>
      <w:r>
        <w:rPr>
          <w:rFonts w:ascii="Arial" w:cs="Arial" w:eastAsia="Arial" w:hAnsi="Arial"/>
          <w:sz w:val="18"/>
          <w:szCs w:val="18"/>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Our patents, however, may not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position depends, in part, upon unpatented trade secrets which we may be unable to protect.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competitive position also depends upon unpatented trade secrets, which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an effort to protect our trade secrets, we require our employees, consultants and advisors to execute confidentiality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will depend partly on our ability to operate without infringing or misappropriating the proprietary rights of others.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if at all. In addition, some licenses may be nonexclusive and allow our competitors to access the same technology we license.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we fail to obtain a required license or are unable to design our products so as not to infringe on the proprietary rights of others, we may be unable to sell some of our products, and this potential inability could have a material adverse effect on our revenues and profitability.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involved in lawsuits relating to our intellectual property rights and promotional practices, which may be expensive.</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To protect or enforce our intellectual property rights, we may have to initiate or defend legal proceedings, such as infringement suits or interference proceedings, against or by third parties. In addition, we may have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institute proceedings regarding our competitors’ promotional practices or defend proceedings regarding our promotional practices. Litigation is costly, and, even if we prevail, the cost of that litigation could affect our profitability. In addition, litigation is time-consuming and could divert management attention and resources away from our business. Moreover, in response to our claims against other parties, those parties could assert counterclaims against us.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 may be difficult to replace some of our suppliers.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66" w:lineRule="exact"/>
        <w:rPr>
          <w:sz w:val="20"/>
          <w:szCs w:val="20"/>
          <w:color w:val="auto"/>
        </w:rPr>
      </w:pPr>
    </w:p>
    <w:p>
      <w:pPr>
        <w:ind w:left="900" w:right="6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collagen-based products, such as the INTEGRA</w:t>
      </w:r>
      <w:r>
        <w:rPr>
          <w:rFonts w:ascii="Arial" w:cs="Arial" w:eastAsia="Arial" w:hAnsi="Arial"/>
          <w:sz w:val="11"/>
          <w:szCs w:val="11"/>
          <w:color w:val="auto"/>
        </w:rPr>
        <w:t>®</w:t>
      </w:r>
      <w:r>
        <w:rPr>
          <w:rFonts w:ascii="Arial" w:cs="Arial" w:eastAsia="Arial" w:hAnsi="Arial"/>
          <w:sz w:val="18"/>
          <w:szCs w:val="18"/>
          <w:color w:val="auto"/>
        </w:rPr>
        <w:t xml:space="preserve"> Dermal Regeneration Template and wound dressing products, the DuraGen</w:t>
      </w:r>
      <w:r>
        <w:rPr>
          <w:rFonts w:ascii="Arial" w:cs="Arial" w:eastAsia="Arial" w:hAnsi="Arial"/>
          <w:sz w:val="11"/>
          <w:szCs w:val="11"/>
          <w:color w:val="auto"/>
        </w:rPr>
        <w:t>®</w:t>
      </w:r>
      <w:r>
        <w:rPr>
          <w:rFonts w:ascii="Arial" w:cs="Arial" w:eastAsia="Arial" w:hAnsi="Arial"/>
          <w:sz w:val="18"/>
          <w:szCs w:val="18"/>
          <w:color w:val="auto"/>
        </w:rPr>
        <w:t xml:space="preserve"> family of products, and our Absorbable Collagen Sponges;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products which use many different electronic parts from numerous suppliers, such as our intracranial monitors and catheters;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products that use pyrolytic carbon (i.e., PyroCarbon) technology, such as certain of our reconstructive extremity orthopedic implants.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some of our orthobiologics products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10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21"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Damage to our manufacturing, development or research facilities because of fire, natural disaster, power loss, communications failure, unauthorized entry or other events, such as a flu or other health epidemic,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earthquake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addition, certain of our surgical instruments have some manufacturing processes performed by third parties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Further, we manufacture certain products in Europe and our European headquarters is located in France, which has experienced labor strikes. Thus far, strikes have not had a material impact on our business; however, if such strikes were to occur, there is no assurance that they would not disrupt our business, and any such disruption could have a material adverse effect on our business.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implemented an enterprise business system to support certain of our transaction processing for accounting and financial reporting, supply chain and manufacturing. A third party hosts and maintains this system. Currently, we do not have a comprehensive disaster recovery plan for the Company’s infrastructure but we have adopted alternative solutions to mitigate business risk, including backup equipment, power and communications. We also implemented a comprehensive backup and recovery process for our key software applications. Our global production and distribution operations are dependent on the effective management of information flow between facilities. An interruption of the support provided by our enterprise business systems could have a material adverse effect on the business.</w:t>
      </w:r>
    </w:p>
    <w:p>
      <w:pPr>
        <w:spacing w:after="0" w:line="225"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5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generate significant revenues outside the United States in multiple foreign currencies including euros, British pounds, Swiss francs, Canadian dollars, Japanese yen and Australian dollars,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 negative impact on the demand for our products in foreign countries where the U.S. dollar has increased in value compared to the local currency.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we have operations based outside the United States and we generate revenues and incur operating expenses in multiple foreign currencies including euros, British pounds, Swiss francs, Canadian dollars, Japanese yen and Australian dollars, we experience currency exchange risk with respect to those foreign currency-denominated revenues and expenses.</w:t>
      </w:r>
    </w:p>
    <w:p>
      <w:pPr>
        <w:spacing w:after="0" w:line="14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Although we address currency risk management through regular operating and financing activities, and, on a limited basis, through the use of derivative financial instruments, those actions may not prove to be fully effective. For a description of our use of derivative financial instruments, see Note 5, “Derivative Instruments.”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international operations subject us to laws regarding sanctioned countries, entities and persons, customs, import-export, laws regarding transactions in foreign countries, the U.S. Foreign Corrupt Practices Act and local anti-bribery and other laws regarding interactions with healthcare professionals. Among other things, these laws restrict, and in some cases prohibit, U.S.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11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Local economic conditions, legal, regulatory or political considerations, disruptions from strikes,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adoption of healthcare reform in the United States may adversely affect our business, results of operations and/or financial condition.</w:t>
      </w:r>
    </w:p>
    <w:p>
      <w:pPr>
        <w:spacing w:after="0" w:line="11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In March 2010, significant reforms to the U.S. healthcare system were adopted in the form of the Patient Protection and Affordable Care Act (the “PPACA”). The PPACA includes provisions that, among other things, reduce and/or limit Medicare reimbursement, require all individuals to have health insurance (with limited exceptions) and impose new and/or increased taxes. Specifically, the law requires the medical device industry to subsidize healthcare reform by implementing a 2.3% excise tax on the sale of certain medical devices by a manufacturer, producer or importer of such devices in the United States starting after December 31, 2012. We are still evaluating the impact of this tax on our overall business. Other elements of this legislation, such as comparative effectiveness research, an independent payment advisory board, payment system reforms (including shared savings pilots) and other provisions, could meaningfully change the way health care is developed and delivered, and result in additional costs for us. The PPACA could reduce medical procedure volumes, impact the demand for our products or the prices at which we sell our products, and may have a material adverse effect on our business and/or results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 the PPACA encourages hospitals and physicians to work collaboratively through shared savings programs, such as accountable care organizations, as well as other bundled payment initiatives, which may ultimately result in the reduction of medical device purchases and the consolidation of medical device suppliers used by hospitals. While passage of the PPACA may ultimately expand the pool of potential end-users of our products, the above-discussed changes could adversely affect our financial results and business.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Various healthcare reform proposals have also emerged at the state level. We cannot predict what healthcare initiatives, if any, will be implemented at the federal or state level, or the effect any future legislation or regulation will have on us.</w:t>
      </w:r>
    </w:p>
    <w:p>
      <w:pPr>
        <w:spacing w:after="0" w:line="213"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5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59" w:lineRule="exact"/>
        <w:rPr>
          <w:sz w:val="20"/>
          <w:szCs w:val="20"/>
          <w:color w:val="auto"/>
        </w:rPr>
      </w:pPr>
    </w:p>
    <w:p>
      <w:pPr>
        <w:ind w:left="90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mentioned above, new legislation, which is intended to expand access to health insurance coverage over time, will result in major changes in the United States healthcare system that could have an adverse effect on our business, including a 2.3% excise tax on U.S. sales of most medical devices, which is scheduled to be implemented in 2013, and which could have a material adverse effect on our earnings;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Medicare, Medicaid and private healthcare insurer cutbacks could create downward price pressure on our products;</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economic pressure to contain healthcare costs in domestic and international markets;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laws or regulations will permit hospitals to provide financial incentives to doctors for reducing hospital costs (known as gainsharing), will award physician efficiency (known as physician profiling), and will encourage partnership with healthcare service and goods providers to reduce prices;</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growing prevalence of physician-owned distributorships catering to the spinal surgery market has reduced and may continue to reduce our ability to compete effectively for business from surgeons who own such distributorships;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Oversight of the medical device industry might affect the manner in which we may sell medical devices and compete in the marketplace.</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state law equivalents to these federal laws that are meant to protect against fraud and abuse and analogous laws in foreign countries. Violations of these laws are punishable by criminal and civil sanctions, including, but not limited to, in some instances civil and criminal penalties, damages, fines, exclusion from participation in federal and state healthcare programs, including Medicare and Medicaid. Although we exercise care in structuring our sales and marketing practices and customer discount arrangements to comply with those laws and regulations, we cannot assure you that:</w:t>
      </w:r>
    </w:p>
    <w:p>
      <w:pPr>
        <w:spacing w:after="0" w:line="37" w:lineRule="exact"/>
        <w:rPr>
          <w:sz w:val="20"/>
          <w:szCs w:val="20"/>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officials charged with responsibility for enforcing those laws will not assert that our sales and marketing practices or customer discount arrangements are in violation of those laws or regulations;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regulators or courts will interpret those laws or regulations in a manner consistent with our interpretation.</w:t>
      </w:r>
    </w:p>
    <w:p>
      <w:pPr>
        <w:spacing w:after="0" w:line="171"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Correspondingly, federal and state laws are also sometimes open to interpretation, and from time to time we may find ourselves at a competitive disadvantage if our interpretation differs from that of our competitors.</w:t>
      </w:r>
    </w:p>
    <w:p>
      <w:pPr>
        <w:spacing w:after="0" w:line="132"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AdvaMed, the principal United States trade association for the medical device industry, promulgates a model code of conduct that sets forth standards by which its members should abide in the promotion of their products. We have in place policies and procedures for compliance that we believe are at least as stringent as those set forth in the revised AdvaMed Code, and we provide routine training to our sales and marketing personnel on our policies regarding sales and marketing practices. Pursuant to the revised AdvaMed Code, we have certified our adoption of the revised AdvaMed Code. Nevertheless, the sales and marketing practices of our industry have been the subject of increased scrutiny from federal and state government agencies, and we believe that this trend will continue. For example, recent federal legislation and state legislation would require detailed disclosure of gifts and other remuneration made to health care professionals. In addition, prosecutorial scrutiny and governmental oversight, on the state and federal levels, over some major device companies regarding the retention of healthcare professionals as consultants has limited the manner in which medical device companies may retain healthcare professionals as consultants. Various hospital organizations, medical societies and trade associations are establishing their own practices that may require detailed disclosures of relationships between healthcare professionals and medical device companies or ban or restrict certain marketing and sales practices such as gifts and business meals.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private-label product lines depend significantly on key relationships with third parties, which we could be unable to establish and maintain.</w:t>
      </w:r>
    </w:p>
    <w:p>
      <w:pPr>
        <w:spacing w:after="0" w:line="11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Our private-label business depends in part on our entering into and maintaining collaborative or alliance agreements with third parties concerning product marketing, as well as research and development programs. The third parties with whom we have entered into agreements might terminate these agreements for a variety of reasons, including developing other sources for the products that we supply. Termination of our most important relationships could adversely affect our expectations for the growth of private-label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have significant product liability exposure and our insurance may not cover all potential claims.</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requirements relating to hazardous materials which may impose significant compliance or other costs on us.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difficulties implementing our new global enterprise resource planning system</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engaged in a multi-year implementation of a new global enterprise resource planning system (“ERP”) to improve our operational efficiency. The ERP is designed to accurately maintain our financial reporting data and provide information to our management team important to the operation of the business. Our ERP has required, and will require, the investment of significant human and financial resources. The implementation of this new ERP system involves numerous risks, including disruption to our normal accounting procedures and internal control over financial reporting, inaccuracies in the conversion of electronic data, difficulties integrating the systems and processes, additional costs to continue to refine the system’s functionality, and disruption of our financial reporting process. We may not be able to successfully implement the ERP without experiencing significant delays, increased costs, or other difficulties. Any significant disruption or deficiency in the design or implementation of the ERP could adversely affect our ability to estimate supply chain needs, plan production requirements, process orders, ship product, send invoices and track payments, fulfill contractual obligations, accurately forecast sales, or otherwise operate our business, all of which could negatively impact sales and profits.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filing of this Annual Report on Form 10-K, we had no unresolved comments from the staff of the Securities and Exchange Commission that were received not less than 180 days before the end of our 2011 fiscal year.</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principal executive offices are located in Plainsboro, New Jersey. Our principal manufacturing and research facilities are located in California, Massachusetts, New Jersey, Ohio, Pennsylvania, France, Germany, Ireland, Mexico, Puerto Rico and the United Kingdom. Our instrument procurement operations are located in Germany. Our primary distribution centers are located in Nevada, Ohio, Pennsylvania, Australia, Belgium, Canada and France. In addition, we lease several smaller facilities to support additional administrative, assembly, and distribution operations. Third parties own and operate the facilities in Nevada and Belgium. We own our facilities in Biot, France and Andover, United Kingdom, and certain facilities in Ohio and Pennsylvania and we lease all of our other facilities. We also have repair centers in California, Massachusetts, Ohio and Germany.</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manufacturing facilities are registered with the FDA. Our facilities are subject to FDA inspection to ensure compliance with Quality System regulations. Our Plainsboro, New Jersey manufacturing facility was inspected by the FDA during the third quarter of 2011 which resulted in the issuance of FDA Form 483 observations, and we subsequently received a warning letter from the FDA on December 21, 2011 related to that inspection. We have undertaken significant efforts to remediate the observations that the FDA has made since the conclusion of the inspection, and continue to believe that all of our manufacturing facilities are in substantial compliance with Quality System regulations, suitable for their intended purposes and have capacities adequate for current and projected needs for existing products. We are converting or modifying the capacity in some of our plants to meet the current and projected requirements of existing and future products.</w:t>
      </w:r>
    </w:p>
    <w:p>
      <w:pPr>
        <w:spacing w:after="0" w:line="2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these are described below.</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2010, we received a notice from the seller’s representative of the former Theken companies of a disagreement in the calculation of “trade sales” used in calculating a revenue performance payment that we made in November 2009 related to the first performance year that ended September 30, 2009. The notice alleged that we owed an additional $6.7 million and we recorded an accrual of $3.4 million for the settlement at that time. There were no additional amounts due under the unit purchase agreement for the second performance year that ended September 30, 2010. In January 2011, we received a notice from the seller’s representative that the alleged amount owed had been reduced to $5.7 million. In June 2011, the Company and the seller agreed to settle the matter for $4.6 million, which was accrued at that time, and was paid in August 2011.</w:t>
      </w:r>
    </w:p>
    <w:p>
      <w:pPr>
        <w:spacing w:after="0" w:line="12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also have various product liability claims pending against us. During 2011, we settled the most significant of these matters for approximately $4.6 million. This matter was covered by our insurance policies and we had previously recorded a corresponding receivable. Therefore, there is no impact on our consolidated statements of operations.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140" w:right="6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common stock trades on The NASDAQ Global Market under the symbol “IART.” The following table lists the high and low sales prices for our common stock for each quarter for the last two years: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6"/>
              </w:rPr>
              <w:t>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29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$38.80</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$28.07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$49.85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3"/>
          </w:tcPr>
          <w:p>
            <w:pPr>
              <w:jc w:val="center"/>
              <w:ind w:left="2752"/>
              <w:spacing w:after="0"/>
              <w:rPr>
                <w:sz w:val="20"/>
                <w:szCs w:val="20"/>
                <w:color w:val="auto"/>
              </w:rPr>
            </w:pPr>
            <w:r>
              <w:rPr>
                <w:rFonts w:ascii="Arial" w:cs="Arial" w:eastAsia="Arial" w:hAnsi="Arial"/>
                <w:sz w:val="18"/>
                <w:szCs w:val="18"/>
                <w:color w:val="auto"/>
                <w:w w:val="90"/>
              </w:rPr>
              <w:t>$48.26</w:t>
            </w:r>
          </w:p>
        </w:tc>
        <w:tc>
          <w:tcPr>
            <w:tcW w:w="1180" w:type="dxa"/>
            <w:vAlign w:val="bottom"/>
            <w:gridSpan w:val="3"/>
          </w:tcPr>
          <w:p>
            <w:pPr>
              <w:jc w:val="center"/>
              <w:ind w:left="117"/>
              <w:spacing w:after="0"/>
              <w:rPr>
                <w:sz w:val="20"/>
                <w:szCs w:val="20"/>
                <w:color w:val="auto"/>
              </w:rPr>
            </w:pPr>
            <w:r>
              <w:rPr>
                <w:rFonts w:ascii="Arial" w:cs="Arial" w:eastAsia="Arial" w:hAnsi="Arial"/>
                <w:sz w:val="18"/>
                <w:szCs w:val="18"/>
                <w:color w:val="auto"/>
                <w:w w:val="90"/>
              </w:rPr>
              <w:t>$34.92</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$39.93</w:t>
            </w:r>
          </w:p>
        </w:tc>
        <w:tc>
          <w:tcPr>
            <w:tcW w:w="940" w:type="dxa"/>
            <w:vAlign w:val="bottom"/>
            <w:gridSpan w:val="2"/>
          </w:tcPr>
          <w:p>
            <w:pPr>
              <w:jc w:val="center"/>
              <w:ind w:left="357"/>
              <w:spacing w:after="0"/>
              <w:rPr>
                <w:sz w:val="20"/>
                <w:szCs w:val="20"/>
                <w:color w:val="auto"/>
              </w:rPr>
            </w:pPr>
            <w:r>
              <w:rPr>
                <w:rFonts w:ascii="Arial" w:cs="Arial" w:eastAsia="Arial" w:hAnsi="Arial"/>
                <w:sz w:val="18"/>
                <w:szCs w:val="18"/>
                <w:color w:val="auto"/>
                <w:w w:val="90"/>
              </w:rPr>
              <w:t>$33.63</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3"/>
            <w:shd w:val="clear" w:color="auto" w:fill="CCEEFF"/>
          </w:tcPr>
          <w:p>
            <w:pPr>
              <w:jc w:val="center"/>
              <w:ind w:left="2752"/>
              <w:spacing w:after="0"/>
              <w:rPr>
                <w:sz w:val="20"/>
                <w:szCs w:val="20"/>
                <w:color w:val="auto"/>
              </w:rPr>
            </w:pPr>
            <w:r>
              <w:rPr>
                <w:rFonts w:ascii="Arial" w:cs="Arial" w:eastAsia="Arial" w:hAnsi="Arial"/>
                <w:sz w:val="18"/>
                <w:szCs w:val="18"/>
                <w:color w:val="auto"/>
                <w:w w:val="90"/>
              </w:rPr>
              <w:t>$52.90</w:t>
            </w:r>
          </w:p>
        </w:tc>
        <w:tc>
          <w:tcPr>
            <w:tcW w:w="1180" w:type="dxa"/>
            <w:vAlign w:val="bottom"/>
            <w:gridSpan w:val="3"/>
            <w:shd w:val="clear" w:color="auto" w:fill="CCEEFF"/>
          </w:tcPr>
          <w:p>
            <w:pPr>
              <w:jc w:val="center"/>
              <w:ind w:left="117"/>
              <w:spacing w:after="0"/>
              <w:rPr>
                <w:sz w:val="20"/>
                <w:szCs w:val="20"/>
                <w:color w:val="auto"/>
              </w:rPr>
            </w:pPr>
            <w:r>
              <w:rPr>
                <w:rFonts w:ascii="Arial" w:cs="Arial" w:eastAsia="Arial" w:hAnsi="Arial"/>
                <w:sz w:val="18"/>
                <w:szCs w:val="18"/>
                <w:color w:val="auto"/>
                <w:w w:val="90"/>
              </w:rPr>
              <w:t>$45.50</w:t>
            </w:r>
          </w:p>
        </w:tc>
        <w:tc>
          <w:tcPr>
            <w:tcW w:w="8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0"/>
              </w:rPr>
              <w:t>$46.73</w:t>
            </w:r>
          </w:p>
        </w:tc>
        <w:tc>
          <w:tcPr>
            <w:tcW w:w="94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90"/>
              </w:rPr>
              <w:t>$36.81</w:t>
            </w:r>
          </w:p>
        </w:tc>
        <w:tc>
          <w:tcPr>
            <w:tcW w:w="10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3"/>
          </w:tcPr>
          <w:p>
            <w:pPr>
              <w:jc w:val="center"/>
              <w:ind w:left="2752"/>
              <w:spacing w:after="0"/>
              <w:rPr>
                <w:sz w:val="20"/>
                <w:szCs w:val="20"/>
                <w:color w:val="auto"/>
              </w:rPr>
            </w:pPr>
            <w:r>
              <w:rPr>
                <w:rFonts w:ascii="Arial" w:cs="Arial" w:eastAsia="Arial" w:hAnsi="Arial"/>
                <w:sz w:val="18"/>
                <w:szCs w:val="18"/>
                <w:color w:val="auto"/>
                <w:w w:val="90"/>
              </w:rPr>
              <w:t>$51.79</w:t>
            </w:r>
          </w:p>
        </w:tc>
        <w:tc>
          <w:tcPr>
            <w:tcW w:w="1180" w:type="dxa"/>
            <w:vAlign w:val="bottom"/>
            <w:gridSpan w:val="3"/>
          </w:tcPr>
          <w:p>
            <w:pPr>
              <w:jc w:val="center"/>
              <w:ind w:left="117"/>
              <w:spacing w:after="0"/>
              <w:rPr>
                <w:sz w:val="20"/>
                <w:szCs w:val="20"/>
                <w:color w:val="auto"/>
              </w:rPr>
            </w:pPr>
            <w:r>
              <w:rPr>
                <w:rFonts w:ascii="Arial" w:cs="Arial" w:eastAsia="Arial" w:hAnsi="Arial"/>
                <w:sz w:val="18"/>
                <w:szCs w:val="18"/>
                <w:color w:val="auto"/>
                <w:w w:val="90"/>
              </w:rPr>
              <w:t>$44.64</w:t>
            </w:r>
          </w:p>
        </w:tc>
        <w:tc>
          <w:tcPr>
            <w:tcW w:w="82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$44.99</w:t>
            </w:r>
          </w:p>
        </w:tc>
        <w:tc>
          <w:tcPr>
            <w:tcW w:w="940" w:type="dxa"/>
            <w:vAlign w:val="bottom"/>
            <w:gridSpan w:val="2"/>
          </w:tcPr>
          <w:p>
            <w:pPr>
              <w:jc w:val="center"/>
              <w:ind w:left="357"/>
              <w:spacing w:after="0"/>
              <w:rPr>
                <w:sz w:val="20"/>
                <w:szCs w:val="20"/>
                <w:color w:val="auto"/>
              </w:rPr>
            </w:pPr>
            <w:r>
              <w:rPr>
                <w:rFonts w:ascii="Arial" w:cs="Arial" w:eastAsia="Arial" w:hAnsi="Arial"/>
                <w:sz w:val="18"/>
                <w:szCs w:val="18"/>
                <w:color w:val="auto"/>
                <w:w w:val="90"/>
              </w:rPr>
              <w:t>$36.51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Amended and Restated Senior Credit Agreement.” Any future determinations to pay cash dividends on the common stock will be at the discretion of our Board of Directors and will depend upon our results of operations, cash flows, and financial condition and other factors deemed relevant by the Board of Directors.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stockholders of record as of February 21, 2012 was approximately 573, which includes stockholders whose shares were held in nominee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years ended December 31, 2011, 2010 or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2008, our Board of Directors authorized us to repurchase shares of our common stock for an aggregate purchase price not to exceed $75.0 million through December 31, 2010 (the “2008 Authorization”). On October 29, 2010, our Board of Directors terminated the 2008 Authorization and authorized us to repurchase shares of our common stock for an aggregate purchase price not to exceed $75.0 million through December 31, 2012 (the “2010 Authorization”). Shares may be purchased either in the open market or in privately negotiated transactions under both of these authorizations. As of December 31, 2011, there remained $29.1 million available for share repurchases under the 2010 Authorization. In addition to the authorizations above, on June 3, 2011, our Board of Directors separately authorized us to repurchase shares of common stock from the proceeds of the 2016 Notes (as hereinafter defined) in connection with that offering. See Note 6, “Treasury Stock,” in our consolidated financial statements for further details.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repurchases during the year ended December 31, 2011 is as follows (amounts in thousands,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7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7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May Be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Under the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460" w:type="dxa"/>
            <w:vAlign w:val="bottom"/>
            <w:vMerge w:val="restart"/>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1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118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3"/>
              </w:rPr>
              <w:t>Purchased</w:t>
            </w:r>
          </w:p>
        </w:tc>
        <w:tc>
          <w:tcPr>
            <w:tcW w:w="340" w:type="dxa"/>
            <w:vAlign w:val="bottom"/>
          </w:tcPr>
          <w:p>
            <w:pPr>
              <w:spacing w:after="0"/>
              <w:rPr>
                <w:sz w:val="14"/>
                <w:szCs w:val="14"/>
                <w:color w:val="auto"/>
              </w:rPr>
            </w:pPr>
          </w:p>
        </w:tc>
        <w:tc>
          <w:tcPr>
            <w:tcW w:w="16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Paid per Share</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Programs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as of January 1, 2011</w:t>
            </w: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February 1, 2011 to February 28, 2011</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49.84</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2011 to March 31,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June 1, 2011 to June 30, 2011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1,127(1)</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46.79</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2011 to August 31, 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September 1, 2011 to September 30, 2011</w:t>
            </w: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8"/>
                <w:szCs w:val="18"/>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37.22</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2011 to October 31, 2011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7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 June 15, 2011 the Company purchased approximately 0.8 million shares at an average price of $46.70 in connection with the issuance of its 2016 Notes.</w:t>
      </w:r>
    </w:p>
    <w:p>
      <w:pPr>
        <w:spacing w:after="0" w:line="3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center"/>
              <w:ind w:left="397"/>
              <w:spacing w:after="0"/>
              <w:rPr>
                <w:sz w:val="20"/>
                <w:szCs w:val="20"/>
                <w:color w:val="auto"/>
              </w:rPr>
            </w:pPr>
            <w:r>
              <w:rPr>
                <w:rFonts w:ascii="Arial" w:cs="Arial" w:eastAsia="Arial" w:hAnsi="Arial"/>
                <w:sz w:val="14"/>
                <w:szCs w:val="14"/>
                <w:b w:val="1"/>
                <w:bCs w:val="1"/>
                <w:color w:val="auto"/>
                <w:w w:val="86"/>
              </w:rPr>
              <w:t>Years Ended December 31,</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9"/>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revenues, net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780,078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732,068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682,487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654,604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550,459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expenses(1)</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725,166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633,374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584,663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607,193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483,171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54,912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98,694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47,411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67,288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(27,175)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(18,131)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(22,596)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(27,971)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(23,561)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82,114</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(9,192)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65,669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25,749</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share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80" w:type="dxa"/>
            <w:vAlign w:val="bottom"/>
            <w:gridSpan w:val="2"/>
            <w:vMerge w:val="continue"/>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87"/>
              </w:rPr>
              <w:t>Weighted average common shares outstanding for diluted net income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20" w:type="dxa"/>
            <w:vAlign w:val="bottom"/>
          </w:tcPr>
          <w:p>
            <w:pPr>
              <w:jc w:val="right"/>
              <w:ind w:right="312"/>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2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2010</w:t>
            </w:r>
          </w:p>
        </w:tc>
        <w:tc>
          <w:tcPr>
            <w:tcW w:w="128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2009</w:t>
            </w:r>
          </w:p>
        </w:tc>
        <w:tc>
          <w:tcPr>
            <w:tcW w:w="130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2008</w:t>
            </w:r>
          </w:p>
        </w:tc>
        <w:tc>
          <w:tcPr>
            <w:tcW w:w="9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5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Financial Position: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Cash, cash equivalents</w:t>
            </w:r>
          </w:p>
        </w:tc>
        <w:tc>
          <w:tcPr>
            <w:tcW w:w="1340" w:type="dxa"/>
            <w:vAlign w:val="bottom"/>
            <w:gridSpan w:val="2"/>
          </w:tcPr>
          <w:p>
            <w:pPr>
              <w:jc w:val="right"/>
              <w:ind w:right="192"/>
              <w:spacing w:after="0"/>
              <w:rPr>
                <w:sz w:val="20"/>
                <w:szCs w:val="20"/>
                <w:color w:val="auto"/>
              </w:rPr>
            </w:pPr>
            <w:r>
              <w:rPr>
                <w:rFonts w:ascii="Arial" w:cs="Arial" w:eastAsia="Arial" w:hAnsi="Arial"/>
                <w:sz w:val="18"/>
                <w:szCs w:val="18"/>
                <w:color w:val="auto"/>
              </w:rPr>
              <w:t>$  100,808</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  128,763</w:t>
            </w:r>
          </w:p>
        </w:tc>
        <w:tc>
          <w:tcPr>
            <w:tcW w:w="1280" w:type="dxa"/>
            <w:vAlign w:val="bottom"/>
          </w:tcPr>
          <w:p>
            <w:pPr>
              <w:jc w:val="right"/>
              <w:ind w:right="199"/>
              <w:spacing w:after="0"/>
              <w:rPr>
                <w:sz w:val="20"/>
                <w:szCs w:val="20"/>
                <w:color w:val="auto"/>
              </w:rPr>
            </w:pPr>
            <w:r>
              <w:rPr>
                <w:rFonts w:ascii="Arial" w:cs="Arial" w:eastAsia="Arial" w:hAnsi="Arial"/>
                <w:sz w:val="18"/>
                <w:szCs w:val="18"/>
                <w:color w:val="auto"/>
              </w:rPr>
              <w:t>$ 71,891</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  183,546</w:t>
            </w:r>
          </w:p>
        </w:tc>
        <w:tc>
          <w:tcPr>
            <w:tcW w:w="920" w:type="dxa"/>
            <w:vAlign w:val="bottom"/>
          </w:tcPr>
          <w:p>
            <w:pPr>
              <w:jc w:val="right"/>
              <w:spacing w:after="0"/>
              <w:rPr>
                <w:sz w:val="20"/>
                <w:szCs w:val="20"/>
                <w:color w:val="auto"/>
              </w:rPr>
            </w:pPr>
            <w:r>
              <w:rPr>
                <w:rFonts w:ascii="Arial" w:cs="Arial" w:eastAsia="Arial" w:hAnsi="Arial"/>
                <w:sz w:val="18"/>
                <w:szCs w:val="18"/>
                <w:color w:val="auto"/>
              </w:rPr>
              <w:t>$ 57,339</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1,144,109</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1,017,308</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940,102</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1,026,014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819,788</w:t>
            </w:r>
          </w:p>
        </w:tc>
        <w:tc>
          <w:tcPr>
            <w:tcW w:w="100" w:type="dxa"/>
            <w:vAlign w:val="bottom"/>
            <w:shd w:val="clear" w:color="auto" w:fill="CCEEFF"/>
          </w:tcPr>
          <w:p>
            <w:pPr>
              <w:spacing w:after="0"/>
              <w:rPr>
                <w:sz w:val="18"/>
                <w:szCs w:val="18"/>
                <w:color w:val="auto"/>
              </w:rPr>
            </w:pP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w w:val="95"/>
              </w:rPr>
              <w:t>Long-term borrowings under the revolving portion of the senior credit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40" w:type="dxa"/>
            <w:vAlign w:val="bottom"/>
          </w:tcPr>
          <w:p>
            <w:pPr>
              <w:ind w:left="220"/>
              <w:spacing w:after="0"/>
              <w:rPr>
                <w:sz w:val="20"/>
                <w:szCs w:val="20"/>
                <w:color w:val="auto"/>
              </w:rPr>
            </w:pPr>
            <w:r>
              <w:rPr>
                <w:rFonts w:ascii="Arial" w:cs="Arial" w:eastAsia="Arial" w:hAnsi="Arial"/>
                <w:sz w:val="18"/>
                <w:szCs w:val="18"/>
                <w:color w:val="auto"/>
              </w:rPr>
              <w:t>facility(2)</w:t>
            </w:r>
          </w:p>
        </w:tc>
        <w:tc>
          <w:tcPr>
            <w:tcW w:w="1340" w:type="dxa"/>
            <w:vAlign w:val="bottom"/>
            <w:gridSpan w:val="2"/>
          </w:tcPr>
          <w:p>
            <w:pPr>
              <w:jc w:val="right"/>
              <w:ind w:right="192"/>
              <w:spacing w:after="0"/>
              <w:rPr>
                <w:sz w:val="20"/>
                <w:szCs w:val="20"/>
                <w:color w:val="auto"/>
              </w:rPr>
            </w:pPr>
            <w:r>
              <w:rPr>
                <w:rFonts w:ascii="Arial" w:cs="Arial" w:eastAsia="Arial" w:hAnsi="Arial"/>
                <w:sz w:val="18"/>
                <w:szCs w:val="18"/>
                <w:color w:val="auto"/>
              </w:rPr>
              <w:t>179,688</w:t>
            </w:r>
          </w:p>
        </w:tc>
        <w:tc>
          <w:tcPr>
            <w:tcW w:w="124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9"/>
              <w:spacing w:after="0"/>
              <w:rPr>
                <w:sz w:val="20"/>
                <w:szCs w:val="20"/>
                <w:color w:val="auto"/>
              </w:rPr>
            </w:pPr>
            <w:r>
              <w:rPr>
                <w:rFonts w:ascii="Arial" w:cs="Arial" w:eastAsia="Arial" w:hAnsi="Arial"/>
                <w:sz w:val="18"/>
                <w:szCs w:val="18"/>
                <w:color w:val="auto"/>
              </w:rPr>
              <w:t>160,000</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160,000</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debt(3)</w:t>
            </w:r>
          </w:p>
        </w:tc>
        <w:tc>
          <w:tcPr>
            <w:tcW w:w="13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352,576</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294,842</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148,754</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299,480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286,742</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192"/>
              <w:spacing w:after="0"/>
              <w:rPr>
                <w:sz w:val="20"/>
                <w:szCs w:val="20"/>
                <w:color w:val="auto"/>
              </w:rPr>
            </w:pPr>
            <w:r>
              <w:rPr>
                <w:rFonts w:ascii="Arial" w:cs="Arial" w:eastAsia="Arial" w:hAnsi="Arial"/>
                <w:sz w:val="18"/>
                <w:szCs w:val="18"/>
                <w:color w:val="auto"/>
              </w:rPr>
              <w:t>260,819</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232,830</w:t>
            </w:r>
          </w:p>
        </w:tc>
        <w:tc>
          <w:tcPr>
            <w:tcW w:w="1280" w:type="dxa"/>
            <w:vAlign w:val="bottom"/>
          </w:tcPr>
          <w:p>
            <w:pPr>
              <w:jc w:val="right"/>
              <w:ind w:right="199"/>
              <w:spacing w:after="0"/>
              <w:rPr>
                <w:sz w:val="20"/>
                <w:szCs w:val="20"/>
                <w:color w:val="auto"/>
              </w:rPr>
            </w:pPr>
            <w:r>
              <w:rPr>
                <w:rFonts w:ascii="Arial" w:cs="Arial" w:eastAsia="Arial" w:hAnsi="Arial"/>
                <w:sz w:val="18"/>
                <w:szCs w:val="18"/>
                <w:color w:val="auto"/>
              </w:rPr>
              <w:t>167,161</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116,206</w:t>
            </w:r>
          </w:p>
        </w:tc>
        <w:tc>
          <w:tcPr>
            <w:tcW w:w="920" w:type="dxa"/>
            <w:vAlign w:val="bottom"/>
          </w:tcPr>
          <w:p>
            <w:pPr>
              <w:jc w:val="right"/>
              <w:spacing w:after="0"/>
              <w:rPr>
                <w:sz w:val="20"/>
                <w:szCs w:val="20"/>
                <w:color w:val="auto"/>
              </w:rPr>
            </w:pPr>
            <w:r>
              <w:rPr>
                <w:rFonts w:ascii="Arial" w:cs="Arial" w:eastAsia="Arial" w:hAnsi="Arial"/>
                <w:sz w:val="18"/>
                <w:szCs w:val="18"/>
                <w:color w:val="auto"/>
              </w:rPr>
              <w:t>89,368</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492,638</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499,963</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444,885</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372,309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287,594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8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2008, we recorded an in-process research and development charge of $25.2 million in connection with the Integra Spine (as hereinafter defined) acquisition and, we also recorded an $18.0 million stock-based compensation charge related to restricted stock units that were vested on the date of grant. In 2009 and 2007 we recorded similar in-process research and development charges of $0.3 million for the Innovative Spinal Technologies, Inc. acquisition, and $4.6 million for the IsoTis, Inc. acquisition, respectively. In 2011, we recorded a total of $13.3 million in stock-based compensation charges related to our former chief executive officer’s employment agreement extension, accelerated vesting of his outstanding shares upon the appointment of the new chief executive officer, and his minimum annual stock-based compensation award which was fully vested on the date of grant.</w:t>
      </w:r>
    </w:p>
    <w:p>
      <w:pPr>
        <w:spacing w:after="0" w:line="1"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2011, 2009 and 2008 we classified $179.7 million, $160.0 million and $160.0 million, respectively, of the revolving portion of our senior credit facility borrowings as long-term debt based on our current intent and ability to repay the borrowings outside of the following twelve-month periods. In 2010 we converted $150.0 million of our revolving loan balance to a term loan as part of our amended and restated senior credit facility that is due at various dates through August 2015. At December 31, 2011, we have a total of $179.7 million outstanding on our senior credit facility and $420.3 million available for future borrowings.</w:t>
      </w:r>
    </w:p>
    <w:p>
      <w:pPr>
        <w:spacing w:after="0" w:line="2"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2003, we issued $120.0 million of 2.5% contingent convertible subordinated notes due 2008. In March 2008, these notes matured and we repaid the principal amount in cash and issued approximately 768,000 shares of our common stock.</w:t>
      </w:r>
    </w:p>
    <w:p>
      <w:pPr>
        <w:spacing w:after="0" w:line="56" w:lineRule="exact"/>
        <w:rPr>
          <w:rFonts w:ascii="Arial" w:cs="Arial" w:eastAsia="Arial" w:hAnsi="Arial"/>
          <w:sz w:val="18"/>
          <w:szCs w:val="18"/>
          <w:color w:val="auto"/>
        </w:rPr>
      </w:pPr>
    </w:p>
    <w:p>
      <w:pPr>
        <w:ind w:left="460" w:right="180"/>
        <w:spacing w:after="0" w:line="256" w:lineRule="auto"/>
        <w:rPr>
          <w:rFonts w:ascii="Arial" w:cs="Arial" w:eastAsia="Arial" w:hAnsi="Arial"/>
          <w:sz w:val="18"/>
          <w:szCs w:val="18"/>
          <w:color w:val="auto"/>
        </w:rPr>
      </w:pPr>
      <w:r>
        <w:rPr>
          <w:rFonts w:ascii="Arial" w:cs="Arial" w:eastAsia="Arial" w:hAnsi="Arial"/>
          <w:sz w:val="18"/>
          <w:szCs w:val="18"/>
          <w:color w:val="auto"/>
        </w:rPr>
        <w:t>In 2007, we issued $165.0 million of 2.75% senior convertible notes due 2010 (the “2010 Notes”) and $165.0 million of 2.375% senior convertible notes due 2012 (the “2012 Notes”). The 2010 Notes were paid off in June 2010 in accordance with their terms. We expect to satisfy any conversion of the 2012 Notes with cash up to their principal amount pursuant to the net share settlement mechanism set forth in the indenture and, with respect to any excess conversion value, with shares of our common stock.</w:t>
      </w:r>
    </w:p>
    <w:p>
      <w:pPr>
        <w:spacing w:after="0" w:line="62" w:lineRule="exact"/>
        <w:rPr>
          <w:rFonts w:ascii="Arial" w:cs="Arial" w:eastAsia="Arial" w:hAnsi="Arial"/>
          <w:sz w:val="18"/>
          <w:szCs w:val="18"/>
          <w:color w:val="auto"/>
        </w:rPr>
      </w:pPr>
    </w:p>
    <w:p>
      <w:pPr>
        <w:ind w:left="460" w:right="360"/>
        <w:spacing w:after="0" w:line="259" w:lineRule="auto"/>
        <w:rPr>
          <w:rFonts w:ascii="Arial" w:cs="Arial" w:eastAsia="Arial" w:hAnsi="Arial"/>
          <w:sz w:val="18"/>
          <w:szCs w:val="18"/>
          <w:color w:val="auto"/>
        </w:rPr>
      </w:pPr>
      <w:r>
        <w:rPr>
          <w:rFonts w:ascii="Arial" w:cs="Arial" w:eastAsia="Arial" w:hAnsi="Arial"/>
          <w:sz w:val="18"/>
          <w:szCs w:val="18"/>
          <w:color w:val="auto"/>
        </w:rPr>
        <w:t>In 2011, we issued $230.0 million of 1.625% convertible senior notes due in 2016 (the “2016 Notes”). We expect to satisfy any conversion of the 2016 Notes with cash up to their principal amount pursuant to the net share settlement mechanism set forth in the indenture and, with respect to any excess conversion value, with shares of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Integra is a world leader in medical devices focused on limiting uncertainty for surgeons so they can concentrate on providing the best patient care.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07"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We present revenues in three product categories: Orthopedics, Neurosurgery and Instruments. Our orthopedics products group includes specialty metal implants for surgery of the extremities and spine, orthobiologics products for repair and grafting of bone, dermal regeneration products and tissue-engineered wound dressings and nerve and tendon repair products. Our neurosurgery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instruments products group includes a wide range of specialty and general surgical and dental instruments and surgical lighting for sale to hospitals, outpatient surgery centers, and physician, veterinarian and dental practices.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manage these product groups and distribution channels on a centralized basis, and accordingly, we report our financial results under a single operating segment — the development, manufacturing, and marketing of medical devices.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and specialty metal implants through specialized third-party vendors.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the United States, we have several sales channels. Orthopedics products are sold through a large direct sales organization and through specialty distributors focused on their respective surgical specialties. Neurosurgery products are sold through directly employed sales representatives. Instruments products are sold through two sales channels, both directly and through distributors and wholesalers, depending on the customer call point.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market certain products through strategic partners.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objective is to become a diversified global medical device company that helps patients by limiting uncertainty for medical professionals, and become a high quality investment for shareholders. We will achieve these goals by delivering on our Brand Promises to our customers worldwide and by becoming a top player in all markets in which we compete. Our strategy includes the following key elements: geographic expansion, margin expansion, leveraging platform synergies, disciplined focus and execution, global quality assurance and acquiring or in-licensing products that fit existing sales channels.</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aim to achieve this growth in revenues while maintaining strong financial results. While we pay attention to any meaningful trend in our financial results, we pay particular attention to measurements that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indicative of long-term profitable growth. These measurements include (1) revenue growth (derived through acquisitions and products developed internally),</w:t>
      </w:r>
    </w:p>
    <w:p>
      <w:pPr>
        <w:spacing w:after="0" w:line="38" w:lineRule="exact"/>
        <w:rPr>
          <w:sz w:val="20"/>
          <w:szCs w:val="20"/>
          <w:color w:val="auto"/>
        </w:rPr>
      </w:pPr>
    </w:p>
    <w:p>
      <w:pPr>
        <w:ind w:right="24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90"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Regenerative Medicine Platform. </w:t>
      </w:r>
      <w:r>
        <w:rPr>
          <w:rFonts w:ascii="Arial" w:cs="Arial" w:eastAsia="Arial" w:hAnsi="Arial"/>
          <w:sz w:val="18"/>
          <w:szCs w:val="18"/>
          <w:color w:val="auto"/>
        </w:rPr>
        <w:t>We have developed numerous product lines through our proprietary collagen matrix and demineralized bone matrix</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every one of our sales channels.</w:t>
      </w:r>
    </w:p>
    <w:p>
      <w:pPr>
        <w:spacing w:after="0" w:line="50" w:lineRule="exact"/>
        <w:rPr>
          <w:rFonts w:ascii="Arial" w:cs="Arial" w:eastAsia="Arial" w:hAnsi="Arial"/>
          <w:sz w:val="18"/>
          <w:szCs w:val="18"/>
          <w:color w:val="auto"/>
        </w:rPr>
      </w:pPr>
    </w:p>
    <w:p>
      <w:pPr>
        <w:ind w:left="900" w:right="6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Diversification and Platform Synergies. </w:t>
      </w:r>
      <w:r>
        <w:rPr>
          <w:rFonts w:ascii="Arial" w:cs="Arial" w:eastAsia="Arial" w:hAnsi="Arial"/>
          <w:sz w:val="16"/>
          <w:szCs w:val="16"/>
          <w:color w:val="auto"/>
        </w:rPr>
        <w:t>Each of our three selling platforms contributes a different strength to our core business. Orthopedics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us to grow our top line and increase marginal gross profit. Neurosurgery provides stable growth as a market with few elective procedures. Instruments has a strong capacity to generate cash flows. We have unique synergies among these platforms, such as our regenerative medicine technology, instrument sourcing capabilities, and Group Purchasing Organization (“GPO”) contract management.</w:t>
      </w:r>
    </w:p>
    <w:p>
      <w:pPr>
        <w:spacing w:after="0" w:line="31"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Unique Sales Footprint. </w:t>
      </w:r>
      <w:r>
        <w:rPr>
          <w:rFonts w:ascii="Arial" w:cs="Arial" w:eastAsia="Arial" w:hAnsi="Arial"/>
          <w:sz w:val="18"/>
          <w:szCs w:val="18"/>
          <w:color w:val="auto"/>
        </w:rPr>
        <w:t>Our sales footprint provides us with a unique set of customer call-points and synergies. Each of our sales channels can</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from the GPO and Integrated Delivery Network (“IDN”) relationships that our Instruments group manages. We have market leading products among neurosurgeons, many of whom also perform spine surgeries, and we have yet to fully leverage those relationships to sell our spine products. We also have clinical expertise across all of our channels in the United States, and have an opportunity to expand and leverage this expertise in markets worldwide.</w:t>
      </w:r>
    </w:p>
    <w:p>
      <w:pPr>
        <w:spacing w:after="0" w:line="61"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truly what enables us to adapt and reinvent ourself. We have demonstrated that we can quickly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profitably integrate new products and businesses. This core strength has made it possible for us to double our size over the years, and is key to our ability to grow into a multi-billion dollar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strategy for growing our business includes the acquisition of complementary product lines and companies. Our recent acquisitions of businesses, assets and product lines may make our financial results for the year ended December 31, 2011 not directly comparable to those of the corresponding prior-year periods. See Note 3, “Acquisitions,” to our consolidated financial statements for a further discussion.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January 2009 through December 2011, we have acquired the following businesses, assets and product lines:</w:t>
      </w:r>
    </w:p>
    <w:p>
      <w:pPr>
        <w:spacing w:after="0" w:line="90" w:lineRule="exact"/>
        <w:rPr>
          <w:sz w:val="20"/>
          <w:szCs w:val="20"/>
          <w:color w:val="auto"/>
        </w:rPr>
      </w:pPr>
    </w:p>
    <w:p>
      <w:pPr>
        <w:jc w:val="both"/>
        <w:ind w:left="460" w:right="260" w:firstLine="438"/>
        <w:spacing w:after="0" w:line="306" w:lineRule="auto"/>
        <w:rPr>
          <w:sz w:val="20"/>
          <w:szCs w:val="20"/>
          <w:color w:val="auto"/>
        </w:rPr>
      </w:pPr>
      <w:r>
        <w:rPr>
          <w:rFonts w:ascii="Arial" w:cs="Arial" w:eastAsia="Arial" w:hAnsi="Arial"/>
          <w:sz w:val="16"/>
          <w:szCs w:val="16"/>
          <w:color w:val="auto"/>
        </w:rPr>
        <w:t>In September 2011, we acquired Ascension Orthopedics, Inc. (“Ascension”) for $66.5 million, subject to working capital adjustments. Ascension, based in Austin, Texas, develops and distributes a range of implants for the shoulder, elbow, wrist, hand, foot and ankle. In particular, Ascension adds a significant number of new and differentiated products to our extremities portfolio and access to the shoulder market.</w:t>
      </w:r>
    </w:p>
    <w:p>
      <w:pPr>
        <w:spacing w:after="0" w:line="26"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In May 2011, we acquired SeaSpine, Inc. (“SeaSpine”) for approximately $89.0 million, subject to working capital adjustments. SeaSpine, based in Vista, California, offers spinal fusion products to customers across the U.S. and in select markets in Europe. The addition of the SeaSpine business effectively doubled our distribution footprint and customer base in the U.S. spine hardware market.</w:t>
      </w:r>
    </w:p>
    <w:p>
      <w:pPr>
        <w:spacing w:after="0" w:line="59" w:lineRule="exact"/>
        <w:rPr>
          <w:sz w:val="20"/>
          <w:szCs w:val="20"/>
          <w:color w:val="auto"/>
        </w:rPr>
      </w:pPr>
    </w:p>
    <w:p>
      <w:pPr>
        <w:jc w:val="both"/>
        <w:ind w:left="460" w:right="440" w:firstLine="438"/>
        <w:spacing w:after="0" w:line="306" w:lineRule="auto"/>
        <w:rPr>
          <w:sz w:val="20"/>
          <w:szCs w:val="20"/>
          <w:color w:val="auto"/>
        </w:rPr>
      </w:pPr>
      <w:r>
        <w:rPr>
          <w:rFonts w:ascii="Arial" w:cs="Arial" w:eastAsia="Arial" w:hAnsi="Arial"/>
          <w:sz w:val="16"/>
          <w:szCs w:val="16"/>
          <w:color w:val="auto"/>
        </w:rPr>
        <w:t>In September 2010, we acquired certain assets as well as the distribution rights for our extremity reconstruction product lines in Australia from Culley Investments Pty. Ltd. (“Culley”) for approximately $1.6 million (1.7 million Australian dollars) in cash. For eight years, Culley had been our distributor of these products in Australia. The acquisition provides us with the ability to sell orthopedic products directly to our Australian customers.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May 2010, we acquired certain assets and liabilities of the surgical headlight business of Welch Allyn, Inc. (“Welch”) for approximately</w:t>
      </w:r>
    </w:p>
    <w:p>
      <w:pPr>
        <w:spacing w:after="0" w:line="38"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$2.4 million in cash and $0.2 million of working capital adjustments. We believe that the assets acquired will further our goal of expanding our reach into the surgical headlight market.</w:t>
      </w:r>
    </w:p>
    <w:p>
      <w:pPr>
        <w:spacing w:after="0" w:line="57"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In December 2009, we acquired certain assets as well as the distribution rights for our Newdeal</w:t>
      </w:r>
      <w:r>
        <w:rPr>
          <w:rFonts w:ascii="Arial" w:cs="Arial" w:eastAsia="Arial" w:hAnsi="Arial"/>
          <w:sz w:val="10"/>
          <w:szCs w:val="10"/>
          <w:color w:val="auto"/>
        </w:rPr>
        <w:t>®</w:t>
      </w:r>
      <w:r>
        <w:rPr>
          <w:rFonts w:ascii="Arial" w:cs="Arial" w:eastAsia="Arial" w:hAnsi="Arial"/>
          <w:sz w:val="16"/>
          <w:szCs w:val="16"/>
          <w:color w:val="auto"/>
        </w:rPr>
        <w:t xml:space="preserve"> product lines in the United Kingdom from Athrodax Healthcare International Ltd. (“Athrodax”), for approximately $3.3 million (2.0 million British Pounds) in cash, subject to certain working capital adjustments. For the previous 10 years Athrodax had been our distributor of extremity reconstruction products in the United Kingdom. The acquisition provides us with the opportunity to become closer to our United Kingdom customers and includes an experienced sales team in the foot and ankle surgery market that had successfully developed our brand in the United Kingdom.</w:t>
      </w:r>
    </w:p>
    <w:p>
      <w:pPr>
        <w:spacing w:after="0" w:line="35"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In August 2009, we acquired certain assets and liabilities of Innovative Spinal Technologies, Inc. (“IST”) for approximately $9.3 million in cash and $0.2 million in acquisition expenses. IST had filed for Chapter 7 bankruptcy protection in May 2009 and the acquisition resulted from an auction process that the bankruptcy trustee conducted and that a United States Bankruptcy Judge for the District of Massachusetts approved. IST’s focus was on spinal implant products related to minimally invasive surgery and motion preservation techniques. We acquired three product lines, various product development assets for posterior dynamic stabilization, various patents and trademarks, inventory, and we assumed certain of IST’s patent license agreements and related obligations. The assets and liabilities acquired did not meet the definition of a business under the authoritative guidance for business combinations. Accordingly, we recognized the assets and liabilities at cost and charged the acquired in-process research and development immediately to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CONSOLIDATION, MANUFACTURING AND DISTRIBUTION TRANSFER ACTIVITIES</w:t>
      </w:r>
    </w:p>
    <w:p>
      <w:pPr>
        <w:spacing w:after="0" w:line="96"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As a result of our ongoing acquisition strategy and significant growth in recent years, we have undertaken cost-saving initiatives to consolidate manufacturing and distribution facilities and activities, implement a global enterprise resource planning system, eliminate duplicative positions, and realign various sales and marketing activities, and to expand and upgrade production capacity for our regenerative medicine products.</w:t>
      </w:r>
    </w:p>
    <w:p>
      <w:pPr>
        <w:spacing w:after="0" w:line="10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While we expect a positive impact from ongoing restructuring, integration and manufacturing transfer and expansion activities, such results remain uncertain.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CHANGES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20, 2011, the Company’s Board of Directors approved the following changes effective January 3, 2012: (i) Peter Arduini would be promoted from the role of President and Chief Operating Officer to the role of President and Chief Executive Officer, and was appointed to a newly created seat on the Board of Directors, (ii) Stuart Essig would be appointed Executive Chairman of the Board of Directors, and (iii) Richard Caruso, the former Chairman of the Board of Directors, would remain as a director of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Net income in 2011 was $28.0 million, or $0.95 per diluted share, as compared to $65.7 million, or $2.17 per diluted share in 2010, and $51.0 million, or $1.74 per diluted share in 2009.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center"/>
              <w:ind w:left="294"/>
              <w:spacing w:after="0"/>
              <w:rPr>
                <w:sz w:val="20"/>
                <w:szCs w:val="20"/>
                <w:color w:val="auto"/>
              </w:rPr>
            </w:pPr>
            <w:r>
              <w:rPr>
                <w:rFonts w:ascii="Arial" w:cs="Arial" w:eastAsia="Arial" w:hAnsi="Arial"/>
                <w:sz w:val="14"/>
                <w:szCs w:val="14"/>
                <w:b w:val="1"/>
                <w:bCs w:val="1"/>
                <w:color w:val="auto"/>
                <w:w w:val="86"/>
              </w:rPr>
              <w:t>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4"/>
          </w:tcPr>
          <w:p>
            <w:pPr>
              <w:jc w:val="center"/>
              <w:ind w:left="5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Acquisition-related charges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5,253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2,509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Certain employee termination and related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Intangible asset impairment charges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associated with discontinued product lines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Systems implementation charges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17,068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consolidation, acquisition integration, manufacturing and distribution transfer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Charges related to restructuring our European entities (1)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Charges related to the accelerated vesting of stock-based compensation and the minimum annual stock-based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 award for our former Chief Executive Officer</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Charges related to extending our former Chief Executive Officer’s employment contract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related to the refinancing of our senior credit facility</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Expenses related to our Chief Executive Officer joining the Company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Expenses associated with remediation and related unplanned idle time and underutilization at our Plainsboro, New</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Jersey manufacturing facility</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Non-cash amortization of imputed interest for convertible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Incremental professional and bank fees related to the possibility of obtaining a waiver under our revolving credit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facility</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 (gain) and related 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Gain related to early extinguishment of convertible notes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65,466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21,149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foreign exchange loss in 2009 of $1.9 million is associated with our intercompany loan set up in connection with the restructuring of a German subsidiary in the fourth quarter of 2008. Net income for 2011, 2010 and 2009 includes foreign exchange gains and losses associated with intercompany loans not related to any restructuring.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consolidated statements of operations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2010</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80" w:type="dxa"/>
            <w:vAlign w:val="bottom"/>
            <w:gridSpan w:val="3"/>
          </w:tcPr>
          <w:p>
            <w:pPr>
              <w:jc w:val="right"/>
              <w:ind w:right="40"/>
              <w:spacing w:after="0"/>
              <w:rPr>
                <w:sz w:val="20"/>
                <w:szCs w:val="20"/>
                <w:color w:val="auto"/>
              </w:rPr>
            </w:pPr>
            <w:r>
              <w:rPr>
                <w:rFonts w:ascii="Arial" w:cs="Arial" w:eastAsia="Arial" w:hAnsi="Arial"/>
                <w:sz w:val="18"/>
                <w:szCs w:val="18"/>
                <w:color w:val="auto"/>
              </w:rPr>
              <w:t>669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37,420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3680" w:type="dxa"/>
            <w:vAlign w:val="bottom"/>
            <w:gridSpan w:val="3"/>
          </w:tcPr>
          <w:p>
            <w:pPr>
              <w:jc w:val="right"/>
              <w:ind w:right="40"/>
              <w:spacing w:after="0"/>
              <w:rPr>
                <w:sz w:val="20"/>
                <w:szCs w:val="20"/>
                <w:color w:val="auto"/>
              </w:rPr>
            </w:pPr>
            <w:r>
              <w:rPr>
                <w:rFonts w:ascii="Arial" w:cs="Arial" w:eastAsia="Arial" w:hAnsi="Arial"/>
                <w:sz w:val="18"/>
                <w:szCs w:val="18"/>
                <w:color w:val="auto"/>
              </w:rPr>
              <w:t>2,648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11,311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60" w:type="dxa"/>
            <w:vAlign w:val="bottom"/>
          </w:tcPr>
          <w:p>
            <w:pPr>
              <w:spacing w:after="0"/>
              <w:rPr>
                <w:sz w:val="19"/>
                <w:szCs w:val="19"/>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65,466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21,149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60" w:type="dxa"/>
            <w:vAlign w:val="bottom"/>
            <w:vMerge w:val="restart"/>
          </w:tcPr>
          <w:p>
            <w:pPr>
              <w:jc w:val="right"/>
              <w:ind w:right="1672"/>
              <w:spacing w:after="0"/>
              <w:rPr>
                <w:sz w:val="20"/>
                <w:szCs w:val="20"/>
                <w:color w:val="auto"/>
              </w:rPr>
            </w:pPr>
            <w:r>
              <w:rPr>
                <w:rFonts w:ascii="Arial" w:cs="Arial" w:eastAsia="Arial" w:hAnsi="Arial"/>
                <w:sz w:val="18"/>
                <w:szCs w:val="18"/>
                <w:color w:val="auto"/>
              </w:rPr>
              <w:t>38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period-to-period, depending upon our acquisition, integration and restructuring activities, and for which the amounts are non-cash in nature, or for which the amounts are not expected to recur at the same magnitude as we implement certain tax planning strategies.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system. Once the project reaches the application development stage, we will begin to capitalize the related expenditures.</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established by management,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 and Gross Margin</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6"/>
              </w:rPr>
              <w:t>Years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418"/>
              <w:spacing w:after="0" w:line="142" w:lineRule="exact"/>
              <w:rPr>
                <w:sz w:val="20"/>
                <w:szCs w:val="20"/>
                <w:color w:val="auto"/>
              </w:rPr>
            </w:pPr>
            <w:r>
              <w:rPr>
                <w:rFonts w:ascii="Arial" w:cs="Arial" w:eastAsia="Arial" w:hAnsi="Arial"/>
                <w:sz w:val="14"/>
                <w:szCs w:val="14"/>
                <w:b w:val="1"/>
                <w:bCs w:val="1"/>
                <w:color w:val="auto"/>
                <w:w w:val="89"/>
              </w:rPr>
              <w:t>2010</w:t>
            </w: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$328,782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$290,050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$262,170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Neurosurgery</w:t>
            </w:r>
          </w:p>
        </w:tc>
        <w:tc>
          <w:tcPr>
            <w:tcW w:w="2380" w:type="dxa"/>
            <w:vAlign w:val="bottom"/>
            <w:gridSpan w:val="3"/>
          </w:tcPr>
          <w:p>
            <w:pPr>
              <w:jc w:val="right"/>
              <w:ind w:right="200"/>
              <w:spacing w:after="0"/>
              <w:rPr>
                <w:sz w:val="20"/>
                <w:szCs w:val="20"/>
                <w:color w:val="auto"/>
              </w:rPr>
            </w:pPr>
            <w:r>
              <w:rPr>
                <w:rFonts w:ascii="Arial" w:cs="Arial" w:eastAsia="Arial" w:hAnsi="Arial"/>
                <w:sz w:val="18"/>
                <w:szCs w:val="18"/>
                <w:color w:val="auto"/>
              </w:rPr>
              <w:t>285,341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275,046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256,544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165,955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166,972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780,078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732,068</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682,487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299,150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268,188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480,928</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463,880</w:t>
            </w:r>
          </w:p>
        </w:tc>
        <w:tc>
          <w:tcPr>
            <w:tcW w:w="7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437,569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revenues</w:t>
            </w:r>
          </w:p>
        </w:tc>
        <w:tc>
          <w:tcPr>
            <w:tcW w:w="2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61.7%</w:t>
            </w: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total revenues increased by $48.0 million or 7%, to $780.1 million from $732.1 million during the prior-year.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Domestic revenues increased by 6% to $593.0 million and were 76% of total revenues for the year ended December 31, 2011. International revenues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$16.2 million to $187.0 million, an increase of 9% compared to 2010. Foreign exchange fluctuations, arising primarily from a stronger euro during the second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quarters of 2011 and a stronger Australian dollar throughout the year compared to the U.S. dollar than in 2010, accounted for a net $7.9 million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year ended December 31, 2011. On a constant currency basis, our overall revenues increased 5.5% compared to 2010.</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Orthopedics revenues were $328.8 million, an increase of 13% over the prior-year period. The impact of our acquisitions of SeaSpine and Ascension drove most of this increase in revenue, and sales of engineered regenerative medicine products for skin and wound repair and orthobiologics products also increased over the full year 2010. However, the overall spine market is experiencing reductions in both the average selling price of products, and procedure volumes. These trends may put pressure on spine revenues in the future. Additionally, the remediation work in our Plainsboro, New Jersey facility (discussed further below) has resulted in shortages of our regenerative medicine products because the part of the plant that manufactures these products has been out of production longer than initially anticipated. We expect to resume production at normal levels in the first quarter of 2012, complete the remediation work in the first half of 2012, and resolve shortages of dermal wound products in the second quarter of 2012. Our extremity reconstruction business, especially foot and ankle products, grew more slowly in 2011 than in recent years. Forefoot procedures in particular tend to be elective in nature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sensitive to local economic conditions. Furthermore, our sales force has been devoting significant attention to learning the Ascension product lines and customer base, which is something we expect will continue through the first quarter of 2012, but will be resolved in the second quarter of 2012. Finally, we have seen a decrease in our private-label product revenue as the sales volume of the underlying products by our strategic partners has declined. This decline also has resulted in decreased royalty revenues.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Neurosurgery revenues were $285.3 million, an increase of 4% over the prior-year period, resulting primarily from increases in sales of neuromonitoring devices used in the critical care setting, ultrasonic tissue ablation systems, duraplasty products, and instrumentation. Neurosurgery revenues also benefited from changes in exchange rates during the year. During 2010, we had higher than normal sales levels in neurosurgery as the rebound from the early stages of the global economic slowdown in 2009 was realized. The strong comparable from 2010 muted some of the 2011 increases in revenues.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Instruments revenues were $166.0 million, a 1% decrease from the prior-year period. Strong sales growth in surgical lighting was offset by weakness in both hospital and alternate site instruments. In the alternate site channel, our largest distributors purchased fewer instruments in the fourth quarter in order to reduce their inventories at year-end. That said, our distributors are selling our instruments to their final customers at consistent levels and as a result, we believe that we are not losing market share and that normal buying patterns will return during the first half of 2012 once our distributors attain their desired inventory levels. On the acute care side of the category, new ambulatory surgery centers and hospital starts during 2011 had a smaller impact when compared to 2010.</w:t>
      </w:r>
    </w:p>
    <w:p>
      <w:pPr>
        <w:spacing w:after="0" w:line="10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2010, total revenues increased by $49.6 million or 7%, to $732.1 million from $682.5 million during 2009. Foreign exchange fluctuations, arising primarily from a weaker euro and a stronger Australian dollar compared to the U.S. dollar than in 2009, accounted for a net unfavorable effect of $0.7 million on 2010 revenues. Orthopedics revenues were $290.1 million in 2010, an increase of 11% over 2009. Our extremities reconstruction products led the dollar growth in this category, followed by our private-label products. Most of the increase in extremities products came from sales of regenerative medicine products for skin and wound repair and from metal implants for the forefoot, mid- and hindfoot. Sales of metal spinal implants were up only slightly compared to 2009 as we were facing new competition, particularly from physician-owned distributorships. Neurosurgery revenues were $275.0 million in 2010, an increase of 7% over 2009. Sales of ultrasonic tissue ablation products led the growth in neurosurgery, followed by stereotaxy and cranial stabilization systems, since capital spending at hospitals improved over 2009 we recognized pent-up demand. Sales of implants, including duraplasty products and shunts, grew more slowly than the capital equipment products. Instruments revenues were $167.0 million for 2010, an increase of 2% over 2009. This growth principally came from increases in hospital-based instrument sales and surgical lighting systems, while sales to physician, dental, and veterinary offices lagged.</w:t>
      </w:r>
    </w:p>
    <w:p>
      <w:pPr>
        <w:spacing w:after="0" w:line="12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With our global reach, we generate revenues in multiple foreign currencies, including euros, British pounds, Swiss francs, Canadian dollars, Japanese yen and Australian dollars. Accordingly, we will experience currency exchange risk with respect to those foreign currency denominated revenues.</w:t>
      </w:r>
    </w:p>
    <w:p>
      <w:pPr>
        <w:spacing w:after="0" w:line="85"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Gross margin as a percentage of revenues was 61.7% in 2011, 63.4% in 2010, and 64.1% in 2009. Cost of product revenues in 2011, 2010, and 2009 included $3.3 million, $1.8 million, and $4.6 million, respectively, in fair value inventory purchase accounting adjustments recorded in connection with acquisitions, and $8.2 million, $5.9 million, and $6.6 million, respectively, of amortization for technology-based intangible assets inclusive of impairments.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decrease in gross margin from 2010 to 2011 resulted primarily from higher write-offs and reserves for excess and obsolete inventory in our orthopedics products, fair value inventory adjustments on our SeaSpine and Ascension acquisitions, and higher costs of manufacturing than in the prior-year period. The FDA inspected our Plainsboro, New Jersey regenerative medicine manufacturing facility during the third quarter of 2011, at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conclusion of which it issued FDA Form 483 observations that described violations of quality system regulations. We subsequently received a warning letter from the FDA dated December 21, 2011 which did not identify any new observations that were not provided in the Form 483 observations that followed the inspection. The warning letter does not restrict our ability to manufacture or ship products, nor does it require the recall of any product. Since the conclusion of the inspection, we have undertaken significant efforts to remediate the observations that the FDA has made and continue to do so. We have provided detailed monthly responses to the FDA as to our corrective actions, remain on track with our remediation program and are addressing all of the issues that the FDA identified. We have completed remediation-related construction activities at the facility at the end of December 2011, but continue to remediate processes and quality systems. In 2011 we incurred $5.8 million of costs related to remediation and related unplanned idle time and underutilization at this facility. In 2012, we expect to incur expenses of $1.5 million specifically related to completing the remediation of the findings from our Plainsboro, New Jersey inspection. Finally, we incurred the following charges which had a further negative impact on our gross margins in 2011: $2.3 million related to manufacturing transitions and severance, $2.1 million of technology-related intangible asset impairments, and $2.0 million related to discontinued products.</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decrease in gross margin percentage from 2009 to 2010 resulted from higher overall production costs and engineering expenses associated with manufacturing improvement projects, which offset an improvement in the mix of sales toward higher margin products. In 2010 we incurred $1.9 million related to manufacturing transitions costs and severance, which further affected our gross margins.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2012, we expect our consolidated gross margin to be flat compared to 2011. We expect to complete the remediation work at our Plainsboro, New Jersey regenerative medicine manufacturing facility and accordingly, expect to return to normal levels of production in 2012, and we expect to have fewer inventory write-offs. However, our consolidated gross margin will be negatively impacted by higher costs resulting from the amortization of the Ascension and SeaSpine inventory to cost of product revenues at acquisition value, costs related to the expansion of our regenerative medicine activities, and continued downward pressure on our private-label sales volumes.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other operating expenses as a percent of total revenues: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7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6.6%</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45.9%</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41.7%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2.1%</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bl>
    <w:p>
      <w:pPr>
        <w:spacing w:after="0" w:line="15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to $51.5 million in 2011, compared to $48.1 million in 2010 and $44.3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2009. The increase in research and development from 2010 to 2011 resulted primarily from our SeaSpine and Ascension acquisitions, and to a lesser extent, headcount increases to focus on projects in our neurosurgery and extremity reconstruction product lines. The increased research and development expense in 2010 resulted primarily from additional headcount in product development personnel.</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Excluding acquisition-related and other special charges, we target future spending on research and development to be about 6.5% to 7.0% of total revenues. In order to focus our research and development on high growth, high margin products, we are concentrating most of our planned spending for 2012 on product development efforts for our spine, neurosurgery and extremity reconstruction product lines. We do not generally invest in product development for the majority of our hand-held surgical instruments.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in the year ended December 31, 2011 increased by $53.0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$358.1 million compared to $305.1 million in the same period last year. Selling expenses increased by $20.5 million primarily because of an increase in revenues and the corresponding commission costs, as well as the impact of our SeaSpine and Ascension acquisitions. General and administrative costs increased $32.6 million because of charges related to the implementation of our global enterprise resource planning system of $17.1 million, incremental stock-based compensation charges of $13.3 million related to the renewal of our former Chief Executive Officer’s employment agreement in May 2011, the accelerated vesting of awards upon the appointment of a new chief executive officer in December 2011 and the minimum annual equity award for 2011 for our former Chief Executive Officer, acquisition related costs of $1.7 million, severance costs, and to a lesser extent, increases in compensation costs brought on by increased headcount.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2010, selling, general and administrative expenses increased by $24.0 million to $305.1 million compared to $281.1 million in 2009. Selling expenses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increased by $9.2 million primarily because of an increase in revenues and the corresponding commission costs. General and administrative costs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 million to $132.2 million compared to $120.5 million in the same period last year resulting from increases in compensation, resulting in part from increases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headcount for our enterprise resource planning system implementation, and also the impact of $2.2 million of signing bonus and other expenses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hiring of our Chief Executive Officer when he initially joined the Company as Chief Operating Officer.</w:t>
      </w:r>
    </w:p>
    <w:p>
      <w:pPr>
        <w:spacing w:after="0" w:line="16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reported stock-based compensation charges in selling, general and administrative expenses of $26.3 million in 2011 (inclusive of stock-compensation charges of $13.3 million relating to grants made in connection with the extension of our former Chief Executive Officer’s employment agreement in May 2011, the accelerated vesting of awards upon the appointment of a new chief executive officer in December 2011 and the minimum annual equity award for 2011 for our former Chief Executive Officer), $16.7 million in 2010 (inclusive of a stock-compensation charge of $1.5 million stock-based compensation charges relating to grants made in connection with the hiring of our Chief Executive Officer), and $15.0 million in 2009.</w:t>
      </w:r>
    </w:p>
    <w:p>
      <w:pPr>
        <w:spacing w:after="0" w:line="1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For 2012, we expect general and administrative expenses to be flat compared to 2011; however, we expect to grow the sales team, resulting in similar overall costs as a percentage of revenue. We also expect to incur significant costs related to upgrading our enterprise resource planning system, which will be characterized as special charges. Excluding all special charges, we target future selling, general and administrative expenses to be approximately 41% of revenues.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INTANGIBLE ASSET AMORTIZATION. </w:t>
      </w:r>
      <w:r>
        <w:rPr>
          <w:rFonts w:ascii="Arial" w:cs="Arial" w:eastAsia="Arial" w:hAnsi="Arial"/>
          <w:sz w:val="16"/>
          <w:szCs w:val="16"/>
          <w:color w:val="auto"/>
        </w:rPr>
        <w:t>In 2011, amortization expense (excluding amounts reported in cost of product revenues for technology-based</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increased by $4.4 million to $16.4 million compared to $12.0 million in 2010. The increase primarily resulted from accelerated amortization of $1.5 million for several trade names that we will phase out through the end of 2012 as part of our rebranding strategy, the impairment of trade names totaling $1.1 million, and incremental amortization on intangible assets acquired through business combinations that occurred in 2011.</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2010, amortization expense (excluding amounts reported in cost of product revenues for technology-based intangible assets) decreased by $2.3 million to $12.0 million compared to $14.4 million in 2009. The decrease resulted mainly from the completion of the amortization period for certain intangible assets and impairments recorded in 2009, partially offset by $0.8 million for impairment of several trade names in connection with our re-branding strategy in 2010.</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change in useful lives in connection with our rebranding strategy will result in incremental amortization expense of $2.7 million in the full year of 2012 when compared to historical trends. Additionally, we may discontinue certain products in the future as we continue to assess the profitability of our product lines. As our re-branding strategy and profitability assessment evolve, we may make further decisions about our trade names and incur additional impairment charges or accelerated amortization. We expect total annual amortization expense (including amounts reported in cost of product revenues) to be approximately $25.0 million in 2012, $19.1 million in 2013, $18.1 million in 2014, $16.2 million in 2015 and $14.0 million in 2016.</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recorded interest income on our invested cash of $0.5 million, $0.2 million and $0.6 million in 2011, 2010 and 2009, respectively. Interest income varies from one year to the next due to changes in the average cash balance throughout a given year.</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$27.6 million, $18.4 million and $23.2 million in 2011, 2010 and 2009, respectively. The expense was primarily associated with the principal amount of the outstanding 2010 Notes, the 2012 Notes, 2016 Notes and interest and fees related to our $600.0 million senior secured credit facility. Interest expense included in these amounts from the non-cash amortization of imputed interest for convertible debt for the years ended December 31, 2011, 2010, and 2009 was $10.6 million, $7.6 million and $10.4 million,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increased for the year ended December 31, 2011 compared to the same period last year primarily because of increased average borrowings under our Senior Credit Facility during the period and interest related to our 2016 Notes issued in June 2011. Although overall borrowings increased, we refinanced our Senior Credit Facility in June 2011 and as a result, the applicable rates used for borrowings decreased by 75 basis points, which was accompanied by a decrease in the annual commitment fee by an average 13.8 basis points. Furthermore, the coupon interest rate on the 2016 Notes is 75 basis points lower than the 2012 Notes. Finally, the impact of our interest rate swap resulted in additional interest expense of $2.3 million during the period.</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decreased for the year ended December 31, 2010 primarily because of repurchases of our 2010 Notes throughout 2009 and their settlement in June 2010, and our non-cash interest expense decreased for the same reason. A higher interest rate paid on borrowings from our amended and restated senior credit facility beginning in August 2010 partially offset these decreases.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reported interest expense for the years ended December 31, 2011, 2010 and 2009 included $3.4 million, $1.6 million and $1.8 million, respectively, of non-cash amortization of debt issuance costs. The 2011 amount includes approximately $0.8 million of fees expensed in connection with our refinancing in June 2011.</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2011, net other income of $0.8 million consisted of research and development reimbursements from third-party partners and foreign governments, partially offset by foreign exchange losses. In 2010, net other income was $1.6 million consisting primarily of foreign exchange gains of $1.1 million, and other gains of $0.5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Our effective income tax rate was 1.8%, 20.0% and 30.3% of income before income taxes in 2011, 2010 and 2009, respectively. See Note 10, “Income Taxes,” in our consolidated financial statements for a reconciliation of the United States Federal statutory rate to our effective tax rate.</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2011, our full-year worldwide income decreased significantly, primarily due to the decrease of earnings generated in the United States. As income in the United States tends to be taxed at higher rates, the shift in the mix of earnings caused a significant decline in our overall effective tax rate. Also, during 2011 we recorded a reversal of $2.5 million of accruals, which includes interest, for uncertain tax positions due to matters that were considered effectively settled. We recorded additional tax expense of $1.7 million for a correction to a state deferred tax asset relating to 2009 and recorded a tax benefit of $2.2 million relating to the correction of various deferred tax items for periods prior to 2011 that largely impacted foreign operations. These amounts were not material to the current or prior periods and were therefore recorded in 2011.</w:t>
      </w:r>
    </w:p>
    <w:p>
      <w:pPr>
        <w:spacing w:after="0" w:line="14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2010, we recorded a tax benefit of $4.5 million related to the settlement of several uncertain tax positions and a benefit related to the passing of the Tax Relief, Unemployment Insurance Reauthorization and Job Creation Act of 2010 (the “TRUJ Act”). Since the TRUJ Act was passed during the fourth quarter of 2010, we recorded the tax impact for the entire year at that time.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effective tax rate could vary from year to year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2012 to be between 16% and 18%.</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recorded a valuation allowance of $32.3 million against the remaining $125.9 million of gross deferred tax assets recorded at December 31, 2011. This valuation allowance relates to deferred tax assets for which the Company does not believe it has satisfied the more likely than not threshold for realization.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 Our deferred tax asset valuation allowance decreased $4.3 million in 2011, and increased $0.5 million in 2010 and $0.1 million in 2009.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2011 we had net operating loss carryforwards of $61.3 million for federal income tax purposes, $73.1 million for foreign income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purposes and $31.7 million for state income tax purposes to offset future taxable income. The federal net operating loss carryforwards expire through 2030,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$66.7 million of the foreign net operating loss carryforwards expire through 2020 with the remaining $6.3 million having an indefinite carryforward period.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 net operating loss carry forwards expire through 2030.</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2011, certain of our subsidiaries had unused net operating loss carryforwards and tax credit carryforwards arising from periods prior to our ownership which expire through 2030. The Internal Revenue Code limits the timing and manner in which we may use any acquired net operating losses or tax credits.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Income taxes are not provided on certain undistributed earnings of non-U.S. subsidiaries because such earnings are expected to be permanently reinvested.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Undistributed earnings of such foreign subsidiaries totaled $168.8 million, $142.2 million and $101.4 million at December 31, 2011, 2010 and 2009,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REVENUES AND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major geographic area are summarized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For Years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left="460"/>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$593,036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$561,240</w:t>
            </w: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$519,203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94,772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89,381</w:t>
            </w:r>
          </w:p>
        </w:tc>
        <w:tc>
          <w:tcPr>
            <w:tcW w:w="5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93,414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40,584</w:t>
            </w: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32,788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Foreign*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47,825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40,863</w:t>
            </w:r>
          </w:p>
        </w:tc>
        <w:tc>
          <w:tcPr>
            <w:tcW w:w="5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37,082</w:t>
            </w:r>
          </w:p>
        </w:tc>
      </w:tr>
      <w:tr>
        <w:trPr>
          <w:trHeight w:val="27"/>
        </w:trPr>
        <w:tc>
          <w:tcPr>
            <w:tcW w:w="6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780,078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732,068</w:t>
            </w:r>
          </w:p>
        </w:tc>
        <w:tc>
          <w:tcPr>
            <w:tcW w:w="5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682,487</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Consists of: Canada, Latin America, Africa and the Middle East</w:t>
      </w:r>
    </w:p>
    <w:p>
      <w:pPr>
        <w:spacing w:after="0" w:line="171"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Most of our revenues came from customers within the United States. In 2011 sales to U.S. customers increased approximately 6% compared to the prior year, primarily resulting from the incremental impact of the SeaSpine and Ascension acquisitions, with neurosurgery sales increasing and instrument sales decreasing. Over the past few years, the austerity measures of certain European governments, which have reduced expenditures on healthcare, have negatively affected revenues from our European customers. While the economic downturn has not significantly affected our ability to collect receivables, the macro-economic conditions and liquidity issues in certain countries continue to hamper our sales volumes. That said, European sales grew approximately 6% in 2011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compared to the prior year resulting primarily from changes in foreign exchange rates, which had an impact on our neurosurgery and orthopedics products, and to a lesser extent, instruments. Sales to customers in the Asia Pacific region increased approximately 10% for the year ended December 31, 2011 mainly in neurosurgery and orthopedics. Sales to our other foreign customers increased approximately 17% in 2011 compared to the prior year; we experienced this increase in all product lines across all other foreign geographies.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2010 sales to U.S. customers increased approximately 8% compared to 2009 primarily from sales in extremities reconstruction and private-label, and to a lesser extent, neurosurgery and instruments. European sales decreased approximately 4% in 2010 compared to 2009. The effects of European austerity measures had a negative impact on our sales during that period. Sales to customers in the Asia Pacific region increased approximately 24% in 2010 compared to 2009, driven primarily by neurosurgery products. Sales to our other foreign customers increased approximately 10% in 2010 compared to 2009; this increase was seen in all product lines across all other foreign geographies as we were expanding our sales efforts in these areas.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 The Company generated revenues denominated in foreign currencies of $141.4 million, $125.8 million and $124.8 million during the years ended December 31, 2011, 2010 and 2009, respectively.</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continue to assess the potential effects that changes in foreign currency exchange rates could have on our business. However, either a strengthening or a weakening of the dollar against individual foreign currencies could reduce future revenues and gross margins. If we believe this potential impact presents a significant risk to our business, we may enter into derivative financial instruments to mitigate this risk.</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Local economic conditions, regulatory, legal or political considerations, the effectiveness of our sales representatives and distributors, local competition and changes in local medical practice all could combine to affect our sales into markets outside the United States.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Relationships with customers and effective terms of sale frequently vary by country, often with longer-term receivables than are typical in the United States.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Economic conditions in certain European countries, especially Greece, Ireland, Italy, Portugal and Spain, continued to deteriorate throughout 2011. Accounts receivable from customers in these countries represented approximately $5.8 million of our total accounts receivable balance at December 31, 2011, of which $0.8 million was reserved. We continually evaluate receivables for potential collection risks associated with our customers. If the financial condition of customers or their respective countries’ healthcare systems continue to deteriorate it may negatively impact our results in future periods.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$ 100.8</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(179.7)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Net cash position</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(431.5)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decrease in our net cash position at December 31, 2011 primarily resulted from cash paid for our acquisitions of SeaSpine and Ascension of $146.3 million, $38.4 million of capital expenditures and $83.4 million of stock repurchases. Our cash flows from operation of $104.3 million and other items partially offset these decreases. We believe that our existing cash, future cash expected to be generated from operations, and our remaining $420.3 million of borrowing capacity under our senior secured revolving credit facility, if needed, will satisfy our foreseeable working capital, debt repayment, capital expenditure requirements and acquisition hold-back payments for at least the next twelve months.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2012, we anticipate that our principal uses of cash will include the repayment of our convertible 2012 Notes of $165 million, of which approximately $134 million will be classified as a financing use of cash for the repayment of the debt component, and approximately $31 million will be classified as an operating use of cash for the repayment of accreted interest. Additionally, we plan to spend between $65 million and $75 million on capital expenditures primarily for the expansion of regenerative medicine manufacturing capacity, our enterprise resource planning system implementation, and additions to our instrument kits used in sales of orthopedic products.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non-U.S. subsidiaries hold approximately $86.3 million of cash and cash equivalents that are available for use by all of our operations around the world. However, if these funds were repatriated to the United States or used for United States operations, certain amounts could be subject to United States tax for the incremental amount in excess of the foreign tax paid.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generated positive operating cash flows of $104.3 million, $105.6 million and $143.2 million in 2011, 2010 and 2009, respectively. Net income for the year ended December 31, 2011, plus items included in those earnings that did not result in a change to our cash balance, amounted to $119.4 million. In 2011, the impact of net working capital items on operating cash flows excluding the impact of acquisitions was a decrease of $12.3 million. Increases in accounts receivable used $1.9 million of cash, increases in prepaid expenses and other current assets used $0.4 million of cash, which includes a tax refund of $10.0 million, and decreases in accounts payable, accrued expenses, and other current liabilities used $11.8 million of cash. Decreases in inventory provided $1.7 million of cash. Net income for the year ended December 31, 2010, plus items included in those earnings that did not result in a change to our cash balance, amounted to approximately $131.2 million. Additionally, we paid $6.6 million in accreted interest related to the repurchase of our 2010 Notes at their maturity. In 2010, the net impact of working capital items on operating cash flows was a decrease of $11.3 million. Increases in both accounts receivable and inventory resulted in a use of cash; however, those increases resulted from higher overall sales, and accounts receivable was lower as a percentage of sales compared to 2009. Additionally, increases in our prepaid expenses and other current assets used $6.5 million of cash. Increases in accounts payable and accrued expenses primarily offset these uses of cash. The change in other liabilities resulted in part from $4.5 million in reversals of income tax reserves for audits that were concluded during the year. In 2009, changes in working capital items increased operating cash flows by $30.5 million. In 2009, prepaid expenses and other current assets includes a tax refund that provided $11.3 million, improvements in our accounts receivable provided $9.8 million, and reductions in inventory provided another $9.4 million of operating cash flows.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uses of funds for the year ended December 31, 2011 were $152.0 million for business acquisitions, $83.5 million for repurchases of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$68.4 million for net repayments under our senior credit facility, $38.4 million for capital expenditures, and $42.9 million for the purchase of the option hedge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convertible notes. In addition to the $104.3 million we generated in operating cash flows, we received a total of $230.0 million related to the issuance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Notes, proceeds of $28.5 million from the sales of stock purchase warrants related to our 2016 Notes and approximately $4.5 million related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stock options and the related excess tax benefits.</w:t>
      </w:r>
    </w:p>
    <w:p>
      <w:pPr>
        <w:spacing w:after="0" w:line="16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principal uses of funds for the year ended December 31, 2010 were $5.2 million for acquisitions of businesses, $31.3 million in repurchases of our common stock, $37.1 million in capital expenditures, and $6.8 million in debt issuance costs. In addition to the $105.6 million in operating cash flows we generated in 2010, our net outstanding borrowings increased by $16.8 million, and we received $16.1 million from the issuance of common stock through the exercise of stock options during the period.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principal uses of funds for the year ended December 31, 2009 were approximately $52.0 million in earnout payments in connection with the Integra Spine acquisition, $27.6 million in capital expenditures and intangible asset purchases, $78.0 million in repurchases of the liability component of our 2010 Notes, and $100.0 million in repayments on our revolving credit facility. In addition to the $143.2 million in operating cash flows we generated in 2009, we received $6.6 million from the issuance of common stock through the exercise of stock options during the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2011 and 2010, working capital was $350.4 million and $243.0 million, respectively. Most of the $107.4 million increase in working capital resulted from a decrease in borrowings classified as short term, increased accounts receivable balances and inventory from our acquisitions during the year which we funded using cash and long-term borrowings under our Senior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Convertible Debt and Related Hedging Activities</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We pay interest each June 1 and December 1 on our $165.0 million senior convertible notes due June 2012 (“2012 Notes”) at an annual rate of 2.375%, and each June 15 and December 15 on our $230.0 million senior convertible notes due December 2016 (“2016 Notes”) at an annual interest rate of 1.625% (the 2012 Notes and 2016 Notes are collectively referred to as, “the Notes”). We paid interest on our $165.0 million senior convertible notes due June 2010 (“2010 Notes”) at an annual rate of 2.75% and we repaid the 2010 Notes in full during June 2010 in accordance with their terms.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2012 Notes and 2016 Notes are senior, unsecured obligations of Integra, and are convertible into cash and, if applicable, shares of our common stock based on an initial conversion rate, subject to adjustment, of 15.3935 shares and 17.4092 shares, respectively, per $1,000 principal amount of notes (which represents an initial conversion price of approximately $64.96 per share and $57.44 per share, respectively). We expect to satisfy any conversion of the Notes with cash up to the principal amount pursuant to the net share settlement mechanism set forth in the respective indenture and, with respect to any excess conversion value, with shares of our common stock. The 2012 Notes and 2016 Notes are convertible only in the following circumstances: (1) if the closing sale price of our common stock exceeds 130% and 150%, respectively, of the conversion price during a period as defined in the applicable indenture; (2) if the average trading price per $1,000 principal amount of the Notes is less than or equal to 97% or 98%, respectively, of the average conversion value of the Notes during a period as defined in the applicable indenture; (3) at any time on or after December 15, 2011, or June 15, 2016, respectively; or (4) if specified corporate transactions occur. The issue price of the Notes was equal to their face amounts, which is also the amount holders are entitled to receive at maturity if the Notes are not converted. None of these conditions existed with respect to the Notes; therefore the 2016 Notes are classified as long-term. The 2012 Notes are classified as long-term based on our intent and ability to settle the obligation with long-term borrowings from our Senior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Notes, under the terms of the applicable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The cost of the call transactions to us was approximately $30.4 million for the 2012 Notes and $42.9 million for the 2016 Notes. We received approximately $12.2 million and $28.5 million of proceeds from the warrant transactions for the 2012 Notes and 2016 Notes, respectively.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$64.96 for the 2012 Notes and $57.44 for the 2016 Notes, subject to anti-dilution adjustments substantially similar to those in the Notes. The initial strike price of the warrant transactions is approximately $90.95 for the 2012 Notes and $70.05 for the 2016 Notes, in each case subject to customary anti-dilution adjustments.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may from time to time seek to retire or purchase a portion of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be terminated early, but only with respect to the number of Notes that cease to be outstanding. The amounts involved may be material.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4, “Debt,” of our consolidated financial statements for additional information.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December 2005, we established a $200.0 million, five-year, senior secured revolving credit facility (the “Senior Credit Facility”). In February 2007 we amended the Senior Credit Facility to increase its size to $300.0 million, which we had the ability to increase further to $400.0 million under certain circumstances. On August 10, 2010, we entered into an amended and restated credit agreement (the “First Amendment”) with a syndicate of lending banks and further amended the agreement on June 8, 2011 (the “Second Amendment”).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First Amendment increased the size of the Senior Credit Facility from $300.0 million to $450.0 million, provided for a $150.0 million term loan component and allowed us to further increase the size of either the term loan or the revolving credit facility, or a combination thereof, by an aggregate of $150.0 million with additional commitments. The First Amendment extended the prior revolving credit facility’s maturity date from December 21, 2011 to August 10, 2015.</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Second Amendment increased the revolving credit component from $450.0 million to $600.0 million and eliminated the $150.0 million term loan component that existed under the First Amendment. It allows us to further increase the size of the revolving credit component by an aggregate of $200.0 million with additional commitments, provides us with decreased borrowing rates and annual commitment fees, and provides more favorable financial covenants. The Second Amendment extended the Senior Credit Facility’s maturity date from August 10, 2015 to June 8, 2016. The Senior Credit Facility is collateralized by substantially all of the assets of our U.S. subsidiaries, excluding intangible assets. We capitalized $1.3 million of incremental financing costs, expensed $0.4 million of incremental financing costs, and expensed $0.4 million of previously capitalized financing costs in connection with the Second Amendment. The Senior Credit Facility is subject to various financial and negative covenants at December 31, 2011. The most notable covenant is the maximum consolidated total leverage ratio that we are allowed to have at any time during any four consecutive fiscal quarter period can be no greater than (i) 3.75 to 1.00 during any such period ending on or before March 31, 2012, or (ii) 3.50 to 1.00</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during any period thereafter. The maximum Consolidated Total Leverage Ratio is the ratio of (a) Consolidated Funded Indebtedness less cash in excess of $40 million that is not subject to any restriction of the use or investment thereof to (b) consolidated EBITDA (all capitalized terms as defined under the agreement). We were in compliance with all covenants at December 31, 2011.</w:t>
      </w:r>
    </w:p>
    <w:p>
      <w:pPr>
        <w:spacing w:after="0" w:line="140"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6"/>
          <w:szCs w:val="16"/>
          <w:color w:val="auto"/>
        </w:rPr>
        <w:t>Borrowings under the Senior Credit Facility bear interest, at our option, at a rate equal to (i) the Eurodollar Rate (as defined in the Senior Credit Facility, which definition has not changed) in effect from time to time plus the applicable rate (ranging from 1.00% to 1.75% under the Second Amendment and from</w:t>
      </w:r>
    </w:p>
    <w:p>
      <w:pPr>
        <w:jc w:val="both"/>
        <w:ind w:right="360"/>
        <w:spacing w:after="0" w:line="255" w:lineRule="auto"/>
        <w:rPr>
          <w:sz w:val="20"/>
          <w:szCs w:val="20"/>
          <w:color w:val="auto"/>
        </w:rPr>
      </w:pPr>
      <w:r>
        <w:rPr>
          <w:rFonts w:ascii="Arial" w:cs="Arial" w:eastAsia="Arial" w:hAnsi="Arial"/>
          <w:sz w:val="18"/>
          <w:szCs w:val="18"/>
          <w:color w:val="auto"/>
        </w:rPr>
        <w:t>1.75% to 2.50% under the First Amendment) or (ii) the highest of (x) the weighted average overnight Federal funds rate, as published by the Federal Reserve Bank of New York, plus 0.5%, (y) the prime lending rate of Bank of America, N.A. or (z) the one-month Eurodollar Rate plus 1.0%. The applicable rates are based on our consolidated total leverage ratio at the time of the applicable borrowing.</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also pay an annual commitment fee (ranging from 0.15% to 0.3% under the Second Amendment, and from 0.2% to 0.5% under the First Amendment, based on our consolidated total leverage ratio) on the daily amount by which the revolving credit facility exceeds the outstanding loans and letters of credit under the credit facility.</w:t>
      </w:r>
    </w:p>
    <w:p>
      <w:pPr>
        <w:spacing w:after="0" w:line="140" w:lineRule="exact"/>
        <w:rPr>
          <w:sz w:val="20"/>
          <w:szCs w:val="20"/>
          <w:color w:val="auto"/>
        </w:rPr>
      </w:pPr>
    </w:p>
    <w:p>
      <w:pPr>
        <w:jc w:val="both"/>
        <w:ind w:right="200" w:firstLine="456"/>
        <w:spacing w:after="0" w:line="284" w:lineRule="auto"/>
        <w:rPr>
          <w:sz w:val="20"/>
          <w:szCs w:val="20"/>
          <w:color w:val="auto"/>
        </w:rPr>
      </w:pPr>
      <w:r>
        <w:rPr>
          <w:rFonts w:ascii="Arial" w:cs="Arial" w:eastAsia="Arial" w:hAnsi="Arial"/>
          <w:sz w:val="16"/>
          <w:szCs w:val="16"/>
          <w:color w:val="auto"/>
        </w:rPr>
        <w:t>We plan to utilize the Senior Credit Facility for working capital, capital expenditures, share repurchases, acquisitions, repayments of our 2012 Notes and other general corporate purposes. In June and August 2009, we repaid $60.0 million and $40.0 million, respectively, of our outstanding borrowings. Prior to the First Amendment of the Senior Credit Facility in 2010, we borrowed $75.0 million in connection with the maturity of our 2010 Notes and also repaid</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$15.0 million of outstanding borrowings. Subsequent to the First Amendment, we borrowed an additional $30.0 million in October 2010 to repay certain intercompany loans and made the scheduled repayments under our term loan. In 2011, we repaid $40.0 million in January, and borrowed $85.0 million during May in connection with the SeaSpine acquisition. In June, we repaid $145.0 million when we entered into the Second Amendment. We borrowed $50.0 million in September 2011 in connection with the Ascension acquisition, and we borrowed $10.0 million in October for general corporate purposes. In November 2011, we repaid $20.0 million, and made various other repayments throughout the year totaling $8.4 million. As a result, we have $179.7 million outstanding under our Senior Credit Facility at December 31, 2011.</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Plans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30, 2008, our Board of Directors authorized us to repurchase shares of our common stock for an aggregate purchase price not to exceed $75.0 million through December 31, 2010 (the “2008 Authorization”). On October 29, 2010, our Board of Directors terminated the 2008 Authorization and authorized us to repurchase shares of our common stock for an aggregate purchase price not to exceed $75.0 million through December 31, 2012 (the “2010 Authorization”). Shares may be purchased either in the open market or in privately negotiated transactions under both of these authorizations. As of December 31, 2011, there remained $29.1 million available for share repurchases under the 2010 Authorization. In addition to the authorizations above, on June 3, 2011, our Board of Directors separately authorized us to repurchase shares of common stock from the proceeds of the 2016 Notes in connection with that offering. See Note 6, “Treasury Stock,” in our consolidated financial statements for further details.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not paid any cash dividends on our common stock since our formation. Our revolving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the Board of Directors deems relevant.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were obligated to pay the following amounts under various agreements: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More than</w:t>
            </w: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5 Years</w:t>
            </w: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Securities(1)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$ 165.0</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$230.0</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Revolving Credit Facility(2)</w:t>
            </w:r>
          </w:p>
        </w:tc>
        <w:tc>
          <w:tcPr>
            <w:tcW w:w="500" w:type="dxa"/>
            <w:vAlign w:val="bottom"/>
          </w:tcPr>
          <w:p>
            <w:pPr>
              <w:jc w:val="right"/>
              <w:spacing w:after="0"/>
              <w:rPr>
                <w:sz w:val="20"/>
                <w:szCs w:val="20"/>
                <w:color w:val="auto"/>
              </w:rPr>
            </w:pPr>
            <w:r>
              <w:rPr>
                <w:rFonts w:ascii="Arial" w:cs="Arial" w:eastAsia="Arial" w:hAnsi="Arial"/>
                <w:sz w:val="18"/>
                <w:szCs w:val="18"/>
                <w:color w:val="auto"/>
              </w:rPr>
              <w:t>179.7</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179.7</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Employment Agreements(4)</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1.7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Acquisition Consideration (5)</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670.4</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$ 198.8</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430.4</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See Note 4, “Debt,” of our consolidated financial statements for additional information.</w:t>
      </w:r>
    </w:p>
    <w:p>
      <w:pPr>
        <w:ind w:left="460" w:right="2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 term based on its current intent and ability to repay the borrowing outside of the next twelve-month period.</w:t>
      </w:r>
    </w:p>
    <w:p>
      <w:pPr>
        <w:ind w:left="460" w:right="1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9"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consideration is comprised of amounts that may be due to the sellers of SeaSpine, Inc. upon the finalization of the working capital adjustment and indemnification holdback releases, the sellers of Ascension, Inc. upon the finalization of the working capital adjustment and certain other matters.</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Excluded from the contractual obligations table is the liability for uncertain tax benefits, including interest and penalties, totaling $5.3 million. This liability for uncertain tax benefits has been excluded because we cannot make a reliable estimate of the period in which the uncertain tax benefits may be realized.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estimates of projected cash flows and discount rates used to value intangible assets and test goodwill and intangible assets for impairment, estimates of projected cash flows and depreciation and amortization periods for long-lived assets, computation of taxes, computation of valuation allowances recorded against deferred tax assets,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the following accounting policies, which form the basis for developing these estimates, are those that are most critical to the presentation of our financial statements and require the most difficult, subjective and complex judgments: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Allowances For Doubtful Accounts Receivable and Sales Returns and Allowances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evaluate the collectability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11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differ from our estimates and the related provisions for sales returns and allowances, we may change the sales returns and allowances provision in the future through an increase or decrease in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Inventories, consisting of purchased materials, direct labor and manufacturing overhead, are stated at the lower of cost (determined by the first-in, first-out method) or market. At each balance sheet date, we evaluate ending 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adjust their carrying value to estimated net realizable value. If future demand or market conditions are lower than our projections, or if we are unable to rework excess or obsolete quantities into other products, we may record further adjustments to the carrying value of inventory through a charge to cost of product revenues in the period the revision is made.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Identifiable Intangible Assets, In-Process Research and Development Charges, and Goodwill</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allocate the purchase price of acquired businesses and product lines between tangible and intangible assets (including in-process research and development) and goodwill, as applicable. In-process research and development is defined as the value assigned to those acquired technologies or projects for which the related products have not received regulatory approval and have no alternative future use. Determining the portion of the purchase price allocated to in-process research and development and other intangible assets requires us to make significant estimates. We allocate the purchase price to in-process research and development and other identifiable intangible assets by estimating the future cash flows of each project, technology, customer relationship, trade name, or other applicable asset and discounting those net cash flows back to their present values. The discount rate used is determined at the time of acquisition in accordance with accepted valuation methods. For in-process research and development, these methodologies include consideration of the risk of the project not achieving commercial feasibility.</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review goodwill, identifiable intangible assets with indefinite lives and capitalized in-process research and development for impairment annually, and whenever events or changes indicate that the carrying value of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asset may not be recoverable. These events or circumstances could include a significant change in the business climate, legal factors, operating performance indicators, competition, sale or disposition of significant assets or products, or the termination of development programs. Application of these impairment tests requires significant judgments, including estimation of future cash flows, which is dependent on internal forecasts, estimation of the long-term rate of growth for our business, the useful life over which cash flows will occur and determination of our weighted-average cost of capital.</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Changes in the projected cash flows and discount rate estimates and assumptions underlying the valuation of identifiable intangible assets, in-process research and development, and goodwill could materially affect the determination of fair value at acquisition or during subsequent periods when tested for impairment.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finite-lived assets are reviewed for impairment and to ensure their useful lives are appropriate whenever events or changes indicate that the carrying value of the assets may not be recoverable.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develop, manufacture, and sell medical devices globally. Our earnings and cash flows are exposed to market risk from changes in interest rates and currency exchange rates. We address these risks through a risk management program that includes the use of derivative financial instruments, and operate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Our derivative instruments do not subject our earnings or cash flows to material risk, and gains and losses on these derivatives generally offset losses and gains on the item being hedged. We have not entered into derivative transactions for speculative purposes and all of our derivatives are designated as hedges.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derivative instruments are recognized at their fair values as either assets or liabilities on the balance sheet. We determine the fair value of our derivative instruments, using the framework prescribed by the authoritative guidance, by considering the estimated amount we would receive to sell or transfer these instruments at the reporting date and by taking into account expected forward interest rates, currency exchange rates, the creditworthiness of the counterparty for assets, and our creditworthiness for liabilities. In certain instances, we may utilize a discounted cash flow model to measure fair value. Generally, we use inputs that include quoted prices for similar assets or liabilities in active markets; other observable inputs for the asset or liability; and inputs that are derived principally from, or corroborated by, observable market data by correlation or other means. As of December 31, 2011, observable inputs are available for substantially the full term of our derivative instruments.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we conduct operations on a global basis, our effective tax rate has and will depend upon the geographic distribution of our pre-tax earnings among locations with varying tax rates. Changes in the tax rates of the various jurisdictions in which we operate affect our profits. In addition, we maintain a reserve for uncertain tax benefits, changes to which could impact our effective tax rate in the period such changes are made. The effective tax rate can also be impacted by changes in valuation allowances of deferred tax assets, and tax law changes.</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ultimate settlement of the position. Components of the reserve are classified as a long-term liability in the consolidated balance sheets. We record interest and penalties accrued in relation to uncertain tax benefits as a component of income tax expense.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believe we have identified all reasonably identifiable exposures and the reserve we have established for identifiable exposures is appropriate under the circumstances; however, it is possible that additional exposures exist and that exposures will be settled at amounts different than the amounts reserved. It is also possible that changes in facts and circumstances could cause us to either materially increase or reduce the carrying amount of our tax reserves.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deferred income taxes reflect the net tax effects of temporary differences between the carrying amounts of assets and liabilities for financial reporting purposes and their basis for income tax purposes, and also the temporary differences created by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policy is to provide income taxes on earnings of certain foreign subsidiaries only to the extent those earnings are taxable or are expected to be remitted.</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are subject to claims and lawsuits in the ordinary course of our business, including claims by employees or former employees, with respect to our products and involving commercial disputes. We accrue for loss contingencies when it is deemed probable that a loss has been incurred and that loss is estimable. The amounts accrued are based on the full amount of the estimated loss before considering insurance proceeds, if applicable, and do not include an estimate for legal fees expected to be incurred in connection with the loss contingency. We consistently accrue legal fees expected to be incurred in connection with loss contingencies as those fees are incurred by outside counsel as a period cost.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On September 15, 2011 the Financial Accounting Standards Board issued </w:t>
      </w:r>
      <w:r>
        <w:rPr>
          <w:rFonts w:ascii="Arial" w:cs="Arial" w:eastAsia="Arial" w:hAnsi="Arial"/>
          <w:sz w:val="16"/>
          <w:szCs w:val="16"/>
          <w:i w:val="1"/>
          <w:iCs w:val="1"/>
          <w:color w:val="auto"/>
        </w:rPr>
        <w:t>Accounting Standards Update No. 2011-08,</w:t>
      </w:r>
      <w:r>
        <w:rPr>
          <w:rFonts w:ascii="Arial" w:cs="Arial" w:eastAsia="Arial" w:hAnsi="Arial"/>
          <w:sz w:val="16"/>
          <w:szCs w:val="16"/>
          <w:color w:val="auto"/>
        </w:rPr>
        <w:t xml:space="preserve"> Intangibles – Goodwill and Other (Topic 350), Testing Goodwill for Impairment. The revised standard is intended to reduce the cost and complexity of the annual goodwill impairment test by providing the option of performing a “qualitative” assessment to determine whether further impairment testing is necessary. Under this standard,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performing the two-step impairment test under Topic 350 is unnecessary. However, if we conclude otherwise, we are required to perform the first step of the two-step impairment test, as described in Topic 350. If the carrying amount of a reporting unit exceeds its fair value under the first step, we are required to perform the second step of the goodwill impairment test to measure the amount of the impairment loss, if any. We also have the option to bypass the qualitative assessment for any reporting unit in any period and to proceed directly to performing the first step of the two-step goodwill impairment test. We may resume performing the qualitative assessment in any subsequent period. This standard is effective for annual and interim goodwill impairment tests performed for fiscal years beginning after December 15, 2011, and early adoption is permitted. We believe that the adoption of this standard will not have a material impact on our financial statements.</w:t>
      </w:r>
    </w:p>
    <w:p>
      <w:pPr>
        <w:spacing w:after="0" w:line="12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On June 16, 2011 the Financial Accounting Standards Board issued </w:t>
      </w:r>
      <w:r>
        <w:rPr>
          <w:rFonts w:ascii="Arial" w:cs="Arial" w:eastAsia="Arial" w:hAnsi="Arial"/>
          <w:sz w:val="18"/>
          <w:szCs w:val="18"/>
          <w:i w:val="1"/>
          <w:iCs w:val="1"/>
          <w:color w:val="auto"/>
        </w:rPr>
        <w:t>Accounting Standards Update No. 2011-05, Presentation of Comprehensive Income</w:t>
      </w:r>
      <w:r>
        <w:rPr>
          <w:rFonts w:ascii="Arial" w:cs="Arial" w:eastAsia="Arial" w:hAnsi="Arial"/>
          <w:sz w:val="18"/>
          <w:szCs w:val="18"/>
          <w:color w:val="auto"/>
        </w:rPr>
        <w:t>. This standard eliminates the option to report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comprehensive income and its components in the statement of changes in equity. We may elect to present items of net income and other comprehensive income in one continuous statement or in two consecutive statements. Each component of net income and each component of other comprehensive income, together with totals for comprehensive income and its two parts – net income and other comprehensive income – would need to be displayed under either alternative, and the statements would need to be presented with equal prominence as the other primary financial statements. This standard does not change 1) the items that constitute net income and other comprehensive income, 2) when an item of other comprehensive income must be reclassified to net income, or 3) the computation for earnings per share - which will continue to be based on net income. This standard is effective for fiscal years beginning after December 15, 2011, and will not have an impact on our operating results as it impacts presentation only.</w:t>
      </w:r>
    </w:p>
    <w:p>
      <w:pPr>
        <w:spacing w:after="0" w:line="118"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On May 12, 2011 the Financial Accounting Standards Board issued </w:t>
      </w:r>
      <w:r>
        <w:rPr>
          <w:rFonts w:ascii="Arial" w:cs="Arial" w:eastAsia="Arial" w:hAnsi="Arial"/>
          <w:sz w:val="16"/>
          <w:szCs w:val="16"/>
          <w:i w:val="1"/>
          <w:iCs w:val="1"/>
          <w:color w:val="auto"/>
        </w:rPr>
        <w:t>Accounting Standards Update No. 2011-04 - Fair Value Measurement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Amendments to Achieve Common Fair Value Measurement and Disclosure Requirements in U.S. GAAP and IFRS. </w:t>
      </w:r>
      <w:r>
        <w:rPr>
          <w:rFonts w:ascii="Arial" w:cs="Arial" w:eastAsia="Arial" w:hAnsi="Arial"/>
          <w:sz w:val="16"/>
          <w:szCs w:val="16"/>
          <w:color w:val="auto"/>
        </w:rPr>
        <w:t>This standard merges many aspects of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 guidance by amending U.S. GAAP and creating a new standard under International Financial Reporting Standards. The primary changes to U.S. GAAP include 1) clarifying the valuation premise of highest and best use, 2) clarifying how portfolios of financial instruments are measured, 3) clarifying the use of blockage factors and other premiums and discounts, and 4) increasing the disclosure requirements in a number of circumstances. This standard is effective for fiscal years beginning after December 15, 2011, and we believe the standard will not have a material impact on our results.</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and Other Rate Risks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from time to time we enter into derivative financial instruments in the form of foreign currency forward contracts with major financial institutions. Realized and unrealized gains and losses on these contracts that qualify as cash flow hedges are temporarily recorded in other comprehensive income, then recognized in other income or expense when the hedged item affects net earnings.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From time to time, we enter into foreign currency forward contracts with terms of up to 12 months to manage currency exposures for liabilities denominated in a currency other than an entity’s functional currency. Some of these contracts are designated and accounted for as hedges while others are not. As a result, the impact of foreign currency gains/losses recognized in earnings are partially offset by gains/losses on the related foreign currency forward contracts in the same reporting period. At December 31, 2011, the notional amount of foreign currency forward contracts outstanding that were designated as hedges was equivalent to $1.6 million, and the amount not designated as hedges was equivalent to $3.3 million. There were no foreign currency forward contracts outstanding at December 31, 2010.</w:t>
      </w:r>
    </w:p>
    <w:p>
      <w:pPr>
        <w:spacing w:after="0" w:line="144"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offset by changes in the fair value of hedge instruments. Consequently, foreign currency forward contracts would not subject us to material risk due to exchange rate movements, because gains and losses on these contracts offset gains and losses on the assets, liabilities and transactions being hedged.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results of operations for the periods discussed herein have not been materially affected by inflation.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increase in interest rates applicable to our cash and cash equivalents outstanding at December 31, 2011 would increase interest income by approximately $1.0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Our interest rate risk relates primarily to U.S. dollar LIBOR-indexed borrowings. We have used an interest rate derivative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$139.7 million outstanding as of December 31, 2011. We recognized additional interest expense related to this derivative of $2.3 million during 2011. We recorded a $4.1 million liability at December 31, 2011 to recognize the fair value of our interest rate derivative instrument.</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Based on our outstanding borrowings at December 31, 2011, a one-percentage point change in interest rates would have impacted interest expense on the unhedged portion of our debt by $0.4 million on an annualized basis.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Financial statements and the financial statement schedules specified by this Item, together with the report thereon of PricewaterhouseCoopers LLP, are presented following Item 15 of this report.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Information on quarterly results of operations is set forth in our financial statements under Note 14, “Selected Quarterly Information — Unaudited,” to the Consolidated Financial Statements.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2011. Based upon this evaluation, our principal executive officer and principal financial officer concluded that our disclosure controls and procedures were effective as of December 31, 2011 to provide such reasonable assurance.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To evaluate the effectiveness of our internal control over financial reporting, management used the criteria described in Internal Control — Integrated Framework issued by the Committee of Sponsoring Organizations of the Treadway Commission (“COSO”). Based upon this evaluation, management concluded that our internal control over financial reporting was effective as of December 31, 2011.</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conducting our evaluation of the effectiveness of internal control over financial reporting, we have excluded SeaSpine, Inc. and Ascension Orthopedics, Inc. from our assessment of internal control over financial reporting as of December 31, 2011 because they were acquired by the Company in a purchase combination during 2011. SeaSpine, Inc. and Ascension Orthopedics, Inc. are wholly owned entities of the Company whose total assets and total revenues represent approximately 2.9% and 1.5%, and 3.8% and 0.6%, respectively, of the related consolidated financial statement amounts as of and for the year ended December 31, 2011.</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2011 has been audited by PricewaterhouseCoopers LLP, an independent registered public accounting firm, as stated in their report which appears herein.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December 31, 2011 that have materially affected, or are reasonably likely to materially affect, our internal control over financial reporting.</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called for by Item 5. Market for Registrant’s Common Equity, Related Stockholder Matters and Issuer Purchases of Equity Securities relating to equity compensation plans,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to the Company’s definitive proxy statement for its Annual Meeting of Stockholders scheduled to be held on May 17, 2012, which definitive proxy statement is expected to be filed with the Commission not later than 120 days after the end of the fiscal year to which this report relates.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00" w:type="dxa"/>
            <w:vAlign w:val="bottom"/>
            <w:gridSpan w:val="4"/>
          </w:tcPr>
          <w:p>
            <w:pPr>
              <w:ind w:left="820"/>
              <w:spacing w:after="0"/>
              <w:rPr>
                <w:sz w:val="20"/>
                <w:szCs w:val="20"/>
                <w:color w:val="auto"/>
              </w:rPr>
            </w:pPr>
            <w:r>
              <w:rPr>
                <w:rFonts w:ascii="Arial" w:cs="Arial" w:eastAsia="Arial" w:hAnsi="Arial"/>
                <w:sz w:val="18"/>
                <w:szCs w:val="18"/>
                <w:b w:val="1"/>
                <w:bCs w:val="1"/>
                <w:color w:val="auto"/>
              </w:rPr>
              <w:t>PART IV</w:t>
            </w:r>
          </w:p>
        </w:tc>
        <w:tc>
          <w:tcPr>
            <w:tcW w:w="1680" w:type="dxa"/>
            <w:vAlign w:val="bottom"/>
          </w:tcPr>
          <w:p>
            <w:pPr>
              <w:spacing w:after="0"/>
              <w:rPr>
                <w:sz w:val="19"/>
                <w:szCs w:val="19"/>
                <w:color w:val="auto"/>
              </w:rPr>
            </w:pPr>
          </w:p>
        </w:tc>
      </w:tr>
      <w:tr>
        <w:trPr>
          <w:trHeight w:val="500"/>
        </w:trPr>
        <w:tc>
          <w:tcPr>
            <w:tcW w:w="94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8700" w:type="dxa"/>
            <w:vAlign w:val="bottom"/>
            <w:gridSpan w:val="8"/>
          </w:tcPr>
          <w:p>
            <w:pPr>
              <w:ind w:left="20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1680" w:type="dxa"/>
            <w:vAlign w:val="bottom"/>
          </w:tcPr>
          <w:p>
            <w:pPr>
              <w:spacing w:after="0"/>
              <w:rPr>
                <w:sz w:val="24"/>
                <w:szCs w:val="24"/>
                <w:color w:val="auto"/>
              </w:rPr>
            </w:pPr>
          </w:p>
        </w:tc>
      </w:tr>
      <w:tr>
        <w:trPr>
          <w:trHeight w:val="297"/>
        </w:trPr>
        <w:tc>
          <w:tcPr>
            <w:tcW w:w="9640" w:type="dxa"/>
            <w:vAlign w:val="bottom"/>
            <w:gridSpan w:val="9"/>
          </w:tcPr>
          <w:p>
            <w:pPr>
              <w:ind w:left="460"/>
              <w:spacing w:after="0"/>
              <w:rPr>
                <w:sz w:val="20"/>
                <w:szCs w:val="20"/>
                <w:color w:val="auto"/>
              </w:rPr>
            </w:pPr>
            <w:r>
              <w:rPr>
                <w:rFonts w:ascii="Arial" w:cs="Arial" w:eastAsia="Arial" w:hAnsi="Arial"/>
                <w:sz w:val="18"/>
                <w:szCs w:val="18"/>
                <w:color w:val="auto"/>
              </w:rPr>
              <w:t>(a) Documents filed as a part of this report.</w:t>
            </w:r>
          </w:p>
        </w:tc>
        <w:tc>
          <w:tcPr>
            <w:tcW w:w="1680" w:type="dxa"/>
            <w:vAlign w:val="bottom"/>
          </w:tcPr>
          <w:p>
            <w:pPr>
              <w:spacing w:after="0"/>
              <w:rPr>
                <w:sz w:val="24"/>
                <w:szCs w:val="24"/>
                <w:color w:val="auto"/>
              </w:rPr>
            </w:pPr>
          </w:p>
        </w:tc>
      </w:tr>
      <w:tr>
        <w:trPr>
          <w:trHeight w:val="459"/>
        </w:trPr>
        <w:tc>
          <w:tcPr>
            <w:tcW w:w="9640" w:type="dxa"/>
            <w:vAlign w:val="bottom"/>
            <w:gridSpan w:val="9"/>
          </w:tcPr>
          <w:p>
            <w:pPr>
              <w:ind w:left="2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i w:val="1"/>
                <w:iCs w:val="1"/>
                <w:color w:val="auto"/>
              </w:rPr>
              <w:t>. Financial Statements.</w:t>
            </w:r>
          </w:p>
        </w:tc>
        <w:tc>
          <w:tcPr>
            <w:tcW w:w="1680" w:type="dxa"/>
            <w:vAlign w:val="bottom"/>
          </w:tcPr>
          <w:p>
            <w:pPr>
              <w:spacing w:after="0"/>
              <w:rPr>
                <w:sz w:val="24"/>
                <w:szCs w:val="24"/>
                <w:color w:val="auto"/>
              </w:rPr>
            </w:pPr>
          </w:p>
        </w:tc>
      </w:tr>
      <w:tr>
        <w:trPr>
          <w:trHeight w:val="297"/>
        </w:trPr>
        <w:tc>
          <w:tcPr>
            <w:tcW w:w="9640" w:type="dxa"/>
            <w:vAlign w:val="bottom"/>
            <w:gridSpan w:val="9"/>
          </w:tcPr>
          <w:p>
            <w:pPr>
              <w:spacing w:after="0"/>
              <w:rPr>
                <w:sz w:val="20"/>
                <w:szCs w:val="20"/>
                <w:color w:val="auto"/>
              </w:rPr>
            </w:pPr>
            <w:r>
              <w:rPr>
                <w:rFonts w:ascii="Arial" w:cs="Arial" w:eastAsia="Arial" w:hAnsi="Arial"/>
                <w:sz w:val="18"/>
                <w:szCs w:val="18"/>
                <w:color w:val="auto"/>
              </w:rPr>
              <w:t>The following financial statements and financial statement schedules are filed as a part of this report:</w:t>
            </w:r>
          </w:p>
        </w:tc>
        <w:tc>
          <w:tcPr>
            <w:tcW w:w="1680" w:type="dxa"/>
            <w:vAlign w:val="bottom"/>
          </w:tcPr>
          <w:p>
            <w:pPr>
              <w:spacing w:after="0"/>
              <w:rPr>
                <w:sz w:val="24"/>
                <w:szCs w:val="24"/>
                <w:color w:val="auto"/>
              </w:rPr>
            </w:pPr>
          </w:p>
        </w:tc>
      </w:tr>
      <w:tr>
        <w:trPr>
          <w:trHeight w:val="380"/>
        </w:trPr>
        <w:tc>
          <w:tcPr>
            <w:tcW w:w="964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 of Independent Registered Public Accounting Firm</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640" w:type="dxa"/>
            <w:vAlign w:val="bottom"/>
            <w:gridSpan w:val="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 for the years ended December 31, 2011, 2010 and 2009</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196"/>
        </w:trPr>
        <w:tc>
          <w:tcPr>
            <w:tcW w:w="4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Consolidated Balance Sheets as of December 31, 2011 and 2010</w:t>
              </w:r>
            </w:hyperlink>
          </w:p>
        </w:tc>
        <w:tc>
          <w:tcPr>
            <w:tcW w:w="2140" w:type="dxa"/>
            <w:vAlign w:val="bottom"/>
            <w:tcBorders>
              <w:top w:val="single" w:sz="8" w:color="0000EE"/>
            </w:tcBorders>
          </w:tcPr>
          <w:p>
            <w:pPr>
              <w:spacing w:after="0"/>
              <w:rPr>
                <w:sz w:val="17"/>
                <w:szCs w:val="17"/>
                <w:color w:val="auto"/>
              </w:rPr>
            </w:pPr>
          </w:p>
        </w:tc>
        <w:tc>
          <w:tcPr>
            <w:tcW w:w="2960" w:type="dxa"/>
            <w:vAlign w:val="bottom"/>
            <w:gridSpan w:val="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76">
              <w:r>
                <w:rPr>
                  <w:rFonts w:ascii="Arial" w:cs="Arial" w:eastAsia="Arial" w:hAnsi="Arial"/>
                  <w:sz w:val="18"/>
                  <w:szCs w:val="18"/>
                  <w:color w:val="0000EE"/>
                  <w:w w:val="86"/>
                </w:rPr>
                <w:t>Consolidated Statements of Cash Flows for the years ended December 31, 2011, 2010 and 2009</w:t>
              </w:r>
            </w:hyperlink>
          </w:p>
        </w:tc>
        <w:tc>
          <w:tcPr>
            <w:tcW w:w="2900" w:type="dxa"/>
            <w:vAlign w:val="bottom"/>
            <w:gridSpan w:val="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82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Consolidated Statements of Changes in Stockholders’ Equity for the years ended December 31, 2011, 2010 and 2009</w:t>
              </w:r>
            </w:hyperlink>
          </w:p>
        </w:tc>
        <w:tc>
          <w:tcPr>
            <w:tcW w:w="136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964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43"/>
        </w:trPr>
        <w:tc>
          <w:tcPr>
            <w:tcW w:w="3080" w:type="dxa"/>
            <w:vAlign w:val="bottom"/>
            <w:tcBorders>
              <w:top w:val="single" w:sz="8" w:color="0000EE"/>
            </w:tcBorders>
            <w:gridSpan w:val="2"/>
          </w:tcPr>
          <w:p>
            <w:pPr>
              <w:ind w:left="220"/>
              <w:spacing w:after="0"/>
              <w:rPr>
                <w:sz w:val="20"/>
                <w:szCs w:val="20"/>
                <w:color w:val="auto"/>
              </w:rPr>
            </w:pPr>
            <w:r>
              <w:rPr>
                <w:rFonts w:ascii="Arial" w:cs="Arial" w:eastAsia="Arial" w:hAnsi="Arial"/>
                <w:sz w:val="18"/>
                <w:szCs w:val="18"/>
                <w:color w:val="auto"/>
                <w:w w:val="97"/>
              </w:rPr>
              <w:t>2</w:t>
            </w:r>
            <w:r>
              <w:rPr>
                <w:rFonts w:ascii="Arial" w:cs="Arial" w:eastAsia="Arial" w:hAnsi="Arial"/>
                <w:sz w:val="18"/>
                <w:szCs w:val="18"/>
                <w:b w:val="1"/>
                <w:bCs w:val="1"/>
                <w:i w:val="1"/>
                <w:iCs w:val="1"/>
                <w:color w:val="auto"/>
                <w:w w:val="97"/>
              </w:rPr>
              <w:t>. Financial Statement Schedules.</w:t>
            </w:r>
          </w:p>
        </w:tc>
        <w:tc>
          <w:tcPr>
            <w:tcW w:w="6560" w:type="dxa"/>
            <w:vAlign w:val="bottom"/>
            <w:gridSpan w:val="7"/>
          </w:tcPr>
          <w:p>
            <w:pPr>
              <w:spacing w:after="0"/>
              <w:rPr>
                <w:sz w:val="24"/>
                <w:szCs w:val="24"/>
                <w:color w:val="auto"/>
              </w:rPr>
            </w:pPr>
          </w:p>
        </w:tc>
        <w:tc>
          <w:tcPr>
            <w:tcW w:w="1680" w:type="dxa"/>
            <w:vAlign w:val="bottom"/>
          </w:tcPr>
          <w:p>
            <w:pPr>
              <w:spacing w:after="0"/>
              <w:rPr>
                <w:sz w:val="24"/>
                <w:szCs w:val="24"/>
                <w:color w:val="auto"/>
              </w:rPr>
            </w:pPr>
          </w:p>
        </w:tc>
      </w:tr>
      <w:tr>
        <w:trPr>
          <w:trHeight w:val="286"/>
        </w:trPr>
        <w:tc>
          <w:tcPr>
            <w:tcW w:w="3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Schedule II — Valuation and Qualifying Accounts</w:t>
              </w:r>
            </w:hyperlink>
          </w:p>
        </w:tc>
        <w:tc>
          <w:tcPr>
            <w:tcW w:w="6080" w:type="dxa"/>
            <w:vAlign w:val="bottom"/>
            <w:gridSpan w:val="6"/>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F-42</w:t>
            </w:r>
          </w:p>
        </w:tc>
      </w:tr>
    </w:tbl>
    <w:p>
      <w:pPr>
        <w:spacing w:after="0" w:line="10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All other schedules not listed above have been omitted, because they are not applicable or are not required, or because the required information is included in the consolidated financial statements or notes thereto.</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i w:val="1"/>
          <w:iCs w:val="1"/>
          <w:color w:val="auto"/>
        </w:rPr>
        <w:t>. Exhibits required to be filed by Item 601 of Regulation S-K.</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Amended and Restated Certificate of Incorporation of the Company (Incorporated by reference to Exhibit 3.1(a) to the Company’s Annual</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3.1(b)</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Certificate of Amendment to Amended and Restated Certificate of Incorporation dated May 22, 1998 (Incorporated by reference to Exhibit</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3.1(b) to the Company’s Annual Report on Form 10-K for the year ended December 31, 1998)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3.1(c)</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Certificate of Amendment to Amended and Restated Certificate of Incorporation dated May 17, 1999 (Incorporated by reference to Exhibit</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3.1(c) to the Company’s Annual Report on Form 10-K for the year ended December 31, 2004)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3.2(a)</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Amended and Restated Bylaws of the Company (Incorporated by reference to Exhibit 3.1 to the Company’s Current Report on Form 8-K filed</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on November 3,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3.2(b)</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Amended and Restated Bylaws of the Company (Incorporated by reference to Exhibit 3.2 to the Company’s Current Report on Form 8-K filed</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on November 3,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Purchase Agreement, dated June 9, 2011, by and between Integra LifeSciences Holdings Corporation and J.P. Morgan Securities LLC, Merrill</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Lynch, Pierce, Fenner &amp; Smith Incorporated, Morgan Stanley &amp; Co. LLC, Deutsche Bank Securities Inc., RBC Capital Markets, LLC and Wells</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5"/>
              </w:rPr>
              <w:t>Fargo Securities, LLC (Incorporated by reference to Exhibit 4.1 to the Company’s Current Report on Form 8-K filed on June 15,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trustee (Incorporated by reference to Exhibit 4.1 to the Company’s Current Report on Form 8-K filed on June 15,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4.3(a)</w:t>
            </w:r>
          </w:p>
        </w:tc>
        <w:tc>
          <w:tcPr>
            <w:tcW w:w="10480" w:type="dxa"/>
            <w:vAlign w:val="bottom"/>
          </w:tcPr>
          <w:p>
            <w:pPr>
              <w:ind w:left="32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Citibank FSB and SunTrust Bank, as Co-Syndication Agents, and</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Royal Bank of Canada and Wachovia Bank, National Association, as Co-Documentation Agents (Incorporated by reference to Exhibit 10.1 to</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the Company’s Current Report on Form 8-K filed on December 29, 2005)</w:t>
            </w:r>
          </w:p>
        </w:tc>
      </w:tr>
      <w:tr>
        <w:trPr>
          <w:trHeight w:val="365"/>
        </w:trPr>
        <w:tc>
          <w:tcPr>
            <w:tcW w:w="760" w:type="dxa"/>
            <w:vAlign w:val="bottom"/>
          </w:tcPr>
          <w:p>
            <w:pPr>
              <w:spacing w:after="0"/>
              <w:rPr>
                <w:sz w:val="24"/>
                <w:szCs w:val="24"/>
                <w:color w:val="auto"/>
              </w:rPr>
            </w:pPr>
          </w:p>
        </w:tc>
        <w:tc>
          <w:tcPr>
            <w:tcW w:w="10480" w:type="dxa"/>
            <w:vAlign w:val="bottom"/>
          </w:tcPr>
          <w:p>
            <w:pPr>
              <w:ind w:left="468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4.3(b)</w:t>
            </w: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First Amendment, dated as of February 15, 2006,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Citibank FSB and SunTrust Bank, as Co-Syndication Agents, and</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9"/>
              </w:rPr>
              <w:t>Royal Bank of Canada and Wachovia Bank, National Association, as Co-Documentation Agents (Incorporated by reference to Exhibit 4.3(b) to</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4.3(c)</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Citibank FSB and SunTrust Bank, as Co-Syndication Agents, and</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8"/>
              </w:rPr>
              <w:t>Royal Bank of Canada and Wachovia Bank, National Association, as Co-Documentation Agents (Incorporated by reference to Exhibit 4.1 to the</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February 27,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4.3(d)</w:t>
            </w: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9"/>
              </w:rPr>
              <w:t>N.A., as Administrative Agent, Swing Line Lender and L/C Issuer, Citibank, N.A., successor by merger to Citibank, FSB, as Syndication Agent</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4"/>
              </w:rPr>
              <w:t>and JPMorgan Chase Bank, N.A., Deutsche Bank Trust Company Americas and Royal Bank of Canada, as Co-Documentation Agents</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4.3(e)</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Fourth Amendment, dated as of September 5, 2007,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6"/>
              </w:rPr>
              <w:t>America, N.A., as Administrative Agent, Swing Line Lender and L/C Issuer, Citibank, N.A., successor by merger to Citibank FSB, as</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7"/>
              </w:rPr>
              <w:t>Syndication Agent and JPMorgan Chase Bank, N.A., Deutsche Bank Trust Company Americas and Royal Bank of Canada, as Co-</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4.3(f)</w:t>
            </w: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Amended and Restated Credit Agreement, dated as of August 10, 2010, among Integra LifeSciences Holdings Corporation, the lenders party</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thereto, Bank of America, N.A., as Administrative Agent, Swing Line Lender and L/C Issuer, JP Morgan Chase Bank, as Syndication Agent,</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and HSBC Bank USA, NA, RBC Capital Markets, Wells Fargo Bank, N.A., Fifth Third Bank, DNB NOR Bank ASA and TD Bank, N.A., as</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89"/>
              </w:rPr>
              <w:t>Co-Documentation Agents (Incorporated by reference to Exhibit 10.1 to the Company’s Current Report on Form 8-K filed on August 10,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4.3(g)</w:t>
            </w: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Second Amended and Restated Credit Agreement, dated as of June 8, 2011, among Integra LifeSciences Holdings Corporation, the lenders</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0"/>
              </w:rPr>
              <w:t>party thereto, Bank of America, N.A. as Administrative Agent, Swing Line Lender and L/C Issuer, JPMorgan Chase Bank N.A. as Syndication</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Agent, and, HSBC Bank USA, NA, Royal Bank of Canada, Wells Fargo Bank, N.A., Fifth Third Bank, DNB NOR Bank ASA, and TD Bank,</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N.A., as Co-Documentation Agents (Incorporated by reference to Exhibit 4.3 to the Company’s Quarterly Report on Form 10-Q filed on July</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29, 2011)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10460" w:type="dxa"/>
            <w:vAlign w:val="bottom"/>
          </w:tcPr>
          <w:p>
            <w:pPr>
              <w:ind w:left="320"/>
              <w:spacing w:after="0"/>
              <w:rPr>
                <w:sz w:val="20"/>
                <w:szCs w:val="20"/>
                <w:color w:val="auto"/>
              </w:rPr>
            </w:pPr>
            <w:r>
              <w:rPr>
                <w:rFonts w:ascii="Arial" w:cs="Arial" w:eastAsia="Arial" w:hAnsi="Arial"/>
                <w:sz w:val="18"/>
                <w:szCs w:val="18"/>
                <w:color w:val="auto"/>
                <w:w w:val="92"/>
              </w:rPr>
              <w:t>Security Agreement, dated as of December 22, 2005, among Integra LifeSciences Holdings Corporation and the additional grantors party</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thereto in favor of Bank of America, N.A., as administrative and collateral agent (Incorporated by reference to Exhibit 4.4 to the Company’s</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10460" w:type="dxa"/>
            <w:vAlign w:val="bottom"/>
          </w:tcPr>
          <w:p>
            <w:pPr>
              <w:ind w:left="320"/>
              <w:spacing w:after="0"/>
              <w:rPr>
                <w:sz w:val="20"/>
                <w:szCs w:val="20"/>
                <w:color w:val="auto"/>
              </w:rPr>
            </w:pPr>
            <w:r>
              <w:rPr>
                <w:rFonts w:ascii="Arial" w:cs="Arial" w:eastAsia="Arial" w:hAnsi="Arial"/>
                <w:sz w:val="18"/>
                <w:szCs w:val="18"/>
                <w:color w:val="auto"/>
                <w:w w:val="88"/>
              </w:rPr>
              <w:t>Pledge Agreement, dated as of December 22, 2005, among Integra LifeSciences Holdings Corporation and the additional grantors party thereto</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in favor of Bank of America, N.A., as administrative and collateral agent (Incorporated by reference to Exhibit 4.5 to the Company’s Annual</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4.6</w:t>
            </w:r>
          </w:p>
        </w:tc>
        <w:tc>
          <w:tcPr>
            <w:tcW w:w="10460" w:type="dxa"/>
            <w:vAlign w:val="bottom"/>
          </w:tcPr>
          <w:p>
            <w:pPr>
              <w:ind w:left="32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 in</w:t>
            </w:r>
          </w:p>
        </w:tc>
      </w:tr>
      <w:tr>
        <w:trPr>
          <w:trHeight w:val="216"/>
        </w:trPr>
        <w:tc>
          <w:tcPr>
            <w:tcW w:w="760" w:type="dxa"/>
            <w:vAlign w:val="bottom"/>
          </w:tcPr>
          <w:p>
            <w:pPr>
              <w:spacing w:after="0"/>
              <w:rPr>
                <w:sz w:val="18"/>
                <w:szCs w:val="18"/>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w w:val="93"/>
              </w:rPr>
              <w:t>favor of Bank of America, N.A., as administrative and collateral agent (Incorporated by reference to Exhibit 4.6 to the Company’s Annual</w:t>
            </w:r>
          </w:p>
        </w:tc>
      </w:tr>
      <w:tr>
        <w:trPr>
          <w:trHeight w:val="222"/>
        </w:trPr>
        <w:tc>
          <w:tcPr>
            <w:tcW w:w="760" w:type="dxa"/>
            <w:vAlign w:val="bottom"/>
          </w:tcPr>
          <w:p>
            <w:pPr>
              <w:spacing w:after="0"/>
              <w:rPr>
                <w:sz w:val="19"/>
                <w:szCs w:val="19"/>
                <w:color w:val="auto"/>
              </w:rPr>
            </w:pPr>
          </w:p>
        </w:tc>
        <w:tc>
          <w:tcPr>
            <w:tcW w:w="1046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365"/>
        </w:trPr>
        <w:tc>
          <w:tcPr>
            <w:tcW w:w="76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20" w:type="dxa"/>
            <w:vAlign w:val="bottom"/>
          </w:tcPr>
          <w:p>
            <w:pPr>
              <w:jc w:val="right"/>
              <w:ind w:right="532"/>
              <w:spacing w:after="0"/>
              <w:rPr>
                <w:sz w:val="20"/>
                <w:szCs w:val="20"/>
                <w:color w:val="auto"/>
              </w:rPr>
            </w:pPr>
            <w:r>
              <w:rPr>
                <w:rFonts w:ascii="Arial" w:cs="Arial" w:eastAsia="Arial" w:hAnsi="Arial"/>
                <w:sz w:val="18"/>
                <w:szCs w:val="18"/>
                <w:color w:val="auto"/>
              </w:rPr>
              <w:t>4.7</w:t>
            </w:r>
          </w:p>
        </w:tc>
        <w:tc>
          <w:tcPr>
            <w:tcW w:w="10380" w:type="dxa"/>
            <w:vAlign w:val="bottom"/>
          </w:tcPr>
          <w:p>
            <w:pPr>
              <w:ind w:left="360"/>
              <w:spacing w:after="0"/>
              <w:rPr>
                <w:sz w:val="20"/>
                <w:szCs w:val="20"/>
                <w:color w:val="auto"/>
              </w:rPr>
            </w:pPr>
            <w:r>
              <w:rPr>
                <w:rFonts w:ascii="Arial" w:cs="Arial" w:eastAsia="Arial" w:hAnsi="Arial"/>
                <w:sz w:val="18"/>
                <w:szCs w:val="18"/>
                <w:color w:val="auto"/>
                <w:w w:val="87"/>
              </w:rPr>
              <w:t>Indenture, dated as of September 29, 2006, between the Company and Wells Fargo Bank, N.A. (Incorporated by reference to Exhibit 4.1 to the</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October 5, 2006)</w:t>
            </w:r>
          </w:p>
        </w:tc>
      </w:tr>
      <w:tr>
        <w:trPr>
          <w:trHeight w:val="318"/>
        </w:trPr>
        <w:tc>
          <w:tcPr>
            <w:tcW w:w="920" w:type="dxa"/>
            <w:vAlign w:val="bottom"/>
          </w:tcPr>
          <w:p>
            <w:pPr>
              <w:jc w:val="right"/>
              <w:ind w:right="532"/>
              <w:spacing w:after="0"/>
              <w:rPr>
                <w:sz w:val="20"/>
                <w:szCs w:val="20"/>
                <w:color w:val="auto"/>
              </w:rPr>
            </w:pPr>
            <w:r>
              <w:rPr>
                <w:rFonts w:ascii="Arial" w:cs="Arial" w:eastAsia="Arial" w:hAnsi="Arial"/>
                <w:sz w:val="18"/>
                <w:szCs w:val="18"/>
                <w:color w:val="auto"/>
              </w:rPr>
              <w:t>4.8</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Indenture, dated June 11, 2007, among Integra LifeSciences Holdings Corporation, Integra LifeSciences Corporation and Wells Fargo Bank,</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8"/>
              </w:rPr>
              <w:t>N.A., as trustee (Incorporated by reference to Exhibit 4.1 to the Company’s Current Report on Form 8-K filed on June 12, 2007)</w:t>
            </w:r>
          </w:p>
        </w:tc>
      </w:tr>
      <w:tr>
        <w:trPr>
          <w:trHeight w:val="318"/>
        </w:trPr>
        <w:tc>
          <w:tcPr>
            <w:tcW w:w="920" w:type="dxa"/>
            <w:vAlign w:val="bottom"/>
          </w:tcPr>
          <w:p>
            <w:pPr>
              <w:jc w:val="right"/>
              <w:ind w:right="532"/>
              <w:spacing w:after="0"/>
              <w:rPr>
                <w:sz w:val="20"/>
                <w:szCs w:val="20"/>
                <w:color w:val="auto"/>
              </w:rPr>
            </w:pPr>
            <w:r>
              <w:rPr>
                <w:rFonts w:ascii="Arial" w:cs="Arial" w:eastAsia="Arial" w:hAnsi="Arial"/>
                <w:sz w:val="18"/>
                <w:szCs w:val="18"/>
                <w:color w:val="auto"/>
              </w:rPr>
              <w:t>4.9</w:t>
            </w:r>
          </w:p>
        </w:tc>
        <w:tc>
          <w:tcPr>
            <w:tcW w:w="10380" w:type="dxa"/>
            <w:vAlign w:val="bottom"/>
          </w:tcPr>
          <w:p>
            <w:pPr>
              <w:ind w:left="360"/>
              <w:spacing w:after="0"/>
              <w:rPr>
                <w:sz w:val="20"/>
                <w:szCs w:val="20"/>
                <w:color w:val="auto"/>
              </w:rPr>
            </w:pPr>
            <w:r>
              <w:rPr>
                <w:rFonts w:ascii="Arial" w:cs="Arial" w:eastAsia="Arial" w:hAnsi="Arial"/>
                <w:sz w:val="18"/>
                <w:szCs w:val="18"/>
                <w:color w:val="auto"/>
                <w:w w:val="94"/>
              </w:rPr>
              <w:t>Form of 2.75% Senior Convertible Note due 2010 (included in Exhibit 4.8) (Incorporated by reference to Exhibit 4.2 to the Company’s</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Current Report on Form 8-K filed on June 12, 2007)</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4.10</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Indenture, dated June 11, 2007, among Integra LifeSciences Holdings Corporation, Integra LifeSciences Corporation and Wells Fargo Bank,</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8"/>
              </w:rPr>
              <w:t>N.A., as trustee (Incorporated by reference to Exhibit 4.3 to the Company’s Current Report on Form 8-K filed on June 12, 2007)</w:t>
            </w:r>
          </w:p>
        </w:tc>
      </w:tr>
      <w:tr>
        <w:trPr>
          <w:trHeight w:val="318"/>
        </w:trPr>
        <w:tc>
          <w:tcPr>
            <w:tcW w:w="920" w:type="dxa"/>
            <w:vAlign w:val="bottom"/>
          </w:tcPr>
          <w:p>
            <w:pPr>
              <w:jc w:val="right"/>
              <w:ind w:right="452"/>
              <w:spacing w:after="0"/>
              <w:rPr>
                <w:sz w:val="20"/>
                <w:szCs w:val="20"/>
                <w:color w:val="auto"/>
              </w:rPr>
            </w:pPr>
            <w:r>
              <w:rPr>
                <w:rFonts w:ascii="Arial" w:cs="Arial" w:eastAsia="Arial" w:hAnsi="Arial"/>
                <w:sz w:val="18"/>
                <w:szCs w:val="18"/>
                <w:color w:val="auto"/>
              </w:rPr>
              <w:t>4.11</w:t>
            </w:r>
          </w:p>
        </w:tc>
        <w:tc>
          <w:tcPr>
            <w:tcW w:w="10380" w:type="dxa"/>
            <w:vAlign w:val="bottom"/>
          </w:tcPr>
          <w:p>
            <w:pPr>
              <w:ind w:left="360"/>
              <w:spacing w:after="0"/>
              <w:rPr>
                <w:sz w:val="20"/>
                <w:szCs w:val="20"/>
                <w:color w:val="auto"/>
              </w:rPr>
            </w:pPr>
            <w:r>
              <w:rPr>
                <w:rFonts w:ascii="Arial" w:cs="Arial" w:eastAsia="Arial" w:hAnsi="Arial"/>
                <w:sz w:val="18"/>
                <w:szCs w:val="18"/>
                <w:color w:val="auto"/>
                <w:w w:val="92"/>
              </w:rPr>
              <w:t>Form of 2.375% Senior Convertible Note due 2012 (included in Exhibit 4.10) (Incorporated by reference to Exhibit 4.4 to the Company’s</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Current Report on Form 8-K filed on June 12, 2007)</w:t>
            </w: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4.12</w:t>
            </w: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Registration Rights Agreement, dated June 11, 2007, among Integra LifeSciences Holdings Corporation, Banc of America Securities LLC,</w:t>
            </w:r>
          </w:p>
        </w:tc>
      </w:tr>
      <w:tr>
        <w:trPr>
          <w:trHeight w:val="216"/>
        </w:trPr>
        <w:tc>
          <w:tcPr>
            <w:tcW w:w="9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J.P. Morgan Securities Inc. and Morgan Stanley &amp; Co., Incorporated, as representatives of the several initial purchasers (Incorporated by</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318"/>
        </w:trPr>
        <w:tc>
          <w:tcPr>
            <w:tcW w:w="920" w:type="dxa"/>
            <w:vAlign w:val="bottom"/>
          </w:tcPr>
          <w:p>
            <w:pPr>
              <w:jc w:val="right"/>
              <w:ind w:right="532"/>
              <w:spacing w:after="0"/>
              <w:rPr>
                <w:sz w:val="20"/>
                <w:szCs w:val="20"/>
                <w:color w:val="auto"/>
              </w:rPr>
            </w:pPr>
            <w:r>
              <w:rPr>
                <w:rFonts w:ascii="Arial" w:cs="Arial" w:eastAsia="Arial" w:hAnsi="Arial"/>
                <w:sz w:val="18"/>
                <w:szCs w:val="18"/>
                <w:color w:val="auto"/>
                <w:w w:val="79"/>
              </w:rPr>
              <w:t>4.13</w:t>
            </w: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Registration Rights Agreement, dated June 11, 2007, among Integra LifeSciences Holdings Corporation, Banc of America Securities LLC,</w:t>
            </w:r>
          </w:p>
        </w:tc>
      </w:tr>
      <w:tr>
        <w:trPr>
          <w:trHeight w:val="216"/>
        </w:trPr>
        <w:tc>
          <w:tcPr>
            <w:tcW w:w="9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J.P. Morgan Securities Inc. and Morgan Stanley &amp; Co., Incorporated, as representatives of the several initial purchasers (Incorporated by</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w w:val="84"/>
              </w:rPr>
              <w:t>10.1(a)</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Lease between Plainsboro Associates and American Biomaterials Corporation dated as of April 16, 1985, as assigned to Colla-Tec, Inc. on</w:t>
            </w:r>
          </w:p>
        </w:tc>
      </w:tr>
      <w:tr>
        <w:trPr>
          <w:trHeight w:val="216"/>
        </w:trPr>
        <w:tc>
          <w:tcPr>
            <w:tcW w:w="9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1"/>
              </w:rPr>
              <w:t>October 24, 1989 and as amended through November 1, 1992 (Incorporated by reference to Exhibit 10.30 to the Company’s Registration</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Statement on Form 10/A (File No. 0-26224) which became effective on August 8, 1995)</w:t>
            </w: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w w:val="84"/>
              </w:rPr>
              <w:t>10.1(b)</w:t>
            </w:r>
          </w:p>
        </w:tc>
        <w:tc>
          <w:tcPr>
            <w:tcW w:w="10380" w:type="dxa"/>
            <w:vAlign w:val="bottom"/>
          </w:tcPr>
          <w:p>
            <w:pPr>
              <w:ind w:left="360"/>
              <w:spacing w:after="0"/>
              <w:rPr>
                <w:sz w:val="20"/>
                <w:szCs w:val="20"/>
                <w:color w:val="auto"/>
              </w:rPr>
            </w:pPr>
            <w:r>
              <w:rPr>
                <w:rFonts w:ascii="Arial" w:cs="Arial" w:eastAsia="Arial" w:hAnsi="Arial"/>
                <w:sz w:val="18"/>
                <w:szCs w:val="18"/>
                <w:color w:val="auto"/>
                <w:w w:val="92"/>
              </w:rPr>
              <w:t>Lease Modification #2 entered into as of the 28th day of October, 2005, by and between Plainsboro Associates and Integra LifeSciences</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97"/>
              </w:rPr>
              <w:t>Corporation (Incorporated by reference to Exhibit 10.1 to the Company’s Current Report on Form 8-K filed on November 2, 2005)</w:t>
            </w: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w w:val="85"/>
              </w:rPr>
              <w:t>10.1(c)</w:t>
            </w:r>
          </w:p>
        </w:tc>
        <w:tc>
          <w:tcPr>
            <w:tcW w:w="10380" w:type="dxa"/>
            <w:vAlign w:val="bottom"/>
          </w:tcPr>
          <w:p>
            <w:pPr>
              <w:ind w:left="360"/>
              <w:spacing w:after="0"/>
              <w:rPr>
                <w:sz w:val="20"/>
                <w:szCs w:val="20"/>
                <w:color w:val="auto"/>
              </w:rPr>
            </w:pPr>
            <w:r>
              <w:rPr>
                <w:rFonts w:ascii="Arial" w:cs="Arial" w:eastAsia="Arial" w:hAnsi="Arial"/>
                <w:sz w:val="18"/>
                <w:szCs w:val="18"/>
                <w:color w:val="auto"/>
                <w:w w:val="94"/>
              </w:rPr>
              <w:t>Lease Modification #3 entered into as of the 2</w:t>
            </w:r>
            <w:r>
              <w:rPr>
                <w:rFonts w:ascii="Arial" w:cs="Arial" w:eastAsia="Arial" w:hAnsi="Arial"/>
                <w:sz w:val="11"/>
                <w:szCs w:val="11"/>
                <w:color w:val="auto"/>
                <w:w w:val="94"/>
              </w:rPr>
              <w:t>nd</w:t>
            </w:r>
            <w:r>
              <w:rPr>
                <w:rFonts w:ascii="Arial" w:cs="Arial" w:eastAsia="Arial" w:hAnsi="Arial"/>
                <w:sz w:val="18"/>
                <w:szCs w:val="18"/>
                <w:color w:val="auto"/>
                <w:w w:val="94"/>
              </w:rPr>
              <w:t xml:space="preserve"> day of March, 2011, by and between Plainsboro Associates and Integra LifeSciences</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Corporation (Incorporated by reference to Exhibit 10.1 to the Company’s Current Report on Form 8-K filed on March 3, 2011)</w:t>
            </w:r>
          </w:p>
        </w:tc>
      </w:tr>
      <w:tr>
        <w:trPr>
          <w:trHeight w:val="318"/>
        </w:trPr>
        <w:tc>
          <w:tcPr>
            <w:tcW w:w="920" w:type="dxa"/>
            <w:vAlign w:val="bottom"/>
          </w:tcPr>
          <w:p>
            <w:pPr>
              <w:jc w:val="right"/>
              <w:ind w:right="292"/>
              <w:spacing w:after="0"/>
              <w:rPr>
                <w:sz w:val="20"/>
                <w:szCs w:val="20"/>
                <w:color w:val="auto"/>
              </w:rPr>
            </w:pPr>
            <w:r>
              <w:rPr>
                <w:rFonts w:ascii="Arial" w:cs="Arial" w:eastAsia="Arial" w:hAnsi="Arial"/>
                <w:sz w:val="18"/>
                <w:szCs w:val="18"/>
                <w:color w:val="auto"/>
                <w:w w:val="83"/>
              </w:rPr>
              <w:t>10.2 (a)</w:t>
            </w:r>
          </w:p>
        </w:tc>
        <w:tc>
          <w:tcPr>
            <w:tcW w:w="10380" w:type="dxa"/>
            <w:vAlign w:val="bottom"/>
          </w:tcPr>
          <w:p>
            <w:pPr>
              <w:ind w:left="360"/>
              <w:spacing w:after="0"/>
              <w:rPr>
                <w:sz w:val="20"/>
                <w:szCs w:val="20"/>
                <w:color w:val="auto"/>
              </w:rPr>
            </w:pPr>
            <w:r>
              <w:rPr>
                <w:rFonts w:ascii="Arial" w:cs="Arial" w:eastAsia="Arial" w:hAnsi="Arial"/>
                <w:sz w:val="18"/>
                <w:szCs w:val="18"/>
                <w:color w:val="auto"/>
                <w:w w:val="88"/>
              </w:rPr>
              <w:t>Equipment Lease Agreement between Medicus Corporation and the Company, dated as of June 1, 2000 (Incorporated by reference to Exhibit</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318"/>
        </w:trPr>
        <w:tc>
          <w:tcPr>
            <w:tcW w:w="920" w:type="dxa"/>
            <w:vAlign w:val="bottom"/>
          </w:tcPr>
          <w:p>
            <w:pPr>
              <w:jc w:val="right"/>
              <w:ind w:right="332"/>
              <w:spacing w:after="0"/>
              <w:rPr>
                <w:sz w:val="20"/>
                <w:szCs w:val="20"/>
                <w:color w:val="auto"/>
              </w:rPr>
            </w:pPr>
            <w:r>
              <w:rPr>
                <w:rFonts w:ascii="Arial" w:cs="Arial" w:eastAsia="Arial" w:hAnsi="Arial"/>
                <w:sz w:val="18"/>
                <w:szCs w:val="18"/>
                <w:color w:val="auto"/>
                <w:w w:val="84"/>
              </w:rPr>
              <w:t>10.2(b)</w:t>
            </w: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First Amendment to Equipment Lease Agreement between Medicus Corporation and the Company, dated as of June 29, 2010 (Incorporated</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318"/>
        </w:trPr>
        <w:tc>
          <w:tcPr>
            <w:tcW w:w="920" w:type="dxa"/>
            <w:vAlign w:val="bottom"/>
          </w:tcPr>
          <w:p>
            <w:pPr>
              <w:jc w:val="right"/>
              <w:ind w:right="532"/>
              <w:spacing w:after="0"/>
              <w:rPr>
                <w:sz w:val="20"/>
                <w:szCs w:val="20"/>
                <w:color w:val="auto"/>
              </w:rPr>
            </w:pPr>
            <w:r>
              <w:rPr>
                <w:rFonts w:ascii="Arial" w:cs="Arial" w:eastAsia="Arial" w:hAnsi="Arial"/>
                <w:sz w:val="18"/>
                <w:szCs w:val="18"/>
                <w:color w:val="auto"/>
                <w:w w:val="79"/>
              </w:rPr>
              <w:t>10.3</w:t>
            </w:r>
          </w:p>
        </w:tc>
        <w:tc>
          <w:tcPr>
            <w:tcW w:w="1038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between the Company and [ ] dated August 16, 1995, including a schedule identifying the individuals</w:t>
            </w:r>
          </w:p>
        </w:tc>
      </w:tr>
      <w:tr>
        <w:trPr>
          <w:trHeight w:val="216"/>
        </w:trPr>
        <w:tc>
          <w:tcPr>
            <w:tcW w:w="920" w:type="dxa"/>
            <w:vAlign w:val="bottom"/>
          </w:tcPr>
          <w:p>
            <w:pPr>
              <w:spacing w:after="0"/>
              <w:rPr>
                <w:sz w:val="18"/>
                <w:szCs w:val="18"/>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w w:val="89"/>
              </w:rPr>
              <w:t>that are a party to such Indemnification Agreements (Incorporated by reference to Exhibit 10.37 to the Company’s Registration Statement on</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318"/>
        </w:trPr>
        <w:tc>
          <w:tcPr>
            <w:tcW w:w="920" w:type="dxa"/>
            <w:vAlign w:val="bottom"/>
          </w:tcPr>
          <w:p>
            <w:pPr>
              <w:jc w:val="right"/>
              <w:ind w:right="532"/>
              <w:spacing w:after="0"/>
              <w:rPr>
                <w:sz w:val="20"/>
                <w:szCs w:val="20"/>
                <w:color w:val="auto"/>
              </w:rPr>
            </w:pPr>
            <w:r>
              <w:rPr>
                <w:rFonts w:ascii="Arial" w:cs="Arial" w:eastAsia="Arial" w:hAnsi="Arial"/>
                <w:sz w:val="18"/>
                <w:szCs w:val="18"/>
                <w:color w:val="auto"/>
                <w:w w:val="79"/>
              </w:rPr>
              <w:t>10.4</w:t>
            </w:r>
          </w:p>
        </w:tc>
        <w:tc>
          <w:tcPr>
            <w:tcW w:w="10380" w:type="dxa"/>
            <w:vAlign w:val="bottom"/>
          </w:tcPr>
          <w:p>
            <w:pPr>
              <w:ind w:left="360"/>
              <w:spacing w:after="0"/>
              <w:rPr>
                <w:sz w:val="20"/>
                <w:szCs w:val="20"/>
                <w:color w:val="auto"/>
              </w:rPr>
            </w:pPr>
            <w:r>
              <w:rPr>
                <w:rFonts w:ascii="Arial" w:cs="Arial" w:eastAsia="Arial" w:hAnsi="Arial"/>
                <w:sz w:val="18"/>
                <w:szCs w:val="18"/>
                <w:color w:val="auto"/>
                <w:w w:val="90"/>
              </w:rPr>
              <w:t>1996 Incentive Stock Option and Non-Qualified Stock Option Plan (as amended through December 27, 1997) (Incorporated by reference to</w:t>
            </w:r>
          </w:p>
        </w:tc>
      </w:tr>
      <w:tr>
        <w:trPr>
          <w:trHeight w:val="222"/>
        </w:trPr>
        <w:tc>
          <w:tcPr>
            <w:tcW w:w="920" w:type="dxa"/>
            <w:vAlign w:val="bottom"/>
          </w:tcPr>
          <w:p>
            <w:pPr>
              <w:spacing w:after="0"/>
              <w:rPr>
                <w:sz w:val="19"/>
                <w:szCs w:val="19"/>
                <w:color w:val="auto"/>
              </w:rPr>
            </w:pPr>
          </w:p>
        </w:tc>
        <w:tc>
          <w:tcPr>
            <w:tcW w:w="10380" w:type="dxa"/>
            <w:vAlign w:val="bottom"/>
          </w:tcPr>
          <w:p>
            <w:pPr>
              <w:ind w:left="36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365"/>
        </w:trPr>
        <w:tc>
          <w:tcPr>
            <w:tcW w:w="92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360" w:type="dxa"/>
            <w:vAlign w:val="bottom"/>
          </w:tcPr>
          <w:p>
            <w:pPr>
              <w:ind w:left="340"/>
              <w:spacing w:after="0"/>
              <w:rPr>
                <w:sz w:val="20"/>
                <w:szCs w:val="20"/>
                <w:color w:val="auto"/>
              </w:rPr>
            </w:pPr>
            <w:r>
              <w:rPr>
                <w:rFonts w:ascii="Arial" w:cs="Arial" w:eastAsia="Arial" w:hAnsi="Arial"/>
                <w:sz w:val="18"/>
                <w:szCs w:val="18"/>
                <w:color w:val="auto"/>
                <w:w w:val="90"/>
              </w:rPr>
              <w:t>1998 Stock Option Plan (amended and restated as of July 26, 2005) (Incorporated by reference to Exhibit 10.3 to the Company’s Quarterly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360" w:type="dxa"/>
            <w:vAlign w:val="bottom"/>
          </w:tcPr>
          <w:p>
            <w:pPr>
              <w:ind w:left="340"/>
              <w:spacing w:after="0"/>
              <w:rPr>
                <w:sz w:val="20"/>
                <w:szCs w:val="20"/>
                <w:color w:val="auto"/>
              </w:rPr>
            </w:pPr>
            <w:r>
              <w:rPr>
                <w:rFonts w:ascii="Arial" w:cs="Arial" w:eastAsia="Arial" w:hAnsi="Arial"/>
                <w:sz w:val="18"/>
                <w:szCs w:val="18"/>
                <w:color w:val="auto"/>
                <w:w w:val="90"/>
              </w:rPr>
              <w:t>1999 Stock Option Plan (amended and restated as of July 26, 2005) (Incorporated by reference to Exhibit 10.4 to the Company’s Quarterly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10.7(a)</w:t>
            </w:r>
          </w:p>
        </w:tc>
        <w:tc>
          <w:tcPr>
            <w:tcW w:w="10360" w:type="dxa"/>
            <w:vAlign w:val="bottom"/>
          </w:tcPr>
          <w:p>
            <w:pPr>
              <w:ind w:left="340"/>
              <w:spacing w:after="0"/>
              <w:rPr>
                <w:sz w:val="20"/>
                <w:szCs w:val="20"/>
                <w:color w:val="auto"/>
              </w:rPr>
            </w:pPr>
            <w:r>
              <w:rPr>
                <w:rFonts w:ascii="Arial" w:cs="Arial" w:eastAsia="Arial" w:hAnsi="Arial"/>
                <w:sz w:val="18"/>
                <w:szCs w:val="18"/>
                <w:color w:val="auto"/>
                <w:w w:val="92"/>
              </w:rPr>
              <w:t>Employee Stock Purchase Plan (as amended on May 17, 2004) (Incorporated by reference to Exhibit 4.1 to the Company’s Registration</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10.7(b)</w:t>
            </w:r>
          </w:p>
        </w:tc>
        <w:tc>
          <w:tcPr>
            <w:tcW w:w="10360" w:type="dxa"/>
            <w:vAlign w:val="bottom"/>
          </w:tcPr>
          <w:p>
            <w:pPr>
              <w:ind w:left="340"/>
              <w:spacing w:after="0"/>
              <w:rPr>
                <w:sz w:val="20"/>
                <w:szCs w:val="20"/>
                <w:color w:val="auto"/>
              </w:rPr>
            </w:pPr>
            <w:r>
              <w:rPr>
                <w:rFonts w:ascii="Arial" w:cs="Arial" w:eastAsia="Arial" w:hAnsi="Arial"/>
                <w:sz w:val="18"/>
                <w:szCs w:val="18"/>
                <w:color w:val="auto"/>
                <w:w w:val="88"/>
              </w:rPr>
              <w:t>First Amendment to the Company’s Employee Stock Purchase Plan, dated October 26, 2005 (Incorporated by reference to Exhibit 10.1 to the</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November 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360" w:type="dxa"/>
            <w:vAlign w:val="bottom"/>
          </w:tcPr>
          <w:p>
            <w:pPr>
              <w:ind w:left="340"/>
              <w:spacing w:after="0"/>
              <w:rPr>
                <w:sz w:val="20"/>
                <w:szCs w:val="20"/>
                <w:color w:val="auto"/>
              </w:rPr>
            </w:pPr>
            <w:r>
              <w:rPr>
                <w:rFonts w:ascii="Arial" w:cs="Arial" w:eastAsia="Arial" w:hAnsi="Arial"/>
                <w:sz w:val="18"/>
                <w:szCs w:val="18"/>
                <w:color w:val="auto"/>
                <w:w w:val="88"/>
              </w:rPr>
              <w:t>2000 Equity Incentive Plan (amended and restated as of July 26, 2005) (Incorporated by reference to Exhibit 10.5 to the Company’s Quarterly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360" w:type="dxa"/>
            <w:vAlign w:val="bottom"/>
          </w:tcPr>
          <w:p>
            <w:pPr>
              <w:ind w:left="340"/>
              <w:spacing w:after="0"/>
              <w:rPr>
                <w:sz w:val="20"/>
                <w:szCs w:val="20"/>
                <w:color w:val="auto"/>
              </w:rPr>
            </w:pPr>
            <w:r>
              <w:rPr>
                <w:rFonts w:ascii="Arial" w:cs="Arial" w:eastAsia="Arial" w:hAnsi="Arial"/>
                <w:sz w:val="18"/>
                <w:szCs w:val="18"/>
                <w:color w:val="auto"/>
                <w:w w:val="88"/>
              </w:rPr>
              <w:t>2001 Equity Incentive Plan (amended and restated as of July 26, 2005) (Incorporated by reference to Exhibit 10.6 to the Company’s Quarterly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10.10(a)</w:t>
            </w:r>
          </w:p>
        </w:tc>
        <w:tc>
          <w:tcPr>
            <w:tcW w:w="10360" w:type="dxa"/>
            <w:vAlign w:val="bottom"/>
          </w:tcPr>
          <w:p>
            <w:pPr>
              <w:ind w:left="340"/>
              <w:spacing w:after="0"/>
              <w:rPr>
                <w:sz w:val="20"/>
                <w:szCs w:val="20"/>
                <w:color w:val="auto"/>
              </w:rPr>
            </w:pPr>
            <w:r>
              <w:rPr>
                <w:rFonts w:ascii="Arial" w:cs="Arial" w:eastAsia="Arial" w:hAnsi="Arial"/>
                <w:sz w:val="18"/>
                <w:szCs w:val="18"/>
                <w:color w:val="auto"/>
                <w:w w:val="89"/>
              </w:rPr>
              <w:t>Integra LifeSciences Holdings Corporation Second Amended and Restated 2003 Equity Incentive Plan effective May 19, 2010 (Incorporated</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by reference to Exhibit 10 to the Company’s Current Report on Form 8-K filed May 21,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10.10(b)</w:t>
            </w:r>
          </w:p>
        </w:tc>
        <w:tc>
          <w:tcPr>
            <w:tcW w:w="10360" w:type="dxa"/>
            <w:vAlign w:val="bottom"/>
          </w:tcPr>
          <w:p>
            <w:pPr>
              <w:ind w:left="340"/>
              <w:spacing w:after="0"/>
              <w:rPr>
                <w:sz w:val="20"/>
                <w:szCs w:val="20"/>
                <w:color w:val="auto"/>
              </w:rPr>
            </w:pPr>
            <w:r>
              <w:rPr>
                <w:rFonts w:ascii="Arial" w:cs="Arial" w:eastAsia="Arial" w:hAnsi="Arial"/>
                <w:sz w:val="18"/>
                <w:szCs w:val="18"/>
                <w:color w:val="auto"/>
                <w:w w:val="94"/>
              </w:rPr>
              <w:t>Integra LifeSciences Holdings Corporation Amended and Restated 2003 Equity Incentive Plan effective July 9, 2008 (Incorporated by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reference to Exhibit 10.2 to the Company’s Current Report on Form 8-K filed on July 11,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10.10(c)</w:t>
            </w:r>
          </w:p>
        </w:tc>
        <w:tc>
          <w:tcPr>
            <w:tcW w:w="10360" w:type="dxa"/>
            <w:vAlign w:val="bottom"/>
          </w:tcPr>
          <w:p>
            <w:pPr>
              <w:ind w:left="340"/>
              <w:spacing w:after="0"/>
              <w:rPr>
                <w:sz w:val="20"/>
                <w:szCs w:val="20"/>
                <w:color w:val="auto"/>
              </w:rPr>
            </w:pPr>
            <w:r>
              <w:rPr>
                <w:rFonts w:ascii="Arial" w:cs="Arial" w:eastAsia="Arial" w:hAnsi="Arial"/>
                <w:sz w:val="18"/>
                <w:szCs w:val="18"/>
                <w:color w:val="auto"/>
                <w:w w:val="91"/>
              </w:rPr>
              <w:t>Amendment to the Integra LifeSciences Holdings Corporation 2003 Equity Incentive Plan dated July 9, 2008 (Incorporated by reference to</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Exhibit 10.3 to the Company’s Current Report on Form 8-K filed on July 11,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10.11(a)</w:t>
            </w:r>
          </w:p>
        </w:tc>
        <w:tc>
          <w:tcPr>
            <w:tcW w:w="10360" w:type="dxa"/>
            <w:vAlign w:val="bottom"/>
          </w:tcPr>
          <w:p>
            <w:pPr>
              <w:ind w:left="340"/>
              <w:spacing w:after="0"/>
              <w:rPr>
                <w:sz w:val="20"/>
                <w:szCs w:val="20"/>
                <w:color w:val="auto"/>
              </w:rPr>
            </w:pPr>
            <w:r>
              <w:rPr>
                <w:rFonts w:ascii="Arial" w:cs="Arial" w:eastAsia="Arial" w:hAnsi="Arial"/>
                <w:sz w:val="18"/>
                <w:szCs w:val="18"/>
                <w:color w:val="auto"/>
                <w:w w:val="91"/>
              </w:rPr>
              <w:t>Second Amended and Restated Employment Agreement dated July 27, 2004 between the Company and Stuart M. Essig (Incorporated by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10.11(b)</w:t>
            </w:r>
          </w:p>
        </w:tc>
        <w:tc>
          <w:tcPr>
            <w:tcW w:w="10360" w:type="dxa"/>
            <w:vAlign w:val="bottom"/>
          </w:tcPr>
          <w:p>
            <w:pPr>
              <w:ind w:left="340"/>
              <w:spacing w:after="0"/>
              <w:rPr>
                <w:sz w:val="20"/>
                <w:szCs w:val="20"/>
                <w:color w:val="auto"/>
              </w:rPr>
            </w:pPr>
            <w:r>
              <w:rPr>
                <w:rFonts w:ascii="Arial" w:cs="Arial" w:eastAsia="Arial" w:hAnsi="Arial"/>
                <w:sz w:val="18"/>
                <w:szCs w:val="18"/>
                <w:color w:val="auto"/>
                <w:w w:val="88"/>
              </w:rPr>
              <w:t>Amendment 2006-1, dated as of December 19, 2006, to the Second Amended and Restated Employment Agreement, between the Company</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w w:val="90"/>
              </w:rPr>
              <w:t>and Stuart M. Essig (Incorporated by reference to Exhibit 10.1 to the Company’s Current Report on Form 8-K filed on December 22,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10.11(c)</w:t>
            </w:r>
          </w:p>
        </w:tc>
        <w:tc>
          <w:tcPr>
            <w:tcW w:w="10360" w:type="dxa"/>
            <w:vAlign w:val="bottom"/>
          </w:tcPr>
          <w:p>
            <w:pPr>
              <w:ind w:left="340"/>
              <w:spacing w:after="0"/>
              <w:rPr>
                <w:sz w:val="20"/>
                <w:szCs w:val="20"/>
                <w:color w:val="auto"/>
              </w:rPr>
            </w:pPr>
            <w:r>
              <w:rPr>
                <w:rFonts w:ascii="Arial" w:cs="Arial" w:eastAsia="Arial" w:hAnsi="Arial"/>
                <w:sz w:val="18"/>
                <w:szCs w:val="18"/>
                <w:color w:val="auto"/>
                <w:w w:val="89"/>
              </w:rPr>
              <w:t>Amendment 2008-1, dated as of March 6, 2008, to the Second Amended and Restated Employment Agreement, between the Company and</w:t>
            </w:r>
          </w:p>
        </w:tc>
      </w:tr>
      <w:tr>
        <w:trPr>
          <w:trHeight w:val="216"/>
        </w:trPr>
        <w:tc>
          <w:tcPr>
            <w:tcW w:w="9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w w:val="97"/>
              </w:rPr>
              <w:t>Stuart M. Essig (Incorporated by reference to Exhibit 10.12(c) to the Company’s Annual Report on Form 10-K for the year ended</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December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10.11(d)</w:t>
            </w:r>
          </w:p>
        </w:tc>
        <w:tc>
          <w:tcPr>
            <w:tcW w:w="10360" w:type="dxa"/>
            <w:vAlign w:val="bottom"/>
          </w:tcPr>
          <w:p>
            <w:pPr>
              <w:ind w:left="340"/>
              <w:spacing w:after="0"/>
              <w:rPr>
                <w:sz w:val="20"/>
                <w:szCs w:val="20"/>
                <w:color w:val="auto"/>
              </w:rPr>
            </w:pPr>
            <w:r>
              <w:rPr>
                <w:rFonts w:ascii="Arial" w:cs="Arial" w:eastAsia="Arial" w:hAnsi="Arial"/>
                <w:sz w:val="18"/>
                <w:szCs w:val="18"/>
                <w:color w:val="auto"/>
                <w:w w:val="88"/>
              </w:rPr>
              <w:t>Amendment 2008-2, dated as of August 6, 2008, to the Second Amended and Restated Employment Agreement between Stuart M. Essig and</w:t>
            </w:r>
          </w:p>
        </w:tc>
      </w:tr>
      <w:tr>
        <w:trPr>
          <w:trHeight w:val="216"/>
        </w:trPr>
        <w:tc>
          <w:tcPr>
            <w:tcW w:w="940" w:type="dxa"/>
            <w:vAlign w:val="bottom"/>
          </w:tcPr>
          <w:p>
            <w:pPr>
              <w:spacing w:after="0"/>
              <w:rPr>
                <w:sz w:val="18"/>
                <w:szCs w:val="18"/>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w w:val="91"/>
              </w:rPr>
              <w:t>the Company (Incorporated by reference to Exhibit 10.7 to the Company’s Quarterly Report on Form 10-Q for the quarter ended June 30,</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10.11(e)</w:t>
            </w:r>
          </w:p>
        </w:tc>
        <w:tc>
          <w:tcPr>
            <w:tcW w:w="10360" w:type="dxa"/>
            <w:vAlign w:val="bottom"/>
          </w:tcPr>
          <w:p>
            <w:pPr>
              <w:ind w:left="340"/>
              <w:spacing w:after="0"/>
              <w:rPr>
                <w:sz w:val="20"/>
                <w:szCs w:val="20"/>
                <w:color w:val="auto"/>
              </w:rPr>
            </w:pPr>
            <w:r>
              <w:rPr>
                <w:rFonts w:ascii="Arial" w:cs="Arial" w:eastAsia="Arial" w:hAnsi="Arial"/>
                <w:sz w:val="18"/>
                <w:szCs w:val="18"/>
                <w:color w:val="auto"/>
                <w:w w:val="89"/>
              </w:rPr>
              <w:t>Amendment 2009-1, dated as of April 13, 2009, to the Second Amended and Restated Employment Agreement between Stuart M. Essig and</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w w:val="99"/>
              </w:rPr>
              <w:t>the Company (Incorporated by reference to Exhibit 10.2 to the Company’s Current Report on Form 8-K filed on April 13,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10.11(f)</w:t>
            </w:r>
          </w:p>
        </w:tc>
        <w:tc>
          <w:tcPr>
            <w:tcW w:w="10360" w:type="dxa"/>
            <w:vAlign w:val="bottom"/>
          </w:tcPr>
          <w:p>
            <w:pPr>
              <w:ind w:left="340"/>
              <w:spacing w:after="0"/>
              <w:rPr>
                <w:sz w:val="20"/>
                <w:szCs w:val="20"/>
                <w:color w:val="auto"/>
              </w:rPr>
            </w:pPr>
            <w:r>
              <w:rPr>
                <w:rFonts w:ascii="Arial" w:cs="Arial" w:eastAsia="Arial" w:hAnsi="Arial"/>
                <w:sz w:val="18"/>
                <w:szCs w:val="18"/>
                <w:color w:val="auto"/>
                <w:w w:val="88"/>
              </w:rPr>
              <w:t>Letter Agreement dated May 17, 2011 between the Company and Stuart M. Essig (Incorporated by reference to Exhibit 10.1 to the Company’s</w:t>
            </w:r>
          </w:p>
        </w:tc>
      </w:tr>
      <w:tr>
        <w:trPr>
          <w:trHeight w:val="222"/>
        </w:trPr>
        <w:tc>
          <w:tcPr>
            <w:tcW w:w="940" w:type="dxa"/>
            <w:vAlign w:val="bottom"/>
          </w:tcPr>
          <w:p>
            <w:pPr>
              <w:spacing w:after="0"/>
              <w:rPr>
                <w:sz w:val="19"/>
                <w:szCs w:val="19"/>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Current Report on Form 8-K filed May 23, 2011)</w:t>
            </w:r>
          </w:p>
        </w:tc>
      </w:tr>
      <w:tr>
        <w:trPr>
          <w:trHeight w:val="365"/>
        </w:trPr>
        <w:tc>
          <w:tcPr>
            <w:tcW w:w="940" w:type="dxa"/>
            <w:vAlign w:val="bottom"/>
          </w:tcPr>
          <w:p>
            <w:pPr>
              <w:spacing w:after="0"/>
              <w:rPr>
                <w:sz w:val="24"/>
                <w:szCs w:val="24"/>
                <w:color w:val="auto"/>
              </w:rPr>
            </w:pPr>
          </w:p>
        </w:tc>
        <w:tc>
          <w:tcPr>
            <w:tcW w:w="10360" w:type="dxa"/>
            <w:vAlign w:val="bottom"/>
          </w:tcPr>
          <w:p>
            <w:pPr>
              <w:ind w:left="458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10.11(g)</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Letter dated December 20, 2011 from Stuart M. Essig to Integra LifeSciences Holdings Corporation (Incorporated by reference to Exhibit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10.3 to the Company’s Current Report on Form 8-K filed December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Indemnity letter agreement dated December 27, 1997 from the Company to Stuart M. Essig (Incorporated by reference to Exhibit 10.5 to the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10.13(a)</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Registration Rights Provisions for Stuart M. Essig (Incorporated by reference to Exhibit B of Exhibit 10.1 to the Company’s Current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10.13(b)</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Registration Rights Provisions for Stuart M. Essig (Incorporated by reference to Exhibit 10.2 to the Company’s Current Report on Form 8-K</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10.13(c)</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Registration Rights Provisions for Stuart M. Essig (Incorporated by reference to Exhibit B of Exhibit 10.1 to the Company’s Quarterly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10-Q for the quarter ended September 30,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10.14(a)</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Amended and Restated 2005 Employment Agreement between John B. Henneman, III and the Company dated December 19, 2005</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10.16 to the Company’s Annual Report on Form 10-K for the year ended December 31,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10.14(b)</w:t>
            </w:r>
          </w:p>
        </w:tc>
        <w:tc>
          <w:tcPr>
            <w:tcW w:w="10380" w:type="dxa"/>
            <w:vAlign w:val="bottom"/>
          </w:tcPr>
          <w:p>
            <w:pPr>
              <w:ind w:left="340"/>
              <w:spacing w:after="0"/>
              <w:rPr>
                <w:sz w:val="20"/>
                <w:szCs w:val="20"/>
                <w:color w:val="auto"/>
              </w:rPr>
            </w:pPr>
            <w:r>
              <w:rPr>
                <w:rFonts w:ascii="Arial" w:cs="Arial" w:eastAsia="Arial" w:hAnsi="Arial"/>
                <w:sz w:val="18"/>
                <w:szCs w:val="18"/>
                <w:color w:val="auto"/>
                <w:w w:val="87"/>
              </w:rPr>
              <w:t>Amendment 2008-1, dated as of January 2, 2008, to the Amended and Restated 2005 Employment Agreement between John B. Henneman, III</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and the Company (Incorporated by reference to Exhibit 10.15(b) to the Company’s Annual Report on Form 10-K for the year ended December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10.14(c)</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Amendment 2008-2, dated as of December 18, 2008, to the Amended and Restated 2005 Employment Agreement between John B.</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Henneman, III and the Company (Incorporated by reference to Exhibit 10.2 to the Company’s Current Report on Form 8-K filed on December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10.14(d)</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Amendment 2009-1, dated as of April 13, 2009, to the Amended and Restated 2005 Employment Agreement between John B. Henneman, III</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and the Company (Incorporated by reference to Exhibit 10.5 to the Company’s Current Report on Form 8-K filed on April 13,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10.14(e)</w:t>
            </w:r>
          </w:p>
        </w:tc>
        <w:tc>
          <w:tcPr>
            <w:tcW w:w="10380" w:type="dxa"/>
            <w:vAlign w:val="bottom"/>
          </w:tcPr>
          <w:p>
            <w:pPr>
              <w:ind w:left="340"/>
              <w:spacing w:after="0"/>
              <w:rPr>
                <w:sz w:val="20"/>
                <w:szCs w:val="20"/>
                <w:color w:val="auto"/>
              </w:rPr>
            </w:pPr>
            <w:r>
              <w:rPr>
                <w:rFonts w:ascii="Arial" w:cs="Arial" w:eastAsia="Arial" w:hAnsi="Arial"/>
                <w:sz w:val="18"/>
                <w:szCs w:val="18"/>
                <w:color w:val="auto"/>
                <w:w w:val="97"/>
              </w:rPr>
              <w:t>Amendment 2010-1, dated as of October 12, 2010, to the Amended and Restated 2005 Employment Agreement between John B.</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Henneman, III and the Company (Incorporated by reference to Exhibit 10.3 to the Company’s Current Report on Form 8-K filed October 12,</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10.14(f)</w:t>
            </w:r>
          </w:p>
        </w:tc>
        <w:tc>
          <w:tcPr>
            <w:tcW w:w="10380" w:type="dxa"/>
            <w:vAlign w:val="bottom"/>
          </w:tcPr>
          <w:p>
            <w:pPr>
              <w:ind w:left="340"/>
              <w:spacing w:after="0"/>
              <w:rPr>
                <w:sz w:val="20"/>
                <w:szCs w:val="20"/>
                <w:color w:val="auto"/>
              </w:rPr>
            </w:pPr>
            <w:r>
              <w:rPr>
                <w:rFonts w:ascii="Arial" w:cs="Arial" w:eastAsia="Arial" w:hAnsi="Arial"/>
                <w:sz w:val="18"/>
                <w:szCs w:val="18"/>
                <w:color w:val="auto"/>
                <w:w w:val="96"/>
              </w:rPr>
              <w:t>Letter dated as of February 22, 2012 from John B. Henneman, III to the Company (Incorporated by reference to Exhibit 10.1 to the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February 22,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Consulting Agreement, dated October 12, 2010, between Integra LifeSciences Holdings Corporation and Inception Surgical (Incorporated by</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reference to Exhibit 10.1 to the Company’s Current Report on Form 8-K filed on October 12,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10.16(a)</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Severance Agreement between Judith O’Grady and the Company dated as of January 4, 2010 (Incorporated by reference to Exhibit 10.17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Company’s Annual Report on Form 10-K for the year ended December 31,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10.16(b)</w:t>
            </w:r>
          </w:p>
        </w:tc>
        <w:tc>
          <w:tcPr>
            <w:tcW w:w="10380" w:type="dxa"/>
            <w:vAlign w:val="bottom"/>
          </w:tcPr>
          <w:p>
            <w:pPr>
              <w:ind w:left="340"/>
              <w:spacing w:after="0"/>
              <w:rPr>
                <w:sz w:val="20"/>
                <w:szCs w:val="20"/>
                <w:color w:val="auto"/>
              </w:rPr>
            </w:pPr>
            <w:r>
              <w:rPr>
                <w:rFonts w:ascii="Arial" w:cs="Arial" w:eastAsia="Arial" w:hAnsi="Arial"/>
                <w:sz w:val="18"/>
                <w:szCs w:val="18"/>
                <w:color w:val="auto"/>
                <w:w w:val="87"/>
              </w:rPr>
              <w:t>Severance Agreement between Judith O’Grady and the Company dated as of January 3, 2011 (Incorporated by reference to Exhibit 10.17(a)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Company’s Annual Report on Form 10-K for the year ended December 31, 2010)*</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10.16(c)</w:t>
            </w:r>
          </w:p>
        </w:tc>
        <w:tc>
          <w:tcPr>
            <w:tcW w:w="10380" w:type="dxa"/>
            <w:vAlign w:val="bottom"/>
          </w:tcPr>
          <w:p>
            <w:pPr>
              <w:ind w:left="340"/>
              <w:spacing w:after="0"/>
              <w:rPr>
                <w:sz w:val="20"/>
                <w:szCs w:val="20"/>
                <w:color w:val="auto"/>
              </w:rPr>
            </w:pPr>
            <w:r>
              <w:rPr>
                <w:rFonts w:ascii="Arial" w:cs="Arial" w:eastAsia="Arial" w:hAnsi="Arial"/>
                <w:sz w:val="18"/>
                <w:szCs w:val="18"/>
                <w:color w:val="auto"/>
              </w:rPr>
              <w:t>Severance Agreement between Judith O’Grady and the Company dated as of January 3,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10.17(a)</w:t>
            </w:r>
          </w:p>
        </w:tc>
        <w:tc>
          <w:tcPr>
            <w:tcW w:w="10380" w:type="dxa"/>
            <w:vAlign w:val="bottom"/>
          </w:tcPr>
          <w:p>
            <w:pPr>
              <w:ind w:left="340"/>
              <w:spacing w:after="0"/>
              <w:rPr>
                <w:sz w:val="20"/>
                <w:szCs w:val="20"/>
                <w:color w:val="auto"/>
              </w:rPr>
            </w:pPr>
            <w:r>
              <w:rPr>
                <w:rFonts w:ascii="Arial" w:cs="Arial" w:eastAsia="Arial" w:hAnsi="Arial"/>
                <w:sz w:val="18"/>
                <w:szCs w:val="18"/>
                <w:color w:val="auto"/>
                <w:w w:val="98"/>
              </w:rPr>
              <w:t>Employment Agreement, dated as of October 12, 2010, between Peter J. Arduini and Integra LifeSciences Holdings Corporation</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10.2 to the Company’s Current Report on Form 8-K filed October 12,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10.17(b)</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Amended and Restated Employment Agreement dated December 20, 2011 between Peter J. Arduini and Integra LifeSciences Holdings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8"/>
              </w:rPr>
              <w:t>Corporation (Incorporated by reference to Exhibit 10.1 to the Company’s Current Report on Form 8-K filed December 23, 2011)*</w:t>
            </w:r>
          </w:p>
        </w:tc>
      </w:tr>
      <w:tr>
        <w:trPr>
          <w:trHeight w:val="365"/>
        </w:trPr>
        <w:tc>
          <w:tcPr>
            <w:tcW w:w="9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Form of Notice of Stock Option Grant with Eight-Year Term for Peter J. Arduini (Incorporated by reference to Exhibit 10.2 to the Company’s</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Current Report on Form 8-K filed December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10.19(a)</w:t>
            </w:r>
          </w:p>
        </w:tc>
        <w:tc>
          <w:tcPr>
            <w:tcW w:w="10420" w:type="dxa"/>
            <w:vAlign w:val="bottom"/>
          </w:tcPr>
          <w:p>
            <w:pPr>
              <w:ind w:left="320"/>
              <w:spacing w:after="0"/>
              <w:rPr>
                <w:sz w:val="20"/>
                <w:szCs w:val="20"/>
                <w:color w:val="auto"/>
              </w:rPr>
            </w:pPr>
            <w:r>
              <w:rPr>
                <w:rFonts w:ascii="Arial" w:cs="Arial" w:eastAsia="Arial" w:hAnsi="Arial"/>
                <w:sz w:val="18"/>
                <w:szCs w:val="18"/>
                <w:color w:val="auto"/>
                <w:w w:val="89"/>
              </w:rPr>
              <w:t>Lease Contract, dated April 1, 2005, between the Puerto Rico Industrial Development Company and Integra CI, Inc. (executed on September</w:t>
            </w:r>
          </w:p>
        </w:tc>
      </w:tr>
      <w:tr>
        <w:trPr>
          <w:trHeight w:val="216"/>
        </w:trPr>
        <w:tc>
          <w:tcPr>
            <w:tcW w:w="94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15, 2006) (Incorporated by reference to Exhibit 10.3 to the Company’s Quarterly Report on Form 10-Q for the quarter ended September 30,</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10.19(b)</w:t>
            </w: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Amendment to Lease Contract dated as of November 2, 2011, between Integra CI, Inc. and Puerto Rico Industrial Development Company</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Restricted Units Agreement dated December 27, 1997 between the Company and Stuart M. Essig (Incorporated by reference to Exhibit 10.3 to</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the Company’s Current Report 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Stock Option Grant and Agreement dated December 22, 2000 between the Company and Stuart M. Essig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4.1 to the Company’s Current Report on Form 8-K 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Stock Option Grant and Agreement dated December 22, 2000 between the Company and Stuart M. Essig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4.2 to the Company’s Current Report on Form 8-K 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10.23(a)</w:t>
            </w:r>
          </w:p>
        </w:tc>
        <w:tc>
          <w:tcPr>
            <w:tcW w:w="10420" w:type="dxa"/>
            <w:vAlign w:val="bottom"/>
          </w:tcPr>
          <w:p>
            <w:pPr>
              <w:ind w:left="320"/>
              <w:spacing w:after="0"/>
              <w:rPr>
                <w:sz w:val="20"/>
                <w:szCs w:val="20"/>
                <w:color w:val="auto"/>
              </w:rPr>
            </w:pPr>
            <w:r>
              <w:rPr>
                <w:rFonts w:ascii="Arial" w:cs="Arial" w:eastAsia="Arial" w:hAnsi="Arial"/>
                <w:sz w:val="18"/>
                <w:szCs w:val="18"/>
                <w:color w:val="auto"/>
                <w:w w:val="89"/>
              </w:rPr>
              <w:t>Restricted Units Agreement dated December 22, 2000 between the Company and Stuart M. Essig (Incorporated by reference to Exhibit 4.3 to</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10.23(b)</w:t>
            </w:r>
          </w:p>
        </w:tc>
        <w:tc>
          <w:tcPr>
            <w:tcW w:w="10420" w:type="dxa"/>
            <w:vAlign w:val="bottom"/>
          </w:tcPr>
          <w:p>
            <w:pPr>
              <w:ind w:left="320"/>
              <w:spacing w:after="0"/>
              <w:rPr>
                <w:sz w:val="20"/>
                <w:szCs w:val="20"/>
                <w:color w:val="auto"/>
              </w:rPr>
            </w:pPr>
            <w:r>
              <w:rPr>
                <w:rFonts w:ascii="Arial" w:cs="Arial" w:eastAsia="Arial" w:hAnsi="Arial"/>
                <w:sz w:val="18"/>
                <w:szCs w:val="18"/>
                <w:color w:val="auto"/>
                <w:w w:val="94"/>
              </w:rPr>
              <w:t>Amendment 2006-1, dated as of October 30, 2006, to the Stuart M. Essig Restricted Units Agreement dated as of December 22, 2000</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Stock Option Grant and Agreement dated July 27, 2004 between the Company and Stuart M. Essig (Incorporated by reference to Exhibit 10.30</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to the Company’s Annual 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10.25(a)</w:t>
            </w: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Contract Stock/Restricted Units Agreement dated July 27, 2004 between the Company and Stuart M. Essig (Incorporated by reference to</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Exhibit 10.31 to the Company’s Annual 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10.25(b)</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Amendment 2006-1, dated as of October 30, 2006, to the Stuart M. Essig Contract Stock/Restricted Units Agreement dated as of July 27, 2004</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10.2 to the Company’s Current Report on Form 8-K filed on November 3,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10.25(c)</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Amendment 2008-1, dated as of March 6, 2008, to the Stuart M. Essig Contract Stock/Restricted Units Agreement dated as of July 27, 2004</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4"/>
              </w:rPr>
              <w:t>(Incorporated by reference to Exhibit 10.25(c) to the Company’s Annual Report on Form 10-K for the year ended December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10.25(d)</w:t>
            </w: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Amendment 2011-1, dated as of May 17, 2011, to the Stuart M. Essig Contract Stock/Restricted Units Agreement dated as of July 24, 2004</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10.6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Form of Amendment 2011-1 to Contract Stock/Restricted Units Agreements between the Company and Mr. Essig (Incorporated by reference to</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Exhibit 10.5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Contract Stock/Units Agreement dated as of May 17, 2011 between the Company and Stuart M. Essig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10.2 to the Company’s Current Report on Form 8-K fled on May 23, 2011)</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Form of Stock Option Grant and Agreement between the Company and Stuart M. Essig (Incorporated by reference to Exhibit 10.32 to the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10.29(a)</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Form of Contract Stock/Restricted Units Agreement for Stuart M. Essig (Incorporated by reference to Exhibit 10.8 to the Company’s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10.29(b)</w:t>
            </w:r>
          </w:p>
        </w:tc>
        <w:tc>
          <w:tcPr>
            <w:tcW w:w="10380" w:type="dxa"/>
            <w:vAlign w:val="bottom"/>
          </w:tcPr>
          <w:p>
            <w:pPr>
              <w:ind w:left="340"/>
              <w:spacing w:after="0"/>
              <w:rPr>
                <w:sz w:val="20"/>
                <w:szCs w:val="20"/>
                <w:color w:val="auto"/>
              </w:rPr>
            </w:pPr>
            <w:r>
              <w:rPr>
                <w:rFonts w:ascii="Arial" w:cs="Arial" w:eastAsia="Arial" w:hAnsi="Arial"/>
                <w:sz w:val="18"/>
                <w:szCs w:val="18"/>
                <w:color w:val="auto"/>
                <w:w w:val="94"/>
              </w:rPr>
              <w:t>New Form of Contract Stock/Restricted Units Agreement (for Annual Equity Awards) for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10.29(c)</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Amendment 2011-1 to Contract Stock/Restricted Units Agreement betweeen the Company and Mr. Essig (Incorporated by reference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to Exhibit 10.4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Form of Performance Stock Agreement for Stuart M. Essig (Incorporated by reference to Exhibit 10.9 to the Company’s Quarterly Report on</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Form 10-Q for the quarter ended June 30,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Restricted Stock Agreement for Stuart M. Essig for 2009 (Incorporated by reference to Exhibit 10.3 to the Company’s Current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8-K filed April 13,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New Form of Contract Stock/Restricted Units Agreement (for 2011) Annual Equity Award for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10.3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Form of Notice of Grant of Stock Option and Stock Option Agreement (Incorporated by reference to Exhibit 10.1 to the Company’s Current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Report on Form 8-K filed on July 29,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380" w:type="dxa"/>
            <w:vAlign w:val="bottom"/>
          </w:tcPr>
          <w:p>
            <w:pPr>
              <w:ind w:left="340"/>
              <w:spacing w:after="0"/>
              <w:rPr>
                <w:sz w:val="20"/>
                <w:szCs w:val="20"/>
                <w:color w:val="auto"/>
              </w:rPr>
            </w:pPr>
            <w:r>
              <w:rPr>
                <w:rFonts w:ascii="Arial" w:cs="Arial" w:eastAsia="Arial" w:hAnsi="Arial"/>
                <w:sz w:val="18"/>
                <w:szCs w:val="18"/>
                <w:color w:val="auto"/>
                <w:w w:val="94"/>
              </w:rPr>
              <w:t>Form of Non-Qualified Stock Option Agreement (Non-Directors) (Incorporated by reference to Exhibit 10.35 to the Company’s Annual</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Form of Incentive Stock Option Agreement (Incorporated by reference to Exhibit 10.36 to the Company’s Annual Report on Form 10-K for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Form of Non-Qualified Stock Option Agreement (Directors) (Incorporated by reference to Exhibit 10.37 to the Company’s Annual Report on</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10.37(a)</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Compensation of Directors of the Company effective July 9, 2008 (Incorporated by reference to Exhibit 10.1 to the Company’s Current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8-K filed on July 11,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10.37(b)</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Compensation of Directors of the Company effective May 17, 2011 (Incorporated by reference to Exhibit 10.1 to the Company’s Current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Report on Form 8-K filed on December 16,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10.38(a)</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Restricted Stock Agreement for Non-Employee Directors under the Integra LifeSciences Holdings Corporation 2003 Equity Incentive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Plan (Incorporated by reference to Exhibit 10.2 to the Company’s Current Report on Form 8-K filed on May 17,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10.38(b)</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Restricted Stock Agreement for Non-Employee Directors under the Integra LifeSciences Holdings Corporation 2003 Equity Incentive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Plan (Incorporated by reference to Exhibit 10.4 to the Company’s Quarterly Report on Form 10-Q for the quarter ended June 30,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10.38(c)</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New Form of Restricted Stock Agreement for Non-Employee Directors under the Integra LifeSciences Holdings Corporation 2003 Equity</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8"/>
              </w:rPr>
              <w:t>Incentive Plan (Incorporated by reference to Exhibit 10.1 to the Company’s Current Report on Form 8-K filed on April 13, 2009)*</w:t>
            </w:r>
          </w:p>
        </w:tc>
      </w:tr>
      <w:tr>
        <w:trPr>
          <w:trHeight w:val="365"/>
        </w:trPr>
        <w:tc>
          <w:tcPr>
            <w:tcW w:w="9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10.39(a)</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Form of Restricted Stock Agreement for Executive Officers — Cliff Vesting (Incorporated by reference to Exhibit 10.1 to the Company’s</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Current Report on Form 8-K filed on January 9, 2006)*</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10.39(b)</w:t>
            </w:r>
          </w:p>
        </w:tc>
        <w:tc>
          <w:tcPr>
            <w:tcW w:w="10300" w:type="dxa"/>
            <w:vAlign w:val="bottom"/>
          </w:tcPr>
          <w:p>
            <w:pPr>
              <w:ind w:left="380"/>
              <w:spacing w:after="0"/>
              <w:rPr>
                <w:sz w:val="20"/>
                <w:szCs w:val="20"/>
                <w:color w:val="auto"/>
              </w:rPr>
            </w:pPr>
            <w:r>
              <w:rPr>
                <w:rFonts w:ascii="Arial" w:cs="Arial" w:eastAsia="Arial" w:hAnsi="Arial"/>
                <w:sz w:val="18"/>
                <w:szCs w:val="18"/>
                <w:color w:val="auto"/>
                <w:w w:val="94"/>
              </w:rPr>
              <w:t>New Form of Restricted Stock Agreement for Executive Officers — Annual Vesting (Incorporated by reference to Exhibit 10.1 to the</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February 25,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10.39(c)</w:t>
            </w:r>
          </w:p>
        </w:tc>
        <w:tc>
          <w:tcPr>
            <w:tcW w:w="10300" w:type="dxa"/>
            <w:vAlign w:val="bottom"/>
          </w:tcPr>
          <w:p>
            <w:pPr>
              <w:ind w:left="380"/>
              <w:spacing w:after="0"/>
              <w:rPr>
                <w:sz w:val="20"/>
                <w:szCs w:val="20"/>
                <w:color w:val="auto"/>
              </w:rPr>
            </w:pPr>
            <w:r>
              <w:rPr>
                <w:rFonts w:ascii="Arial" w:cs="Arial" w:eastAsia="Arial" w:hAnsi="Arial"/>
                <w:sz w:val="18"/>
                <w:szCs w:val="18"/>
                <w:color w:val="auto"/>
                <w:w w:val="95"/>
              </w:rPr>
              <w:t>New Form of Restricted Stock Agreement with Cliff Vesting for Executive Officers (Incorporated by reference to Exhibit 10.8 to the</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Company’s Quarter Report on Form 10-Q for the quarter ended March 31,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10.39(d)</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Form of Restricted Stock Agreement for Mr. Henneman for 2008 and 2009 (Incorporated by reference to Exhibit 10.6 to the Company’s</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Current Report on Form 8-K filed on April 13,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10.39(e)</w:t>
            </w:r>
          </w:p>
        </w:tc>
        <w:tc>
          <w:tcPr>
            <w:tcW w:w="10300" w:type="dxa"/>
            <w:vAlign w:val="bottom"/>
          </w:tcPr>
          <w:p>
            <w:pPr>
              <w:ind w:left="380"/>
              <w:spacing w:after="0"/>
              <w:rPr>
                <w:sz w:val="20"/>
                <w:szCs w:val="20"/>
                <w:color w:val="auto"/>
              </w:rPr>
            </w:pPr>
            <w:r>
              <w:rPr>
                <w:rFonts w:ascii="Arial" w:cs="Arial" w:eastAsia="Arial" w:hAnsi="Arial"/>
                <w:sz w:val="18"/>
                <w:szCs w:val="18"/>
                <w:color w:val="auto"/>
                <w:w w:val="89"/>
              </w:rPr>
              <w:t>Form of Contract Stock/Restricted Units Agreement for Mr. Henneman (Incorporated by reference to Exhibit 10.4 to the Company’s Current</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8-K filed on December 24, 2008)*</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10.39(f)</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Form of Option Agreement among Integra LifeSciences Holdings Corporation and John B. Henneman, III (Incorporated by reference to</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June 6, 2008)*</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10.39(g)</w:t>
            </w:r>
          </w:p>
        </w:tc>
        <w:tc>
          <w:tcPr>
            <w:tcW w:w="10300" w:type="dxa"/>
            <w:vAlign w:val="bottom"/>
          </w:tcPr>
          <w:p>
            <w:pPr>
              <w:ind w:left="380"/>
              <w:spacing w:after="0"/>
              <w:rPr>
                <w:sz w:val="20"/>
                <w:szCs w:val="20"/>
                <w:color w:val="auto"/>
              </w:rPr>
            </w:pPr>
            <w:r>
              <w:rPr>
                <w:rFonts w:ascii="Arial" w:cs="Arial" w:eastAsia="Arial" w:hAnsi="Arial"/>
                <w:sz w:val="18"/>
                <w:szCs w:val="18"/>
                <w:color w:val="auto"/>
                <w:w w:val="89"/>
              </w:rPr>
              <w:t>Form of Restricted Stock Agreement for John B. Henneman, III (Incorporated by reference to Exhibit 10.1 to the Company’s Current Report</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on Form 8-K filed on February 27, 2007)*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10.39(h)</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10.1 to the Company’s Current</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8-K filed on March 21, 2007)*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10.39(i)</w:t>
            </w:r>
          </w:p>
        </w:tc>
        <w:tc>
          <w:tcPr>
            <w:tcW w:w="10300" w:type="dxa"/>
            <w:vAlign w:val="bottom"/>
          </w:tcPr>
          <w:p>
            <w:pPr>
              <w:ind w:left="380"/>
              <w:spacing w:after="0"/>
              <w:rPr>
                <w:sz w:val="20"/>
                <w:szCs w:val="20"/>
                <w:color w:val="auto"/>
              </w:rPr>
            </w:pPr>
            <w:r>
              <w:rPr>
                <w:rFonts w:ascii="Arial" w:cs="Arial" w:eastAsia="Arial" w:hAnsi="Arial"/>
                <w:sz w:val="18"/>
                <w:szCs w:val="18"/>
                <w:color w:val="auto"/>
                <w:w w:val="90"/>
              </w:rPr>
              <w:t>Form of Performance Stock Agreement for John B. Henneman, III (Incorporated by reference to Exhibit 10.37(b) to the Company’s Annual</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10.39(j)</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Form of Contract Stock/Restricted Units Agreement (for Signing Grant) for Mr. Arduini (Incorporated by reference to Exhibit 10.4 to the</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10.39(k)</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Form of Contract Stock/Restricted Units Agreement (for Annual Equity Awards) for Mr. Arduini (Incorporated by reference to Exhibit 10.5</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10.39(l)</w:t>
            </w:r>
          </w:p>
        </w:tc>
        <w:tc>
          <w:tcPr>
            <w:tcW w:w="10300" w:type="dxa"/>
            <w:vAlign w:val="bottom"/>
          </w:tcPr>
          <w:p>
            <w:pPr>
              <w:ind w:left="380"/>
              <w:spacing w:after="0"/>
              <w:rPr>
                <w:sz w:val="20"/>
                <w:szCs w:val="20"/>
                <w:color w:val="auto"/>
              </w:rPr>
            </w:pPr>
            <w:r>
              <w:rPr>
                <w:rFonts w:ascii="Arial" w:cs="Arial" w:eastAsia="Arial" w:hAnsi="Arial"/>
                <w:sz w:val="18"/>
                <w:szCs w:val="18"/>
                <w:color w:val="auto"/>
                <w:w w:val="94"/>
              </w:rPr>
              <w:t>Form of Non-Qualified Stock Option Agreement for Mr. Arduini (Incorporated by reference to Exhibit 10.6 to the Company’s Current</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Report on Form 8-K filed on October 12,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10.39(m)</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Form of Restricted Stock Agreement for Mr. Henneman (Incorporated by reference to Exhibit 10.7 to the Company’s Current Report on</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Form 8-K filed on October 12, 2010)*</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10.39(n)</w:t>
            </w:r>
          </w:p>
        </w:tc>
        <w:tc>
          <w:tcPr>
            <w:tcW w:w="10300" w:type="dxa"/>
            <w:vAlign w:val="bottom"/>
          </w:tcPr>
          <w:p>
            <w:pPr>
              <w:ind w:left="380"/>
              <w:spacing w:after="0"/>
              <w:rPr>
                <w:sz w:val="20"/>
                <w:szCs w:val="20"/>
                <w:color w:val="auto"/>
              </w:rPr>
            </w:pPr>
            <w:r>
              <w:rPr>
                <w:rFonts w:ascii="Arial" w:cs="Arial" w:eastAsia="Arial" w:hAnsi="Arial"/>
                <w:sz w:val="18"/>
                <w:szCs w:val="18"/>
                <w:color w:val="auto"/>
              </w:rPr>
              <w:t>Form of Restricted Stock Agreement (Annual Vesting) for Mr. Henneman *+</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10.40</w:t>
            </w:r>
          </w:p>
        </w:tc>
        <w:tc>
          <w:tcPr>
            <w:tcW w:w="10300" w:type="dxa"/>
            <w:vAlign w:val="bottom"/>
          </w:tcPr>
          <w:p>
            <w:pPr>
              <w:ind w:left="380"/>
              <w:spacing w:after="0"/>
              <w:rPr>
                <w:sz w:val="20"/>
                <w:szCs w:val="20"/>
                <w:color w:val="auto"/>
              </w:rPr>
            </w:pPr>
            <w:r>
              <w:rPr>
                <w:rFonts w:ascii="Arial" w:cs="Arial" w:eastAsia="Arial" w:hAnsi="Arial"/>
                <w:sz w:val="18"/>
                <w:szCs w:val="18"/>
                <w:color w:val="auto"/>
                <w:w w:val="90"/>
              </w:rPr>
              <w:t>Asset Purchase Agreement, dated as of September 7, 2005, by and between Tyco Healthcare Group LP and Sherwood Services, AG and</w:t>
            </w:r>
          </w:p>
        </w:tc>
      </w:tr>
      <w:tr>
        <w:trPr>
          <w:trHeight w:val="216"/>
        </w:trPr>
        <w:tc>
          <w:tcPr>
            <w:tcW w:w="1020" w:type="dxa"/>
            <w:vAlign w:val="bottom"/>
          </w:tcPr>
          <w:p>
            <w:pPr>
              <w:spacing w:after="0"/>
              <w:rPr>
                <w:sz w:val="18"/>
                <w:szCs w:val="18"/>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Integra LifeSciences Corporation and Integra LifeSciences (Ireland) Limited (Incorporated by reference to Exhibit 10.1 to the Company’s</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Current Report on Form 8-K filed on September 13, 2005)</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10.41</w:t>
            </w:r>
          </w:p>
        </w:tc>
        <w:tc>
          <w:tcPr>
            <w:tcW w:w="10300" w:type="dxa"/>
            <w:vAlign w:val="bottom"/>
          </w:tcPr>
          <w:p>
            <w:pPr>
              <w:ind w:left="380"/>
              <w:spacing w:after="0"/>
              <w:rPr>
                <w:sz w:val="20"/>
                <w:szCs w:val="20"/>
                <w:color w:val="auto"/>
              </w:rPr>
            </w:pPr>
            <w:r>
              <w:rPr>
                <w:rFonts w:ascii="Arial" w:cs="Arial" w:eastAsia="Arial" w:hAnsi="Arial"/>
                <w:sz w:val="18"/>
                <w:szCs w:val="18"/>
                <w:color w:val="auto"/>
                <w:w w:val="87"/>
              </w:rPr>
              <w:t>Performance Stock Agreement by and between John B. Henneman, III and the Company dated January 3, 2006 (Incorporated by reference to</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Exhibit 10.42 to the Company’s Annual Report on Form 10-K for the year ended December 31, 2005)*</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10.42</w:t>
            </w:r>
          </w:p>
        </w:tc>
        <w:tc>
          <w:tcPr>
            <w:tcW w:w="10300" w:type="dxa"/>
            <w:vAlign w:val="bottom"/>
          </w:tcPr>
          <w:p>
            <w:pPr>
              <w:ind w:left="380"/>
              <w:spacing w:after="0"/>
              <w:rPr>
                <w:sz w:val="20"/>
                <w:szCs w:val="20"/>
                <w:color w:val="auto"/>
              </w:rPr>
            </w:pPr>
            <w:r>
              <w:rPr>
                <w:rFonts w:ascii="Arial" w:cs="Arial" w:eastAsia="Arial" w:hAnsi="Arial"/>
                <w:sz w:val="18"/>
                <w:szCs w:val="18"/>
                <w:color w:val="auto"/>
                <w:w w:val="98"/>
              </w:rPr>
              <w:t>Stock Purchase Agreement, dated as of April 19, 2006, by and between ASP/Miltex LLC and Integra LifeSciences Corporation</w:t>
            </w:r>
          </w:p>
        </w:tc>
      </w:tr>
      <w:tr>
        <w:trPr>
          <w:trHeight w:val="222"/>
        </w:trPr>
        <w:tc>
          <w:tcPr>
            <w:tcW w:w="1020" w:type="dxa"/>
            <w:vAlign w:val="bottom"/>
          </w:tcPr>
          <w:p>
            <w:pPr>
              <w:spacing w:after="0"/>
              <w:rPr>
                <w:sz w:val="19"/>
                <w:szCs w:val="19"/>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10.1 to the Company’s Current Report on Form 8-K filed on April 25, 2006)</w:t>
            </w:r>
          </w:p>
        </w:tc>
      </w:tr>
      <w:tr>
        <w:trPr>
          <w:trHeight w:val="365"/>
        </w:trPr>
        <w:tc>
          <w:tcPr>
            <w:tcW w:w="1020" w:type="dxa"/>
            <w:vAlign w:val="bottom"/>
          </w:tcPr>
          <w:p>
            <w:pPr>
              <w:spacing w:after="0"/>
              <w:rPr>
                <w:sz w:val="24"/>
                <w:szCs w:val="24"/>
                <w:color w:val="auto"/>
              </w:rPr>
            </w:pPr>
          </w:p>
        </w:tc>
        <w:tc>
          <w:tcPr>
            <w:tcW w:w="10300" w:type="dxa"/>
            <w:vAlign w:val="bottom"/>
          </w:tcPr>
          <w:p>
            <w:pPr>
              <w:ind w:left="450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Stock Agreement and Plan of Merger, dated as of June 30, 2006, by and between Integra LifeSciences Corporation, Integra California, Inc.,</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Kinetikos Medical, Inc., Telegraph Hill Partners Management LLC, as Shareholders Representative, and the Shareholders party thereto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the Company’s Current Report on Form 8-K filed on July 7,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10.44(a)</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Integra LifeSciences Holdings Corporation Management Incentive Compensation Plan (Incorporated by reference to Exhibit 10.1 to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Company’s Quarterly Report on Form 10-Q for the quarter ended September 30,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10.44(b)</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First Amendment to Integra LifeSciences Holdings Corporation Management Incentive Compensation Plan (Incorporated by reference 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Exhibit 10.5 to the Company’s Quarterly Report on Form 10-Q for the quarter ended March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10.44(c)</w:t>
            </w: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Integra LifeSciences Holdings Corporation Management Incentive Compensation Plan, as amended and restated as of January 1, 2008</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10.43(c) to the Company’s Annual Report on Form 10-K for the year ended December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10.45</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Form of 2010 Convertible Bond Hedge Transaction Confirmation, dated June 6, 2007, between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10.46</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Form of 2012 Convertible Bond Hedge Transaction Confirmation, dated June 6, 2007, between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10.47</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Form of 2010 Amended and Restated Issuer Warrant Transaction Confirmation, dated June 6, 2007, between Integra LifeSciences Holdings</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Corporation and dealer (Incorporated by reference to Exhibit 10.3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10.48</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Form of 2012 Amended and Restated Issuer Warrant Transaction Confirmation, dated June 6, 2007, between Integra LifeSciences Holdings</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Corporation and dealer (Incorporated by reference to Exhibit 10.4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10.49</w:t>
            </w:r>
          </w:p>
        </w:tc>
        <w:tc>
          <w:tcPr>
            <w:tcW w:w="10340" w:type="dxa"/>
            <w:vAlign w:val="bottom"/>
          </w:tcPr>
          <w:p>
            <w:pPr>
              <w:ind w:left="34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regarding the Base Call Option Transaction (Incorporated by reference to Exhibit 10.1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10.50</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Call Option Transaction (Incorporated by reference to Exhibit 10.2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10.51</w:t>
            </w:r>
          </w:p>
        </w:tc>
        <w:tc>
          <w:tcPr>
            <w:tcW w:w="10340" w:type="dxa"/>
            <w:vAlign w:val="bottom"/>
          </w:tcPr>
          <w:p>
            <w:pPr>
              <w:ind w:left="34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Base Call Option Transaction (Incorporated by reference to Exhibit 10.3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10.52</w:t>
            </w: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regarding the Base Call Option Transaction (Incorporated by reference to Exhibit 10.4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10.53</w:t>
            </w:r>
          </w:p>
        </w:tc>
        <w:tc>
          <w:tcPr>
            <w:tcW w:w="10340" w:type="dxa"/>
            <w:vAlign w:val="bottom"/>
          </w:tcPr>
          <w:p>
            <w:pPr>
              <w:ind w:left="34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regarding the Base Warrant Transaction (Incorporated by reference to Exhibit 10.5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10.54</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Warrant Transaction (Incorporated by reference to Exhibit 10.6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10.55</w:t>
            </w:r>
          </w:p>
        </w:tc>
        <w:tc>
          <w:tcPr>
            <w:tcW w:w="10340" w:type="dxa"/>
            <w:vAlign w:val="bottom"/>
          </w:tcPr>
          <w:p>
            <w:pPr>
              <w:ind w:left="34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Base Warrant Transaction (Incorporated by reference to Exhibit 10.7 to the Company’s Form 8-K filed on June 15, 2011)</w:t>
            </w:r>
          </w:p>
        </w:tc>
      </w:tr>
      <w:tr>
        <w:trPr>
          <w:trHeight w:val="365"/>
        </w:trPr>
        <w:tc>
          <w:tcPr>
            <w:tcW w:w="94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10.56</w:t>
            </w: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regarding the Base Warrant Transaction (Incorporated by reference to Exhibit 10.8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10.57</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regarding the Additional Call Option Transaction (Incorporated by reference to Exhibit 10.9 to the Company’s Form 8-K filed on June 15,</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10.58</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6"/>
              </w:rPr>
              <w:t>Additional Call Option Transaction (Incorporated by reference to Exhibit 10.10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10.59</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4"/>
              </w:rPr>
              <w:t>the Additional Call Option Transaction (Incorporated by reference to Exhibit 10.11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10.60</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regarding the Additional Call Option Transaction (Incorporated by reference to Exhibit 10.12 to the Company’s Form 8-K filed on June 15,</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10.61</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Letter Agreement, dated June 14, 2011, between Deutsche Bank AG, London Branch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regarding the Additional Warrant Transaction (Incorporated by reference to Exhibit 10.13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10.62</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Letter Agreement, dated June 14, 2011, between Royal Bank of Canada and Integra LifeSciences Holdings Corporation, regarding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9"/>
              </w:rPr>
              <w:t>Additional Warrant Transaction (Incorporated by reference to Exhibit 10.14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10.63</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6"/>
              </w:rPr>
              <w:t>the Additional Warrant Transaction (Incorporated by reference to Exhibit 10.15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10.64</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Letter Agreement, dated June 14, 2011, between Wells Fargo Bank, National Association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regarding the Additional Warrant Transaction (Incorporated by reference to Exhibit 10.16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10.65</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Unit Purchase Agreement, dated as of July 23, 2008, by and among Integra LifeSciences Holdings Corporation, Theken Spine LLC, Randall</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R. Theken and the other members of Theken Spine, LLC party thereto (Incorporated by reference to Exhibit 10.1 to the Company’s Current</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Report on Form 8-K filed on July 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10.66</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Form of Indemnification Agreement for Non-Employee Directors and Officers (Incorporated by reference to Exhibit 10.1 to the Company’s</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Current Report on Form 8-K filed on December 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10.67</w:t>
            </w:r>
          </w:p>
        </w:tc>
        <w:tc>
          <w:tcPr>
            <w:tcW w:w="10340" w:type="dxa"/>
            <w:vAlign w:val="bottom"/>
          </w:tcPr>
          <w:p>
            <w:pPr>
              <w:ind w:left="340"/>
              <w:spacing w:after="0"/>
              <w:rPr>
                <w:sz w:val="20"/>
                <w:szCs w:val="20"/>
                <w:color w:val="auto"/>
              </w:rPr>
            </w:pPr>
            <w:r>
              <w:rPr>
                <w:rFonts w:ascii="Arial" w:cs="Arial" w:eastAsia="Arial" w:hAnsi="Arial"/>
                <w:sz w:val="18"/>
                <w:szCs w:val="18"/>
                <w:color w:val="auto"/>
                <w:w w:val="87"/>
              </w:rPr>
              <w:t>Piggyback Registration Rights Agreement dated December 22, 2008 between Integra LifeSciences Holdings Corporation and George Heenan,</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Thomas Gilliam and Michael Evers, as trustees of The Bruce A. LeVahn 2008 Trust and Steven M. LeVahn (Incorporated by reference 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Exhibit 10.1 to the Company’s Current Report on Form 8-K filed on December 29,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10.68(a)</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Lease Agreement between 109 Morgan Lane, LLC and Integra LifeSciences Corporation, dated May 15, 2008 (Incorporated by reference 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10.68(b)</w:t>
            </w:r>
          </w:p>
        </w:tc>
        <w:tc>
          <w:tcPr>
            <w:tcW w:w="10340" w:type="dxa"/>
            <w:vAlign w:val="bottom"/>
          </w:tcPr>
          <w:p>
            <w:pPr>
              <w:ind w:left="340"/>
              <w:spacing w:after="0"/>
              <w:rPr>
                <w:sz w:val="20"/>
                <w:szCs w:val="20"/>
                <w:color w:val="auto"/>
              </w:rPr>
            </w:pPr>
            <w:r>
              <w:rPr>
                <w:rFonts w:ascii="Arial" w:cs="Arial" w:eastAsia="Arial" w:hAnsi="Arial"/>
                <w:sz w:val="18"/>
                <w:szCs w:val="18"/>
                <w:color w:val="auto"/>
                <w:w w:val="95"/>
              </w:rPr>
              <w:t>First Amendment to Lease Agreement between 109 Morgan Lane, LLC and Integra LifeSciences Corporation, dated March 9, 2009</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10.9 to the Company’s Quarterly Report on Form 10-Q for the quarter ended March 31, 2009)</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21</w:t>
            </w:r>
          </w:p>
        </w:tc>
        <w:tc>
          <w:tcPr>
            <w:tcW w:w="10340" w:type="dxa"/>
            <w:vAlign w:val="bottom"/>
          </w:tcPr>
          <w:p>
            <w:pPr>
              <w:ind w:left="340"/>
              <w:spacing w:after="0"/>
              <w:rPr>
                <w:sz w:val="20"/>
                <w:szCs w:val="20"/>
                <w:color w:val="auto"/>
              </w:rPr>
            </w:pPr>
            <w:r>
              <w:rPr>
                <w:rFonts w:ascii="Arial" w:cs="Arial" w:eastAsia="Arial" w:hAnsi="Arial"/>
                <w:sz w:val="18"/>
                <w:szCs w:val="18"/>
                <w:color w:val="auto"/>
              </w:rPr>
              <w:t>Subsidiaries of the Company+</w:t>
            </w:r>
          </w:p>
        </w:tc>
      </w:tr>
      <w:tr>
        <w:trPr>
          <w:trHeight w:val="365"/>
        </w:trPr>
        <w:tc>
          <w:tcPr>
            <w:tcW w:w="940" w:type="dxa"/>
            <w:vAlign w:val="bottom"/>
          </w:tcPr>
          <w:p>
            <w:pPr>
              <w:spacing w:after="0"/>
              <w:rPr>
                <w:sz w:val="24"/>
                <w:szCs w:val="24"/>
                <w:color w:val="auto"/>
              </w:rPr>
            </w:pPr>
          </w:p>
        </w:tc>
        <w:tc>
          <w:tcPr>
            <w:tcW w:w="10340" w:type="dxa"/>
            <w:vAlign w:val="bottom"/>
          </w:tcPr>
          <w:p>
            <w:pPr>
              <w:ind w:left="458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ind w:left="100"/>
              <w:spacing w:after="0"/>
              <w:rPr>
                <w:sz w:val="20"/>
                <w:szCs w:val="20"/>
                <w:color w:val="auto"/>
              </w:rPr>
            </w:pPr>
            <w:r>
              <w:rPr>
                <w:rFonts w:ascii="Arial" w:cs="Arial" w:eastAsia="Arial" w:hAnsi="Arial"/>
                <w:sz w:val="18"/>
                <w:szCs w:val="18"/>
                <w:color w:val="auto"/>
              </w:rPr>
              <w:t>23</w:t>
            </w:r>
          </w:p>
        </w:tc>
        <w:tc>
          <w:tcPr>
            <w:tcW w:w="10200" w:type="dxa"/>
            <w:vAlign w:val="bottom"/>
          </w:tcPr>
          <w:p>
            <w:pPr>
              <w:ind w:left="360"/>
              <w:spacing w:after="0"/>
              <w:rPr>
                <w:sz w:val="20"/>
                <w:szCs w:val="20"/>
                <w:color w:val="auto"/>
              </w:rPr>
            </w:pPr>
            <w:r>
              <w:rPr>
                <w:rFonts w:ascii="Arial" w:cs="Arial" w:eastAsia="Arial" w:hAnsi="Arial"/>
                <w:sz w:val="18"/>
                <w:szCs w:val="18"/>
                <w:color w:val="auto"/>
              </w:rPr>
              <w:t>Consent of Pricewaterhouse Coopers LLP+</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200" w:type="dxa"/>
            <w:vAlign w:val="bottom"/>
          </w:tcPr>
          <w:p>
            <w:pPr>
              <w:ind w:left="36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99.1</w:t>
            </w:r>
          </w:p>
        </w:tc>
        <w:tc>
          <w:tcPr>
            <w:tcW w:w="10200" w:type="dxa"/>
            <w:vAlign w:val="bottom"/>
          </w:tcPr>
          <w:p>
            <w:pPr>
              <w:ind w:left="360"/>
              <w:spacing w:after="0"/>
              <w:rPr>
                <w:sz w:val="20"/>
                <w:szCs w:val="20"/>
                <w:color w:val="auto"/>
              </w:rPr>
            </w:pPr>
            <w:r>
              <w:rPr>
                <w:rFonts w:ascii="Arial" w:cs="Arial" w:eastAsia="Arial" w:hAnsi="Arial"/>
                <w:sz w:val="18"/>
                <w:szCs w:val="18"/>
                <w:color w:val="auto"/>
                <w:w w:val="88"/>
              </w:rPr>
              <w:t>Letter, dated December 21, 2011, from the United States Federal Drug Administration to Integra LifeSciences Corporation (Incorporated by</w:t>
            </w:r>
          </w:p>
        </w:tc>
      </w:tr>
      <w:tr>
        <w:trPr>
          <w:trHeight w:val="222"/>
        </w:trPr>
        <w:tc>
          <w:tcPr>
            <w:tcW w:w="1020" w:type="dxa"/>
            <w:vAlign w:val="bottom"/>
          </w:tcPr>
          <w:p>
            <w:pPr>
              <w:spacing w:after="0"/>
              <w:rPr>
                <w:sz w:val="19"/>
                <w:szCs w:val="19"/>
                <w:color w:val="auto"/>
              </w:rPr>
            </w:pPr>
          </w:p>
        </w:tc>
        <w:tc>
          <w:tcPr>
            <w:tcW w:w="10200" w:type="dxa"/>
            <w:vAlign w:val="bottom"/>
          </w:tcPr>
          <w:p>
            <w:pPr>
              <w:ind w:left="360"/>
              <w:spacing w:after="0"/>
              <w:rPr>
                <w:sz w:val="20"/>
                <w:szCs w:val="20"/>
                <w:color w:val="auto"/>
              </w:rPr>
            </w:pPr>
            <w:r>
              <w:rPr>
                <w:rFonts w:ascii="Arial" w:cs="Arial" w:eastAsia="Arial" w:hAnsi="Arial"/>
                <w:sz w:val="18"/>
                <w:szCs w:val="18"/>
                <w:color w:val="auto"/>
              </w:rPr>
              <w:t>reference to Exhibit 99.1 to the Company’s Current Report on Form 8-K filed on January 5, 2012)</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6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160" w:firstLine="8"/>
        <w:spacing w:after="0" w:line="286" w:lineRule="auto"/>
        <w:tabs>
          <w:tab w:leader="none" w:pos="2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 Indicates this document is filed as an exhibit herewith.</w:t>
      </w:r>
    </w:p>
    <w:p>
      <w:pPr>
        <w:ind w:left="220" w:hanging="216"/>
        <w:spacing w:after="0" w:line="281" w:lineRule="auto"/>
        <w:rPr>
          <w:rFonts w:ascii="Arial" w:cs="Arial" w:eastAsia="Arial" w:hAnsi="Arial"/>
          <w:sz w:val="16"/>
          <w:szCs w:val="16"/>
          <w:color w:val="auto"/>
        </w:rPr>
      </w:pPr>
      <w:r>
        <w:rPr>
          <w:rFonts w:ascii="Arial" w:cs="Arial" w:eastAsia="Arial" w:hAnsi="Arial"/>
          <w:sz w:val="16"/>
          <w:szCs w:val="16"/>
          <w:color w:val="auto"/>
        </w:rPr>
        <w:t># The financial information of Integra LifeSciences Holdings Corporation Annual Report on Form 10-K for the year ended December 31, 2011 filed on February 27, 2012 formatted in XBRL (Extensible Business Reporting Language): (i) the Consolidated Statements of Operations, (ii) the Consolidated Balance Sheets,</w:t>
      </w:r>
    </w:p>
    <w:p>
      <w:pPr>
        <w:spacing w:after="0" w:line="1" w:lineRule="exact"/>
        <w:rPr>
          <w:rFonts w:ascii="Arial" w:cs="Arial" w:eastAsia="Arial" w:hAnsi="Arial"/>
          <w:sz w:val="16"/>
          <w:szCs w:val="16"/>
          <w:color w:val="auto"/>
        </w:rPr>
      </w:pPr>
    </w:p>
    <w:p>
      <w:pPr>
        <w:ind w:left="220" w:right="280" w:firstLine="4"/>
        <w:spacing w:after="0" w:line="261" w:lineRule="auto"/>
        <w:tabs>
          <w:tab w:leader="none" w:pos="5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Parenthetical Data to the Consolidated Balance Sheets, (iv) the Consolidated Statements of Cash Flows, (v) the Consolidated Statements of Changes in Stockholders’ Equity, and (vi) Notes to Consolidated Financial Statements, is furnished electronically herewith.</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INTEGRA LIFESCIENCES HOLDINGS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w:t>
      </w:r>
    </w:p>
    <w:p>
      <w:pPr>
        <w:spacing w:after="0" w:line="168" w:lineRule="exact"/>
        <w:rPr>
          <w:sz w:val="20"/>
          <w:szCs w:val="20"/>
          <w:color w:val="auto"/>
        </w:rPr>
      </w:pPr>
    </w:p>
    <w:p>
      <w:pPr>
        <w:ind w:left="2080"/>
        <w:spacing w:after="0"/>
        <w:tabs>
          <w:tab w:leader="none" w:pos="7000" w:val="left"/>
          <w:tab w:leader="none" w:pos="103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400"/>
          </w:cols>
          <w:pgMar w:left="240" w:top="459" w:right="259" w:bottom="1440" w:gutter="0" w:footer="0" w:header="0"/>
        </w:sectPr>
      </w:pPr>
    </w:p>
    <w:p>
      <w:pPr>
        <w:spacing w:after="0" w:line="22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Peter J.Arduini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Peter J. Arduini</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John B. Henneman, III</w:t>
      </w:r>
    </w:p>
    <w:p>
      <w:pPr>
        <w:spacing w:after="0" w:line="200" w:lineRule="exact"/>
        <w:rPr>
          <w:sz w:val="20"/>
          <w:szCs w:val="20"/>
          <w:color w:val="auto"/>
        </w:rPr>
      </w:pPr>
    </w:p>
    <w:p>
      <w:pPr>
        <w:spacing w:after="0" w:line="25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Jerry E. Corbin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Jerry E. Corbin</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Stuart M. Essig</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/s/ Richard E. Caruso,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2975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Richard E. Caruso, Ph.D.</w:t>
      </w:r>
    </w:p>
    <w:p>
      <w:pPr>
        <w:spacing w:after="0" w:line="24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/s/ Thomas J. Baltimore,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975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Thomas J. Baltimore, Jr.</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Keith Bradley,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Keith Bradley, Ph.D.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Neal Moszkowski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Neal Moszkowski</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Raymond G.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Raymond G. Murphy</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Christian Schade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75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Christian Schade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88"/>
              </w:rPr>
              <w:t>President and Chief Executive Officer,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243"/>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and Director (Principal Executive Officer)</w:t>
            </w:r>
          </w:p>
        </w:tc>
        <w:tc>
          <w:tcPr>
            <w:tcW w:w="1880" w:type="dxa"/>
            <w:vAlign w:val="bottom"/>
          </w:tcPr>
          <w:p>
            <w:pPr>
              <w:spacing w:after="0"/>
              <w:rPr>
                <w:sz w:val="21"/>
                <w:szCs w:val="21"/>
                <w:color w:val="auto"/>
              </w:rPr>
            </w:pPr>
          </w:p>
        </w:tc>
      </w:tr>
      <w:tr>
        <w:trPr>
          <w:trHeight w:val="432"/>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87"/>
              </w:rPr>
              <w:t>Executive Vice President, Finance and</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237"/>
        </w:trPr>
        <w:tc>
          <w:tcPr>
            <w:tcW w:w="3660" w:type="dxa"/>
            <w:vAlign w:val="bottom"/>
          </w:tcPr>
          <w:p>
            <w:pPr>
              <w:jc w:val="center"/>
              <w:ind w:right="492"/>
              <w:spacing w:after="0"/>
              <w:rPr>
                <w:sz w:val="20"/>
                <w:szCs w:val="20"/>
                <w:color w:val="auto"/>
              </w:rPr>
            </w:pPr>
            <w:r>
              <w:rPr>
                <w:rFonts w:ascii="Arial" w:cs="Arial" w:eastAsia="Arial" w:hAnsi="Arial"/>
                <w:sz w:val="18"/>
                <w:szCs w:val="18"/>
                <w:color w:val="auto"/>
                <w:w w:val="91"/>
              </w:rPr>
              <w:t>Administration, and Chief Financial Officer</w:t>
            </w:r>
          </w:p>
        </w:tc>
        <w:tc>
          <w:tcPr>
            <w:tcW w:w="1880" w:type="dxa"/>
            <w:vAlign w:val="bottom"/>
          </w:tcPr>
          <w:p>
            <w:pPr>
              <w:spacing w:after="0"/>
              <w:rPr>
                <w:sz w:val="20"/>
                <w:szCs w:val="20"/>
                <w:color w:val="auto"/>
              </w:rPr>
            </w:pPr>
          </w:p>
        </w:tc>
      </w:tr>
      <w:tr>
        <w:trPr>
          <w:trHeight w:val="222"/>
        </w:trPr>
        <w:tc>
          <w:tcPr>
            <w:tcW w:w="3660" w:type="dxa"/>
            <w:vAlign w:val="bottom"/>
          </w:tcPr>
          <w:p>
            <w:pPr>
              <w:jc w:val="center"/>
              <w:ind w:right="492"/>
              <w:spacing w:after="0"/>
              <w:rPr>
                <w:sz w:val="20"/>
                <w:szCs w:val="20"/>
                <w:color w:val="auto"/>
              </w:rPr>
            </w:pPr>
            <w:r>
              <w:rPr>
                <w:rFonts w:ascii="Arial" w:cs="Arial" w:eastAsia="Arial" w:hAnsi="Arial"/>
                <w:sz w:val="18"/>
                <w:szCs w:val="18"/>
                <w:color w:val="auto"/>
                <w:w w:val="92"/>
              </w:rPr>
              <w:t>(Principal Financial Officer)</w:t>
            </w:r>
          </w:p>
        </w:tc>
        <w:tc>
          <w:tcPr>
            <w:tcW w:w="1880" w:type="dxa"/>
            <w:vAlign w:val="bottom"/>
          </w:tcPr>
          <w:p>
            <w:pPr>
              <w:spacing w:after="0"/>
              <w:rPr>
                <w:sz w:val="19"/>
                <w:szCs w:val="19"/>
                <w:color w:val="auto"/>
              </w:rPr>
            </w:pPr>
          </w:p>
        </w:tc>
      </w:tr>
      <w:tr>
        <w:trPr>
          <w:trHeight w:val="446"/>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88"/>
              </w:rPr>
              <w:t>Vice President and Corporate Controller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243"/>
        </w:trPr>
        <w:tc>
          <w:tcPr>
            <w:tcW w:w="3660" w:type="dxa"/>
            <w:vAlign w:val="bottom"/>
          </w:tcPr>
          <w:p>
            <w:pPr>
              <w:jc w:val="center"/>
              <w:ind w:right="492"/>
              <w:spacing w:after="0"/>
              <w:rPr>
                <w:sz w:val="20"/>
                <w:szCs w:val="20"/>
                <w:color w:val="auto"/>
              </w:rPr>
            </w:pPr>
            <w:r>
              <w:rPr>
                <w:rFonts w:ascii="Arial" w:cs="Arial" w:eastAsia="Arial" w:hAnsi="Arial"/>
                <w:sz w:val="18"/>
                <w:szCs w:val="18"/>
                <w:color w:val="auto"/>
                <w:w w:val="92"/>
              </w:rPr>
              <w:t>(Principal Accounting Officer)</w:t>
            </w:r>
          </w:p>
        </w:tc>
        <w:tc>
          <w:tcPr>
            <w:tcW w:w="1880" w:type="dxa"/>
            <w:vAlign w:val="bottom"/>
          </w:tcPr>
          <w:p>
            <w:pPr>
              <w:spacing w:after="0"/>
              <w:rPr>
                <w:sz w:val="21"/>
                <w:szCs w:val="21"/>
                <w:color w:val="auto"/>
              </w:rPr>
            </w:pPr>
          </w:p>
        </w:tc>
      </w:tr>
      <w:tr>
        <w:trPr>
          <w:trHeight w:val="432"/>
        </w:trPr>
        <w:tc>
          <w:tcPr>
            <w:tcW w:w="3660" w:type="dxa"/>
            <w:vAlign w:val="bottom"/>
          </w:tcPr>
          <w:p>
            <w:pPr>
              <w:jc w:val="center"/>
              <w:ind w:right="492"/>
              <w:spacing w:after="0"/>
              <w:rPr>
                <w:sz w:val="20"/>
                <w:szCs w:val="20"/>
                <w:color w:val="auto"/>
              </w:rPr>
            </w:pPr>
            <w:r>
              <w:rPr>
                <w:rFonts w:ascii="Arial" w:cs="Arial" w:eastAsia="Arial" w:hAnsi="Arial"/>
                <w:sz w:val="18"/>
                <w:szCs w:val="18"/>
                <w:color w:val="auto"/>
                <w:w w:val="89"/>
              </w:rPr>
              <w:t>Executive Chairman of the Board</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702"/>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675"/>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675"/>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675"/>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675"/>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675"/>
        </w:trPr>
        <w:tc>
          <w:tcPr>
            <w:tcW w:w="3660" w:type="dxa"/>
            <w:vAlign w:val="bottom"/>
          </w:tcPr>
          <w:p>
            <w:pPr>
              <w:jc w:val="center"/>
              <w:ind w:right="51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580"/>
              <w:spacing w:after="0"/>
              <w:rPr>
                <w:sz w:val="20"/>
                <w:szCs w:val="20"/>
                <w:color w:val="auto"/>
              </w:rPr>
            </w:pPr>
            <w:r>
              <w:rPr>
                <w:rFonts w:ascii="Arial" w:cs="Arial" w:eastAsia="Arial" w:hAnsi="Arial"/>
                <w:sz w:val="18"/>
                <w:szCs w:val="18"/>
                <w:color w:val="auto"/>
                <w:w w:val="86"/>
              </w:rPr>
              <w:t>February 27, 2012</w:t>
            </w:r>
          </w:p>
        </w:tc>
      </w:tr>
      <w:tr>
        <w:trPr>
          <w:trHeight w:val="581"/>
        </w:trPr>
        <w:tc>
          <w:tcPr>
            <w:tcW w:w="3660" w:type="dxa"/>
            <w:vAlign w:val="bottom"/>
          </w:tcPr>
          <w:p>
            <w:pPr>
              <w:jc w:val="right"/>
              <w:ind w:right="3392"/>
              <w:spacing w:after="0"/>
              <w:rPr>
                <w:sz w:val="20"/>
                <w:szCs w:val="20"/>
                <w:color w:val="auto"/>
              </w:rPr>
            </w:pPr>
            <w:r>
              <w:rPr>
                <w:rFonts w:ascii="Arial" w:cs="Arial" w:eastAsia="Arial" w:hAnsi="Arial"/>
                <w:sz w:val="18"/>
                <w:szCs w:val="18"/>
                <w:color w:val="auto"/>
                <w:w w:val="79"/>
              </w:rPr>
              <w:t>69</w:t>
            </w:r>
          </w:p>
        </w:tc>
        <w:tc>
          <w:tcPr>
            <w:tcW w:w="1880" w:type="dxa"/>
            <w:vAlign w:val="bottom"/>
          </w:tcPr>
          <w:p>
            <w:pPr>
              <w:spacing w:after="0"/>
              <w:rPr>
                <w:sz w:val="24"/>
                <w:szCs w:val="24"/>
                <w:color w:val="auto"/>
              </w:rPr>
            </w:pPr>
          </w:p>
        </w:tc>
      </w:tr>
    </w:tbl>
    <w:p>
      <w:pPr>
        <w:sectPr>
          <w:pgSz w:w="11900" w:h="16838" w:orient="portrait"/>
          <w:cols w:equalWidth="0" w:num="2">
            <w:col w:w="4900" w:space="720"/>
            <w:col w:w="5780"/>
          </w:cols>
          <w:pgMar w:left="240" w:top="45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4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0"/>
              </w:rPr>
              <w:t>Title</w:t>
            </w:r>
          </w:p>
        </w:tc>
        <w:tc>
          <w:tcPr>
            <w:tcW w:w="170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0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6"/>
        </w:trPr>
        <w:tc>
          <w:tcPr>
            <w:tcW w:w="4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James M. Sullivan</w:t>
            </w:r>
          </w:p>
        </w:tc>
        <w:tc>
          <w:tcPr>
            <w:tcW w:w="3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27, 2012</w:t>
            </w:r>
          </w:p>
        </w:tc>
      </w:tr>
      <w:tr>
        <w:trPr>
          <w:trHeight w:val="221"/>
        </w:trPr>
        <w:tc>
          <w:tcPr>
            <w:tcW w:w="4700" w:type="dxa"/>
            <w:vAlign w:val="bottom"/>
            <w:gridSpan w:val="3"/>
          </w:tcPr>
          <w:p>
            <w:pPr>
              <w:jc w:val="center"/>
              <w:spacing w:after="0"/>
              <w:rPr>
                <w:sz w:val="20"/>
                <w:szCs w:val="20"/>
                <w:color w:val="auto"/>
              </w:rPr>
            </w:pPr>
            <w:r>
              <w:rPr>
                <w:rFonts w:ascii="Arial" w:cs="Arial" w:eastAsia="Arial" w:hAnsi="Arial"/>
                <w:sz w:val="18"/>
                <w:szCs w:val="18"/>
                <w:color w:val="auto"/>
                <w:w w:val="88"/>
              </w:rPr>
              <w:t>James M. Sullivan</w:t>
            </w: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4"/>
        </w:trPr>
        <w:tc>
          <w:tcPr>
            <w:tcW w:w="4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Anne M. VanLent</w:t>
            </w:r>
          </w:p>
        </w:tc>
        <w:tc>
          <w:tcPr>
            <w:tcW w:w="3960" w:type="dxa"/>
            <w:vAlign w:val="bottom"/>
            <w:gridSpan w:val="3"/>
          </w:tcPr>
          <w:p>
            <w:pPr>
              <w:jc w:val="center"/>
              <w:ind w:left="852"/>
              <w:spacing w:after="0"/>
              <w:rPr>
                <w:sz w:val="20"/>
                <w:szCs w:val="20"/>
                <w:color w:val="auto"/>
              </w:rPr>
            </w:pPr>
            <w:r>
              <w:rPr>
                <w:rFonts w:ascii="Arial" w:cs="Arial" w:eastAsia="Arial" w:hAnsi="Arial"/>
                <w:sz w:val="18"/>
                <w:szCs w:val="18"/>
                <w:color w:val="auto"/>
                <w:w w:val="91"/>
              </w:rPr>
              <w:t>Director</w:t>
            </w:r>
          </w:p>
        </w:tc>
        <w:tc>
          <w:tcPr>
            <w:tcW w:w="250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February 27, 2012</w:t>
            </w:r>
          </w:p>
        </w:tc>
      </w:tr>
      <w:tr>
        <w:trPr>
          <w:trHeight w:val="221"/>
        </w:trPr>
        <w:tc>
          <w:tcPr>
            <w:tcW w:w="4700" w:type="dxa"/>
            <w:vAlign w:val="bottom"/>
            <w:gridSpan w:val="3"/>
          </w:tcPr>
          <w:p>
            <w:pPr>
              <w:jc w:val="center"/>
              <w:spacing w:after="0"/>
              <w:rPr>
                <w:sz w:val="20"/>
                <w:szCs w:val="20"/>
                <w:color w:val="auto"/>
              </w:rPr>
            </w:pPr>
            <w:r>
              <w:rPr>
                <w:rFonts w:ascii="Arial" w:cs="Arial" w:eastAsia="Arial" w:hAnsi="Arial"/>
                <w:sz w:val="18"/>
                <w:szCs w:val="18"/>
                <w:color w:val="auto"/>
                <w:w w:val="90"/>
              </w:rPr>
              <w:t>Anne M. VanLent</w:t>
            </w: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65"/>
        </w:trPr>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320" w:type="dxa"/>
            <w:vAlign w:val="bottom"/>
          </w:tcPr>
          <w:p>
            <w:pPr>
              <w:jc w:val="right"/>
              <w:ind w:right="1132"/>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Holdings Corporation:</w:t>
      </w:r>
    </w:p>
    <w:p>
      <w:pPr>
        <w:spacing w:after="0" w:line="165"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 xml:space="preserve">In our opinion, the consolidated balance sheets and the related consolidated statements of operations, changes in stockholders’ equity and cash flows present fairly, in all material respects, the financial position of Integra LifeSciences Holdings Corporation and its subsidiaries at December 31, 2011 and 2010, and the results of their operations and their cash flows for each of the three years in the period ended December 31, 2011 in conformity with accounting principles generally accepted in the United States of America. In addition, in our opinion, the financial statement Schedule II – Valuation and Qualifying Accounts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2011, based on criteria established in </w:t>
      </w:r>
      <w:r>
        <w:rPr>
          <w:rFonts w:ascii="Arial" w:cs="Arial" w:eastAsia="Arial" w:hAnsi="Arial"/>
          <w:sz w:val="15"/>
          <w:szCs w:val="15"/>
          <w:i w:val="1"/>
          <w:iCs w:val="1"/>
          <w:color w:val="auto"/>
        </w:rPr>
        <w:t xml:space="preserve">Internal Control — Integrated Framework </w:t>
      </w:r>
      <w:r>
        <w:rPr>
          <w:rFonts w:ascii="Arial" w:cs="Arial" w:eastAsia="Arial" w:hAnsi="Arial"/>
          <w:sz w:val="15"/>
          <w:szCs w:val="15"/>
          <w:color w:val="auto"/>
        </w:rPr>
        <w:t>issued by the Committee of Sponsoring Organizations of the Treadway Commission (COSO).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described in Management’s Report on Internal Control Over Financial Reporting, management has excluded SeaSpine, Inc. and Ascension Orthopedics, Inc. from its assessment of internal control over financial reporting as of December 31, 2011 because they were acquired by the Company in a purchase business combination during 2011. We have also excluded SeaSpine, Inc. and Ascension Orthopedics, Inc. from our audit of internal control over financial reporting. SeaSpine, Inc. and Ascension Orthopedics, Inc. are wholly owned entities of the Company whose total assets and total revenues represent approximately 2.9% and 1.5%, and 3.8% and 0.6%, respectively, of the related consolidated financial statement amounts as of and for the year ended December 31, 2011.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Years Ended 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85"/>
              </w:rPr>
              <w:t>(In thousands, except per share amounts)</w:t>
            </w: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780,078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732,068</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682,487</w:t>
            </w:r>
          </w:p>
        </w:tc>
      </w:tr>
      <w:tr>
        <w:trPr>
          <w:trHeight w:val="221"/>
        </w:trPr>
        <w:tc>
          <w:tcPr>
            <w:tcW w:w="6240" w:type="dxa"/>
            <w:vAlign w:val="bottom"/>
          </w:tcPr>
          <w:p>
            <w:pPr>
              <w:spacing w:after="0"/>
              <w:rPr>
                <w:sz w:val="20"/>
                <w:szCs w:val="20"/>
                <w:color w:val="auto"/>
              </w:rPr>
            </w:pPr>
            <w:r>
              <w:rPr>
                <w:rFonts w:ascii="Arial" w:cs="Arial" w:eastAsia="Arial" w:hAnsi="Arial"/>
                <w:sz w:val="18"/>
                <w:szCs w:val="18"/>
                <w:color w:val="auto"/>
              </w:rPr>
              <w:t>Costs and Expenses: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299,150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268,188</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244,918</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51,451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48,114</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44,280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358,132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305,055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281,102</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costs and expenses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725,166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633,374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584,663</w:t>
            </w:r>
          </w:p>
        </w:tc>
        <w:tc>
          <w:tcPr>
            <w:tcW w:w="100" w:type="dxa"/>
            <w:vAlign w:val="bottom"/>
            <w:shd w:val="clear" w:color="auto" w:fill="CCEEFF"/>
          </w:tcPr>
          <w:p>
            <w:pPr>
              <w:spacing w:after="0"/>
              <w:rPr>
                <w:sz w:val="18"/>
                <w:szCs w:val="18"/>
                <w:color w:val="auto"/>
              </w:rPr>
            </w:pPr>
          </w:p>
        </w:tc>
      </w:tr>
      <w:tr>
        <w:trPr>
          <w:trHeight w:val="221"/>
        </w:trPr>
        <w:tc>
          <w:tcPr>
            <w:tcW w:w="6240" w:type="dxa"/>
            <w:vAlign w:val="bottom"/>
          </w:tcPr>
          <w:p>
            <w:pPr>
              <w:spacing w:after="0"/>
              <w:rPr>
                <w:sz w:val="20"/>
                <w:szCs w:val="20"/>
                <w:color w:val="auto"/>
              </w:rPr>
            </w:pPr>
            <w:r>
              <w:rPr>
                <w:rFonts w:ascii="Arial" w:cs="Arial" w:eastAsia="Arial" w:hAnsi="Arial"/>
                <w:sz w:val="18"/>
                <w:szCs w:val="18"/>
                <w:color w:val="auto"/>
              </w:rPr>
              <w:t>Operating income</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98,694</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97,824</w:t>
            </w:r>
          </w:p>
        </w:tc>
      </w:tr>
      <w:tr>
        <w:trPr>
          <w:trHeight w:val="21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(27,640)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(18,356)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(23,227)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r>
      <w:tr>
        <w:trPr>
          <w:trHeight w:val="221"/>
        </w:trPr>
        <w:tc>
          <w:tcPr>
            <w:tcW w:w="6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82,114</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73,152</w:t>
            </w:r>
          </w:p>
        </w:tc>
        <w:tc>
          <w:tcPr>
            <w:tcW w:w="100" w:type="dxa"/>
            <w:vAlign w:val="bottom"/>
          </w:tcPr>
          <w:p>
            <w:pPr>
              <w:spacing w:after="0"/>
              <w:rPr>
                <w:sz w:val="19"/>
                <w:szCs w:val="19"/>
                <w:color w:val="auto"/>
              </w:rPr>
            </w:pPr>
          </w:p>
        </w:tc>
      </w:tr>
      <w:tr>
        <w:trPr>
          <w:trHeight w:val="218"/>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22,197</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27,989</w:t>
            </w: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65,669</w:t>
            </w:r>
          </w:p>
        </w:tc>
        <w:tc>
          <w:tcPr>
            <w:tcW w:w="5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50,955</w:t>
            </w:r>
          </w:p>
        </w:tc>
      </w:tr>
      <w:tr>
        <w:trPr>
          <w:trHeight w:val="20"/>
        </w:trPr>
        <w:tc>
          <w:tcPr>
            <w:tcW w:w="6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net income per common share</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Diluted net income per common share</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5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11):</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28,952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29,548</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29,038</w:t>
            </w: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513"/>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Trade accounts receivable, net of allowances of $6,978 and $7,322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118,129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35,284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452,257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444,849</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194,904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20" w:type="dxa"/>
            <w:vAlign w:val="bottom"/>
            <w:shd w:val="clear" w:color="auto" w:fill="CCEEFF"/>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1,144,109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1,019,133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Accounts payable, trade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201,857</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borrowings under senior credit facility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Long-term convertible securities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352,576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519,170</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$.01 par value; 60,000 authorized shares; 35,734 and 35,527 issued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607,676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552,231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8,903 and 6,994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(367,121)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(283,658)</w:t>
            </w: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Pension liability adjustment, net of tax</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gain on derivatives, net of tax</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499,963</w:t>
            </w:r>
          </w:p>
        </w:tc>
        <w:tc>
          <w:tcPr>
            <w:tcW w:w="120" w:type="dxa"/>
            <w:vAlign w:val="bottom"/>
            <w:shd w:val="clear" w:color="auto" w:fill="CCEEFF"/>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1,144,109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1,019,133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jc w:val="center"/>
              <w:ind w:left="453"/>
              <w:spacing w:after="0"/>
              <w:rPr>
                <w:sz w:val="20"/>
                <w:szCs w:val="20"/>
                <w:color w:val="auto"/>
              </w:rPr>
            </w:pPr>
            <w:r>
              <w:rPr>
                <w:rFonts w:ascii="Arial" w:cs="Arial" w:eastAsia="Arial" w:hAnsi="Arial"/>
                <w:sz w:val="14"/>
                <w:szCs w:val="14"/>
                <w:b w:val="1"/>
                <w:bCs w:val="1"/>
                <w:color w:val="auto"/>
                <w:w w:val="85"/>
              </w:rPr>
              <w:t>Years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27,989</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65,669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50,172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Deferred income tax provision (benefit)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Payment of accreted interest</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convertible note repurchases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 arrangements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Changes in assets and liabilities, net of business acquisitions: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accrued expenses and other current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105,571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143,235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Cash used in business acquisitions, net of cash acquired</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(151,951)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(37,138)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Purchases of intangible assets</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(190,376)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(42,316)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(88,352)</w:t>
            </w: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senior credit facility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Repayments under senior credit facility</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(213,437)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(16,875)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liability component of convertible notes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186,830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Proceeds from equity component of convertible notes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stock purchase warrants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Purchase of option hedge on convertible notes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(42,895)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liability component of convertible notes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(71,351)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(8,064)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(6,796)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(31,278)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Proceeds from exercised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(171,342)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(27,955)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(111,655)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128,763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100,808</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128,763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92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Treasury</w:t>
            </w:r>
          </w:p>
        </w:tc>
        <w:tc>
          <w:tcPr>
            <w:tcW w:w="30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gridSpan w:val="2"/>
          </w:tcPr>
          <w:p>
            <w:pPr>
              <w:jc w:val="center"/>
              <w:ind w:right="72"/>
              <w:spacing w:after="0" w:line="122"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jc w:val="right"/>
              <w:ind w:right="520"/>
              <w:spacing w:after="0" w:line="122"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Paid-In</w:t>
            </w:r>
          </w:p>
        </w:tc>
        <w:tc>
          <w:tcPr>
            <w:tcW w:w="200" w:type="dxa"/>
            <w:vAlign w:val="bottom"/>
          </w:tcPr>
          <w:p>
            <w:pPr>
              <w:spacing w:after="0"/>
              <w:rPr>
                <w:sz w:val="10"/>
                <w:szCs w:val="10"/>
                <w:color w:val="auto"/>
              </w:rPr>
            </w:pPr>
          </w:p>
        </w:tc>
        <w:tc>
          <w:tcPr>
            <w:tcW w:w="100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w w:val="93"/>
              </w:rPr>
              <w:t>Comprehensive</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2"/>
                <w:szCs w:val="2"/>
                <w:color w:val="auto"/>
              </w:rPr>
            </w:pPr>
          </w:p>
        </w:tc>
        <w:tc>
          <w:tcPr>
            <w:tcW w:w="800" w:type="dxa"/>
            <w:vAlign w:val="bottom"/>
            <w:gridSpan w:val="2"/>
            <w:vMerge w:val="restart"/>
          </w:tcPr>
          <w:p>
            <w:pPr>
              <w:jc w:val="right"/>
              <w:ind w:right="280"/>
              <w:spacing w:after="0" w:line="136" w:lineRule="exact"/>
              <w:rPr>
                <w:sz w:val="20"/>
                <w:szCs w:val="20"/>
                <w:color w:val="auto"/>
              </w:rPr>
            </w:pPr>
            <w:r>
              <w:rPr>
                <w:rFonts w:ascii="Arial" w:cs="Arial" w:eastAsia="Arial" w:hAnsi="Arial"/>
                <w:sz w:val="14"/>
                <w:szCs w:val="14"/>
                <w:b w:val="1"/>
                <w:bCs w:val="1"/>
                <w:color w:val="auto"/>
                <w:w w:val="84"/>
              </w:rPr>
              <w:t>Retained</w:t>
            </w:r>
          </w:p>
        </w:tc>
        <w:tc>
          <w:tcPr>
            <w:tcW w:w="80" w:type="dxa"/>
            <w:vAlign w:val="bottom"/>
          </w:tcPr>
          <w:p>
            <w:pPr>
              <w:spacing w:after="0"/>
              <w:rPr>
                <w:sz w:val="2"/>
                <w:szCs w:val="2"/>
                <w:color w:val="auto"/>
              </w:rPr>
            </w:pPr>
          </w:p>
        </w:tc>
        <w:tc>
          <w:tcPr>
            <w:tcW w:w="52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Shares</w:t>
            </w:r>
          </w:p>
        </w:tc>
        <w:tc>
          <w:tcPr>
            <w:tcW w:w="2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Earnings</w:t>
            </w:r>
          </w:p>
        </w:tc>
        <w:tc>
          <w:tcPr>
            <w:tcW w:w="6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34,134</w:t>
            </w:r>
          </w:p>
        </w:tc>
        <w:tc>
          <w:tcPr>
            <w:tcW w:w="5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(6,136)</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$(252,380)</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502,787</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w:t>
            </w:r>
          </w:p>
        </w:tc>
        <w:tc>
          <w:tcPr>
            <w:tcW w:w="1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$ 116,206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372,309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50,955</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50,955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Minimum pension liability adjustment, net of tax</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derivatives, net of tax</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7"/>
              </w:rPr>
              <w:t>54,505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through employee benefit plans</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3,145</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14,938</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14,938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equity component of convertible debt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2009</w:t>
            </w: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34,740</w:t>
            </w:r>
          </w:p>
        </w:tc>
        <w:tc>
          <w:tcPr>
            <w:tcW w:w="28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347</w:t>
            </w:r>
          </w:p>
        </w:tc>
        <w:tc>
          <w:tcPr>
            <w:tcW w:w="28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(6,136)</w:t>
            </w:r>
          </w:p>
        </w:tc>
        <w:tc>
          <w:tcPr>
            <w:tcW w:w="86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$(252,380)</w:t>
            </w:r>
          </w:p>
        </w:tc>
        <w:tc>
          <w:tcPr>
            <w:tcW w:w="300" w:type="dxa"/>
            <w:vAlign w:val="bottom"/>
          </w:tcPr>
          <w:p>
            <w:pPr>
              <w:ind w:left="240"/>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520,852</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8,905</w:t>
            </w:r>
          </w:p>
        </w:tc>
        <w:tc>
          <w:tcPr>
            <w:tcW w:w="160" w:type="dxa"/>
            <w:vAlign w:val="bottom"/>
          </w:tcPr>
          <w:p>
            <w:pPr>
              <w:spacing w:after="0"/>
              <w:rPr>
                <w:sz w:val="13"/>
                <w:szCs w:val="13"/>
                <w:color w:val="auto"/>
              </w:rPr>
            </w:pPr>
          </w:p>
        </w:tc>
        <w:tc>
          <w:tcPr>
            <w:tcW w:w="940" w:type="dxa"/>
            <w:vAlign w:val="bottom"/>
            <w:gridSpan w:val="3"/>
          </w:tcPr>
          <w:p>
            <w:pPr>
              <w:jc w:val="right"/>
              <w:ind w:right="280"/>
              <w:spacing w:after="0" w:line="155" w:lineRule="exact"/>
              <w:rPr>
                <w:sz w:val="20"/>
                <w:szCs w:val="20"/>
                <w:color w:val="auto"/>
              </w:rPr>
            </w:pPr>
            <w:r>
              <w:rPr>
                <w:rFonts w:ascii="Arial" w:cs="Arial" w:eastAsia="Arial" w:hAnsi="Arial"/>
                <w:sz w:val="14"/>
                <w:szCs w:val="14"/>
                <w:color w:val="auto"/>
              </w:rPr>
              <w:t>$ 167,161</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2"/>
              </w:rPr>
              <w:t>444,885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65,669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65,669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(10,616)</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(10,616)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adjustment, net of tax</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Unrealized loss on derivatives, net of tax</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140" w:type="dxa"/>
            <w:vAlign w:val="bottom"/>
          </w:tcPr>
          <w:p>
            <w:pPr>
              <w:spacing w:after="0"/>
              <w:rPr>
                <w:sz w:val="13"/>
                <w:szCs w:val="13"/>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income</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54,969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through employee benefit plans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787</w:t>
            </w: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10,610</w:t>
            </w:r>
          </w:p>
        </w:tc>
        <w:tc>
          <w:tcPr>
            <w:tcW w:w="200" w:type="dxa"/>
            <w:vAlign w:val="bottom"/>
          </w:tcPr>
          <w:p>
            <w:pPr>
              <w:spacing w:after="0" w:line="20" w:lineRule="exact"/>
              <w:rPr>
                <w:sz w:val="1"/>
                <w:szCs w:val="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w w:val="97"/>
              </w:rPr>
              <w:t>10,618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20,769</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20,769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w:t>
            </w:r>
          </w:p>
        </w:tc>
        <w:tc>
          <w:tcPr>
            <w:tcW w:w="8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(31,278)</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(31,278)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35,527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(6,994)</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$(283,658)</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552,231</w:t>
            </w:r>
          </w:p>
        </w:tc>
        <w:tc>
          <w:tcPr>
            <w:tcW w:w="2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(1,795)</w:t>
            </w:r>
          </w:p>
        </w:tc>
        <w:tc>
          <w:tcPr>
            <w:tcW w:w="9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$ 232,830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499,963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27,989</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27,989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(5,624)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Minimum pension liability adjustment, net of tax</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derivatives, net of tax</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ind w:left="200"/>
              <w:spacing w:after="0" w:line="155" w:lineRule="exact"/>
              <w:rPr>
                <w:sz w:val="20"/>
                <w:szCs w:val="20"/>
                <w:color w:val="auto"/>
              </w:rPr>
            </w:pPr>
            <w:r>
              <w:rPr>
                <w:rFonts w:ascii="Arial" w:cs="Arial" w:eastAsia="Arial" w:hAnsi="Arial"/>
                <w:sz w:val="14"/>
                <w:szCs w:val="14"/>
                <w:color w:val="auto"/>
              </w:rPr>
              <w:t>Total comprehensive income</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20,691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8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Proceeds from equity component on convertible notes</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43,170</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97"/>
              </w:rPr>
              <w:t>43,170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Proceeds from sale of stock purchase warrants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28,451</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28,451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option hedge on convertible notes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(42,895)</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(42,895)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Equity portion of convertible notes issuance costs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(1,334)</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through employee benefit plans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374</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27,679</w:t>
            </w:r>
          </w:p>
        </w:tc>
        <w:tc>
          <w:tcPr>
            <w:tcW w:w="2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27,679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(1,909)</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(83,463)</w:t>
            </w:r>
          </w:p>
        </w:tc>
        <w:tc>
          <w:tcPr>
            <w:tcW w:w="30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(83,463)</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2011</w:t>
            </w: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35,734</w:t>
            </w:r>
          </w:p>
        </w:tc>
        <w:tc>
          <w:tcPr>
            <w:tcW w:w="280" w:type="dxa"/>
            <w:vAlign w:val="bottom"/>
          </w:tcPr>
          <w:p>
            <w:pPr>
              <w:spacing w:after="0"/>
              <w:rPr>
                <w:sz w:val="13"/>
                <w:szCs w:val="13"/>
                <w:color w:val="auto"/>
              </w:rPr>
            </w:pPr>
          </w:p>
        </w:tc>
        <w:tc>
          <w:tcPr>
            <w:tcW w:w="2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357</w:t>
            </w:r>
          </w:p>
        </w:tc>
        <w:tc>
          <w:tcPr>
            <w:tcW w:w="280" w:type="dxa"/>
            <w:vAlign w:val="bottom"/>
          </w:tcPr>
          <w:p>
            <w:pPr>
              <w:spacing w:after="0"/>
              <w:rPr>
                <w:sz w:val="13"/>
                <w:szCs w:val="13"/>
                <w:color w:val="auto"/>
              </w:rPr>
            </w:pP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4"/>
              </w:rPr>
              <w:t>(8,903)</w:t>
            </w:r>
          </w:p>
        </w:tc>
        <w:tc>
          <w:tcPr>
            <w:tcW w:w="860" w:type="dxa"/>
            <w:vAlign w:val="bottom"/>
            <w:gridSpan w:val="3"/>
          </w:tcPr>
          <w:p>
            <w:pPr>
              <w:jc w:val="right"/>
              <w:ind w:right="2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(367,121)</w:t>
            </w:r>
          </w:p>
        </w:tc>
        <w:tc>
          <w:tcPr>
            <w:tcW w:w="300" w:type="dxa"/>
            <w:vAlign w:val="bottom"/>
          </w:tcPr>
          <w:p>
            <w:pPr>
              <w:ind w:left="240"/>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607,676</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(9,093)</w:t>
            </w:r>
          </w:p>
        </w:tc>
        <w:tc>
          <w:tcPr>
            <w:tcW w:w="940" w:type="dxa"/>
            <w:vAlign w:val="bottom"/>
            <w:gridSpan w:val="3"/>
          </w:tcPr>
          <w:p>
            <w:pPr>
              <w:jc w:val="right"/>
              <w:ind w:right="280"/>
              <w:spacing w:after="0" w:line="155" w:lineRule="exact"/>
              <w:rPr>
                <w:sz w:val="20"/>
                <w:szCs w:val="20"/>
                <w:color w:val="auto"/>
              </w:rPr>
            </w:pPr>
            <w:r>
              <w:rPr>
                <w:rFonts w:ascii="Arial" w:cs="Arial" w:eastAsia="Arial" w:hAnsi="Arial"/>
                <w:sz w:val="14"/>
                <w:szCs w:val="14"/>
                <w:color w:val="auto"/>
              </w:rPr>
              <w:t>$ 260,819</w:t>
            </w: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2"/>
              </w:rPr>
              <w:t>492,638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Integra LifeSciences Holdings Corporation (the “Company”) was incorporated in Delaware in 1989. The Company, a world leader in medical devices, is dedicated to limiting uncertainty for surgeons through the development, manufacturing, and marketing of cost-effective surgical implants and medical instruments. Its products are used primarily in neurosurgery, extremity reconstruction, orthopedics and general surgery.</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sells its products directly through various sales forces and through a variety of other distribution channels.</w:t>
      </w:r>
    </w:p>
    <w:p>
      <w:pPr>
        <w:spacing w:after="0" w:line="206" w:lineRule="exact"/>
        <w:rPr>
          <w:sz w:val="20"/>
          <w:szCs w:val="20"/>
          <w:color w:val="auto"/>
        </w:rPr>
      </w:pPr>
    </w:p>
    <w:p>
      <w:pPr>
        <w:ind w:right="6500" w:firstLine="8"/>
        <w:spacing w:after="0" w:line="347" w:lineRule="auto"/>
        <w:tabs>
          <w:tab w:leader="none" w:pos="33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These financial statements and the accompanying notes are prepared in accordance with accounting principles generally accepted in the United States of America and conform to Regulation S-X under the Securities Exchange Act of 1934, as amended.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the Company and its subsidiaries, all of which are wholly owned. All significant intercompany accounts and transactions are eliminated in consolidation. See Note 3, “Acquisitions,” for details of new subsidiaries included in the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and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short term, highly liquid investments purchased with original maturities of three months or less to be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ALLOWANCES FOR DOUBTFUL ACCOUNTS RECEIVABLE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evaluates the collectability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that the receivable will not be recovered.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Inventories, consisting of purchased materials, direct labor and manufacturing overhead, are stated at the lower of cost, the value determined by the first-in, first-out method, or market. Inventories consisted of the following:</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68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8440" w:type="dxa"/>
            <w:vAlign w:val="bottom"/>
          </w:tcPr>
          <w:p>
            <w:pPr>
              <w:spacing w:after="0"/>
              <w:rPr>
                <w:sz w:val="12"/>
                <w:szCs w:val="12"/>
                <w:color w:val="auto"/>
              </w:rPr>
            </w:pPr>
          </w:p>
        </w:tc>
        <w:tc>
          <w:tcPr>
            <w:tcW w:w="1960" w:type="dxa"/>
            <w:vAlign w:val="bottom"/>
            <w:gridSpan w:val="4"/>
          </w:tcPr>
          <w:p>
            <w:pPr>
              <w:jc w:val="right"/>
              <w:ind w:right="47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Work in process</w:t>
            </w:r>
          </w:p>
        </w:tc>
        <w:tc>
          <w:tcPr>
            <w:tcW w:w="680" w:type="dxa"/>
            <w:vAlign w:val="bottom"/>
          </w:tcPr>
          <w:p>
            <w:pPr>
              <w:jc w:val="right"/>
              <w:spacing w:after="0"/>
              <w:rPr>
                <w:sz w:val="20"/>
                <w:szCs w:val="20"/>
                <w:color w:val="auto"/>
              </w:rPr>
            </w:pPr>
            <w:r>
              <w:rPr>
                <w:rFonts w:ascii="Arial" w:cs="Arial" w:eastAsia="Arial" w:hAnsi="Arial"/>
                <w:sz w:val="18"/>
                <w:szCs w:val="18"/>
                <w:color w:val="auto"/>
              </w:rPr>
              <w:t>36,070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31,536</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27,884</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ind w:left="220"/>
              <w:spacing w:after="0"/>
              <w:rPr>
                <w:sz w:val="20"/>
                <w:szCs w:val="20"/>
                <w:color w:val="auto"/>
              </w:rPr>
            </w:pPr>
            <w:r>
              <w:rPr>
                <w:rFonts w:ascii="Arial" w:cs="Arial" w:eastAsia="Arial" w:hAnsi="Arial"/>
                <w:sz w:val="18"/>
                <w:szCs w:val="18"/>
                <w:color w:val="auto"/>
              </w:rPr>
              <w:t>Total inventories, net</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171,261</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146,928</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At each balance sheet date, the Company evaluates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No such amounts were capitalized at December 31, 2011 or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balances and corresponding lives were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Useful Lives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6,964</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4"/>
              </w:rPr>
              <w:t>5-40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38,102</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1-20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Machinery and production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96,692</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w w:val="94"/>
              </w:rPr>
              <w:t>3-20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office equipment and information systems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45,406</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1-15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20,137</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252,174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210,027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(120,791)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(110,571)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Depreciation expense associated with property, plant and equipment was $25.5 million, $21.3 million and $18.8 million for the years ended December 31, 2011, 2010 and 2009,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No impairment of goodwill has been identified during any of the periods presented.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in 2011 and 2010 were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88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$261,928</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Goodwill, beginning of year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Ascension Orthopedics, Inc. acquisition</w:t>
            </w:r>
          </w:p>
        </w:tc>
        <w:tc>
          <w:tcPr>
            <w:tcW w:w="680" w:type="dxa"/>
            <w:vAlign w:val="bottom"/>
          </w:tcPr>
          <w:p>
            <w:pPr>
              <w:jc w:val="right"/>
              <w:spacing w:after="0"/>
              <w:rPr>
                <w:sz w:val="20"/>
                <w:szCs w:val="20"/>
                <w:color w:val="auto"/>
              </w:rPr>
            </w:pPr>
            <w:r>
              <w:rPr>
                <w:rFonts w:ascii="Arial" w:cs="Arial" w:eastAsia="Arial" w:hAnsi="Arial"/>
                <w:sz w:val="18"/>
                <w:szCs w:val="18"/>
                <w:color w:val="auto"/>
              </w:rPr>
              <w:t>15,909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SeaSpine Inc. acquisition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Integra Spine acquisition, earnout payment</w:t>
            </w: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Welch Allyn, Inc. acquisition</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Integra Neurosciences Pty Ltd., earnout payment</w:t>
            </w:r>
          </w:p>
        </w:tc>
        <w:tc>
          <w:tcPr>
            <w:tcW w:w="680" w:type="dxa"/>
            <w:vAlign w:val="bottom"/>
          </w:tcPr>
          <w:p>
            <w:pPr>
              <w:jc w:val="right"/>
              <w:spacing w:after="0"/>
              <w:rPr>
                <w:sz w:val="20"/>
                <w:szCs w:val="20"/>
                <w:color w:val="auto"/>
              </w:rPr>
            </w:pPr>
            <w:r>
              <w:rPr>
                <w:rFonts w:ascii="Arial" w:cs="Arial" w:eastAsia="Arial" w:hAnsi="Arial"/>
                <w:sz w:val="18"/>
                <w:szCs w:val="18"/>
                <w:color w:val="auto"/>
              </w:rPr>
              <w:t>1,059</w:t>
            </w:r>
          </w:p>
        </w:tc>
        <w:tc>
          <w:tcPr>
            <w:tcW w:w="2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Goodwill, end of year</w:t>
            </w: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292,980</w:t>
            </w:r>
          </w:p>
        </w:tc>
        <w:tc>
          <w:tcPr>
            <w:tcW w:w="28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Identifiable intangible assets are initially recorded at fair market value at the time of acquisition generally using an income or cost approach. The Company capitalizes costs incurred to renew or extend the term of recognized intangible assets and amortizes those costs over their expected useful lives.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8"/>
              </w:rPr>
              <w:t>December 31, 2011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8"/>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Weighted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Weighted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1040" w:type="dxa"/>
            <w:vAlign w:val="bottom"/>
            <w:gridSpan w:val="3"/>
          </w:tcPr>
          <w:p>
            <w:pPr>
              <w:ind w:left="260"/>
              <w:spacing w:after="0"/>
              <w:rPr>
                <w:sz w:val="20"/>
                <w:szCs w:val="20"/>
                <w:color w:val="auto"/>
              </w:rPr>
            </w:pPr>
            <w:r>
              <w:rPr>
                <w:rFonts w:ascii="Arial" w:cs="Arial" w:eastAsia="Arial" w:hAnsi="Arial"/>
                <w:sz w:val="14"/>
                <w:szCs w:val="14"/>
                <w:b w:val="1"/>
                <w:bCs w:val="1"/>
                <w:color w:val="auto"/>
              </w:rPr>
              <w:t>Life</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r>
      <w:tr>
        <w:trPr>
          <w:trHeight w:val="142"/>
        </w:trPr>
        <w:tc>
          <w:tcPr>
            <w:tcW w:w="1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years   $</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43,833</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12 years   $</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(28,062)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41,199</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11 years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147,230</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(57,348)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89,882</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12 years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99,290</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(45,505)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53,785</w:t>
            </w:r>
          </w:p>
        </w:tc>
        <w:tc>
          <w:tcPr>
            <w:tcW w:w="100" w:type="dxa"/>
            <w:vAlign w:val="bottom"/>
          </w:tcPr>
          <w:p>
            <w:pPr>
              <w:spacing w:after="0"/>
              <w:rPr>
                <w:sz w:val="18"/>
                <w:szCs w:val="18"/>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 years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33,669</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(10,897)</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22,772</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35 years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33,448</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w:t>
            </w:r>
          </w:p>
        </w:tc>
        <w:tc>
          <w:tcPr>
            <w:tcW w:w="100" w:type="dxa"/>
            <w:vAlign w:val="bottom"/>
            <w:shd w:val="clear" w:color="auto" w:fill="CCEEFF"/>
          </w:tcPr>
          <w:p>
            <w:pPr>
              <w:spacing w:after="0"/>
              <w:rPr>
                <w:sz w:val="19"/>
                <w:szCs w:val="19"/>
                <w:color w:val="auto"/>
              </w:rPr>
            </w:pPr>
          </w:p>
        </w:tc>
      </w:tr>
      <w:tr>
        <w:trPr>
          <w:trHeight w:val="228"/>
        </w:trPr>
        <w:tc>
          <w:tcPr>
            <w:tcW w:w="41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Indefinite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48,484</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48,484</w:t>
            </w: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Indefinite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49,384</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9"/>
                <w:szCs w:val="19"/>
                <w:color w:val="auto"/>
              </w:rPr>
            </w:pPr>
          </w:p>
        </w:tc>
      </w:tr>
      <w:tr>
        <w:trPr>
          <w:trHeight w:val="21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 years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28,421</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30 years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All other(1)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11,434</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3,730</w:t>
            </w:r>
          </w:p>
        </w:tc>
        <w:tc>
          <w:tcPr>
            <w:tcW w:w="1040" w:type="dxa"/>
            <w:vAlign w:val="bottom"/>
            <w:gridSpan w:val="3"/>
          </w:tcPr>
          <w:p>
            <w:pPr>
              <w:ind w:left="160"/>
              <w:spacing w:after="0"/>
              <w:rPr>
                <w:sz w:val="20"/>
                <w:szCs w:val="20"/>
                <w:color w:val="auto"/>
              </w:rPr>
            </w:pPr>
            <w:r>
              <w:rPr>
                <w:rFonts w:ascii="Arial" w:cs="Arial" w:eastAsia="Arial" w:hAnsi="Arial"/>
                <w:sz w:val="18"/>
                <w:szCs w:val="18"/>
                <w:color w:val="auto"/>
              </w:rPr>
              <w:t>15 years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8,440</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(7,660)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r>
      <w:tr>
        <w:trPr>
          <w:trHeight w:val="27"/>
        </w:trPr>
        <w:tc>
          <w:tcPr>
            <w:tcW w:w="15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350,617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(113,495)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237,122</w:t>
            </w:r>
          </w:p>
        </w:tc>
        <w:tc>
          <w:tcPr>
            <w:tcW w:w="1040" w:type="dxa"/>
            <w:vAlign w:val="bottom"/>
            <w:gridSpan w:val="3"/>
            <w:shd w:val="clear" w:color="auto" w:fill="CCEEFF"/>
          </w:tcPr>
          <w:p>
            <w:pPr>
              <w:ind w:left="96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289,123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(94,219)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194,904</w:t>
            </w:r>
          </w:p>
        </w:tc>
        <w:tc>
          <w:tcPr>
            <w:tcW w:w="10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73" w:lineRule="exact"/>
        <w:rPr>
          <w:sz w:val="20"/>
          <w:szCs w:val="20"/>
          <w:color w:val="auto"/>
        </w:rPr>
      </w:pPr>
    </w:p>
    <w:p>
      <w:pPr>
        <w:jc w:val="both"/>
        <w:ind w:left="340" w:right="20" w:hanging="332"/>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December 31, 2011, all other included in-process research and development of $1.7 million, which was indefinite lived. At December 31, 2010 all other included in-process research and development of $0.3 million which was indefinite lived; during the second quarter of 2011, this asset was placed in service as a component of completed technology.</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During the second quarter of 2011 the Company identified one indefinite-lived trade name asset that it will no longer use as a result of its rebranding strategy, which resulted in an impairment of $0.9 million. This charge has been recorded as a component of amortization expense. The Company performs its assessment of the recoverability of indefinite-lived intangible assets annually during the second quarter, or more frequently as impairment indicators arise, and it is based upon a comparison of the carrying value of such assets to their estimated fair values. The Company performed its most recent annual assessment during the second quarter of 2011, which resulted in no additional impairments.</w:t>
      </w:r>
    </w:p>
    <w:p>
      <w:pPr>
        <w:spacing w:after="0" w:line="6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year ended December 31, 2011, the Company recorded impairment charges to finite-lived intangible assets of $2.1 million related to technology assets whose related products are being discontinued and $0.2 million related to a trade name that will no longer be used because of its rebranding strategy. The Company has recorded the charges as a component of cost of product revenues and amortization expense, respectively.</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year ended December 31, 2010, the Company recorded a $0.8 million impairment charge to finite-lived intangible assets related to several trade names. The impairment charge relates to management’s decision with respect to the Company’s re-branding strategy for several legacy trade names. The Company has recorded the charge as a component of amortization expense.</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year ended December 31, 2009, the Company recorded a $0.9 million impairment charge to finite-lived intangible assets related to a technology-based intangible asset as a component of its cost of product revenues. The impairment charge relates to decisions made by management to discontinue development of the related technology. The Company also recorded a $0.6 million impairment charge related to a trade name in connection with the revised expected benefit from the related trade name.</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Amortization expense for the years ended December 31, 2011, 2010 and 2009 was $24.6 million, $17.9 million and $21.0 million, respectively. Annual amortization expense is expected to approximate $25.0 million in 2012, $19.1 million in 2013, $18.1 million in 2014, $16.2 million in 2015 and $14.0 million in 2016. Amortization of product technology-based intangible assets, which totaled $8.2 million, $5.9 million and $6.6 million for the years ended December 31, 2011, 2010 and 2009, respectively, is presented by the Company within cost of product revenues.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difference between the carrying value and the fair value of the applicable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 FOUNDATION</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may periodically make contributions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$0.3 million, $0.7 million and $0.6 million to the Integra Foundation during the years ended December 31, 2011, 2010 and 2009, respectively. These contributions were recorded in selling, general, and administrative expense.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Company develops, manufactures, and sells medical devices globally and its earnings and cash flows are exposed to market risk from changes in interest rates and currency exchange rates. The Company addresses these risks through a risk management program that includes the use of derivative financial instruments, and operates the program pursuant to documented corporate risk management policies. All derivative financial instruments are recognized in the financial statements at fair value in accordance with the authoritative guidance. Under the guidance, for those instruments that are designated and qualify as hedging instruments, the hedging instrument must be designated as a fair value hedge, cash flow hedge, or a hedge of a net investment in a foreign operation, based on the exposure being hedged. The accounting for changes in the fair value of a derivative instrument depends on whether it has been designated and qualifies as part of a hedging relationship and, further, on the type of hedging relationship. The Company’s derivative instruments do not subject its earnings or cash flows to material risk, and gains and losses on these derivatives generally offset losses and gains on the item being hedged. The Company has not entered into derivative transactions for speculative purposes and from time to time, the Company may enter into derivatives that are not designated as hedging instruments in order to protect itself from currency volatility due to intercompany balances.</w:t>
      </w:r>
    </w:p>
    <w:p>
      <w:pPr>
        <w:spacing w:after="0" w:line="42"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All derivative instruments are recognized at their fair values as either assets or liabilities on the balance sheet. The Company determines the fair value of its derivative instruments, using the framework prescribed by the authoritative guidance, by considering the estimated amount the Company would receive to sell or transfer these instruments at the reporting date and by taking into account: expected forward interest rates, currency exchange rates, the creditworthiness of the counterparty for assets, and its creditworthiness for liabilities. In certain instances, the Company utilizes a discounted cash flow model to measure fair value. Generally, the Company uses inputs that include quoted prices for similar assets or liabilities in active markets; other observable inputs for the asset or liability; and inputs derived principally from, or corroborated by, observable market data by correlation or other means. The Company has classified all of its derivative assets and liabilities within Level 2 of the fair value hierarchy because observable inputs are available for substantially the full term of its derivative instruments. The Company classifies derivatives that meet the definition of hedges in the same category as the item being hedged for cash flow presentation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Income taxes are accounted by using the asset and liability method in accounting for income taxes. Deferred tax assets and liabilities are recognized for the estimated future tax consequences attributable to differences between the financial statement carrying amounts of existing assets and liabilities and their respective tax basis.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3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recognizes a tax benefit from an uncertain tax position only if it is more likely than not to be sustained upon examination based on the technical merits of the position. Reserves are established for positions that don’t meet this recognition threshold. The reserve is measured as the largest amount of benefit determined on a cumulative probability basis that the Company believes is more likely than not to be realized upon ultimate settlement of the position. These reserves are classified as long-term liabilities in the consolidated balance sheets of the Company. The Company also records interest and penalties accrued in relation to uncertain tax benefits as a component of income tax expense.</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While the Company believes it has identified all reasonably identifiable exposures and the reserve it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policy has been to leave its unremitted foreign earnings invested indefinitely outside the United States, and it intends to continue this policy. As such, taxes have not been provided on any of the remaining accumulated foreign unremitted earnings. Where it has become apparent that some or all of the undistributed earnings will be remitted in the foreseeable future, tax consequences are considered.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Total revenues, net, include product sales, product royalties and other revenues, such as fees received under research, licensing, and distribution arrangements, research grants, and technology-related royalties.</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Revenue is recognized when persuasive evidence of an arrangement exists, delivery has occurred and title and risk of loss have passed to the customer, there is a fixed or determinable sales price, and collectability of that sales price is reasonably assured. For product sales, the Company’s stated terms are primarily FOB shipping point and with most customers, title and risk of loss pass to the customer at that time. With certain United States customers, the Company retains risk of loss until the customers receive the product, and in those situations, the Company recognizes revenue upon receipt by the customer.</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Each revenue transaction is evidenced by either a contract with the customer or a valid purchase order and an invoice which includes all relevant terms of sale. There are generally no significant customer acceptance or other conditions that prevent the Company from recognizing revenue in accordance with its delivery terms. In certain cases, where the Company has performance obligations that are significant to the functionality of the product, the Company recognizes revenue upon fulfillment of its obligation.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Sales invoices issued to customers contain the Company’s price for each product or service. The Company performs a review of each specific customer’s credit worthiness and ability to pay prior to accepting them as a customer. Further, the Company performs periodic reviews of its customers’ status prospectively.</w:t>
      </w:r>
    </w:p>
    <w:p>
      <w:pPr>
        <w:spacing w:after="0" w:line="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Company’s return policy, as set forth in its product catalogs and sales invoices, requires the Company to review and authorize the return of product in advance. Upon authorization, a credit will be issued for goods returned within a set amount of days from shipment, which is generally ninety days.</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Product royalties are estimated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Other operating revenues may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Amounts billed to customers for shipping and handling are included in revenues. The related shipping and freight charges incurred by the Company are included in cost of product revenues. Distribution and handling costs of $11.5 million, $9.6 million and $8.3 million were recorded in selling, general and administrative expense during the years ended December 31, 2011, 2010 and 2009,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Certain of the Company’s medical devices, including monitoring systems and neurosurgical systems, are reusable and are designed to operate over long periods of time. These products are sold with warranties which may extend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warranty expense consisted of the following:</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8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$ 548</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change</w:t>
            </w:r>
          </w:p>
        </w:tc>
        <w:tc>
          <w:tcPr>
            <w:tcW w:w="58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$ 440</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560" w:type="dxa"/>
            <w:vAlign w:val="bottom"/>
            <w:gridSpan w:val="3"/>
          </w:tcPr>
          <w:p>
            <w:pPr>
              <w:jc w:val="right"/>
              <w:ind w:right="4340"/>
              <w:spacing w:after="0"/>
              <w:rPr>
                <w:sz w:val="20"/>
                <w:szCs w:val="20"/>
                <w:color w:val="auto"/>
              </w:rPr>
            </w:pPr>
            <w:r>
              <w:rPr>
                <w:rFonts w:ascii="Arial" w:cs="Arial" w:eastAsia="Arial" w:hAnsi="Arial"/>
                <w:sz w:val="18"/>
                <w:szCs w:val="18"/>
                <w:color w:val="auto"/>
              </w:rPr>
              <w:t>F-12</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In-process research and development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2011 and 2010 the Company capitalized $1.7 million and $0.3 million of in-process research and development costs related to acquisitions. The Company recorded an in-process research and development charge of $0.3 million related to certain assets acquired from Innovative Spinal Technologies, Inc. during 2009. The 2009 charge was related to technology that had not yet reached feasibility and had no alternative future use.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BENEFITS AND OTHER EXIT-RELATED COSTS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the authoritative guidance for exit or disposal costs.</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on the cease-use date. For owned facilities and equipment that will be disposed of, the Company records impairment losses based on fair value less costs to sell. The Company also reviews the remaining useful life of long-lived assets following a decision to exit a facility and may accelerate depreciation or amortization of these assets, as appropriate.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applies the authoritative guidance for stock-based compensation. This guidance requires companies to recognize the expense related to the fair value of their stock-based compensation awards. Stock-based compensation expense for stock option awards granted after January 1, 2006 was based on the fair value on the grant date using the binomial distribution model. The Company recognized compensation expense for stock option awards, restricted stock awards, performance stock awards and contract stock awards on a ratable basis over the requisite service period of the award. The long form method was used in the determination of the windfall tax benefit in accordance with the guidance.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Defined benefit pension plans cover certain employees and retirees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Pension contributions are expected to be consistent over the next few years since the Miltex plan was dissolved in 2008, and the Germany and U.K. plans are frozen. Contributions to the plans during the years ended December 31, 2011, 2010 and 2009 were $1.1 million, $1.1 million and $0.4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and cash equivalents, which are held at major financial institutions, investment-grade marketable debt securities and trade receivables.</w:t>
      </w:r>
    </w:p>
    <w:p>
      <w:pPr>
        <w:spacing w:after="0" w:line="51"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The Company’s products are sold on an uncollateralized basis and on credit terms based upon a credit risk assessment of each customer. A portion of the Company’s trade receivables to customers outside the United States includes sales to foreign distributors, who then sell to government owned or supported healthcare systems. The current economic conditions in many southern European countries, especially Greece, Ireland, Italy, Portugal and Spain, have continued to deteriorate. Accounts receivable from customers in these countries was approximately $5.8 million at December 31, 2011, of which $0.8 million was reserved.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On September 15, 2011 the Financial Accounting Standards Board issued </w:t>
      </w:r>
      <w:r>
        <w:rPr>
          <w:rFonts w:ascii="Arial" w:cs="Arial" w:eastAsia="Arial" w:hAnsi="Arial"/>
          <w:sz w:val="16"/>
          <w:szCs w:val="16"/>
          <w:i w:val="1"/>
          <w:iCs w:val="1"/>
          <w:color w:val="auto"/>
        </w:rPr>
        <w:t>Accounting Standards Update No. 2011-08, Intangibles — 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(Topic 350), Testing Goodwill for Impairment</w:t>
      </w:r>
      <w:r>
        <w:rPr>
          <w:rFonts w:ascii="Arial" w:cs="Arial" w:eastAsia="Arial" w:hAnsi="Arial"/>
          <w:sz w:val="16"/>
          <w:szCs w:val="16"/>
          <w:color w:val="auto"/>
        </w:rPr>
        <w:t>. The revised standard is intended to reduce the cost and complexity of the annual goodwill impairment test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the option of performing a “qualitative” assessment to determine whether further impairment testing is necessary. Under this standard, the Company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that it is not more likely than not that the fair value of a reporting unit is less than its carrying amount, performing the two-step impairment test under Topic 350 is unnecessary. However, if the Company concludes otherwise, it is required to perform the first step of the two-step impairment test, as described in Topic 350. If the carrying amount of a reporting unit exceeds its fair value under the first step, the Company is required to perform the second step of the goodwill impairment test to measure the amount of the impairment loss, if any. The Company also has the option to bypass the qualitative assessment for any reporting unit in any period and to proceed directly to performing the first step of the two-step goodwill impairment test. The Company may resume performing the qualitative assessment in any subsequent period. This standard is effective for annual and interim goodwill impairment tests performed for fiscal years beginning after December 15, 2011, and early adoption is permitted. The Company believes that the adoption of this standard will not have a material impact on the Company’s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 xml:space="preserve">On June 16, 2011 the Financial Accounting Standards Board issued </w:t>
      </w:r>
      <w:r>
        <w:rPr>
          <w:rFonts w:ascii="Arial" w:cs="Arial" w:eastAsia="Arial" w:hAnsi="Arial"/>
          <w:sz w:val="15"/>
          <w:szCs w:val="15"/>
          <w:i w:val="1"/>
          <w:iCs w:val="1"/>
          <w:color w:val="auto"/>
        </w:rPr>
        <w:t>Accounting Standards Update No. 2011-05, Presentation of Comprehensive Income</w:t>
      </w:r>
      <w:r>
        <w:rPr>
          <w:rFonts w:ascii="Arial" w:cs="Arial" w:eastAsia="Arial" w:hAnsi="Arial"/>
          <w:sz w:val="15"/>
          <w:szCs w:val="15"/>
          <w:color w:val="auto"/>
        </w:rPr>
        <w:t>. This standard eliminates the option to report other comprehensive income and its components in the statement of changes in equity. The Company may elect to present items of net income and other comprehensive income in one continuous statement or in two consecutive statements. Each component of net income and each component of other comprehensive income, together with totals for comprehensive income and its two parts — net income and other comprehensive income</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would need to be displayed under either alternative, and the statements would need to be presented with equal prominence as the other primary financial statements. This standard does not change 1) the items that constitute net income and other comprehensive income, 2) when an item of other comprehensive income must be reclassified to net income, or 3) the computation for earnings per share — which will continue to be based on net income. This standard is effective for fiscal years beginning after December 15, 2011. The adoption of this standard will not have an impact on the Company’s operating results as the amendment impacts presentation only.</w:t>
      </w:r>
    </w:p>
    <w:p>
      <w:pPr>
        <w:spacing w:after="0" w:line="64"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 xml:space="preserve">On May 12, 2011 the Financial Accounting Standards Board issued </w:t>
      </w:r>
      <w:r>
        <w:rPr>
          <w:rFonts w:ascii="Arial" w:cs="Arial" w:eastAsia="Arial" w:hAnsi="Arial"/>
          <w:sz w:val="18"/>
          <w:szCs w:val="18"/>
          <w:i w:val="1"/>
          <w:iCs w:val="1"/>
          <w:color w:val="auto"/>
        </w:rPr>
        <w:t>Accounting Standards Update No. 2011-04 — Fair Value Measurement (Topic 820):</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to Achieve Common Fair Value Measurement and Disclosure Requirements in U.S. GAAP and IFRS</w:t>
      </w:r>
      <w:r>
        <w:rPr>
          <w:rFonts w:ascii="Arial" w:cs="Arial" w:eastAsia="Arial" w:hAnsi="Arial"/>
          <w:sz w:val="18"/>
          <w:szCs w:val="18"/>
          <w:color w:val="auto"/>
        </w:rPr>
        <w:t>. This standard merges many aspects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guidance by amending U.S. GAAP and creating a new standard under International Financial Reporting Standards. The primary changes to U.S. GAAP include 1) clarifying the valuation premise of highest and best use, 2) clarifying how portfolios of financial instruments are measured, 3) clarifying the use of blockage factors and other premiums and discounts, and 4) increasing the disclosure requirements in a number of circumstances. This standard is effective for fiscal years beginning after December 15, 2011, and the Company believes the standard will not have a material impact on the Company’s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Cash paid for interest for the years ended December 31, 2011, 2010 and 2009 was $13.2 million, $8.8 million and $11.3 million, respectively. Cash paid for income taxes for the years ended December 31, 2011, 2010 and 2009 was $14.5 million, $23.4 million and $20.5 million, respectively. Property and equipment purchases included in liabilities at December 31, 2011, 2010 and 2009 was $6.4 million, $1.1 million and $1.0 million, respectively.</w:t>
      </w:r>
    </w:p>
    <w:p>
      <w:pPr>
        <w:spacing w:after="0" w:line="26"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During the year ended December 31,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jc w:val="both"/>
        <w:ind w:firstLine="456"/>
        <w:spacing w:after="0" w:line="268" w:lineRule="auto"/>
        <w:rPr>
          <w:sz w:val="20"/>
          <w:szCs w:val="20"/>
          <w:color w:val="auto"/>
        </w:rPr>
      </w:pPr>
      <w:r>
        <w:rPr>
          <w:rFonts w:ascii="Arial" w:cs="Arial" w:eastAsia="Arial" w:hAnsi="Arial"/>
          <w:sz w:val="18"/>
          <w:szCs w:val="18"/>
          <w:color w:val="auto"/>
        </w:rPr>
        <w:t>In connection with the amendment and restatement of the Company’s Senior Credit Facility during the year ended December 31, 2010, $150.0 million of the Company’s revolving credit facility was converted into a term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ind w:right="9180" w:firstLine="8"/>
        <w:spacing w:after="0" w:line="390" w:lineRule="auto"/>
        <w:tabs>
          <w:tab w:leader="none" w:pos="338"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b w:val="1"/>
          <w:bCs w:val="1"/>
          <w:i w:val="1"/>
          <w:iCs w:val="1"/>
          <w:color w:val="auto"/>
        </w:rPr>
        <w:t xml:space="preserve">BUSINESS COMBINATIONS </w:t>
      </w:r>
      <w:r>
        <w:rPr>
          <w:rFonts w:ascii="Arial" w:cs="Arial" w:eastAsia="Arial" w:hAnsi="Arial"/>
          <w:sz w:val="16"/>
          <w:szCs w:val="16"/>
          <w:i w:val="1"/>
          <w:iCs w:val="1"/>
          <w:u w:val="single" w:color="auto"/>
          <w:color w:val="auto"/>
        </w:rPr>
        <w:t>Ascension Orthopedics, Inc.</w:t>
      </w:r>
    </w:p>
    <w:p>
      <w:pPr>
        <w:jc w:val="both"/>
        <w:ind w:firstLine="456"/>
        <w:spacing w:after="0" w:line="306" w:lineRule="auto"/>
        <w:rPr>
          <w:sz w:val="20"/>
          <w:szCs w:val="20"/>
          <w:color w:val="auto"/>
        </w:rPr>
      </w:pPr>
      <w:r>
        <w:rPr>
          <w:rFonts w:ascii="Arial" w:cs="Arial" w:eastAsia="Arial" w:hAnsi="Arial"/>
          <w:sz w:val="16"/>
          <w:szCs w:val="16"/>
          <w:color w:val="auto"/>
        </w:rPr>
        <w:t>On September 23, 2011, the Company acquired Ascension Orthopedics, Inc. (“Ascension”) for $66.5 million, which includes amounts paid into escrow, subject to working capital adjustments. Ascension, based in Austin, Texas, develops and distributes a range of implants for the shoulder, elbow, wrist, hand, foot and ankle. Management determined the preliminary fair value of net assets acquired during the third quarter of 2011 as follows: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Preliminary</w:t>
            </w:r>
          </w:p>
        </w:tc>
        <w:tc>
          <w:tcPr>
            <w:tcW w:w="1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Purchase Price</w:t>
            </w:r>
          </w:p>
        </w:tc>
        <w:tc>
          <w:tcPr>
            <w:tcW w:w="17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Allocation</w:t>
            </w:r>
          </w:p>
        </w:tc>
        <w:tc>
          <w:tcPr>
            <w:tcW w:w="17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627</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12,760</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2,917</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2,398</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4,649</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70</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 long term</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12,543</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Wtd. Avg. Life:</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7,885</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5,750</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 years</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1,739</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Indefinite</w:t>
            </w: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Supplier relationship</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4,510</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560</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year</w:t>
            </w: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15,909</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72,317</w:t>
            </w:r>
          </w:p>
        </w:tc>
        <w:tc>
          <w:tcPr>
            <w:tcW w:w="17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66,490</w:t>
            </w:r>
          </w:p>
        </w:tc>
        <w:tc>
          <w:tcPr>
            <w:tcW w:w="17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Management determined the preliminary fair value of net assets acquired during the third quarter of 2011 and has not yet finalized the working capital adjustment. Measurement period adjustments included above reflect a decrease in the total fair value of inventory acquired, and a decrease in the value of long term deferred tax assets acquired. The measurement period adjustment was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3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goodwill recorded in connection with this acquisition is based on (i) expected cost savings, operating synergies and other benefits expected to result from the combined operations, (ii) the value of the going-concern element of Ascension’s existing business (that is, the higher rate of return on the assembled net assets versus if the Company had acquired all of the net assets separately), and (iii) intangible assets that do not qualify for separate recognition such as Ascension’s assembled workforce. The goodwill acquired will not be deductible for tax purposes.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SeaSpine, Inc.</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May 23, 2011, the Company acquired all of the outstanding common stock of SeaSpine, Inc. (“SeaSpine”) for $89.0 million, subject to indemnification holdbacks currently totaling $7.4 million, which are accrued at December 31, 2011 and certain working capital adjustments. The preliminary working capital adjustment reduced the purchase price above by $0.6 million in the fourth quarter of 2011. SeaSpine is based in Vista, California and designs, develops and manufactures spinal fixation products and bone substitute products.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Preliminary</w:t>
            </w:r>
          </w:p>
        </w:tc>
        <w:tc>
          <w:tcPr>
            <w:tcW w:w="1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Purchase Price</w:t>
            </w:r>
          </w:p>
        </w:tc>
        <w:tc>
          <w:tcPr>
            <w:tcW w:w="17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Allocation</w:t>
            </w:r>
          </w:p>
        </w:tc>
        <w:tc>
          <w:tcPr>
            <w:tcW w:w="17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14,900</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7,608</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623</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9,177</w:t>
            </w: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tax asset — long term</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302</w:t>
            </w: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Wtd. Avg. Life:</w:t>
            </w: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3,000</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8 years</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41,200</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 years</w:t>
            </w:r>
          </w:p>
        </w:tc>
      </w:tr>
      <w:tr>
        <w:trPr>
          <w:trHeight w:val="216"/>
        </w:trPr>
        <w:tc>
          <w:tcPr>
            <w:tcW w:w="2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1,900</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 years</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 year</w:t>
            </w: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93,494</w:t>
            </w:r>
          </w:p>
        </w:tc>
        <w:tc>
          <w:tcPr>
            <w:tcW w:w="17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88,386</w:t>
            </w:r>
          </w:p>
        </w:tc>
        <w:tc>
          <w:tcPr>
            <w:tcW w:w="17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Management determined the preliminary fair value of net assets acquired during the second quarter of 2011 and has not yet finalized the working capital adjustment. Measurement period adjustments included above reflect a decrease in the total fair value of consideration transferred pursuant to a working capital adjustment provision of the purchase agreement. The measurement period adjustment was made to reflect facts and circumstances existing as of the acquisition date, and did not result from intervening events subsequent to the acquisition date. This adjustment did not have a significant impact on the Company’s previously reported consolidated financial statements and, therefore, the Company has not retrospectively adjusted those financial statements.</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goodwill recorded in connection with this acquisition is based on (i) expected cost savings, operating synergies and other benefits expected to result from the combined operations, (ii) the value of the going-concern element of SeaSpine’s existing business (that is, the higher rate of return on the assembled net assets versus if the Company had acquired all of the net assets separately), and (iii) intangible assets that do not qualify for separate recognition such as SeaSpine’s assembled workforce. For tax purposes, the Company is treating the acquisition as an asset acquisition; therefore, the goodwill will be deductible for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Culley Investments Pty. Ltd.</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September 2010, the Company acquired certain assets as well as the distribution rights for its extremity reconstruction product lines in Australia from Culley Investments Pty. Ltd. (“Culley”) for approximately $1.6 million (1.7 million Australian dollars) in cash. The Company has determined that this acquisition met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definition of a business under the authoritative guidance. For eight years, Culley has been the Company’s distributor of these products in Australia. The acquisition provides the Company with the ability to sell orthopedic products directly to its Australian customers.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Final Purchase Price</w:t>
            </w:r>
          </w:p>
        </w:tc>
        <w:tc>
          <w:tcPr>
            <w:tcW w:w="2700" w:type="dxa"/>
            <w:vAlign w:val="bottom"/>
          </w:tcPr>
          <w:p>
            <w:pPr>
              <w:spacing w:after="0"/>
              <w:rPr>
                <w:sz w:val="14"/>
                <w:szCs w:val="14"/>
                <w:color w:val="auto"/>
              </w:rPr>
            </w:pPr>
          </w:p>
        </w:tc>
      </w:tr>
      <w:tr>
        <w:trPr>
          <w:trHeight w:val="161"/>
        </w:trPr>
        <w:tc>
          <w:tcPr>
            <w:tcW w:w="6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Allocation</w:t>
            </w:r>
          </w:p>
        </w:tc>
        <w:tc>
          <w:tcPr>
            <w:tcW w:w="27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27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2700" w:type="dxa"/>
            <w:vAlign w:val="bottom"/>
          </w:tcPr>
          <w:p>
            <w:pPr>
              <w:spacing w:after="0"/>
              <w:rPr>
                <w:sz w:val="18"/>
                <w:szCs w:val="18"/>
                <w:color w:val="auto"/>
              </w:rPr>
            </w:pPr>
          </w:p>
        </w:tc>
      </w:tr>
      <w:tr>
        <w:trPr>
          <w:trHeight w:val="208"/>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Customer relationships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Wtd. Avg. Life –</w:t>
            </w:r>
          </w:p>
        </w:tc>
      </w:tr>
      <w:tr>
        <w:trPr>
          <w:trHeight w:val="224"/>
        </w:trPr>
        <w:tc>
          <w:tcPr>
            <w:tcW w:w="6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 years</w:t>
            </w:r>
          </w:p>
        </w:tc>
      </w:t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Total net assets acquired</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1,570</w:t>
            </w:r>
          </w:p>
        </w:tc>
        <w:tc>
          <w:tcPr>
            <w:tcW w:w="27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Welch Allyn, Inc.</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May 2010, the Company acquired certain assets and liabilities of the surgical headlight business of Welch Allyn, Inc. (“Welch”) for approximately $2.4 million in cash and $0.2 million of working capital adjustments. The Company determined that this acquisition met the definition of a business under the authoritative guidance. The Company believes that the assets acquired will further its goal of expanding its reach into the surgical headlight market. The goodwill recorded in connection with this acquisition was based on the benefits the Company expects to generate from Welch’s future cash flows and is not deductible for tax purposes.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Final Purchase Price</w:t>
            </w:r>
          </w:p>
        </w:tc>
        <w:tc>
          <w:tcPr>
            <w:tcW w:w="22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Allocation</w:t>
            </w:r>
          </w:p>
        </w:tc>
        <w:tc>
          <w:tcPr>
            <w:tcW w:w="2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2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Inventory</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2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Wtd. Avg. Life:</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 years</w:t>
            </w: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6 years</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Indefinite</w:t>
            </w: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228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2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 Neurosciences Pty Ltd.</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based on the exchange rates in effect at the time of the acquisition (3.1 million Australian dollars) in future payments based on the performance of business in the three years after closing. The Company paid approximately $0.9 million (1.0 million Australian dollars) of this potential revenue performance obligation in November 2009 for the first revenue performance year, and another $1.0 million (1.0 million Australian dollars) in December 2010 for the second revenue performance year. The Company paid $1.0 million (1.0 million Australian dollars) during the year ended December 31, 2011 for the third revenue performance year. There are no additional amounts due under this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Theken</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August 2008, the Company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each of the two years after closing. The Company paid approximately $52.0 million for the first-year revenue performance obligation in November 2009. From November 2009 through June 30, 2011 the Company had accrued a total of $4.6 million to settle a dispute related to a disagreement in the calculation of “trade sales” used in determining the revenue performance payment for the first year revenue performance obligation; the Company settled the dispute and paid this entire obligation in August 2011 (see Note 12, “Commitments and Contingencies”). There were no amounts due for the second performance year.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 (unaudited)</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years ended December 31, 2011 and 2010 as if the acquisitions completed by the Company during 2011 had been completed as of January 1, 2010. The acquisitions consummated during 2010 were not considered material and therefore, their impact has not been included below.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 (iii) income taxes at a rate consistent with the Company’s statutory rate. No effect has been given to other cost reductions or operating synergies. The supplemental pro-forma earnings for the year ended December 31, 2011 were adjusted to exclude $4.3 million of pre-tax nonrecurring expenses that were included in the pro-forma earnings for the year ended December 31, 2010. These expenses included: acquisition-related costs, the fair value adjustment to acquisition-date inventory, and amortization. As a result, these pro forma results do not necessarily represent results that would have occurred if the acquisitions had taken place on the basis assumed above, nor are they indicative of the results of future combined operations.</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50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29"/>
        </w:trPr>
        <w:tc>
          <w:tcPr>
            <w:tcW w:w="50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3"/>
          </w:tcPr>
          <w:p>
            <w:pPr>
              <w:jc w:val="center"/>
              <w:ind w:right="16"/>
              <w:spacing w:after="0" w:line="129" w:lineRule="exact"/>
              <w:rPr>
                <w:sz w:val="20"/>
                <w:szCs w:val="20"/>
                <w:color w:val="auto"/>
              </w:rPr>
            </w:pPr>
            <w:r>
              <w:rPr>
                <w:rFonts w:ascii="Arial" w:cs="Arial" w:eastAsia="Arial" w:hAnsi="Arial"/>
                <w:sz w:val="14"/>
                <w:szCs w:val="14"/>
                <w:b w:val="1"/>
                <w:bCs w:val="1"/>
                <w:color w:val="auto"/>
                <w:w w:val="86"/>
              </w:rPr>
              <w:t>(In thousands, except per</w:t>
            </w:r>
          </w:p>
        </w:tc>
        <w:tc>
          <w:tcPr>
            <w:tcW w:w="10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share amounts)</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82"/>
              </w:rPr>
              <w:t>811,933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800,476</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22"/>
              <w:spacing w:after="0"/>
              <w:rPr>
                <w:sz w:val="20"/>
                <w:szCs w:val="20"/>
                <w:color w:val="auto"/>
              </w:rPr>
            </w:pPr>
            <w:r>
              <w:rPr>
                <w:rFonts w:ascii="Arial" w:cs="Arial" w:eastAsia="Arial" w:hAnsi="Arial"/>
                <w:sz w:val="18"/>
                <w:szCs w:val="18"/>
                <w:color w:val="auto"/>
                <w:w w:val="98"/>
              </w:rPr>
              <w:t>23,236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51,818</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Basic</w:t>
            </w:r>
          </w:p>
        </w:tc>
        <w:tc>
          <w:tcPr>
            <w:tcW w:w="3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22"/>
              <w:spacing w:after="0"/>
              <w:rPr>
                <w:sz w:val="20"/>
                <w:szCs w:val="20"/>
                <w:color w:val="auto"/>
              </w:rPr>
            </w:pPr>
            <w:r>
              <w:rPr>
                <w:rFonts w:ascii="Arial" w:cs="Arial" w:eastAsia="Arial" w:hAnsi="Arial"/>
                <w:sz w:val="18"/>
                <w:szCs w:val="18"/>
                <w:color w:val="auto"/>
              </w:rPr>
              <w:t>0.80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0.79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In accordance with the accounting guidance for debt with conversion and other options, the Company accounted for the liability and equity components of the 2016 Notes separately. The portion of the debt proceeds that the Company had classified as equity at the time of the offering, and recognized as a debt discount, was determined based on the fair value of similar debt instruments that do not include a conversion feature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amounted to $43.2 million. The Company is amortizing the debt discount to interest expense using the effective interest method through December 2016. The effective interest rate implicit in the liability component was based on the Company’s estimated non-convertible borrowing rate at the date the 2016 Notes were issued and was 5.6%. In connection with this offering, the Company capitalized approximately $6.3 million of financing fees which includes amounts classified in equity.</w:t>
      </w:r>
    </w:p>
    <w:p>
      <w:pPr>
        <w:spacing w:after="0" w:line="6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December 31, 2011, none of these conditions existed with respect to the 2016 Notes and as a result, the 2016 Notes are classified as long term.</w:t>
      </w:r>
    </w:p>
    <w:p>
      <w:pPr>
        <w:spacing w:after="0" w:line="4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Holders of the 2016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2016 Notes for cash at a repurchase price equal to 100% of the principal amount of the notes being repurchased, plus accrued and unpaid interest, if any.</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2016 Notes, under the terms of the private placement agreement, are guaranteed fully by Integra LifeSciences Corporation, a subsidiary of the Company. The 2016 Notes are the Company’s direct senior unsecured obligations and rank equal in right of payment to all of the Company’s existing and future unsecured and unsubordinated indebtedness.</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such notes (the “hedge participants”). The cost of the call transactions to the Company was approximately $42.9 million, representing options to buy 4.0 million shares from the hedge participants at an initial strike price of $57.44 per share, subject to customary anti-dilution adjustments. These transactions are expected to reduce the potential dilution upon conversion of the 2016 Notes. The Company received approximately $28.5 million of proceeds from the warrant transactions, representing an obligation to potentially deliver 4.0 million shares to the hedge participants at an initial strike price of $70.05 per share, subject to customary anti-dilution adjustments. The earliest expiration of these warrant transactions is March 15, 2017 and they continue to expire through the 100th scheduled trading day thereafter, as defined in the indenture. The warrants could separately have a dilutive effect on the Company’s earnings per share if the market price of its common stock exceeds the strike price of the warrants.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2011, the carrying amount of the liability component of the 2016 Notes was $190.6 million, the remaining unamortized discount was $39.4 million, and the principal amount outstanding was $230.0 million. The fair value of the 2016 Notes at December 31, 2011 was approximately $204.4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August 10, 2010, the Company entered into an amended and restated credit agreement (the “First Amendment) with a syndicate of lending banks and further amended the agreement on June 8, 2011 (the “Second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Amendment”, and collectively referred to herein as the “Senior Credit Facility”). The Second Amendment increased the revolving credit component from $450.0 million to $600.0 million and eliminated the $150.0 million term loan component that existed under the First Amendment,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Second Amendment extended the Senior Credit Facility’s maturity date from August 10, 2015 to June 8, 2016. Both the First Amendment and the Second Amendment are collateralized by substantially all of the assets of the Company’s U.S. subsidiaries, excluding intangible assets. The Company capitalized $1.3 million of incremental financing costs, expensed $0.4 million of incremental financing costs, and expensed $0.4 million of previously capitalized financing costs in connection with the Second Amendment. The Senior Credit Facility is subject to various financial and negative covenants and at December 31, 2011, the Company was in compliance with all such covenants.</w:t>
      </w:r>
    </w:p>
    <w:p>
      <w:pPr>
        <w:spacing w:after="0" w:line="3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Borrowings under the Senior Credit Facility bear interest, at the Company’s option, at a rate equal to (i) the Eurodollar Rate (as defined in the Senior Credit Facility, which definition has not changed) in effect from time to time plus the applicable rate (ranging from 1.00% to 1.75% under the Second Amendment and from 1.75% to 2.50% under the First Amendment)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 (b) consolidated EBITDA) at the time of the applicable borrowing.</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also pays an annual commitment fee (ranging from 0.15% to 0.3% under the Second Amendment, and from 0.2% to 0.5% under the First Amendment, based on the Company’s consolidated total leverage ratio) on the daily amount by which the revolving credit facility exceeds the outstanding loans and letters of credit under the credit facility.</w:t>
      </w:r>
    </w:p>
    <w:p>
      <w:pPr>
        <w:spacing w:after="0" w:line="5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On August 10, 2010, the Company also entered into an interest rate swap effective December 31, 2010 with an investment grade bank which converts a portion of the Company’s variable interest payments to fixed interest payments (see Note 5, “Derivative Instruments”).</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December 31, 2011, and 2010, there was $179.7 million and $100.0 million outstanding, respectively, under the revolving credit component of the Senior Credit Facility at a weighted average interest rate of 2.0% and 2.5%, respectively. At December 31, 2011, there was approximately $420.3 million available for borrowing under the Senior Credit Facility. The fair value of outstanding borrowings under the Senior Credit Facility at December 31, 2011 was approximately $162.2 million. The Company considers the balance to be long-term in nature based on its current intent and ability to repay the borrowing outside of the next twelve-month period.</w:t>
      </w:r>
    </w:p>
    <w:p>
      <w:pPr>
        <w:spacing w:after="0" w:line="6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December 31, 2010, there was $148.1 million outstanding under the term loan component of the Senior Credit Facility at an interest rate of 2.6%, and as noted above, this portion of the credit facility was eliminated and replaced with borrowings under the revolving credit component in June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2010 and 2012 Senior Convertible Notes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June 11, 2007, the Company issued $165.0 million aggregate principal amount under its 2010 Notes and $165.0 million aggregate principal amount under its 2012 Notes. The 2010 Notes and the 2012 Notes bear interest at a rate of 2.75% per annum and 2.375% per annum, respectively, in each case payable semi-annually in arrears on December 1 and June 1 of each year. In accordance with the accounting guidance for debt with conversion and other options, the Company accounted for the liability and equity components of the 2010 Notes and 2012 Notes separately. The portion of the debt proceeds that the Company had classified as equity at the time of the offering, and recognized as a debt discount, was determined based on the fair value of similar debt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instruments that did not include a conversion feature and amounted to $16.4 million for the 2010 Notes and $30.6 million for the 2012 Notes. The Company is amortizing the debt discount to interest expense using the effective interest method through June 2010 for the 2010 Notes, and through June 2012 for the 2012 Notes. The effective interest rate implicit in the liability component was based on the Company’s estimated non-convertible borrowing rate at the dates the 2010 and 2012 Notes were issued and was 6.5% for the 2010 Notes and 6.8% for the 2012 Notes. The 2010 Notes were repaid in June 2010 in accordance with their terms (see discussion of repurchases made during 2009 below).</w:t>
      </w:r>
    </w:p>
    <w:p>
      <w:pPr>
        <w:spacing w:after="0" w:line="6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2012 Notes are senior, unsecured obligations of the Company, and are convertible into cash and, if applicable, shares of its common stock based on an initial conversion rate, subject to adjustment of 15.3935 shares per $1,000 principal amount of notes for the 2012 Notes (which represents an initial conversion price of approximately $64.96 per share). The Company will satisfy any conversion of the 2012 Notes with cash up to the principal amount of the 2012 Notes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on or after December 15, 2011; or (4) if specified corporate transactions occur. The issue price of the 2012 Notes was equal to their face amount, which is also the amount holders are entitled to receive at maturity if the 2012 Notes are not converted.</w:t>
      </w:r>
    </w:p>
    <w:p>
      <w:pPr>
        <w:spacing w:after="0" w:line="3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Holders of the 2012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2012 Notes for cash at a repurchase price equal to 100% of the principal amount of the notes being repurchased, plus accrued and unpaid interest, if any.</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2012 Notes, under the terms of the private placement agreement, are guaranteed fully by Integra LifeSciences Corporation, a subsidiary of the Company. The 2012 Notes will be the Company’s direct senior unsecured obligations and will rank equal in right of payment to all of the Company’s existing and future unsecured and unsubordinated indebtedness.</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connection with the issuance of the 2010 Notes and the 2012 Notes, the Company entered into call transactions and warrant transactions, primarily with affiliates of the initial purchasers of such notes (the “hedge participants”). The total cost of the call transactions to the Company was approximately $46.8 million and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initial strike price of the remaining call transactions is approximately $64.96 for the 2012 Notes, subject to anti-dilution adjustments. The initial strike price of the warrant transactions is (i) for the 2010 Notes, approximately $77.96 per share of Common Stock, which expired unexercised at various dates through January 2011, and (ii) for the 2012 Notes, approximately $90.95, subject to customary anti-dilution adjustments. The warrant transactions for the 2012 Notes expire on various dates between August 30, 2012 and January 23, 2013 and could separately have a dilutive effect on the Company’s earnings per share if the market price of its common stock exceeds the strike price of the warrants.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2011, the carrying amount of the liability component of the 2012 Notes was $162.0 million, the remaining unamortized discount was $3.0 million, and the principal amount outstanding was $165.0 million. At December 31, 2010, the carrying amount of the liability component of the 2012 Notes was $155.2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million, the remaining unamortized discount was $9.8 million, and the principal amount outstanding was $165.0 million. The entire carrying amount of the 2012 Notes is classified as long-term in the December 31, 2011 balance sheet as the Company has the intent and ability to settle the obligation with long-term borrowings from its Senior Credit Facility. The fair value of the 2012 Notes at December 31, 2011 was approximately $163.8 million.</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2009, the Company repurchased a portion of the 2010 Notes’ principal outstanding for $32.1 million, $18.7 million, $17.7 million, and $18.6 million in March, June, September and December, respectively. The total cash paid for the Notes was $83.3 million, of which $78.0 million related to the repurchase of the liability component. The Company recognized a gain of $0.5 million on these repurchases. For all of these transactions the bond hedge contracts were terminated on a pro-rata basis and the number of options was adjusted to reflect the number of convertible securities outstanding that together have a total principal amount of $77.9 million. Also, in connection with the above repurchases, in separate transactions, the Company amended the warrant transactions to reduce the number of warrants outstanding to reflect such number of convertible securities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Non-cash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3,740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Non-cash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6,850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6,401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10,769</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10,320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Non-cash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1,190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2,020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60" w:firstLine="8"/>
        <w:spacing w:after="0" w:line="391" w:lineRule="auto"/>
        <w:tabs>
          <w:tab w:leader="none" w:pos="338"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b w:val="1"/>
          <w:bCs w:val="1"/>
          <w:i w:val="1"/>
          <w:iCs w:val="1"/>
          <w:color w:val="auto"/>
        </w:rPr>
        <w:t>Foreign Currency Hedging</w:t>
      </w:r>
    </w:p>
    <w:p>
      <w:pPr>
        <w:spacing w:after="0" w:line="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From time to time the Company enters into foreign currency forward contracts designated as hedges, which are intended to protect the U.S. dollar value of certain forecasted foreign currency denominated transactions. The Company records the effective portion of any change in the fair value of foreign currency cash flow hedges in accumulated other comprehensive income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expects that $0.1 million of pre-tax losses relating to foreign currency forward contracts recorded as net in AOCI could be reclassified to earnings within the next twelve months.</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impact its earnings and cash flows.</w:t>
      </w:r>
    </w:p>
    <w:p>
      <w:pPr>
        <w:spacing w:after="0" w:line="2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Additionally, freestanding derivative foreign currency forward contracts may be used to offset the Company’s exposure to the change in value of specific foreign currency denominated liabilities. These derivatives are not designated as hedges, and therefore, changes in the value of these forward contracts are immediately recognized in earnings thereby offsetting the effect of the related change in the U.S. dollar value of foreign currency denominated liabilities. The cash flows from these contracts are reported as operating activities in the consolidated statements of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designates this derivative instrument as a cash flow hedge. The Company records the effective portion of any change in the fair value of a derivative instrument designated as a cash flow hedge as unrealized gains or losses in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expects that approximately $1.6 million of pre-tax losses related to the interest rate hedge recorded net in AOCI could be reclassified to earnings within the next twelve months.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are dependent on the Company’s credit ratings from any credit rating agency.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fair value, notional amounts presented in U.S. dollars, and presentation in the consolidated balance sheets for derivatives designated as hedging instruments as of December 31, 2011 and December 31, 2010: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Fair Value as of</w:t>
            </w:r>
          </w:p>
        </w:tc>
        <w:tc>
          <w:tcPr>
            <w:tcW w:w="6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4"/>
                <w:szCs w:val="14"/>
                <w:b w:val="1"/>
                <w:bCs w:val="1"/>
                <w:color w:val="auto"/>
              </w:rPr>
              <w:t>Notional Amount as of</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Location on Balance Sheet (a):</w:t>
            </w: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546"/>
              <w:spacing w:after="0" w:line="148" w:lineRule="exact"/>
              <w:rPr>
                <w:sz w:val="20"/>
                <w:szCs w:val="20"/>
                <w:color w:val="auto"/>
              </w:rPr>
            </w:pPr>
            <w:r>
              <w:rPr>
                <w:rFonts w:ascii="Arial" w:cs="Arial" w:eastAsia="Arial" w:hAnsi="Arial"/>
                <w:sz w:val="14"/>
                <w:szCs w:val="14"/>
                <w:b w:val="1"/>
                <w:bCs w:val="1"/>
                <w:color w:val="auto"/>
              </w:rPr>
              <w:t>2011</w:t>
            </w:r>
          </w:p>
        </w:tc>
        <w:tc>
          <w:tcPr>
            <w:tcW w:w="9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560"/>
              <w:spacing w:after="0" w:line="149" w:lineRule="exact"/>
              <w:rPr>
                <w:sz w:val="20"/>
                <w:szCs w:val="20"/>
                <w:color w:val="auto"/>
              </w:rPr>
            </w:pPr>
            <w:r>
              <w:rPr>
                <w:rFonts w:ascii="Arial" w:cs="Arial" w:eastAsia="Arial" w:hAnsi="Arial"/>
                <w:sz w:val="14"/>
                <w:szCs w:val="14"/>
                <w:b w:val="1"/>
                <w:bCs w:val="1"/>
                <w:color w:val="auto"/>
                <w:w w:val="97"/>
              </w:rPr>
              <w:t>(In thousands)</w:t>
            </w:r>
          </w:p>
        </w:tc>
        <w:tc>
          <w:tcPr>
            <w:tcW w:w="9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Interest rate swap — Other assets(b)</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1,825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Interest rate swap — Accrued expenses and other current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liabilities(b)</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1,634</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2,095</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foward contracts — Accrued expenses and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86"/>
              <w:spacing w:after="0"/>
              <w:rPr>
                <w:sz w:val="20"/>
                <w:szCs w:val="20"/>
                <w:color w:val="auto"/>
              </w:rPr>
            </w:pPr>
            <w:r>
              <w:rPr>
                <w:rFonts w:ascii="Arial" w:cs="Arial" w:eastAsia="Arial" w:hAnsi="Arial"/>
                <w:sz w:val="18"/>
                <w:szCs w:val="18"/>
                <w:color w:val="auto"/>
              </w:rPr>
              <w:t>1,597</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Interest rate swap — Other liabilities(b)</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2,458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4,200</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86" w:lineRule="exact"/>
        <w:rPr>
          <w:rFonts w:ascii="Arial" w:cs="Arial" w:eastAsia="Arial" w:hAnsi="Arial"/>
          <w:sz w:val="16"/>
          <w:szCs w:val="16"/>
          <w:color w:val="auto"/>
        </w:rPr>
      </w:pPr>
    </w:p>
    <w:p>
      <w:pPr>
        <w:ind w:left="340" w:hanging="332"/>
        <w:spacing w:after="0" w:line="33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December 31, 2011 and 2010, the total notional amount related to the interest rate swap was $139.7 million and $148.1 million, respectively. In the subsequent twelve months the Company expects to reduce these amounts by $12.2 million and $8.4 million, respectively.</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presents the pre-tax effect of derivative instruments designated as cash flow hedges on the accompanying consolidated statements of operations during the years ended December 31, 2011 and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Amount of Gain</w:t>
            </w:r>
          </w:p>
        </w:tc>
        <w:tc>
          <w:tcPr>
            <w:tcW w:w="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8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Amount of Gain</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(Loss) Reclassified</w:t>
            </w:r>
          </w:p>
        </w:tc>
        <w:tc>
          <w:tcPr>
            <w:tcW w:w="38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135"/>
        </w:trPr>
        <w:tc>
          <w:tcPr>
            <w:tcW w:w="5320" w:type="dxa"/>
            <w:vAlign w:val="bottom"/>
          </w:tcPr>
          <w:p>
            <w:pPr>
              <w:spacing w:after="0"/>
              <w:rPr>
                <w:sz w:val="11"/>
                <w:szCs w:val="11"/>
                <w:color w:val="auto"/>
              </w:rPr>
            </w:pPr>
          </w:p>
        </w:tc>
        <w:tc>
          <w:tcPr>
            <w:tcW w:w="1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(Loss) Recognized</w:t>
            </w:r>
          </w:p>
        </w:tc>
        <w:tc>
          <w:tcPr>
            <w:tcW w:w="150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94"/>
              </w:rPr>
              <w:t>from AOCI Into</w:t>
            </w:r>
          </w:p>
        </w:tc>
        <w:tc>
          <w:tcPr>
            <w:tcW w:w="38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in AOCI</w:t>
            </w:r>
          </w:p>
        </w:tc>
        <w:tc>
          <w:tcPr>
            <w:tcW w:w="18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Earnings</w:t>
            </w:r>
          </w:p>
        </w:tc>
        <w:tc>
          <w:tcPr>
            <w:tcW w:w="38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Statements of</w:t>
            </w:r>
          </w:p>
        </w:tc>
        <w:tc>
          <w:tcPr>
            <w:tcW w:w="0" w:type="dxa"/>
            <w:vAlign w:val="bottom"/>
          </w:tcPr>
          <w:p>
            <w:pPr>
              <w:spacing w:after="0"/>
              <w:rPr>
                <w:sz w:val="1"/>
                <w:szCs w:val="1"/>
                <w:color w:val="auto"/>
              </w:rPr>
            </w:pPr>
          </w:p>
        </w:tc>
      </w:tr>
      <w:tr>
        <w:trPr>
          <w:trHeight w:val="175"/>
        </w:trPr>
        <w:tc>
          <w:tcPr>
            <w:tcW w:w="5320" w:type="dxa"/>
            <w:vAlign w:val="bottom"/>
          </w:tcPr>
          <w:p>
            <w:pPr>
              <w:spacing w:after="0"/>
              <w:rPr>
                <w:sz w:val="15"/>
                <w:szCs w:val="15"/>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rPr>
              <w:t>(Effective Portion)</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(Effective Portion)</w:t>
            </w:r>
          </w:p>
        </w:tc>
        <w:tc>
          <w:tcPr>
            <w:tcW w:w="38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3"/>
          </w:tcPr>
          <w:p>
            <w:pPr>
              <w:ind w:left="86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380"/>
              <w:spacing w:after="0"/>
              <w:rPr>
                <w:sz w:val="20"/>
                <w:szCs w:val="20"/>
                <w:color w:val="auto"/>
              </w:rPr>
            </w:pPr>
            <w:r>
              <w:rPr>
                <w:rFonts w:ascii="Arial" w:cs="Arial" w:eastAsia="Arial" w:hAnsi="Arial"/>
                <w:sz w:val="18"/>
                <w:szCs w:val="18"/>
                <w:color w:val="auto"/>
              </w:rPr>
              <w:t>Cost of product revenue</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(6,090)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(2,269)</w:t>
            </w:r>
          </w:p>
        </w:tc>
        <w:tc>
          <w:tcPr>
            <w:tcW w:w="2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(6,306)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(2,269)</w:t>
            </w: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2,756</w:t>
            </w:r>
          </w:p>
        </w:tc>
        <w:tc>
          <w:tcPr>
            <w:tcW w:w="8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2,782</w:t>
            </w:r>
          </w:p>
        </w:tc>
        <w:tc>
          <w:tcPr>
            <w:tcW w:w="2720" w:type="dxa"/>
            <w:vAlign w:val="bottom"/>
            <w:gridSpan w:val="2"/>
          </w:tcPr>
          <w:p>
            <w:pPr>
              <w:ind w:left="38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2,486</w:t>
            </w:r>
          </w:p>
        </w:tc>
        <w:tc>
          <w:tcPr>
            <w:tcW w:w="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2,782</w:t>
            </w: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no gains or losses due to ineffectiveness for the years ended December 31, 2011 and 2010.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2011, the gross notional amount of derivative forward contracts outstanding that were not designated as hedging instruments was $3.3 million and there were no such contracts outstanding at or during the year ended December 31, 2010. The fair value of these forward contracts at December 31, 2011 was less than $0.1 million, which was recorded in other current assets. The impact on the consolidated statements of operations from derivative instruments not designated as hedges for the year ended December 31, 2011 was a $0.3 million loss recorded in other income (expense), net.</w:t>
      </w:r>
    </w:p>
    <w:p>
      <w:pPr>
        <w:spacing w:after="0" w:line="14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tab/>
        <w:t>TREASURY STOCK</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On October 30, 2008, the Company’s Board of Directors authorized the Company to repurchase shares of its common stock for an aggregate purchase price not to exceed $75.0 million through December 31, 2010 (the “2008 Authorization”). On October 29, 2010, the Company’s Board of Directors terminated the 2008 Authorization and authorized the Company to repurchase shares of the Company’s common stock for an aggregate purchase price not to exceed $75.0 million through December 31, 2012 (the “2010 Authorization”). Shares may be purchased either in the open market or in privately negotiated transactions under both of these authorizations. As of December 31, 2011, there remained $29.1 million available for share repurchases under the 2010 Authorization. In addition to the authorizations above, on June 3, 2011, the Company’s Board of Directors separately authorized the Company to repurchase shares of common stock from the proceeds of the 2016 Notes in connection with that offering.</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treasury stock activity: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right"/>
              <w:ind w:right="384"/>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180" w:type="dxa"/>
            <w:vAlign w:val="bottom"/>
            <w:gridSpan w:val="6"/>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 of Shares</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 in the open market in connection with the 2008 Authorization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Shares repurchased in the open market in connection with the 2010 Authorization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45,893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Shares repurchased in connection with the issuance of the 2016 Notes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37,570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60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83,463</w:t>
            </w: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1,909</w:t>
            </w:r>
          </w:p>
        </w:tc>
        <w:tc>
          <w:tcPr>
            <w:tcW w:w="26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31,278</w:t>
            </w:r>
          </w:p>
        </w:tc>
        <w:tc>
          <w:tcPr>
            <w:tcW w:w="2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There were no treasury stock repurchases during the year ended December 31, 2009.</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7.  STOCK PURCHASE AND AWARD PLANS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0" w:type="dxa"/>
            <w:vAlign w:val="bottom"/>
            <w:gridSpan w:val="5"/>
          </w:tcPr>
          <w:p>
            <w:pPr>
              <w:ind w:left="460"/>
              <w:spacing w:after="0"/>
              <w:rPr>
                <w:sz w:val="20"/>
                <w:szCs w:val="20"/>
                <w:color w:val="auto"/>
              </w:rPr>
            </w:pPr>
            <w:r>
              <w:rPr>
                <w:rFonts w:ascii="Arial" w:cs="Arial" w:eastAsia="Arial" w:hAnsi="Arial"/>
                <w:sz w:val="18"/>
                <w:szCs w:val="18"/>
                <w:color w:val="auto"/>
                <w:w w:val="90"/>
              </w:rPr>
              <w:t>Employee stock-based compensation expense recognized under the authoritative guidance was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left="158"/>
              <w:spacing w:after="0" w:line="142"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$26,310</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$16,694</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404</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 employee stock-based compensation expense</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26,805</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17,209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tax benefit related to employee stock-based compensation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10,468</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7,006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460"/>
              <w:spacing w:after="0"/>
              <w:rPr>
                <w:sz w:val="20"/>
                <w:szCs w:val="20"/>
                <w:color w:val="auto"/>
              </w:rPr>
            </w:pPr>
            <w:r>
              <w:rPr>
                <w:rFonts w:ascii="Arial" w:cs="Arial" w:eastAsia="Arial" w:hAnsi="Arial"/>
                <w:sz w:val="18"/>
                <w:szCs w:val="18"/>
                <w:color w:val="auto"/>
              </w:rPr>
              <w:t>Net effect on net income</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16,337</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10,203</w:t>
            </w:r>
          </w:p>
        </w:tc>
        <w:tc>
          <w:tcPr>
            <w:tcW w:w="2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vMerge w:val="restart"/>
          </w:tcPr>
          <w:p>
            <w:pPr>
              <w:ind w:left="508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2011, 1.1 million shares remain available for purchase under the ESPP. During the years ended December 31, 2011, 2010 and 2009, the Company issued 8,523 shares, 5,515 shares and 7,263 shares under the ESPP for $0.2 million, $0.2 million and $0.3 million, respectively.</w:t>
      </w:r>
    </w:p>
    <w:p>
      <w:pPr>
        <w:spacing w:after="0" w:line="6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ESPP was amended in 2005 to reduce the discount available to participants to five percent and to fix the price against which such discount would be applied. Accordingly, the ESPP is a non-compensatory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PLANS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31, 2011, the Company had stock options, restricted stock awards, and contract stock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or the 1999 Plan.</w:t>
      </w:r>
    </w:p>
    <w:p>
      <w:pPr>
        <w:spacing w:after="0" w:line="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July 2008 and May 2010, the stockholders of the Company approved amendments to the 2003 Plan to increase by 750,000 and 1,750,000, respectively, the number of shares of common stock that may be issued under the 2003 Plan. The Company has reserved 750,000 shares of common stock for issuance under the 1996 Plan, 1,000,000 shares under the 1998 Plan, 2,000,000 shares under each of the 1999 Plan, the 2000 Plan and the 2001 Plan, and 6,500,000 shares under the 2003 Plan. The 1996 Plan, 1998 Plan, and the 1999 Plan permit the Company to grant both incentive and non-qualified stock options to designated directors, officers, employees and associates of the Company. In general, the 2000 Plan, 2001 Plan, and 2003 Plan permit the Company to grant incentive and non-qualified stock options, stock appreciation rights, restricted stock, contract stock, performance stock, or dividend equivalent rights to designated directors, officers, employees and associates of the Company. 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values stock option grants using the binomial distribution model. Management believes that the binomial distribution model is preferable to the Black-Scholes model because the binomial distribution model is a more flexible model that considers the impact of non-transferability, and vesting provisions in the valuation of employee stock options.</w:t>
      </w:r>
    </w:p>
    <w:p>
      <w:pPr>
        <w:spacing w:after="0" w:line="59"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determining the value of stock options granted, the Company considered that it has never paid cash dividends and does not currently intend to pay cash dividends, and thus has assumed a 0% dividend yield. Expected volatilities are based on the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forfeiture rate when amortizing stock-based compensation expenses. The estimate of the forfeiture rates is based primarily upon historical experience of employee turnover. As individual grant awards become fully vested, stock-based compensation expense is adjusted to recognize actual forfeitures. The following weighted-average assumptions were used in the calculation of fair value: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940" w:type="dxa"/>
            <w:vAlign w:val="bottom"/>
            <w:gridSpan w:val="3"/>
          </w:tcPr>
          <w:p>
            <w:pPr>
              <w:jc w:val="center"/>
              <w:ind w:left="216"/>
              <w:spacing w:after="0" w:line="142" w:lineRule="exact"/>
              <w:rPr>
                <w:sz w:val="20"/>
                <w:szCs w:val="20"/>
                <w:color w:val="auto"/>
              </w:rPr>
            </w:pPr>
            <w:r>
              <w:rPr>
                <w:rFonts w:ascii="Arial" w:cs="Arial" w:eastAsia="Arial" w:hAnsi="Arial"/>
                <w:sz w:val="14"/>
                <w:szCs w:val="14"/>
                <w:b w:val="1"/>
                <w:bCs w:val="1"/>
                <w:color w:val="auto"/>
                <w:w w:val="89"/>
              </w:rPr>
              <w:t>2010</w:t>
            </w:r>
          </w:p>
        </w:tc>
        <w:tc>
          <w:tcPr>
            <w:tcW w:w="84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8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8"/>
              </w:rPr>
              <w:t>28%</w:t>
            </w:r>
          </w:p>
        </w:tc>
        <w:tc>
          <w:tcPr>
            <w:tcW w:w="940" w:type="dxa"/>
            <w:vAlign w:val="bottom"/>
            <w:gridSpan w:val="3"/>
          </w:tcPr>
          <w:p>
            <w:pPr>
              <w:jc w:val="center"/>
              <w:ind w:left="216"/>
              <w:spacing w:after="0"/>
              <w:rPr>
                <w:sz w:val="20"/>
                <w:szCs w:val="20"/>
                <w:color w:val="auto"/>
              </w:rPr>
            </w:pPr>
            <w:r>
              <w:rPr>
                <w:rFonts w:ascii="Arial" w:cs="Arial" w:eastAsia="Arial" w:hAnsi="Arial"/>
                <w:sz w:val="18"/>
                <w:szCs w:val="18"/>
                <w:color w:val="auto"/>
                <w:w w:val="88"/>
              </w:rPr>
              <w:t>30%</w:t>
            </w:r>
          </w:p>
        </w:tc>
        <w:tc>
          <w:tcPr>
            <w:tcW w:w="840" w:type="dxa"/>
            <w:vAlign w:val="bottom"/>
            <w:gridSpan w:val="2"/>
          </w:tcPr>
          <w:p>
            <w:pPr>
              <w:jc w:val="center"/>
              <w:ind w:left="322"/>
              <w:spacing w:after="0"/>
              <w:rPr>
                <w:sz w:val="20"/>
                <w:szCs w:val="20"/>
                <w:color w:val="auto"/>
              </w:rPr>
            </w:pPr>
            <w:r>
              <w:rPr>
                <w:rFonts w:ascii="Arial" w:cs="Arial" w:eastAsia="Arial" w:hAnsi="Arial"/>
                <w:sz w:val="18"/>
                <w:szCs w:val="18"/>
                <w:color w:val="auto"/>
                <w:w w:val="88"/>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2.47%</w:t>
            </w:r>
          </w:p>
        </w:tc>
        <w:tc>
          <w:tcPr>
            <w:tcW w:w="940" w:type="dxa"/>
            <w:vAlign w:val="bottom"/>
            <w:gridSpan w:val="3"/>
            <w:shd w:val="clear" w:color="auto" w:fill="CCEEFF"/>
          </w:tcPr>
          <w:p>
            <w:pPr>
              <w:jc w:val="center"/>
              <w:ind w:left="216"/>
              <w:spacing w:after="0"/>
              <w:rPr>
                <w:sz w:val="20"/>
                <w:szCs w:val="20"/>
                <w:color w:val="auto"/>
              </w:rPr>
            </w:pPr>
            <w:r>
              <w:rPr>
                <w:rFonts w:ascii="Arial" w:cs="Arial" w:eastAsia="Arial" w:hAnsi="Arial"/>
                <w:sz w:val="18"/>
                <w:szCs w:val="18"/>
                <w:color w:val="auto"/>
                <w:w w:val="86"/>
              </w:rPr>
              <w:t>2.82%</w:t>
            </w:r>
          </w:p>
        </w:tc>
        <w:tc>
          <w:tcPr>
            <w:tcW w:w="840" w:type="dxa"/>
            <w:vAlign w:val="bottom"/>
            <w:gridSpan w:val="2"/>
            <w:shd w:val="clear" w:color="auto" w:fill="CCEEFF"/>
          </w:tcPr>
          <w:p>
            <w:pPr>
              <w:jc w:val="center"/>
              <w:ind w:left="322"/>
              <w:spacing w:after="0"/>
              <w:rPr>
                <w:sz w:val="20"/>
                <w:szCs w:val="20"/>
                <w:color w:val="auto"/>
              </w:rPr>
            </w:pPr>
            <w:r>
              <w:rPr>
                <w:rFonts w:ascii="Arial" w:cs="Arial" w:eastAsia="Arial" w:hAnsi="Arial"/>
                <w:sz w:val="18"/>
                <w:szCs w:val="18"/>
                <w:color w:val="auto"/>
                <w:w w:val="87"/>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Expected life of option from grant date</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w w:val="94"/>
              </w:rPr>
              <w:t>8 years</w:t>
            </w:r>
          </w:p>
        </w:tc>
        <w:tc>
          <w:tcPr>
            <w:tcW w:w="30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8 years</w:t>
            </w:r>
          </w:p>
        </w:tc>
        <w:tc>
          <w:tcPr>
            <w:tcW w:w="300" w:type="dxa"/>
            <w:vAlign w:val="bottom"/>
          </w:tcPr>
          <w:p>
            <w:pPr>
              <w:spacing w:after="0"/>
              <w:rPr>
                <w:sz w:val="19"/>
                <w:szCs w:val="19"/>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w w:val="91"/>
              </w:rPr>
              <w:t>8 years</w:t>
            </w:r>
          </w:p>
        </w:tc>
        <w:tc>
          <w:tcPr>
            <w:tcW w:w="0" w:type="dxa"/>
            <w:vAlign w:val="bottom"/>
          </w:tcPr>
          <w:p>
            <w:pPr>
              <w:spacing w:after="0"/>
              <w:rPr>
                <w:sz w:val="1"/>
                <w:szCs w:val="1"/>
                <w:color w:val="auto"/>
              </w:rPr>
            </w:pPr>
          </w:p>
        </w:tc>
      </w:tr>
      <w:tr>
        <w:trPr>
          <w:trHeight w:val="289"/>
        </w:trPr>
        <w:tc>
          <w:tcPr>
            <w:tcW w:w="6040" w:type="dxa"/>
            <w:vAlign w:val="bottom"/>
            <w:gridSpan w:val="3"/>
          </w:tcPr>
          <w:p>
            <w:pPr>
              <w:spacing w:after="0"/>
              <w:rPr>
                <w:sz w:val="20"/>
                <w:szCs w:val="20"/>
                <w:color w:val="auto"/>
              </w:rPr>
            </w:pPr>
            <w:r>
              <w:rPr>
                <w:rFonts w:ascii="Arial" w:cs="Arial" w:eastAsia="Arial" w:hAnsi="Arial"/>
                <w:sz w:val="18"/>
                <w:szCs w:val="18"/>
                <w:color w:val="auto"/>
              </w:rPr>
              <w:t>The following table summarizes the Company’s stock option activity:</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9"/>
                <w:szCs w:val="19"/>
                <w:color w:val="auto"/>
              </w:rPr>
            </w:pPr>
          </w:p>
        </w:tc>
        <w:tc>
          <w:tcPr>
            <w:tcW w:w="1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2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Average</w:t>
            </w: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2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55"/>
        </w:trPr>
        <w:tc>
          <w:tcPr>
            <w:tcW w:w="6040" w:type="dxa"/>
            <w:vAlign w:val="bottom"/>
            <w:gridSpan w:val="3"/>
            <w:vMerge w:val="continue"/>
          </w:tcPr>
          <w:p>
            <w:pPr>
              <w:spacing w:after="0"/>
              <w:rPr>
                <w:sz w:val="13"/>
                <w:szCs w:val="13"/>
                <w:color w:val="auto"/>
              </w:rPr>
            </w:pPr>
          </w:p>
        </w:tc>
        <w:tc>
          <w:tcPr>
            <w:tcW w:w="12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5"/>
              </w:rPr>
              <w:t>Shares</w:t>
            </w:r>
          </w:p>
        </w:tc>
        <w:tc>
          <w:tcPr>
            <w:tcW w:w="7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3"/>
                <w:szCs w:val="13"/>
                <w:color w:val="auto"/>
              </w:rPr>
            </w:pPr>
          </w:p>
        </w:tc>
        <w:tc>
          <w:tcPr>
            <w:tcW w:w="1260" w:type="dxa"/>
            <w:vAlign w:val="bottom"/>
            <w:gridSpan w:val="4"/>
          </w:tcPr>
          <w:p>
            <w:pPr>
              <w:jc w:val="right"/>
              <w:ind w:right="460"/>
              <w:spacing w:after="0" w:line="148" w:lineRule="exact"/>
              <w:rPr>
                <w:sz w:val="20"/>
                <w:szCs w:val="20"/>
                <w:color w:val="auto"/>
              </w:rPr>
            </w:pPr>
            <w:r>
              <w:rPr>
                <w:rFonts w:ascii="Arial" w:cs="Arial" w:eastAsia="Arial" w:hAnsi="Arial"/>
                <w:sz w:val="14"/>
                <w:szCs w:val="14"/>
                <w:b w:val="1"/>
                <w:bCs w:val="1"/>
                <w:color w:val="auto"/>
                <w:w w:val="84"/>
              </w:rPr>
              <w:t>Term in Years</w:t>
            </w:r>
          </w:p>
        </w:tc>
        <w:tc>
          <w:tcPr>
            <w:tcW w:w="94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560" w:type="dxa"/>
            <w:vAlign w:val="bottom"/>
          </w:tcPr>
          <w:p>
            <w:pPr>
              <w:jc w:val="right"/>
              <w:spacing w:after="0"/>
              <w:rPr>
                <w:sz w:val="20"/>
                <w:szCs w:val="20"/>
                <w:color w:val="auto"/>
              </w:rPr>
            </w:pPr>
            <w:r>
              <w:rPr>
                <w:rFonts w:ascii="Arial" w:cs="Arial" w:eastAsia="Arial" w:hAnsi="Arial"/>
                <w:sz w:val="18"/>
                <w:szCs w:val="18"/>
                <w:color w:val="auto"/>
              </w:rPr>
              <w:t>50.78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560" w:type="dxa"/>
            <w:vAlign w:val="bottom"/>
          </w:tcPr>
          <w:p>
            <w:pPr>
              <w:jc w:val="right"/>
              <w:spacing w:after="0"/>
              <w:rPr>
                <w:sz w:val="20"/>
                <w:szCs w:val="20"/>
                <w:color w:val="auto"/>
              </w:rPr>
            </w:pPr>
            <w:r>
              <w:rPr>
                <w:rFonts w:ascii="Arial" w:cs="Arial" w:eastAsia="Arial" w:hAnsi="Arial"/>
                <w:sz w:val="18"/>
                <w:szCs w:val="18"/>
                <w:color w:val="auto"/>
              </w:rPr>
              <w:t>36.60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Vested or expected to vest at December 31, 2011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8"/>
              </w:rPr>
              <w:t>$38.68</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4.4</w:t>
            </w: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w w:val="79"/>
              </w:rPr>
              <w:t>$270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3"/>
            <w:vMerge w:val="continue"/>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1,483</w:t>
            </w: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31, 2011</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intrinsic value of options exercised for the years ended December 31, 2011, 2010 and 2009 was $1.4 million, $14.4 million and $1.0 million, respectively. The weighted average grant date fair value of options granted during the years ended December 31, 2011, 2010 and 2009 was $19.18, $17.03 and $8.12, respectively. Cash received from option exercises was $3.7 million, $16.1 million and $6.6 million, for the years ended December 31, 2011, 2010 and 2009, respectively.</w:t>
      </w:r>
    </w:p>
    <w:p>
      <w:pPr>
        <w:spacing w:after="0" w:line="62"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December 31, 2011, there was approximately $0.2 million of total unrecognized compensation costs related to unvested stock options. These costs are expected to be recognized over a weighted-average period of approximately one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Performance Stock and Contract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awards of restricted stock, performance stock and contract stock for the year ended December 31, 2011:</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Performance Stock</w:t>
            </w:r>
          </w:p>
        </w:tc>
      </w:tr>
      <w:tr>
        <w:trPr>
          <w:trHeight w:val="149"/>
        </w:trPr>
        <w:tc>
          <w:tcPr>
            <w:tcW w:w="6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and Contract Stock</w:t>
            </w:r>
          </w:p>
        </w:tc>
      </w:tr>
      <w:tr>
        <w:trPr>
          <w:trHeight w:val="161"/>
        </w:trPr>
        <w:tc>
          <w:tcPr>
            <w:tcW w:w="6500" w:type="dxa"/>
            <w:vAlign w:val="bottom"/>
          </w:tcPr>
          <w:p>
            <w:pPr>
              <w:spacing w:after="0"/>
              <w:rPr>
                <w:sz w:val="14"/>
                <w:szCs w:val="14"/>
                <w:color w:val="auto"/>
              </w:rPr>
            </w:pPr>
          </w:p>
        </w:tc>
        <w:tc>
          <w:tcPr>
            <w:tcW w:w="19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Restricted Stock Awards</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Awards</w:t>
            </w:r>
          </w:p>
        </w:tc>
      </w:tr>
      <w:tr>
        <w:trPr>
          <w:trHeight w:val="129"/>
        </w:trPr>
        <w:tc>
          <w:tcPr>
            <w:tcW w:w="65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Wtd. Avg.</w:t>
            </w:r>
          </w:p>
        </w:tc>
        <w:tc>
          <w:tcPr>
            <w:tcW w:w="4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left="261"/>
              <w:spacing w:after="0" w:line="129" w:lineRule="exact"/>
              <w:rPr>
                <w:sz w:val="20"/>
                <w:szCs w:val="20"/>
                <w:color w:val="auto"/>
              </w:rPr>
            </w:pPr>
            <w:r>
              <w:rPr>
                <w:rFonts w:ascii="Arial" w:cs="Arial" w:eastAsia="Arial" w:hAnsi="Arial"/>
                <w:sz w:val="14"/>
                <w:szCs w:val="14"/>
                <w:b w:val="1"/>
                <w:bCs w:val="1"/>
                <w:color w:val="auto"/>
                <w:w w:val="88"/>
              </w:rPr>
              <w:t>Wtd. Avg</w:t>
            </w:r>
          </w:p>
        </w:tc>
        <w:tc>
          <w:tcPr>
            <w:tcW w:w="100" w:type="dxa"/>
            <w:vAlign w:val="bottom"/>
          </w:tcPr>
          <w:p>
            <w:pPr>
              <w:spacing w:after="0"/>
              <w:rPr>
                <w:sz w:val="11"/>
                <w:szCs w:val="11"/>
                <w:color w:val="auto"/>
              </w:rPr>
            </w:pPr>
          </w:p>
        </w:tc>
      </w:tr>
      <w:tr>
        <w:trPr>
          <w:trHeight w:val="149"/>
        </w:trPr>
        <w:tc>
          <w:tcPr>
            <w:tcW w:w="6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left="161"/>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6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left="181"/>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650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4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1"/>
              </w:rPr>
              <w:t>Shares</w:t>
            </w:r>
          </w:p>
        </w:tc>
        <w:tc>
          <w:tcPr>
            <w:tcW w:w="110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88"/>
              </w:rPr>
              <w:t>Per Share</w:t>
            </w:r>
          </w:p>
        </w:tc>
      </w:tr>
      <w:tr>
        <w:trPr>
          <w:trHeight w:val="142"/>
        </w:trPr>
        <w:tc>
          <w:tcPr>
            <w:tcW w:w="650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40" w:type="dxa"/>
            <w:vAlign w:val="bottom"/>
            <w:gridSpan w:val="2"/>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82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47.48</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361</w:t>
            </w:r>
          </w:p>
        </w:tc>
        <w:tc>
          <w:tcPr>
            <w:tcW w:w="1000" w:type="dxa"/>
            <w:vAlign w:val="bottom"/>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Released</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(195)</w:t>
            </w:r>
          </w:p>
        </w:tc>
        <w:tc>
          <w:tcPr>
            <w:tcW w:w="660" w:type="dxa"/>
            <w:vAlign w:val="bottom"/>
          </w:tcPr>
          <w:p>
            <w:pPr>
              <w:jc w:val="right"/>
              <w:spacing w:after="0"/>
              <w:rPr>
                <w:sz w:val="20"/>
                <w:szCs w:val="20"/>
                <w:color w:val="auto"/>
              </w:rPr>
            </w:pPr>
            <w:r>
              <w:rPr>
                <w:rFonts w:ascii="Arial" w:cs="Arial" w:eastAsia="Arial" w:hAnsi="Arial"/>
                <w:sz w:val="18"/>
                <w:szCs w:val="18"/>
                <w:color w:val="auto"/>
              </w:rPr>
              <w:t>36.95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but not released</w:t>
            </w:r>
          </w:p>
        </w:tc>
        <w:tc>
          <w:tcPr>
            <w:tcW w:w="12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0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Unvested, December 31, 2011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$38.37</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recognized $24.5 million, $13.5 million and $10.5 million in expense related to such awards during the years ended December 31, 2011, 2010 and 2009, respectively. The total fair market value of shares vested in 2011, 2010 and 2009 was $29.7 million, $11.5 million and $4.7 million, respectively.</w:t>
      </w:r>
    </w:p>
    <w:p>
      <w:pPr>
        <w:spacing w:after="0" w:line="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2011, there was approximately $7.4 million of total unrecognized compensation costs related to unvested awards. These costs are expected to be recognized over a weighted-average period of approximately two years.</w:t>
      </w:r>
    </w:p>
    <w:p>
      <w:pPr>
        <w:spacing w:after="0" w:line="62"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In July 2004, the Company renewed the employment agreement of its former Chief Executive Officer (“the Executive”) and the Executive received fully vested Restricted Units providing for the payment of 750,000 shares of Integra common stock which shall generally be delivered to the Executive following his termination of employment or retirement, or i) later under certain circumstances, ii) earlier if he is terminated without cause, or iii) if he leaves his position for good reason or upon a change of control or certain tax related events. In August 2008, the Company and the Executive renewed the Executive’s employment agreement through December 31, 2011. In connection with the renewal of the agreement, the Executive received fully vested Restricted Units providing for the payment of 375,000 shares of Integra common stock which shall be delivered to the Executive within three business days following the first business day after the six month anniversary of his separation of service from the Company. As the Restricted Units vested on the grant date, a charge of approximately $18.0 million was recognized upon issuance, which was included in selling, general and administrative expenses. On May 17, 2011, in connection with the extension of the employment agreement with the Executive, the Company provided a grant of 165,000 contract stock/stock units (“SUs”). As the SUs vested at the grant date, the Company recognized a charge of approximately $8.4 million upon issuance, which was included in selling, general and administrative expenses. The Executive’s employment contract provides for an annual equity award covering between 75,000 and 100,000 shares of the Company’s stock. In December 2011, the Executive provided a letter to the Board of Directors acknowledging that the annual equity award that the Company determines to grant to him for 2011 may be granted in the first quarter of 2012 (rather than in December 2011). Because the Company is required to grant him an award for 2011 covering at least 75,000 shares, those shares have been included as part of the grants in the table above. The award is deemed to be fully vested under the Executive’s contract as a result of the appointment of a new chief executive officer; therefore,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immediately recognized an expense of $2.3 million in 2011. Additionally, the Company’s former chief executive officer’s previously unvested awards immediately vested upon the appointment of a new chief executive officer, which resulted in an expense of $2.6 million in 2011. The Restricted Units granted in 2004, 2008 and 2011 were granted under the 2003 Plan, and as of December 31, 2011 the related shares have not been issued. The Executive has demand registration rights under the Restricted Unit grants.</w:t>
      </w:r>
    </w:p>
    <w:p>
      <w:pPr>
        <w:spacing w:after="0" w:line="6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At December 31, 2011, in addition to the Restricted Units discussed above, there are approximately 430,000 additional vested Restricted Units held by various employees for which the related shares have not yet been issued. Included in this amount are 34,868 units granted in October 2010 in connection with the Company’s hiring of its Chief Executive Officer for which the Company immediately expensed $1.5 million as these shares were fully vested at the date of grant.</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2011, there were approximately 1.9 million shares available for grant under the Plans.</w:t>
      </w:r>
    </w:p>
    <w:p>
      <w:pPr>
        <w:spacing w:after="0" w:line="206" w:lineRule="exact"/>
        <w:rPr>
          <w:sz w:val="20"/>
          <w:szCs w:val="20"/>
          <w:color w:val="auto"/>
        </w:rPr>
      </w:pPr>
    </w:p>
    <w:p>
      <w:pPr>
        <w:ind w:right="8440" w:firstLine="8"/>
        <w:spacing w:after="0" w:line="347" w:lineRule="auto"/>
        <w:tabs>
          <w:tab w:leader="none" w:pos="33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PLANS </w:t>
      </w:r>
      <w:r>
        <w:rPr>
          <w:rFonts w:ascii="Arial" w:cs="Arial" w:eastAsia="Arial" w:hAnsi="Arial"/>
          <w:sz w:val="18"/>
          <w:szCs w:val="18"/>
          <w:b w:val="1"/>
          <w:bCs w:val="1"/>
          <w:i w:val="1"/>
          <w:iCs w:val="1"/>
          <w:color w:val="auto"/>
        </w:rPr>
        <w:t>DEFINED BENEFIT PLANS</w:t>
      </w:r>
    </w:p>
    <w:p>
      <w:pPr>
        <w:spacing w:after="0" w:line="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recognizes the overfunded or underfunded status of a defined benefit postretirement plan as an asset or liability in its statement of financial position and recognizes changes in that funded status in the year in which the changes occur through comprehensive income.</w:t>
      </w:r>
    </w:p>
    <w:p>
      <w:pPr>
        <w:spacing w:after="0" w:line="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maintains defined benefit pension plans that cover employees in its manufacturing plants located in Andover, United Kingdom (the “UK Plan”) and Tuttlingen, Germany (the “Germany Plan”). The Company closed the Tuttlingen, Germany plant in December 2005. However, the Germany Plan was not terminated and the Company remains obligated for the accrued pension benefits related to this plan. The plans cover certain current and former employees. The plans are no longer open to new participants. The Company uses a December 31 measurement date for all of its pension plans.</w:t>
      </w:r>
    </w:p>
    <w:p>
      <w:pPr>
        <w:spacing w:after="0" w:line="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consolidated statements of operations.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benefit costs for these defined benefit pension plans included the following amounts: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left="260"/>
              <w:spacing w:after="0"/>
              <w:rPr>
                <w:sz w:val="20"/>
                <w:szCs w:val="20"/>
                <w:color w:val="auto"/>
              </w:rPr>
            </w:pPr>
            <w:r>
              <w:rPr>
                <w:rFonts w:ascii="Arial" w:cs="Arial" w:eastAsia="Arial" w:hAnsi="Arial"/>
                <w:sz w:val="14"/>
                <w:szCs w:val="14"/>
                <w:b w:val="1"/>
                <w:bCs w:val="1"/>
                <w:color w:val="auto"/>
                <w:w w:val="86"/>
              </w:rPr>
              <w:t>Years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29"/>
        </w:trPr>
        <w:tc>
          <w:tcPr>
            <w:tcW w:w="36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Non U.S.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Non U.S.</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Non U.S.</w:t>
            </w:r>
          </w:p>
        </w:tc>
        <w:tc>
          <w:tcPr>
            <w:tcW w:w="100" w:type="dxa"/>
            <w:vAlign w:val="bottom"/>
          </w:tcPr>
          <w:p>
            <w:pPr>
              <w:spacing w:after="0"/>
              <w:rPr>
                <w:sz w:val="11"/>
                <w:szCs w:val="11"/>
                <w:color w:val="auto"/>
              </w:rPr>
            </w:pPr>
          </w:p>
        </w:tc>
      </w:tr>
      <w:tr>
        <w:trPr>
          <w:trHeight w:val="161"/>
        </w:trPr>
        <w:tc>
          <w:tcPr>
            <w:tcW w:w="36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Plans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0"/>
              </w:rPr>
              <w:t>Plans</w:t>
            </w:r>
          </w:p>
        </w:tc>
      </w:tr>
      <w:tr>
        <w:trPr>
          <w:trHeight w:val="142"/>
        </w:trPr>
        <w:tc>
          <w:tcPr>
            <w:tcW w:w="36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32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r>
      <w:tr>
        <w:trPr>
          <w:trHeight w:val="27"/>
        </w:trPr>
        <w:tc>
          <w:tcPr>
            <w:tcW w:w="36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r>
      <w:tr>
        <w:trPr>
          <w:trHeight w:val="20"/>
        </w:trPr>
        <w:tc>
          <w:tcPr>
            <w:tcW w:w="3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4320" w:type="dxa"/>
            <w:vAlign w:val="bottom"/>
            <w:gridSpan w:val="2"/>
          </w:tcPr>
          <w:p>
            <w:pPr>
              <w:ind w:left="1460"/>
              <w:spacing w:after="0"/>
              <w:rPr>
                <w:sz w:val="20"/>
                <w:szCs w:val="20"/>
                <w:color w:val="auto"/>
              </w:rPr>
            </w:pPr>
            <w:r>
              <w:rPr>
                <w:rFonts w:ascii="Arial" w:cs="Arial" w:eastAsia="Arial" w:hAnsi="Arial"/>
                <w:sz w:val="18"/>
                <w:szCs w:val="18"/>
                <w:color w:val="auto"/>
              </w:rPr>
              <w:t>F-30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weighted average assumptions were used to develop net periodic pension benefit cost and the actuarial present value of projected pension benefit obligations: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7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77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129"/>
        </w:trPr>
        <w:tc>
          <w:tcPr>
            <w:tcW w:w="778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Non U.S.</w:t>
            </w:r>
          </w:p>
        </w:tc>
        <w:tc>
          <w:tcPr>
            <w:tcW w:w="48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Non U.S.</w:t>
            </w:r>
          </w:p>
        </w:tc>
        <w:tc>
          <w:tcPr>
            <w:tcW w:w="48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Non U.S.</w:t>
            </w:r>
          </w:p>
        </w:tc>
        <w:tc>
          <w:tcPr>
            <w:tcW w:w="200" w:type="dxa"/>
            <w:vAlign w:val="bottom"/>
          </w:tcPr>
          <w:p>
            <w:pPr>
              <w:spacing w:after="0"/>
              <w:rPr>
                <w:sz w:val="11"/>
                <w:szCs w:val="11"/>
                <w:color w:val="auto"/>
              </w:rPr>
            </w:pPr>
          </w:p>
        </w:tc>
      </w:tr>
      <w:tr>
        <w:trPr>
          <w:trHeight w:val="161"/>
        </w:trPr>
        <w:tc>
          <w:tcPr>
            <w:tcW w:w="77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4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4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CCEEFF"/>
            </w:tcBorders>
          </w:tcPr>
          <w:p>
            <w:pPr>
              <w:spacing w:after="0"/>
              <w:rPr>
                <w:sz w:val="14"/>
                <w:szCs w:val="14"/>
                <w:color w:val="auto"/>
              </w:rPr>
            </w:pPr>
          </w:p>
        </w:tc>
      </w:tr>
      <w:tr>
        <w:trPr>
          <w:trHeight w:val="210"/>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bl>
    <w:p>
      <w:pPr>
        <w:spacing w:after="0" w:line="7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In 2011, 2010 and 2009, the discount rate was prescribed as the current yield on corporate bonds with an average rating of AA of equivalent currency and term to the liabilities.</w:t>
      </w:r>
    </w:p>
    <w:p>
      <w:pPr>
        <w:spacing w:after="0" w:line="3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sets forth the change in projected benefit obligations and the change in plan assets for the years ended December 31, 2011 and 2010 and a reconciliation of the funded status at December 31, 2011 and 2010: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Non-U.S.</w:t>
            </w:r>
          </w:p>
        </w:tc>
        <w:tc>
          <w:tcPr>
            <w:tcW w:w="4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31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5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Projected benefit obligation, beginning of year</w:t>
            </w:r>
          </w:p>
        </w:tc>
        <w:tc>
          <w:tcPr>
            <w:tcW w:w="6040" w:type="dxa"/>
            <w:vAlign w:val="bottom"/>
            <w:gridSpan w:val="3"/>
          </w:tcPr>
          <w:p>
            <w:pPr>
              <w:jc w:val="right"/>
              <w:ind w:right="460"/>
              <w:spacing w:after="0"/>
              <w:rPr>
                <w:sz w:val="20"/>
                <w:szCs w:val="20"/>
                <w:color w:val="auto"/>
              </w:rPr>
            </w:pPr>
            <w:r>
              <w:rPr>
                <w:rFonts w:ascii="Arial" w:cs="Arial" w:eastAsia="Arial" w:hAnsi="Arial"/>
                <w:sz w:val="18"/>
                <w:szCs w:val="18"/>
                <w:color w:val="auto"/>
              </w:rPr>
              <w:t>$12,042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11,550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6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6040" w:type="dxa"/>
            <w:vAlign w:val="bottom"/>
            <w:gridSpan w:val="3"/>
          </w:tcPr>
          <w:p>
            <w:pPr>
              <w:jc w:val="right"/>
              <w:ind w:right="46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contributions</w:t>
            </w:r>
          </w:p>
        </w:tc>
        <w:tc>
          <w:tcPr>
            <w:tcW w:w="6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6040" w:type="dxa"/>
            <w:vAlign w:val="bottom"/>
            <w:gridSpan w:val="3"/>
          </w:tcPr>
          <w:p>
            <w:pPr>
              <w:jc w:val="right"/>
              <w:ind w:right="40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loss (gain)</w:t>
            </w:r>
          </w:p>
        </w:tc>
        <w:tc>
          <w:tcPr>
            <w:tcW w:w="6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Curtailment gain</w:t>
            </w:r>
          </w:p>
        </w:tc>
        <w:tc>
          <w:tcPr>
            <w:tcW w:w="6040" w:type="dxa"/>
            <w:vAlign w:val="bottom"/>
            <w:gridSpan w:val="3"/>
          </w:tcPr>
          <w:p>
            <w:pPr>
              <w:jc w:val="right"/>
              <w:ind w:right="40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currency exchange rates</w:t>
            </w:r>
          </w:p>
        </w:tc>
        <w:tc>
          <w:tcPr>
            <w:tcW w:w="5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20"/>
              <w:spacing w:after="0"/>
              <w:rPr>
                <w:sz w:val="20"/>
                <w:szCs w:val="20"/>
                <w:color w:val="auto"/>
              </w:rPr>
            </w:pPr>
            <w:r>
              <w:rPr>
                <w:rFonts w:ascii="Arial" w:cs="Arial" w:eastAsia="Arial" w:hAnsi="Arial"/>
                <w:sz w:val="18"/>
                <w:szCs w:val="18"/>
                <w:color w:val="auto"/>
              </w:rPr>
              <w:t>Projected benefit obligation, end of year</w:t>
            </w:r>
          </w:p>
        </w:tc>
        <w:tc>
          <w:tcPr>
            <w:tcW w:w="5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50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12,556</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12,042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5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Plan assets at fair value, beginning of year</w:t>
            </w:r>
          </w:p>
        </w:tc>
        <w:tc>
          <w:tcPr>
            <w:tcW w:w="6040" w:type="dxa"/>
            <w:vAlign w:val="bottom"/>
            <w:gridSpan w:val="3"/>
          </w:tcPr>
          <w:p>
            <w:pPr>
              <w:jc w:val="right"/>
              <w:ind w:right="460"/>
              <w:spacing w:after="0"/>
              <w:rPr>
                <w:sz w:val="20"/>
                <w:szCs w:val="20"/>
                <w:color w:val="auto"/>
              </w:rPr>
            </w:pPr>
            <w:r>
              <w:rPr>
                <w:rFonts w:ascii="Arial" w:cs="Arial" w:eastAsia="Arial" w:hAnsi="Arial"/>
                <w:sz w:val="18"/>
                <w:szCs w:val="18"/>
                <w:color w:val="auto"/>
              </w:rPr>
              <w:t>$10,834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Actual return on plan assets</w:t>
            </w:r>
          </w:p>
        </w:tc>
        <w:tc>
          <w:tcPr>
            <w:tcW w:w="6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6040" w:type="dxa"/>
            <w:vAlign w:val="bottom"/>
            <w:gridSpan w:val="3"/>
          </w:tcPr>
          <w:p>
            <w:pPr>
              <w:jc w:val="right"/>
              <w:ind w:right="460"/>
              <w:spacing w:after="0"/>
              <w:rPr>
                <w:sz w:val="20"/>
                <w:szCs w:val="20"/>
                <w:color w:val="auto"/>
              </w:rPr>
            </w:pPr>
            <w:r>
              <w:rPr>
                <w:rFonts w:ascii="Arial" w:cs="Arial" w:eastAsia="Arial" w:hAnsi="Arial"/>
                <w:sz w:val="18"/>
                <w:szCs w:val="18"/>
                <w:color w:val="auto"/>
              </w:rPr>
              <w:t>1,115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contributions</w:t>
            </w:r>
          </w:p>
        </w:tc>
        <w:tc>
          <w:tcPr>
            <w:tcW w:w="6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Benefits paid</w:t>
            </w:r>
          </w:p>
        </w:tc>
        <w:tc>
          <w:tcPr>
            <w:tcW w:w="6040" w:type="dxa"/>
            <w:vAlign w:val="bottom"/>
            <w:gridSpan w:val="3"/>
          </w:tcPr>
          <w:p>
            <w:pPr>
              <w:jc w:val="right"/>
              <w:ind w:right="400"/>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foreign currency exchange rates</w:t>
            </w:r>
          </w:p>
        </w:tc>
        <w:tc>
          <w:tcPr>
            <w:tcW w:w="5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20"/>
              <w:spacing w:after="0"/>
              <w:rPr>
                <w:sz w:val="20"/>
                <w:szCs w:val="20"/>
                <w:color w:val="auto"/>
              </w:rPr>
            </w:pPr>
            <w:r>
              <w:rPr>
                <w:rFonts w:ascii="Arial" w:cs="Arial" w:eastAsia="Arial" w:hAnsi="Arial"/>
                <w:sz w:val="18"/>
                <w:szCs w:val="18"/>
                <w:color w:val="auto"/>
              </w:rPr>
              <w:t>Plan assets at fair value, end of year</w:t>
            </w:r>
          </w:p>
        </w:tc>
        <w:tc>
          <w:tcPr>
            <w:tcW w:w="5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50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13,226</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00" w:type="dxa"/>
            <w:vAlign w:val="bottom"/>
          </w:tcPr>
          <w:p>
            <w:pPr>
              <w:spacing w:after="0"/>
              <w:rPr>
                <w:sz w:val="24"/>
                <w:szCs w:val="24"/>
                <w:color w:val="auto"/>
              </w:rPr>
            </w:pPr>
          </w:p>
        </w:tc>
        <w:tc>
          <w:tcPr>
            <w:tcW w:w="6040" w:type="dxa"/>
            <w:vAlign w:val="bottom"/>
            <w:gridSpan w:val="3"/>
          </w:tcPr>
          <w:p>
            <w:pPr>
              <w:jc w:val="right"/>
              <w:ind w:right="4860"/>
              <w:spacing w:after="0"/>
              <w:rPr>
                <w:sz w:val="20"/>
                <w:szCs w:val="20"/>
                <w:color w:val="auto"/>
              </w:rPr>
            </w:pPr>
            <w:r>
              <w:rPr>
                <w:rFonts w:ascii="Arial" w:cs="Arial" w:eastAsia="Arial" w:hAnsi="Arial"/>
                <w:sz w:val="18"/>
                <w:szCs w:val="18"/>
                <w:color w:val="auto"/>
              </w:rPr>
              <w:t>F-31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left="2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Non-U.S.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Plans</w:t>
            </w:r>
          </w:p>
        </w:tc>
        <w:tc>
          <w:tcPr>
            <w:tcW w:w="3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Funded status, projected benefit obligation in excess of (less than) plan assets</w:t>
            </w: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670</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net asset position at December 31, 2011 is included in other assets. The accrued benefit liability at December 31, 2010 is included in other liabilities, except for the current portion which is included in accrued expenses and other current liabilities.</w:t>
      </w:r>
    </w:p>
    <w:p>
      <w:pPr>
        <w:spacing w:after="0" w:line="5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combined accumulated benefit obligation for the defined benefit plans was $12.6 million and $11.9 million as of December 31, 2011 and 2010, respectively.</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investment strategy for the Company’s defined benefit plans is both to meet the liabilities of the plans as they fall due and to maximize the return on invested assets within appropriate risk tolerances. The U.K. Plan invests in pooled funds which provide a diversification that supports the overall investment objectives. The Germany Plan had no assets at December 31, 2011 or December 31, 2010.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assets which comprise each of the funds, the weighted-average allocation of plan assets by asset category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Non-U.S.</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Non-U.S.</w:t>
            </w:r>
          </w:p>
        </w:tc>
        <w:tc>
          <w:tcPr>
            <w:tcW w:w="5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Plans</w:t>
            </w:r>
          </w:p>
        </w:tc>
        <w:tc>
          <w:tcPr>
            <w:tcW w:w="580" w:type="dxa"/>
            <w:vAlign w:val="bottom"/>
            <w:tcBorders>
              <w:bottom w:val="single" w:sz="8" w:color="CCEEFF"/>
            </w:tcBorders>
            <w:gridSpan w:val="2"/>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9"/>
            <w:vMerge w:val="restart"/>
          </w:tcPr>
          <w:p>
            <w:pPr>
              <w:ind w:left="460"/>
              <w:spacing w:after="0"/>
              <w:rPr>
                <w:sz w:val="20"/>
                <w:szCs w:val="20"/>
                <w:color w:val="auto"/>
              </w:rPr>
            </w:pPr>
            <w:r>
              <w:rPr>
                <w:rFonts w:ascii="Arial" w:cs="Arial" w:eastAsia="Arial" w:hAnsi="Arial"/>
                <w:sz w:val="18"/>
                <w:szCs w:val="18"/>
                <w:color w:val="auto"/>
                <w:w w:val="89"/>
              </w:rPr>
              <w:t>The fair value of the Company’s pension plan assets at December 31, 2011 and 2010 is as follows:</w:t>
            </w: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520" w:type="dxa"/>
            <w:vAlign w:val="bottom"/>
            <w:gridSpan w:val="9"/>
            <w:vMerge w:val="continue"/>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00" w:type="dxa"/>
            <w:vAlign w:val="bottom"/>
            <w:gridSpan w:val="13"/>
          </w:tcPr>
          <w:p>
            <w:pPr>
              <w:jc w:val="right"/>
              <w:ind w:right="980"/>
              <w:spacing w:after="0"/>
              <w:rPr>
                <w:sz w:val="20"/>
                <w:szCs w:val="20"/>
                <w:color w:val="auto"/>
              </w:rPr>
            </w:pPr>
            <w:r>
              <w:rPr>
                <w:rFonts w:ascii="Arial" w:cs="Arial" w:eastAsia="Arial" w:hAnsi="Arial"/>
                <w:sz w:val="14"/>
                <w:szCs w:val="14"/>
                <w:b w:val="1"/>
                <w:bCs w:val="1"/>
                <w:color w:val="auto"/>
                <w:w w:val="90"/>
              </w:rPr>
              <w:t>Fair Value Measurements at December 31, 2011: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24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280" w:type="dxa"/>
            <w:vAlign w:val="bottom"/>
          </w:tcPr>
          <w:p>
            <w:pPr>
              <w:spacing w:after="0"/>
              <w:rPr>
                <w:sz w:val="12"/>
                <w:szCs w:val="12"/>
                <w:color w:val="auto"/>
              </w:rPr>
            </w:pPr>
          </w:p>
        </w:tc>
        <w:tc>
          <w:tcPr>
            <w:tcW w:w="9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24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280" w:type="dxa"/>
            <w:vAlign w:val="bottom"/>
          </w:tcPr>
          <w:p>
            <w:pPr>
              <w:spacing w:after="0"/>
              <w:rPr>
                <w:sz w:val="12"/>
                <w:szCs w:val="12"/>
                <w:color w:val="auto"/>
              </w:rPr>
            </w:pPr>
          </w:p>
        </w:tc>
        <w:tc>
          <w:tcPr>
            <w:tcW w:w="9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Manager/Fund</w:t>
            </w:r>
          </w:p>
        </w:tc>
        <w:tc>
          <w:tcPr>
            <w:tcW w:w="20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Assets</w:t>
            </w:r>
          </w:p>
        </w:tc>
        <w:tc>
          <w:tcPr>
            <w:tcW w:w="24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9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5"/>
        </w:trPr>
        <w:tc>
          <w:tcPr>
            <w:tcW w:w="4700" w:type="dxa"/>
            <w:vAlign w:val="bottom"/>
            <w:gridSpan w:val="3"/>
            <w:vMerge w:val="continue"/>
          </w:tcPr>
          <w:p>
            <w:pPr>
              <w:spacing w:after="0"/>
              <w:rPr>
                <w:sz w:val="13"/>
                <w:szCs w:val="13"/>
                <w:color w:val="auto"/>
              </w:rPr>
            </w:pPr>
          </w:p>
        </w:tc>
        <w:tc>
          <w:tcPr>
            <w:tcW w:w="20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12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7"/>
              </w:rPr>
              <w:t>(Level 1)</w:t>
            </w:r>
          </w:p>
        </w:tc>
        <w:tc>
          <w:tcPr>
            <w:tcW w:w="240" w:type="dxa"/>
            <w:vAlign w:val="bottom"/>
          </w:tcPr>
          <w:p>
            <w:pPr>
              <w:spacing w:after="0"/>
              <w:rPr>
                <w:sz w:val="13"/>
                <w:szCs w:val="13"/>
                <w:color w:val="auto"/>
              </w:rPr>
            </w:pPr>
          </w:p>
        </w:tc>
        <w:tc>
          <w:tcPr>
            <w:tcW w:w="880" w:type="dxa"/>
            <w:vAlign w:val="bottom"/>
            <w:gridSpan w:val="4"/>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(Level 2)</w:t>
            </w:r>
          </w:p>
        </w:tc>
        <w:tc>
          <w:tcPr>
            <w:tcW w:w="280" w:type="dxa"/>
            <w:vAlign w:val="bottom"/>
          </w:tcPr>
          <w:p>
            <w:pPr>
              <w:spacing w:after="0"/>
              <w:rPr>
                <w:sz w:val="13"/>
                <w:szCs w:val="13"/>
                <w:color w:val="auto"/>
              </w:rPr>
            </w:pPr>
          </w:p>
        </w:tc>
        <w:tc>
          <w:tcPr>
            <w:tcW w:w="900" w:type="dxa"/>
            <w:vAlign w:val="bottom"/>
            <w:gridSpan w:val="4"/>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4"/>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account</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700" w:type="dxa"/>
            <w:vAlign w:val="bottom"/>
            <w:gridSpan w:val="3"/>
          </w:tcPr>
          <w:p>
            <w:pPr>
              <w:spacing w:after="0"/>
              <w:rPr>
                <w:sz w:val="20"/>
                <w:szCs w:val="20"/>
                <w:color w:val="auto"/>
              </w:rPr>
            </w:pPr>
            <w:r>
              <w:rPr>
                <w:rFonts w:ascii="Arial" w:cs="Arial" w:eastAsia="Arial" w:hAnsi="Arial"/>
                <w:sz w:val="18"/>
                <w:szCs w:val="18"/>
                <w:color w:val="auto"/>
                <w:w w:val="97"/>
              </w:rPr>
              <w:t>Legal &amp; General Index-Linked Gilts Index (various tenors)(c)</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Index-linked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government bonds</w:t>
            </w: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11,117</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11,117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&amp; General Over 15 Year Gilts Index(d)</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Government bonds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13,226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12,882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vMerge w:val="restart"/>
          </w:tcPr>
          <w:p>
            <w:pPr>
              <w:ind w:left="520"/>
              <w:spacing w:after="0"/>
              <w:rPr>
                <w:sz w:val="20"/>
                <w:szCs w:val="20"/>
                <w:color w:val="auto"/>
              </w:rPr>
            </w:pPr>
            <w:r>
              <w:rPr>
                <w:rFonts w:ascii="Arial" w:cs="Arial" w:eastAsia="Arial" w:hAnsi="Arial"/>
                <w:sz w:val="18"/>
                <w:szCs w:val="18"/>
                <w:color w:val="auto"/>
              </w:rPr>
              <w:t>F-32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88"/>
              </w:rPr>
              <w:t>Fair Value Measurements at December 31, 2010: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52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52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4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Manager/Fund</w:t>
            </w:r>
          </w:p>
        </w:tc>
        <w:tc>
          <w:tcPr>
            <w:tcW w:w="21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52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Inputs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55"/>
        </w:trPr>
        <w:tc>
          <w:tcPr>
            <w:tcW w:w="4620" w:type="dxa"/>
            <w:vAlign w:val="bottom"/>
            <w:gridSpan w:val="4"/>
            <w:vMerge w:val="continue"/>
          </w:tcPr>
          <w:p>
            <w:pPr>
              <w:spacing w:after="0"/>
              <w:rPr>
                <w:sz w:val="13"/>
                <w:szCs w:val="13"/>
                <w:color w:val="auto"/>
              </w:rPr>
            </w:pPr>
          </w:p>
        </w:tc>
        <w:tc>
          <w:tcPr>
            <w:tcW w:w="21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3"/>
                <w:szCs w:val="13"/>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3"/>
                <w:szCs w:val="13"/>
                <w:color w:val="auto"/>
              </w:rPr>
            </w:pPr>
          </w:p>
        </w:tc>
        <w:tc>
          <w:tcPr>
            <w:tcW w:w="1160" w:type="dxa"/>
            <w:vAlign w:val="bottom"/>
            <w:gridSpan w:val="3"/>
          </w:tcPr>
          <w:p>
            <w:pPr>
              <w:jc w:val="center"/>
              <w:ind w:right="500"/>
              <w:spacing w:after="0" w:line="148" w:lineRule="exact"/>
              <w:rPr>
                <w:sz w:val="20"/>
                <w:szCs w:val="20"/>
                <w:color w:val="auto"/>
              </w:rPr>
            </w:pPr>
            <w:r>
              <w:rPr>
                <w:rFonts w:ascii="Arial" w:cs="Arial" w:eastAsia="Arial" w:hAnsi="Arial"/>
                <w:sz w:val="14"/>
                <w:szCs w:val="14"/>
                <w:b w:val="1"/>
                <w:bCs w:val="1"/>
                <w:color w:val="auto"/>
                <w:w w:val="87"/>
              </w:rPr>
              <w:t>(Level 2)</w:t>
            </w: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8"/>
              <w:spacing w:after="0" w:line="149"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account</w:t>
            </w:r>
          </w:p>
        </w:tc>
        <w:tc>
          <w:tcPr>
            <w:tcW w:w="2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Baillie Gifford-Managed Pension Fund(a)</w:t>
            </w:r>
          </w:p>
        </w:tc>
        <w:tc>
          <w:tcPr>
            <w:tcW w:w="2160" w:type="dxa"/>
            <w:vAlign w:val="bottom"/>
            <w:gridSpan w:val="3"/>
          </w:tcPr>
          <w:p>
            <w:pPr>
              <w:ind w:left="420"/>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2,012</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2,012</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60" w:type="dxa"/>
            <w:vAlign w:val="bottom"/>
            <w:gridSpan w:val="3"/>
          </w:tcPr>
          <w:p>
            <w:pPr>
              <w:ind w:left="420"/>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Baillie Gifford-Investment Grade Long Bond Fund(b)</w:t>
            </w:r>
          </w:p>
        </w:tc>
        <w:tc>
          <w:tcPr>
            <w:tcW w:w="2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w w:val="99"/>
              </w:rPr>
              <w:t>Legal &amp; General Over 15 Year Index-Linked Gilts Index(c)</w:t>
            </w:r>
          </w:p>
        </w:tc>
        <w:tc>
          <w:tcPr>
            <w:tcW w:w="2160" w:type="dxa"/>
            <w:vAlign w:val="bottom"/>
            <w:gridSpan w:val="3"/>
          </w:tcPr>
          <w:p>
            <w:pPr>
              <w:ind w:left="420"/>
              <w:spacing w:after="0"/>
              <w:rPr>
                <w:sz w:val="20"/>
                <w:szCs w:val="20"/>
                <w:color w:val="auto"/>
              </w:rPr>
            </w:pPr>
            <w:r>
              <w:rPr>
                <w:rFonts w:ascii="Arial" w:cs="Arial" w:eastAsia="Arial" w:hAnsi="Arial"/>
                <w:sz w:val="18"/>
                <w:szCs w:val="18"/>
                <w:color w:val="auto"/>
              </w:rPr>
              <w:t>Index-linked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160" w:type="dxa"/>
            <w:vAlign w:val="bottom"/>
            <w:gridSpan w:val="3"/>
          </w:tcPr>
          <w:p>
            <w:pPr>
              <w:ind w:left="420"/>
              <w:spacing w:after="0"/>
              <w:rPr>
                <w:sz w:val="20"/>
                <w:szCs w:val="20"/>
                <w:color w:val="auto"/>
              </w:rPr>
            </w:pPr>
            <w:r>
              <w:rPr>
                <w:rFonts w:ascii="Arial" w:cs="Arial" w:eastAsia="Arial" w:hAnsi="Arial"/>
                <w:sz w:val="18"/>
                <w:szCs w:val="18"/>
                <w:color w:val="auto"/>
              </w:rPr>
              <w:t>government bonds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4,949</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4,949</w:t>
            </w:r>
          </w:p>
        </w:tc>
        <w:tc>
          <w:tcPr>
            <w:tcW w:w="5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10,834</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10,534</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category represents a pooled fund consisting of holdings in a range of UK and overseas equities and bonds, and cash.</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category represents a diversified portfolio of investment-grade fixed-interest securities.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category represents funds consisting of index-linked gilts and is designated to follow a benchmark index.</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category represents a fund consisting of gilts and is designed to follow a benchmark index.</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Level 2 investments are single priced. The fund prices are calculated by the trustee by taking the closing market price of each underlying investment using a variety of independent pricing sources (i.e., quoted market prices). The prices also include income receivable and expenses payable, where applicable.</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Based on year-end exchange rates, the Company anticipates contributing approximately $0.8 million to its defined benefit plans in 2012. Also based on year-end exchange rates, the Company expects to pay the following estimated future benefit payments in the years indicated:</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Expected Future</w:t>
            </w:r>
          </w:p>
        </w:tc>
      </w:tr>
      <w:tr>
        <w:trPr>
          <w:trHeight w:val="161"/>
        </w:trPr>
        <w:tc>
          <w:tcPr>
            <w:tcW w:w="94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Benefit Payments</w:t>
            </w:r>
          </w:p>
        </w:tc>
      </w:tr>
      <w:tr>
        <w:trPr>
          <w:trHeight w:val="142"/>
        </w:trPr>
        <w:tc>
          <w:tcPr>
            <w:tcW w:w="948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  480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2013</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518</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549</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2015</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583</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614</w:t>
            </w: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2017-2021</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3,520</w:t>
            </w:r>
          </w:p>
        </w:tc>
      </w:tr>
    </w:tbl>
    <w:p>
      <w:pPr>
        <w:spacing w:after="0" w:line="6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Included in Accumulated Other Comprehensive Income is $0.2 million of unrecognized net actuarial loss, a portion of which is expected to be recognized as a component of net periodic benefit cost in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$2.4 million, $2.0 million and $1.7 million for the years ended December 31, 2011, 2010 and 2009,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RELATED PARTY LEASES</w:t>
      </w:r>
    </w:p>
    <w:p>
      <w:pPr>
        <w:spacing w:after="0" w:line="96" w:lineRule="exact"/>
        <w:rPr>
          <w:sz w:val="20"/>
          <w:szCs w:val="20"/>
          <w:color w:val="auto"/>
        </w:rPr>
      </w:pPr>
    </w:p>
    <w:p>
      <w:pPr>
        <w:jc w:val="both"/>
        <w:ind w:firstLine="456"/>
        <w:spacing w:after="0" w:line="331" w:lineRule="auto"/>
        <w:rPr>
          <w:sz w:val="20"/>
          <w:szCs w:val="20"/>
          <w:color w:val="auto"/>
        </w:rPr>
      </w:pPr>
      <w:r>
        <w:rPr>
          <w:rFonts w:ascii="Arial" w:cs="Arial" w:eastAsia="Arial" w:hAnsi="Arial"/>
          <w:sz w:val="16"/>
          <w:szCs w:val="16"/>
          <w:color w:val="auto"/>
        </w:rPr>
        <w:t>The Company leases administrative, manufacturing, research and distribution facilities and various manufacturing, office and transportation equipment through operating lease agreements. Future minimum lease payments under operating leases at December 31, 2011 were as follows:</w:t>
      </w:r>
    </w:p>
    <w:tbl>
      <w:tblPr>
        <w:tblLayout w:type="fixed"/>
        <w:tblInd w:w="46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gridSpan w:val="2"/>
          </w:tcPr>
          <w:p>
            <w:pPr>
              <w:jc w:val="right"/>
              <w:ind w:right="180"/>
              <w:spacing w:after="0" w:line="150" w:lineRule="exact"/>
              <w:rPr>
                <w:sz w:val="20"/>
                <w:szCs w:val="20"/>
                <w:color w:val="auto"/>
              </w:rPr>
            </w:pPr>
            <w:r>
              <w:rPr>
                <w:rFonts w:ascii="Arial" w:cs="Arial" w:eastAsia="Arial" w:hAnsi="Arial"/>
                <w:sz w:val="14"/>
                <w:szCs w:val="14"/>
                <w:b w:val="1"/>
                <w:bCs w:val="1"/>
                <w:color w:val="auto"/>
                <w:w w:val="90"/>
              </w:rPr>
              <w:t>Related</w:t>
            </w:r>
          </w:p>
        </w:tc>
        <w:tc>
          <w:tcPr>
            <w:tcW w:w="220" w:type="dxa"/>
            <w:vAlign w:val="bottom"/>
          </w:tcPr>
          <w:p>
            <w:pPr>
              <w:spacing w:after="0"/>
              <w:rPr>
                <w:sz w:val="13"/>
                <w:szCs w:val="13"/>
                <w:color w:val="auto"/>
              </w:rPr>
            </w:pPr>
          </w:p>
        </w:tc>
        <w:tc>
          <w:tcPr>
            <w:tcW w:w="960" w:type="dxa"/>
            <w:vAlign w:val="bottom"/>
            <w:gridSpan w:val="2"/>
          </w:tcPr>
          <w:p>
            <w:pPr>
              <w:jc w:val="right"/>
              <w:ind w:right="500"/>
              <w:spacing w:after="0" w:line="150" w:lineRule="exact"/>
              <w:rPr>
                <w:sz w:val="20"/>
                <w:szCs w:val="20"/>
                <w:color w:val="auto"/>
              </w:rPr>
            </w:pPr>
            <w:r>
              <w:rPr>
                <w:rFonts w:ascii="Arial" w:cs="Arial" w:eastAsia="Arial" w:hAnsi="Arial"/>
                <w:sz w:val="14"/>
                <w:szCs w:val="14"/>
                <w:b w:val="1"/>
                <w:bCs w:val="1"/>
                <w:color w:val="auto"/>
              </w:rPr>
              <w:t>Third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Parties</w:t>
            </w:r>
          </w:p>
        </w:tc>
        <w:tc>
          <w:tcPr>
            <w:tcW w:w="2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Parties</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2013</w:t>
            </w:r>
          </w:p>
        </w:tc>
        <w:tc>
          <w:tcPr>
            <w:tcW w:w="3540" w:type="dxa"/>
            <w:vAlign w:val="bottom"/>
            <w:gridSpan w:val="3"/>
          </w:tcPr>
          <w:p>
            <w:pPr>
              <w:jc w:val="right"/>
              <w:ind w:right="160"/>
              <w:spacing w:after="0"/>
              <w:rPr>
                <w:sz w:val="20"/>
                <w:szCs w:val="20"/>
                <w:color w:val="auto"/>
              </w:rPr>
            </w:pPr>
            <w:r>
              <w:rPr>
                <w:rFonts w:ascii="Arial" w:cs="Arial" w:eastAsia="Arial" w:hAnsi="Arial"/>
                <w:sz w:val="18"/>
                <w:szCs w:val="18"/>
                <w:color w:val="auto"/>
              </w:rPr>
              <w:t>1,027</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10,157</w:t>
            </w:r>
          </w:p>
        </w:tc>
        <w:tc>
          <w:tcPr>
            <w:tcW w:w="580" w:type="dxa"/>
            <w:vAlign w:val="bottom"/>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1,027</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2015</w:t>
            </w:r>
          </w:p>
        </w:tc>
        <w:tc>
          <w:tcPr>
            <w:tcW w:w="3540" w:type="dxa"/>
            <w:vAlign w:val="bottom"/>
            <w:gridSpan w:val="3"/>
          </w:tcPr>
          <w:p>
            <w:pPr>
              <w:jc w:val="right"/>
              <w:ind w:right="160"/>
              <w:spacing w:after="0"/>
              <w:rPr>
                <w:sz w:val="20"/>
                <w:szCs w:val="20"/>
                <w:color w:val="auto"/>
              </w:rPr>
            </w:pPr>
            <w:r>
              <w:rPr>
                <w:rFonts w:ascii="Arial" w:cs="Arial" w:eastAsia="Arial" w:hAnsi="Arial"/>
                <w:sz w:val="18"/>
                <w:szCs w:val="18"/>
                <w:color w:val="auto"/>
              </w:rPr>
              <w:t>974</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5,286</w:t>
            </w:r>
          </w:p>
        </w:tc>
        <w:tc>
          <w:tcPr>
            <w:tcW w:w="580" w:type="dxa"/>
            <w:vAlign w:val="bottom"/>
          </w:tcPr>
          <w:p>
            <w:pPr>
              <w:jc w:val="right"/>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974</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1,879</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3,516</w:t>
            </w:r>
          </w:p>
        </w:tc>
        <w:tc>
          <w:tcPr>
            <w:tcW w:w="580" w:type="dxa"/>
            <w:vAlign w:val="bottom"/>
          </w:tcPr>
          <w:p>
            <w:pPr>
              <w:jc w:val="right"/>
              <w:spacing w:after="0"/>
              <w:rPr>
                <w:sz w:val="20"/>
                <w:szCs w:val="20"/>
                <w:color w:val="auto"/>
              </w:rPr>
            </w:pPr>
            <w:r>
              <w:rPr>
                <w:rFonts w:ascii="Arial" w:cs="Arial" w:eastAsia="Arial" w:hAnsi="Arial"/>
                <w:sz w:val="18"/>
                <w:szCs w:val="18"/>
                <w:color w:val="auto"/>
              </w:rPr>
              <w:t>5,395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6,890</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Total rental expense for the years ended December 31, 2011, 2010 and 2009 and was $9.3 million, $8.2 million and $8.1 million, respectively, and included $0.9 million, $0.8 million and $0.9 million in related party rental expense,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leases certain production equipment from a corporation whose sole stockholder is a general partnership, of which the Company’s former Chairman (and current director) is a partner and the President. The term of the lease is through March 31, 2022, and the Company has an option to renew through March 31, 2032. Under the terms of the lease agreement, the Company pays $0.1 million per year to the related party lessor. The Company also leases its manufacturing facility in Plainsboro, New Jersey, from a general partnership that is 50% owned by a corporation whose shareholders are trusts, whose beneficiaries include family members of the Company’s former Chairman (and current director). The term of the current lease agreement is through October 31, 2017 at an annual rate of approximately $0.3 million per year. The current lease agreement also provides (i) a fifteen-year option for the Company to extend the lease from November 1, 2017 through October 31, 2032 at an annual rate of approximately $0.3 million per year and, (ii) a five-year option for the Company to extend the lease from November 1, 2032 through October 31, 2037 at the then fair market value rental rate, and (iii) another five-year option to extend the lease from November 1, 2037 through October 31, 2042 at the then fair market rental rate.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jc w:val="right"/>
              <w:ind w:right="32"/>
              <w:spacing w:after="0"/>
              <w:rPr>
                <w:sz w:val="20"/>
                <w:szCs w:val="20"/>
                <w:color w:val="auto"/>
              </w:rPr>
            </w:pPr>
            <w:r>
              <w:rPr>
                <w:rFonts w:ascii="Arial" w:cs="Arial" w:eastAsia="Arial" w:hAnsi="Arial"/>
                <w:sz w:val="18"/>
                <w:szCs w:val="18"/>
                <w:b w:val="1"/>
                <w:bCs w:val="1"/>
                <w:color w:val="auto"/>
                <w:w w:val="79"/>
              </w:rPr>
              <w:t>10.</w:t>
            </w:r>
          </w:p>
        </w:tc>
        <w:tc>
          <w:tcPr>
            <w:tcW w:w="120" w:type="dxa"/>
            <w:vAlign w:val="bottom"/>
          </w:tcPr>
          <w:p>
            <w:pPr>
              <w:spacing w:after="0"/>
              <w:rPr>
                <w:sz w:val="19"/>
                <w:szCs w:val="19"/>
                <w:color w:val="auto"/>
              </w:rPr>
            </w:pPr>
          </w:p>
        </w:tc>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INCOME TAXES</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 consisted of the following:</w:t>
            </w: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180"/>
              <w:spacing w:after="0" w:line="142" w:lineRule="exact"/>
              <w:rPr>
                <w:sz w:val="20"/>
                <w:szCs w:val="20"/>
                <w:color w:val="auto"/>
              </w:rPr>
            </w:pPr>
            <w:r>
              <w:rPr>
                <w:rFonts w:ascii="Arial" w:cs="Arial" w:eastAsia="Arial" w:hAnsi="Arial"/>
                <w:sz w:val="14"/>
                <w:szCs w:val="14"/>
                <w:b w:val="1"/>
                <w:bCs w:val="1"/>
                <w:color w:val="auto"/>
                <w:w w:val="89"/>
              </w:rPr>
              <w:t>2010</w:t>
            </w:r>
          </w:p>
        </w:tc>
        <w:tc>
          <w:tcPr>
            <w:tcW w:w="3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operations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$37,026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Foreign operations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26,987</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45,088</w:t>
            </w:r>
          </w:p>
        </w:tc>
        <w:tc>
          <w:tcPr>
            <w:tcW w:w="580" w:type="dxa"/>
            <w:vAlign w:val="bottom"/>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3"/>
              </w:rPr>
              <w:t>28,494</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82,114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500" w:type="dxa"/>
            <w:vAlign w:val="bottom"/>
            <w:gridSpan w:val="2"/>
          </w:tcPr>
          <w:p>
            <w:pPr>
              <w:jc w:val="right"/>
              <w:ind w:right="2492"/>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U.S. Federal statutory rate to the Company’s effective tax rate is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rate</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 net of federal tax benefit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Foreign operations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stock option expense</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Change in valuation allowances</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(14.0)%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Uncertain tax positions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second quarter of 2011 the Company recorded additional tax expense of $1.7 million for a correction to a state deferred tax asset relating to 2009. During the fourth quarter of 2011 the Company recorded an income tax benefit of $2.2 million for the correction of various other deferred tax items relating to periods prior to 2011 that largely impacted foreign operations. Since neither one of these changes are material to the current or previous years’ financial results, they have been recorded in the second and fourth quarters of 2011, respectively.</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the fourth quarter of 2010, the Company recorded the full year income tax benefit related to the passing of the Tax Relief, Unemployment Insurance Reauthorization and Job Creation Act of 2010.</w:t>
      </w:r>
    </w:p>
    <w:p>
      <w:pPr>
        <w:spacing w:after="0" w:line="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At December 31, 2011, the Company had net operating loss carryforwards of $61.3 million for federal income tax purposes, $73.1 million for foreign income tax purposes and $31.7 million for state income tax purposes to offset future taxable income. The federal net operating loss carryforwards expire through 2030, $66.7 million of the foreign net operating loss carryforwards expire through 2020 with the remaining $6.3 million having an indefinite carry forward period. The state net operating loss carryforwards expire through 2030.</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2011 and 2010, several of the Company’s subsidiaries had unused net operating loss carryforwards and tax credit carryforwards arising from periods prior to the Company’s ownership which expire through 2030. The Internal Revenue Code limits the timing and manner in which the Company may use any acquired net operating losses or tax credits.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Income taxes are not provided on certain undistributed earnings of non-U.S. subsidiaries because such earnings are expected to be indefinitely reinvested and it would not be practicable to determine the amount of the related unrecognized deferred income tax liability. Undistributed earnings of such foreign subsidiaries totaled $168.8 million, $142.2 million and $101.4 million at December 31, 2011, 2010 and 2009,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6"/>
              </w:rPr>
              <w:t>Years Ended December 31,</w:t>
            </w: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9,106</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4,021</w:t>
            </w:r>
          </w:p>
        </w:tc>
      </w:tr>
      <w:tr>
        <w:trPr>
          <w:trHeight w:val="223"/>
        </w:trPr>
        <w:tc>
          <w:tcPr>
            <w:tcW w:w="20" w:type="dxa"/>
            <w:vAlign w:val="bottom"/>
          </w:tcPr>
          <w:p>
            <w:pPr>
              <w:spacing w:after="0"/>
              <w:rPr>
                <w:sz w:val="19"/>
                <w:szCs w:val="19"/>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12,317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21,649</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r>
      <w:tr>
        <w:trPr>
          <w:trHeight w:val="216"/>
        </w:trPr>
        <w:tc>
          <w:tcPr>
            <w:tcW w:w="20" w:type="dxa"/>
            <w:vAlign w:val="bottom"/>
          </w:tcPr>
          <w:p>
            <w:pPr>
              <w:spacing w:after="0"/>
              <w:rPr>
                <w:sz w:val="18"/>
                <w:szCs w:val="18"/>
                <w:color w:val="auto"/>
              </w:rPr>
            </w:pPr>
          </w:p>
        </w:tc>
        <w:tc>
          <w:tcPr>
            <w:tcW w:w="9060" w:type="dxa"/>
            <w:vAlign w:val="bottom"/>
          </w:tcPr>
          <w:p>
            <w:pPr>
              <w:ind w:left="20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22,197</w:t>
            </w: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income tax effects of significant temporary differences that give rise to deferred tax assets and liabilities, shown before jurisdictional netting, are presented below:</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jc w:val="right"/>
              <w:ind w:right="29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Doubtful accounts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1,822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reserves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24,695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25,131</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Tax credits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Accrued bonus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220"/>
              <w:spacing w:after="0"/>
              <w:rPr>
                <w:sz w:val="20"/>
                <w:szCs w:val="20"/>
                <w:color w:val="auto"/>
              </w:rPr>
            </w:pPr>
            <w:r>
              <w:rPr>
                <w:rFonts w:ascii="Arial" w:cs="Arial" w:eastAsia="Arial" w:hAnsi="Arial"/>
                <w:sz w:val="18"/>
                <w:szCs w:val="18"/>
                <w:color w:val="auto"/>
              </w:rPr>
              <w:t>Total current deferred tax assets</w:t>
            </w:r>
          </w:p>
        </w:tc>
        <w:tc>
          <w:tcPr>
            <w:tcW w:w="4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37,007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38,929</w:t>
            </w: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valuation allowance</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20"/>
              <w:spacing w:after="0"/>
              <w:rPr>
                <w:sz w:val="20"/>
                <w:szCs w:val="20"/>
                <w:color w:val="auto"/>
              </w:rPr>
            </w:pPr>
            <w:r>
              <w:rPr>
                <w:rFonts w:ascii="Arial" w:cs="Arial" w:eastAsia="Arial" w:hAnsi="Arial"/>
                <w:sz w:val="18"/>
                <w:szCs w:val="18"/>
                <w:color w:val="auto"/>
              </w:rPr>
              <w:t>Current deferred tax assets after valuation allowance</w:t>
            </w:r>
          </w:p>
        </w:tc>
        <w:tc>
          <w:tcPr>
            <w:tcW w:w="4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36,305</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38,077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Other</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(3,872)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deferred tax liabilities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(3,872)</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20"/>
              <w:spacing w:after="0"/>
              <w:rPr>
                <w:sz w:val="20"/>
                <w:szCs w:val="20"/>
                <w:color w:val="auto"/>
              </w:rPr>
            </w:pPr>
            <w:r>
              <w:rPr>
                <w:rFonts w:ascii="Arial" w:cs="Arial" w:eastAsia="Arial" w:hAnsi="Arial"/>
                <w:sz w:val="18"/>
                <w:szCs w:val="18"/>
                <w:color w:val="auto"/>
              </w:rPr>
              <w:t>Net current deferred tax assets</w:t>
            </w: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36,126</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34,205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00" w:type="dxa"/>
            <w:vAlign w:val="bottom"/>
          </w:tcPr>
          <w:p>
            <w:pPr>
              <w:spacing w:after="0"/>
              <w:rPr>
                <w:sz w:val="24"/>
                <w:szCs w:val="24"/>
                <w:color w:val="auto"/>
              </w:rPr>
            </w:pPr>
          </w:p>
        </w:tc>
        <w:tc>
          <w:tcPr>
            <w:tcW w:w="4420" w:type="dxa"/>
            <w:vAlign w:val="bottom"/>
            <w:gridSpan w:val="2"/>
          </w:tcPr>
          <w:p>
            <w:pPr>
              <w:jc w:val="right"/>
              <w:ind w:right="3412"/>
              <w:spacing w:after="0"/>
              <w:rPr>
                <w:sz w:val="20"/>
                <w:szCs w:val="20"/>
                <w:color w:val="auto"/>
              </w:rPr>
            </w:pPr>
            <w:r>
              <w:rPr>
                <w:rFonts w:ascii="Arial" w:cs="Arial" w:eastAsia="Arial" w:hAnsi="Arial"/>
                <w:sz w:val="18"/>
                <w:szCs w:val="18"/>
                <w:color w:val="auto"/>
              </w:rPr>
              <w:t>F-36</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5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Benefits and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8,991</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19,770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48,251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35,223</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Financing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&amp; state tax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non-current 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88,854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73,997</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(31,602)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(35,782)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deferred tax assets after valuation allowance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&amp; fixed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(43,152)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(31,751)</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Deferred gain</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interest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 current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(45,738)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(40,966)</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440"/>
              <w:spacing w:after="0"/>
              <w:rPr>
                <w:sz w:val="20"/>
                <w:szCs w:val="20"/>
                <w:color w:val="auto"/>
              </w:rPr>
            </w:pPr>
            <w:r>
              <w:rPr>
                <w:rFonts w:ascii="Arial" w:cs="Arial" w:eastAsia="Arial" w:hAnsi="Arial"/>
                <w:sz w:val="18"/>
                <w:szCs w:val="18"/>
                <w:color w:val="auto"/>
              </w:rPr>
              <w:t>Net non-current deferred tax assets/(liabilities)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11,514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deferred tax assets/(liabilities)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47,640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31,454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 valuation allowance of $32.3 million, $36.6 million and $36.1 million is recorded against the Company’s gross deferred tax assets of $125.9 million, $112.9 million and $114.0 million recorded at December 31, 2011, 2010 and 2009, respectively. This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 that it would be able to realize more or less than the recorded amount of net deferred tax assets, an adjustment to the deferred tax asset valuation allowance would be recorded in the period such a determination is made.</w:t>
      </w:r>
    </w:p>
    <w:p>
      <w:pPr>
        <w:spacing w:after="0" w:line="3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Company’s valuation allowance decreased by $4.3 million in 2011 and increased $0.5 million in 2010. The 2011 overall decrease in the valuation allowance was primarily due to tax rate changes in the Netherlands which is offset by a reduction in the related deferred tax asset. Further, the Company recorded an increase to the valuation allowance in Switzerland related to the uncertainty of the future realizability of net operating losses. The 2010 increase in the valuation allowance was primarily related to the uncertainty of the future realizability of net operating losses in Switzerland.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adopted the authoritative guidance on accounting for uncertainty in income taxes on January 1, 2007. A reconciliation of the beginning and ending amount of uncertain tax benefits is as follows: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9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$ 5,530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10,909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Additions for tax positions of prior years</w:t>
            </w:r>
          </w:p>
        </w:tc>
        <w:tc>
          <w:tcPr>
            <w:tcW w:w="3120" w:type="dxa"/>
            <w:vAlign w:val="bottom"/>
            <w:gridSpan w:val="3"/>
          </w:tcPr>
          <w:p>
            <w:pPr>
              <w:jc w:val="right"/>
              <w:ind w:right="18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3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Lapse of statute</w:t>
            </w:r>
          </w:p>
        </w:tc>
        <w:tc>
          <w:tcPr>
            <w:tcW w:w="24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Approximately $3.1 million of the balance at December 31, 2011 relates to uncertain tax positions that, if recognized, would affect the annual effective tax rate. Included in the balance of uncertain tax positions at December 31, 2011 is $1.6 million related to tax positions for which it is reasonably possible that the total amounts could significantly change during the twelve months following December 31, 2011, as a result of expiring statutes of limitations.</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recognizes interest and penalties relating to uncertain tax positions in income tax expense. The Company recognized a $0.5 million benefit, a $0.9 million benefit, and a $0.5 million expense for interest and penalties in the income statement during the years ended December 31, 2011, 2010 and 2009, respectively. The Company had approximately $1.3 million, $2.1 million, and $3.0 million of interest and penalties accrued at December 31, 2011, 2010 and 2009, respectively.</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At December 31, 2009 the Federal income tax returns for the years 2005 through 2007 were under review by the Internal Revenue Service (the “IRS”) and the Company had accrued $8.5 million for uncertain tax positions at that time. During 2010, the Company settled the review for the years 2005 through 2007 with the IRS which resulted in $4.0 million in taxes being reclassified from long-term liabilities to current taxes payable and deferred taxes, and $4.5 million being recorded in the consolidated statement of operations as an income tax benefit. This settlement was approved by the IRS Joint Committee on Taxation in December 2011, formally closing the 2005 through 2007 audit. The Company recorded an additional federal income tax benefit of $0.1 million in 2011 as a result of receiving the agreed upon settlement. These amounts include interest and penalties related to the settlement and tax benefit.</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files Federal income tax returns, as well as multiple state, local and foreign jurisdiction tax returns. The Company is no longer subject to examinations of its Federal income tax returns by the IRS through fiscal year 2007. All significant state and local matters have been concluded through fiscal 2004. All significant foreign matters have been settled through fiscal 2005.</w:t>
      </w:r>
    </w:p>
    <w:p>
      <w:pPr>
        <w:spacing w:after="0" w:line="175"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January 2009 the Company adopted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$0.01 or less per share); therefore, the Company does not present the full calculation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used in the calculation of basic and diluted net income per share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center"/>
              <w:ind w:left="318"/>
              <w:spacing w:after="0"/>
              <w:rPr>
                <w:sz w:val="20"/>
                <w:szCs w:val="20"/>
                <w:color w:val="auto"/>
              </w:rPr>
            </w:pPr>
            <w:r>
              <w:rPr>
                <w:rFonts w:ascii="Arial" w:cs="Arial" w:eastAsia="Arial" w:hAnsi="Arial"/>
                <w:sz w:val="14"/>
                <w:szCs w:val="14"/>
                <w:b w:val="1"/>
                <w:bCs w:val="1"/>
                <w:color w:val="auto"/>
                <w:w w:val="85"/>
              </w:rPr>
              <w:t>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29"/>
        </w:trPr>
        <w:tc>
          <w:tcPr>
            <w:tcW w:w="8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jc w:val="center"/>
              <w:ind w:left="56"/>
              <w:spacing w:after="0" w:line="129" w:lineRule="exact"/>
              <w:rPr>
                <w:sz w:val="20"/>
                <w:szCs w:val="20"/>
                <w:color w:val="auto"/>
              </w:rPr>
            </w:pPr>
            <w:r>
              <w:rPr>
                <w:rFonts w:ascii="Arial" w:cs="Arial" w:eastAsia="Arial" w:hAnsi="Arial"/>
                <w:sz w:val="14"/>
                <w:szCs w:val="14"/>
                <w:b w:val="1"/>
                <w:bCs w:val="1"/>
                <w:color w:val="auto"/>
                <w:w w:val="85"/>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8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7"/>
          </w:tcPr>
          <w:p>
            <w:pPr>
              <w:jc w:val="center"/>
              <w:ind w:left="318"/>
              <w:spacing w:after="0"/>
              <w:rPr>
                <w:sz w:val="20"/>
                <w:szCs w:val="20"/>
                <w:color w:val="auto"/>
              </w:rPr>
            </w:pPr>
            <w:r>
              <w:rPr>
                <w:rFonts w:ascii="Arial" w:cs="Arial" w:eastAsia="Arial" w:hAnsi="Arial"/>
                <w:sz w:val="14"/>
                <w:szCs w:val="14"/>
                <w:b w:val="1"/>
                <w:bCs w:val="1"/>
                <w:color w:val="auto"/>
                <w:w w:val="84"/>
              </w:rPr>
              <w:t>except per share amounts)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27,989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65,669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50,955</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29,548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29,038</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27,989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65,669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50,955</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29,548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29,038</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 and restricted stock</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r>
      <w:tr>
        <w:trPr>
          <w:trHeight w:val="221"/>
        </w:trPr>
        <w:tc>
          <w:tcPr>
            <w:tcW w:w="8780" w:type="dxa"/>
            <w:vAlign w:val="bottom"/>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29,495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30,149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29,292</w:t>
            </w:r>
          </w:p>
        </w:tc>
        <w:tc>
          <w:tcPr>
            <w:tcW w:w="100" w:type="dxa"/>
            <w:vAlign w:val="bottom"/>
          </w:tcPr>
          <w:p>
            <w:pPr>
              <w:spacing w:after="0"/>
              <w:rPr>
                <w:sz w:val="19"/>
                <w:szCs w:val="19"/>
                <w:color w:val="auto"/>
              </w:rPr>
            </w:pPr>
          </w:p>
        </w:tc>
      </w:tr>
      <w:tr>
        <w:trPr>
          <w:trHeight w:val="218"/>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Common stock of approximately 0.3 million, 0.7 million and 2.1 million shares at December 31, 2011, 2010 and 2009, respectively, that are issuable through exercise or conversion of dilutive securities were not included in the computation of diluted net income per share because their effect would have been antidilutive.</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Performance Shares and Restricted Units that entitle the holders to approximately 1.8 million shares of common stock are included in the basic and diluted weighted average shares outstanding calculation from their date of issuance because no further consideration is due related to the issuance of the underlying common shares.</w:t>
      </w:r>
    </w:p>
    <w:p>
      <w:pPr>
        <w:spacing w:after="0" w:line="175"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Various lawsuits, claims and proceedings are pending or have been settled by the Company. The most significant of these are described below.</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January 2010, the Company received a notice from the seller’s representative of the former Theken companies of a disagreement in the calculation of “trade sales” used in calculating a revenue performance payment that the Company made in November 2009 related to the first performance year that ended September 30, 2009. The notice alleged that the Company owed an additional $6.7 million, and the Company recorded an accrual of $3.4 million for the settlement at that time. There were no amounts due under the unit purchase agreement for the second performance year that ended September 30, 2010. In January 2011, the Company received a notice from the seller’s representative that the alleged amount owed had been reduced to $5.7 million. In June 2011 the Company and the seller agreed to settle the matter for $4.6 million, which was accrued at that time, and was paid in August 2011.</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various product liability claims pending against it. During 2011, the most significant of these matters was settled for approximately $4.6 million. The matter was covered by insurance policies and the Company had recorded a corresponding receivable; therefore, there was no net impact on the Company’s consolidated statements of operations.</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addition to these matters, we are subject to various claims, lawsuits and proceedings in the ordinary course of the Company’s business, including claims by current or former employees, distributors and competitors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and with respect to its products.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78"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chief operating decision maker reviews financial results and manages the business on an aggregate basis. Therefore, financial results are reported in a single operating segment, the development, manufacture and marketing of medical devices.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consisted of the following:</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bottom w:val="single" w:sz="8" w:color="auto"/>
            </w:tcBorders>
            <w:gridSpan w:val="2"/>
          </w:tcPr>
          <w:p>
            <w:pPr>
              <w:jc w:val="center"/>
              <w:ind w:left="442"/>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Orthopedics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$328,782</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$290,050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$262,170</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Neurosurgery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285,341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275,046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256,544</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165,955</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166,972</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163,773</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Total revenue, net</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780,078</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732,068</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682,487</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attributes revenue to geographic areas based on the location of the customer. Total revenue, net and long-lived assets (tangible) by major geographic area are summarized below:</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80" w:type="dxa"/>
            <w:vAlign w:val="bottom"/>
          </w:tcPr>
          <w:p>
            <w:pPr>
              <w:jc w:val="right"/>
              <w:ind w:right="358"/>
              <w:spacing w:after="0"/>
              <w:rPr>
                <w:sz w:val="20"/>
                <w:szCs w:val="20"/>
                <w:color w:val="auto"/>
              </w:rPr>
            </w:pPr>
            <w:r>
              <w:rPr>
                <w:rFonts w:ascii="Arial" w:cs="Arial" w:eastAsia="Arial" w:hAnsi="Arial"/>
                <w:sz w:val="14"/>
                <w:szCs w:val="14"/>
                <w:b w:val="1"/>
                <w:bCs w:val="1"/>
                <w:color w:val="auto"/>
              </w:rPr>
              <w:t>United</w:t>
            </w: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458"/>
              <w:spacing w:after="0"/>
              <w:rPr>
                <w:sz w:val="20"/>
                <w:szCs w:val="20"/>
                <w:color w:val="auto"/>
              </w:rPr>
            </w:pPr>
            <w:r>
              <w:rPr>
                <w:rFonts w:ascii="Arial" w:cs="Arial" w:eastAsia="Arial" w:hAnsi="Arial"/>
                <w:sz w:val="14"/>
                <w:szCs w:val="14"/>
                <w:b w:val="1"/>
                <w:bCs w:val="1"/>
                <w:color w:val="auto"/>
              </w:rPr>
              <w:t>Asia</w:t>
            </w:r>
          </w:p>
        </w:tc>
        <w:tc>
          <w:tcPr>
            <w:tcW w:w="300" w:type="dxa"/>
            <w:vAlign w:val="bottom"/>
          </w:tcPr>
          <w:p>
            <w:pPr>
              <w:spacing w:after="0"/>
              <w:rPr>
                <w:sz w:val="14"/>
                <w:szCs w:val="14"/>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820" w:type="dxa"/>
            <w:vAlign w:val="bottom"/>
          </w:tcPr>
          <w:p>
            <w:pPr>
              <w:spacing w:after="0"/>
              <w:rPr>
                <w:sz w:val="14"/>
                <w:szCs w:val="14"/>
                <w:color w:val="auto"/>
              </w:rPr>
            </w:pPr>
          </w:p>
        </w:tc>
        <w:tc>
          <w:tcPr>
            <w:tcW w:w="980" w:type="dxa"/>
            <w:vAlign w:val="bottom"/>
          </w:tcPr>
          <w:p>
            <w:pPr>
              <w:jc w:val="right"/>
              <w:ind w:right="338"/>
              <w:spacing w:after="0"/>
              <w:rPr>
                <w:sz w:val="20"/>
                <w:szCs w:val="20"/>
                <w:color w:val="auto"/>
              </w:rPr>
            </w:pPr>
            <w:r>
              <w:rPr>
                <w:rFonts w:ascii="Arial" w:cs="Arial" w:eastAsia="Arial" w:hAnsi="Arial"/>
                <w:sz w:val="14"/>
                <w:szCs w:val="14"/>
                <w:b w:val="1"/>
                <w:bCs w:val="1"/>
                <w:color w:val="auto"/>
              </w:rPr>
              <w:t>States*</w:t>
            </w:r>
          </w:p>
        </w:tc>
        <w:tc>
          <w:tcPr>
            <w:tcW w:w="1140" w:type="dxa"/>
            <w:vAlign w:val="bottom"/>
          </w:tcPr>
          <w:p>
            <w:pPr>
              <w:jc w:val="right"/>
              <w:ind w:right="256"/>
              <w:spacing w:after="0"/>
              <w:rPr>
                <w:sz w:val="20"/>
                <w:szCs w:val="20"/>
                <w:color w:val="auto"/>
              </w:rPr>
            </w:pPr>
            <w:r>
              <w:rPr>
                <w:rFonts w:ascii="Arial" w:cs="Arial" w:eastAsia="Arial" w:hAnsi="Arial"/>
                <w:sz w:val="14"/>
                <w:szCs w:val="14"/>
                <w:b w:val="1"/>
                <w:bCs w:val="1"/>
                <w:color w:val="auto"/>
              </w:rPr>
              <w:t>Europe</w:t>
            </w:r>
          </w:p>
        </w:tc>
        <w:tc>
          <w:tcPr>
            <w:tcW w:w="420" w:type="dxa"/>
            <w:vAlign w:val="bottom"/>
          </w:tcPr>
          <w:p>
            <w:pPr>
              <w:spacing w:after="0"/>
              <w:rPr>
                <w:sz w:val="14"/>
                <w:szCs w:val="14"/>
                <w:color w:val="auto"/>
              </w:rPr>
            </w:pPr>
          </w:p>
        </w:tc>
        <w:tc>
          <w:tcPr>
            <w:tcW w:w="880" w:type="dxa"/>
            <w:vAlign w:val="bottom"/>
          </w:tcPr>
          <w:p>
            <w:pPr>
              <w:jc w:val="right"/>
              <w:ind w:right="398"/>
              <w:spacing w:after="0"/>
              <w:rPr>
                <w:sz w:val="20"/>
                <w:szCs w:val="20"/>
                <w:color w:val="auto"/>
              </w:rPr>
            </w:pPr>
            <w:r>
              <w:rPr>
                <w:rFonts w:ascii="Arial" w:cs="Arial" w:eastAsia="Arial" w:hAnsi="Arial"/>
                <w:sz w:val="14"/>
                <w:szCs w:val="14"/>
                <w:b w:val="1"/>
                <w:bCs w:val="1"/>
                <w:color w:val="auto"/>
                <w:w w:val="84"/>
              </w:rPr>
              <w:t>Pacific</w:t>
            </w: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Foreign**</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Consolidated</w:t>
            </w:r>
          </w:p>
        </w:tc>
      </w:tr>
      <w:tr>
        <w:trPr>
          <w:trHeight w:val="142"/>
        </w:trPr>
        <w:tc>
          <w:tcPr>
            <w:tcW w:w="48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18"/>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2011</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w w:val="87"/>
              </w:rPr>
              <w:t>$593,036</w:t>
            </w: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$94,772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8"/>
              <w:spacing w:after="0"/>
              <w:rPr>
                <w:sz w:val="20"/>
                <w:szCs w:val="20"/>
                <w:color w:val="auto"/>
              </w:rPr>
            </w:pPr>
            <w:r>
              <w:rPr>
                <w:rFonts w:ascii="Arial" w:cs="Arial" w:eastAsia="Arial" w:hAnsi="Arial"/>
                <w:sz w:val="18"/>
                <w:szCs w:val="18"/>
                <w:color w:val="auto"/>
                <w:w w:val="87"/>
              </w:rPr>
              <w:t>44,445</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16"/>
              <w:spacing w:after="0"/>
              <w:rPr>
                <w:sz w:val="20"/>
                <w:szCs w:val="20"/>
                <w:color w:val="auto"/>
              </w:rPr>
            </w:pPr>
            <w:r>
              <w:rPr>
                <w:rFonts w:ascii="Arial" w:cs="Arial" w:eastAsia="Arial" w:hAnsi="Arial"/>
                <w:sz w:val="18"/>
                <w:szCs w:val="18"/>
                <w:color w:val="auto"/>
                <w:w w:val="87"/>
              </w:rPr>
              <w:t>47,825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780,078</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9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561,240</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89,381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87"/>
              </w:rPr>
              <w:t>40,584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7"/>
              </w:rPr>
              <w:t>40,863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732,068</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2009</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rPr>
              <w:t>519,203</w:t>
            </w: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93,414</w:t>
            </w:r>
          </w:p>
        </w:tc>
        <w:tc>
          <w:tcPr>
            <w:tcW w:w="420" w:type="dxa"/>
            <w:vAlign w:val="bottom"/>
          </w:tcPr>
          <w:p>
            <w:pPr>
              <w:spacing w:after="0"/>
              <w:rPr>
                <w:sz w:val="18"/>
                <w:szCs w:val="18"/>
                <w:color w:val="auto"/>
              </w:rPr>
            </w:pPr>
          </w:p>
        </w:tc>
        <w:tc>
          <w:tcPr>
            <w:tcW w:w="880" w:type="dxa"/>
            <w:vAlign w:val="bottom"/>
          </w:tcPr>
          <w:p>
            <w:pPr>
              <w:jc w:val="right"/>
              <w:ind w:right="298"/>
              <w:spacing w:after="0"/>
              <w:rPr>
                <w:sz w:val="20"/>
                <w:szCs w:val="20"/>
                <w:color w:val="auto"/>
              </w:rPr>
            </w:pPr>
            <w:r>
              <w:rPr>
                <w:rFonts w:ascii="Arial" w:cs="Arial" w:eastAsia="Arial" w:hAnsi="Arial"/>
                <w:sz w:val="18"/>
                <w:szCs w:val="18"/>
                <w:color w:val="auto"/>
                <w:w w:val="87"/>
              </w:rPr>
              <w:t>32,788</w:t>
            </w:r>
          </w:p>
        </w:tc>
        <w:tc>
          <w:tcPr>
            <w:tcW w:w="300" w:type="dxa"/>
            <w:vAlign w:val="bottom"/>
          </w:tcPr>
          <w:p>
            <w:pPr>
              <w:spacing w:after="0"/>
              <w:rPr>
                <w:sz w:val="18"/>
                <w:szCs w:val="18"/>
                <w:color w:val="auto"/>
              </w:rPr>
            </w:pPr>
          </w:p>
        </w:tc>
        <w:tc>
          <w:tcPr>
            <w:tcW w:w="800" w:type="dxa"/>
            <w:vAlign w:val="bottom"/>
          </w:tcPr>
          <w:p>
            <w:pPr>
              <w:jc w:val="right"/>
              <w:ind w:right="216"/>
              <w:spacing w:after="0"/>
              <w:rPr>
                <w:sz w:val="20"/>
                <w:szCs w:val="20"/>
                <w:color w:val="auto"/>
              </w:rPr>
            </w:pPr>
            <w:r>
              <w:rPr>
                <w:rFonts w:ascii="Arial" w:cs="Arial" w:eastAsia="Arial" w:hAnsi="Arial"/>
                <w:sz w:val="18"/>
                <w:szCs w:val="18"/>
                <w:color w:val="auto"/>
                <w:w w:val="87"/>
              </w:rPr>
              <w:t>37,082</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682,487</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December 31, 2011</w:t>
            </w:r>
          </w:p>
        </w:tc>
        <w:tc>
          <w:tcPr>
            <w:tcW w:w="980" w:type="dxa"/>
            <w:vAlign w:val="bottom"/>
          </w:tcPr>
          <w:p>
            <w:pPr>
              <w:jc w:val="right"/>
              <w:ind w:right="218"/>
              <w:spacing w:after="0"/>
              <w:rPr>
                <w:sz w:val="20"/>
                <w:szCs w:val="20"/>
                <w:color w:val="auto"/>
              </w:rPr>
            </w:pPr>
            <w:r>
              <w:rPr>
                <w:rFonts w:ascii="Arial" w:cs="Arial" w:eastAsia="Arial" w:hAnsi="Arial"/>
                <w:sz w:val="18"/>
                <w:szCs w:val="18"/>
                <w:color w:val="auto"/>
                <w:w w:val="87"/>
              </w:rPr>
              <w:t>$125,880</w:t>
            </w:r>
          </w:p>
        </w:tc>
        <w:tc>
          <w:tcPr>
            <w:tcW w:w="1140" w:type="dxa"/>
            <w:vAlign w:val="bottom"/>
          </w:tcPr>
          <w:p>
            <w:pPr>
              <w:jc w:val="right"/>
              <w:ind w:right="176"/>
              <w:spacing w:after="0"/>
              <w:rPr>
                <w:sz w:val="20"/>
                <w:szCs w:val="20"/>
                <w:color w:val="auto"/>
              </w:rPr>
            </w:pPr>
            <w:r>
              <w:rPr>
                <w:rFonts w:ascii="Arial" w:cs="Arial" w:eastAsia="Arial" w:hAnsi="Arial"/>
                <w:sz w:val="18"/>
                <w:szCs w:val="18"/>
                <w:color w:val="auto"/>
              </w:rPr>
              <w:t>$17,274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98"/>
              <w:spacing w:after="0"/>
              <w:rPr>
                <w:sz w:val="20"/>
                <w:szCs w:val="20"/>
                <w:color w:val="auto"/>
              </w:rPr>
            </w:pPr>
            <w:r>
              <w:rPr>
                <w:rFonts w:ascii="Arial" w:cs="Arial" w:eastAsia="Arial" w:hAnsi="Arial"/>
                <w:sz w:val="18"/>
                <w:szCs w:val="18"/>
                <w:color w:val="auto"/>
              </w:rPr>
              <w:t>934</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216"/>
              <w:spacing w:after="0"/>
              <w:rPr>
                <w:sz w:val="20"/>
                <w:szCs w:val="20"/>
                <w:color w:val="auto"/>
              </w:rPr>
            </w:pPr>
            <w:r>
              <w:rPr>
                <w:rFonts w:ascii="Arial" w:cs="Arial" w:eastAsia="Arial" w:hAnsi="Arial"/>
                <w:sz w:val="18"/>
                <w:szCs w:val="18"/>
                <w:color w:val="auto"/>
              </w:rPr>
              <w:t>423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144,511</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2010</w:t>
            </w:r>
          </w:p>
        </w:tc>
        <w:tc>
          <w:tcPr>
            <w:tcW w:w="9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94,012</w:t>
            </w:r>
          </w:p>
        </w:tc>
        <w:tc>
          <w:tcPr>
            <w:tcW w:w="11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14,142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935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469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109,558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long-lived assets in Puerto Rico</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Canada, Latin America, Africa and the Middle East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INFORMATION —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96"/>
              <w:spacing w:after="0"/>
              <w:rPr>
                <w:sz w:val="20"/>
                <w:szCs w:val="20"/>
                <w:color w:val="auto"/>
              </w:rPr>
            </w:pPr>
            <w:r>
              <w:rPr>
                <w:rFonts w:ascii="Arial" w:cs="Arial" w:eastAsia="Arial" w:hAnsi="Arial"/>
                <w:sz w:val="14"/>
                <w:szCs w:val="14"/>
                <w:b w:val="1"/>
                <w:bCs w:val="1"/>
                <w:color w:val="auto"/>
              </w:rPr>
              <w:t>First</w:t>
            </w:r>
          </w:p>
        </w:tc>
        <w:tc>
          <w:tcPr>
            <w:tcW w:w="42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4"/>
                <w:szCs w:val="14"/>
                <w:color w:val="auto"/>
              </w:rPr>
            </w:pPr>
          </w:p>
        </w:tc>
        <w:tc>
          <w:tcPr>
            <w:tcW w:w="900" w:type="dxa"/>
            <w:vAlign w:val="bottom"/>
          </w:tcPr>
          <w:p>
            <w:pPr>
              <w:jc w:val="right"/>
              <w:ind w:right="416"/>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w w:val="90"/>
              </w:rPr>
              <w:t>Quarter</w:t>
            </w:r>
          </w:p>
        </w:tc>
        <w:tc>
          <w:tcPr>
            <w:tcW w:w="420" w:type="dxa"/>
            <w:vAlign w:val="bottom"/>
          </w:tcPr>
          <w:p>
            <w:pPr>
              <w:spacing w:after="0"/>
              <w:rPr>
                <w:sz w:val="14"/>
                <w:szCs w:val="14"/>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w w:val="90"/>
              </w:rPr>
              <w:t>Quarter</w:t>
            </w:r>
          </w:p>
        </w:tc>
        <w:tc>
          <w:tcPr>
            <w:tcW w:w="360" w:type="dxa"/>
            <w:vAlign w:val="bottom"/>
          </w:tcPr>
          <w:p>
            <w:pPr>
              <w:spacing w:after="0"/>
              <w:rPr>
                <w:sz w:val="14"/>
                <w:szCs w:val="14"/>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w w:val="90"/>
              </w:rPr>
              <w:t>Quarter</w:t>
            </w:r>
          </w:p>
        </w:tc>
        <w:tc>
          <w:tcPr>
            <w:tcW w:w="2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Quarter</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4"/>
          </w:tcPr>
          <w:p>
            <w:pPr>
              <w:jc w:val="right"/>
              <w:ind w:right="96"/>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w w:val="86"/>
              </w:rPr>
              <w:t>181,041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w w:val="86"/>
              </w:rPr>
              <w:t>193,329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w w:val="86"/>
              </w:rPr>
              <w:t>202,185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203,523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6"/>
              </w:rPr>
              <w:t>172,698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6"/>
              </w:rPr>
              <w:t>178,595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6"/>
              </w:rPr>
              <w:t>186,641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194,134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2011</w:t>
            </w:r>
          </w:p>
        </w:tc>
        <w:tc>
          <w:tcPr>
            <w:tcW w:w="3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86"/>
              </w:rPr>
              <w:t>116,120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6"/>
              </w:rPr>
              <w:t>120,491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6"/>
              </w:rPr>
              <w:t>123,534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120,783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2010</w:t>
            </w:r>
          </w:p>
        </w:tc>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w w:val="86"/>
              </w:rPr>
              <w:t>109,474</w:t>
            </w:r>
          </w:p>
        </w:tc>
        <w:tc>
          <w:tcPr>
            <w:tcW w:w="42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w w:val="86"/>
              </w:rPr>
              <w:t>114,131</w:t>
            </w:r>
          </w:p>
        </w:tc>
        <w:tc>
          <w:tcPr>
            <w:tcW w:w="360" w:type="dxa"/>
            <w:vAlign w:val="bottom"/>
          </w:tcPr>
          <w:p>
            <w:pPr>
              <w:spacing w:after="0"/>
              <w:rPr>
                <w:sz w:val="18"/>
                <w:szCs w:val="18"/>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color w:val="auto"/>
                <w:w w:val="86"/>
              </w:rPr>
              <w:t>117,447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122,828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11,487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699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11,243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15,222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15,157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16,483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Basic net income (loss) per common share(1)(2):</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2011</w:t>
            </w:r>
          </w:p>
        </w:tc>
        <w:tc>
          <w:tcPr>
            <w:tcW w:w="3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0.39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2010</w:t>
            </w:r>
          </w:p>
        </w:tc>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0.51</w:t>
            </w:r>
          </w:p>
        </w:tc>
        <w:tc>
          <w:tcPr>
            <w:tcW w:w="42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0.51</w:t>
            </w:r>
          </w:p>
        </w:tc>
        <w:tc>
          <w:tcPr>
            <w:tcW w:w="360" w:type="dxa"/>
            <w:vAlign w:val="bottom"/>
          </w:tcPr>
          <w:p>
            <w:pPr>
              <w:spacing w:after="0"/>
              <w:rPr>
                <w:sz w:val="18"/>
                <w:szCs w:val="18"/>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common share(1)(2):</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6"/>
              <w:spacing w:after="0"/>
              <w:rPr>
                <w:sz w:val="20"/>
                <w:szCs w:val="20"/>
                <w:color w:val="auto"/>
              </w:rPr>
            </w:pPr>
            <w:r>
              <w:rPr>
                <w:rFonts w:ascii="Arial" w:cs="Arial" w:eastAsia="Arial" w:hAnsi="Arial"/>
                <w:sz w:val="18"/>
                <w:szCs w:val="18"/>
                <w:color w:val="auto"/>
              </w:rPr>
              <w:t>0.38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0.02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0.39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0.50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73" w:lineRule="exact"/>
        <w:rPr>
          <w:sz w:val="20"/>
          <w:szCs w:val="20"/>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common share amounts for the quarters and full years have been calculated separately. Accordingly, quarterly amounts do not necessarily add to the annual amount because of differences in the weighted average common shares outstanding during each period principally due to the effect of the Company’s issuing shares of its common stock during the year.</w:t>
      </w:r>
    </w:p>
    <w:p>
      <w:pPr>
        <w:spacing w:after="0" w:line="32" w:lineRule="exact"/>
        <w:rPr>
          <w:rFonts w:ascii="Arial" w:cs="Arial" w:eastAsia="Arial" w:hAnsi="Arial"/>
          <w:sz w:val="18"/>
          <w:szCs w:val="18"/>
          <w:color w:val="auto"/>
        </w:rPr>
      </w:pPr>
    </w:p>
    <w:p>
      <w:pPr>
        <w:jc w:val="both"/>
        <w:ind w:left="340" w:hanging="332"/>
        <w:spacing w:after="0" w:line="30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Certain of the Company’s unvested restricted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all of the periods presented; therefore, the Company does not present the full calculation.</w:t>
      </w:r>
    </w:p>
    <w:p>
      <w:pPr>
        <w:spacing w:after="0" w:line="2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recorded an incremental stock based compensation charge during the second quarter of 2011 of $8.4 million related to the renewal of its former chief executive officer’s employment agreement. The Company recorded an incremental stock based compensation charge during the fourth quarter of 2011 of $4.9 million related to the accelerated vesting of stock awards for its former chief executive officer upon the appointment of the new chief executive officer and the minimum annual equity award for 2011 for the former chief executive officer, which was fully vested on the date of grant.</w:t>
      </w:r>
    </w:p>
    <w:p>
      <w:pPr>
        <w:spacing w:after="0" w:line="3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Company incurred incremental costs related to the implementation of its global enterprise resource planning system in the first, second, third, and fourth quarters of 2011 of $2.5 million, $2.4 million, $5.1 million and $3.6 million, respectively, compared to comparable periods in the prior year.</w:t>
      </w:r>
    </w:p>
    <w:p>
      <w:pPr>
        <w:spacing w:after="0" w:line="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incurred costs related to the remediation of an FDA warning letter and the related underutilization at its Plainsboro, New Jersey manufacturing facility of $1.7 million and $4.0 million, in the third and fourth quarters of 2011, respectively.</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second and fourth quarters of 2011, the Company identified and recorded certain corrections related to income taxes which related to prior years. Because these changes are not material to the current or previous years, they have been recorded in the second and fourth quarters of 2011. The impact of recording these adjustments resulted in a decrease in net income of $1.7 million in the second quarter of 2011, and an increase in net income of $2.2 million in the fourth quarter of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85"/>
              </w:rPr>
              <w:t>Balance at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Charged to</w:t>
            </w:r>
          </w:p>
        </w:tc>
        <w:tc>
          <w:tcPr>
            <w:tcW w:w="11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Charged to</w:t>
            </w:r>
          </w:p>
        </w:tc>
        <w:tc>
          <w:tcPr>
            <w:tcW w:w="10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11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Other</w:t>
            </w:r>
          </w:p>
        </w:tc>
        <w:tc>
          <w:tcPr>
            <w:tcW w:w="10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55"/>
        </w:trPr>
        <w:tc>
          <w:tcPr>
            <w:tcW w:w="6500" w:type="dxa"/>
            <w:vAlign w:val="bottom"/>
            <w:gridSpan w:val="3"/>
            <w:vMerge w:val="continue"/>
          </w:tcPr>
          <w:p>
            <w:pPr>
              <w:spacing w:after="0"/>
              <w:rPr>
                <w:sz w:val="13"/>
                <w:szCs w:val="13"/>
                <w:color w:val="auto"/>
              </w:rPr>
            </w:pPr>
          </w:p>
        </w:tc>
        <w:tc>
          <w:tcPr>
            <w:tcW w:w="920" w:type="dxa"/>
            <w:vAlign w:val="bottom"/>
          </w:tcPr>
          <w:p>
            <w:pPr>
              <w:jc w:val="center"/>
              <w:ind w:right="99"/>
              <w:spacing w:after="0" w:line="148" w:lineRule="exact"/>
              <w:rPr>
                <w:sz w:val="20"/>
                <w:szCs w:val="20"/>
                <w:color w:val="auto"/>
              </w:rPr>
            </w:pPr>
            <w:r>
              <w:rPr>
                <w:rFonts w:ascii="Arial" w:cs="Arial" w:eastAsia="Arial" w:hAnsi="Arial"/>
                <w:sz w:val="14"/>
                <w:szCs w:val="14"/>
                <w:b w:val="1"/>
                <w:bCs w:val="1"/>
                <w:color w:val="auto"/>
                <w:w w:val="87"/>
              </w:rPr>
              <w:t>Period</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2"/>
              </w:rPr>
              <w:t>Expenses</w:t>
            </w:r>
          </w:p>
        </w:tc>
        <w:tc>
          <w:tcPr>
            <w:tcW w:w="1120" w:type="dxa"/>
            <w:vAlign w:val="bottom"/>
            <w:gridSpan w:val="2"/>
          </w:tcPr>
          <w:p>
            <w:pPr>
              <w:jc w:val="right"/>
              <w:ind w:right="132"/>
              <w:spacing w:after="0" w:line="148" w:lineRule="exact"/>
              <w:rPr>
                <w:sz w:val="20"/>
                <w:szCs w:val="20"/>
                <w:color w:val="auto"/>
              </w:rPr>
            </w:pPr>
            <w:r>
              <w:rPr>
                <w:rFonts w:ascii="Arial" w:cs="Arial" w:eastAsia="Arial" w:hAnsi="Arial"/>
                <w:sz w:val="14"/>
                <w:szCs w:val="14"/>
                <w:b w:val="1"/>
                <w:bCs w:val="1"/>
                <w:color w:val="auto"/>
              </w:rPr>
              <w:t>Accounts(1)</w:t>
            </w:r>
          </w:p>
        </w:tc>
        <w:tc>
          <w:tcPr>
            <w:tcW w:w="1020" w:type="dxa"/>
            <w:vAlign w:val="bottom"/>
          </w:tcPr>
          <w:p>
            <w:pPr>
              <w:jc w:val="right"/>
              <w:ind w:right="135"/>
              <w:spacing w:after="0" w:line="148" w:lineRule="exact"/>
              <w:rPr>
                <w:sz w:val="20"/>
                <w:szCs w:val="20"/>
                <w:color w:val="auto"/>
              </w:rPr>
            </w:pPr>
            <w:r>
              <w:rPr>
                <w:rFonts w:ascii="Arial" w:cs="Arial" w:eastAsia="Arial" w:hAnsi="Arial"/>
                <w:sz w:val="14"/>
                <w:szCs w:val="14"/>
                <w:b w:val="1"/>
                <w:bCs w:val="1"/>
                <w:color w:val="auto"/>
              </w:rPr>
              <w:t>Deductions</w:t>
            </w:r>
          </w:p>
        </w:tc>
        <w:tc>
          <w:tcPr>
            <w:tcW w:w="88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7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10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ind w:left="220"/>
              <w:spacing w:after="0"/>
              <w:rPr>
                <w:sz w:val="20"/>
                <w:szCs w:val="20"/>
                <w:color w:val="auto"/>
              </w:rPr>
            </w:pPr>
            <w:r>
              <w:rPr>
                <w:rFonts w:ascii="Arial" w:cs="Arial" w:eastAsia="Arial" w:hAnsi="Arial"/>
                <w:sz w:val="18"/>
                <w:szCs w:val="18"/>
                <w:color w:val="auto"/>
              </w:rPr>
              <w:t>Allowance for doubtful accounts and sales returns and allowances</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$ 7,322</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$ 1,118</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$(1,462)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Deferred tax asset valuation allowance</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36,634</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(4,111)</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Year ended December 31, 2010:</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Allowance for doubtful accounts and sales returns and allowances</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$11,216</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ind w:left="220"/>
              <w:spacing w:after="0"/>
              <w:rPr>
                <w:sz w:val="20"/>
                <w:szCs w:val="20"/>
                <w:color w:val="auto"/>
              </w:rPr>
            </w:pPr>
            <w:r>
              <w:rPr>
                <w:rFonts w:ascii="Arial" w:cs="Arial" w:eastAsia="Arial" w:hAnsi="Arial"/>
                <w:sz w:val="18"/>
                <w:szCs w:val="18"/>
                <w:color w:val="auto"/>
              </w:rPr>
              <w:t>Deferred tax asset valuation allowance</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36,131</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431</w:t>
            </w:r>
          </w:p>
        </w:tc>
        <w:tc>
          <w:tcPr>
            <w:tcW w:w="500" w:type="dxa"/>
            <w:vAlign w:val="bottom"/>
          </w:tcPr>
          <w:p>
            <w:pPr>
              <w:spacing w:after="0"/>
              <w:rPr>
                <w:sz w:val="18"/>
                <w:szCs w:val="18"/>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w w:val="88"/>
              </w:rPr>
              <w:t>1,160</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(1,088)</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tcPr>
          <w:p>
            <w:pPr>
              <w:ind w:left="220"/>
              <w:spacing w:after="0"/>
              <w:rPr>
                <w:sz w:val="20"/>
                <w:szCs w:val="20"/>
                <w:color w:val="auto"/>
              </w:rPr>
            </w:pPr>
            <w:r>
              <w:rPr>
                <w:rFonts w:ascii="Arial" w:cs="Arial" w:eastAsia="Arial" w:hAnsi="Arial"/>
                <w:sz w:val="18"/>
                <w:szCs w:val="18"/>
                <w:color w:val="auto"/>
              </w:rPr>
              <w:t>Allowance for doubtful accounts and sales returns and allowances</w:t>
            </w: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$10,052</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$ 2,645</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$(1,481)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Deferred tax asset valuation allowance</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35,968</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3,649</w:t>
            </w:r>
          </w:p>
        </w:tc>
        <w:tc>
          <w:tcPr>
            <w:tcW w:w="11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(3,286)</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340" w:hanging="332"/>
        <w:spacing w:after="0" w:line="259"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2010, $1.2 million of deferred tax liability was reclassified to the valuation allowance with no impact to the consolidated statement of operations. In 2009, the balance was reduced by $3.3 million, which was no longer required as a result of the estimated expiration of the carryforward period of a net operating loss carryforward for which a deferred tax asset had been previously recorded.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048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Amended and Restated Certificate of Incorporation of the Company (Incorporated by reference to Exhibit 3.1(a) to the Company’s Annual</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3.1(b)</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Certificate of Amendment to Amended and Restated Certificate of Incorporation dated May 22, 1998 (Incorporated by reference to Exhibit</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3.1(b) to the Company’s Annual Report on Form 10-K for the year ended December 31, 1998)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3.1(c)</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Certificate of Amendment to Amended and Restated Certificate of Incorporation dated May 17, 1999 (Incorporated by reference to Exhibit</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3.1(c) to the Company’s Annual Report on Form 10-K for the year ended December 31, 2004)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3.2(a)</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Amended and Restated Bylaws of the Company (Incorporated by reference to Exhibit 3.1 to the Company’s Current Report on Form 8-K filed</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on November 3,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3.2(b)</w:t>
            </w: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Amended and Restated Bylaws of the Company (Incorporated by reference to Exhibit 3.2 to the Company’s Current Report on Form 8-K filed</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on November 3, 2009)</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Purchase Agreement, dated June 9, 2011, by and between Integra LifeSciences Holdings Corporation and J.P. Morgan Securities LLC, Merrill</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Lynch, Pierce, Fenner &amp; Smith Incorporated, Morgan Stanley &amp; Co. LLC, Deutsche Bank Securities Inc., RBC Capital Markets, LLC and Wells</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5"/>
              </w:rPr>
              <w:t>Fargo Securities, LLC (Incorporated by reference to Exhibit 4.1 to the Company’s Current Report on Form 8-K filed on June 15,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Indenture, dated June 15, 2011, by and between Integra LifeSciences Holdings Corporation and Wells Fargo Bank, National Association, as</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trustee (Incorporated by reference to Exhibit 4.1 to the Company’s Current Report on Form 8-K filed on June 15,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4.3(a)</w:t>
            </w:r>
          </w:p>
        </w:tc>
        <w:tc>
          <w:tcPr>
            <w:tcW w:w="10480" w:type="dxa"/>
            <w:vAlign w:val="bottom"/>
          </w:tcPr>
          <w:p>
            <w:pPr>
              <w:ind w:left="320"/>
              <w:spacing w:after="0"/>
              <w:rPr>
                <w:sz w:val="20"/>
                <w:szCs w:val="20"/>
                <w:color w:val="auto"/>
              </w:rPr>
            </w:pPr>
            <w:r>
              <w:rPr>
                <w:rFonts w:ascii="Arial" w:cs="Arial" w:eastAsia="Arial" w:hAnsi="Arial"/>
                <w:sz w:val="18"/>
                <w:szCs w:val="18"/>
                <w:color w:val="auto"/>
                <w:w w:val="93"/>
              </w:rPr>
              <w:t>Credit Agreement, dated as of December 22, 2005,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Citibank FSB and SunTrust Bank, as Co-Syndication Agents, and</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Royal Bank of Canada and Wachovia Bank, National Association, as Co-Documentation Agents (Incorporated by reference to Exhibit 10.1 to</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the Company’s Current Report on Form 8-K filed on December 29,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4.3(b)</w:t>
            </w:r>
          </w:p>
        </w:tc>
        <w:tc>
          <w:tcPr>
            <w:tcW w:w="10480" w:type="dxa"/>
            <w:vAlign w:val="bottom"/>
          </w:tcPr>
          <w:p>
            <w:pPr>
              <w:ind w:left="320"/>
              <w:spacing w:after="0"/>
              <w:rPr>
                <w:sz w:val="20"/>
                <w:szCs w:val="20"/>
                <w:color w:val="auto"/>
              </w:rPr>
            </w:pPr>
            <w:r>
              <w:rPr>
                <w:rFonts w:ascii="Arial" w:cs="Arial" w:eastAsia="Arial" w:hAnsi="Arial"/>
                <w:sz w:val="18"/>
                <w:szCs w:val="18"/>
                <w:color w:val="auto"/>
                <w:w w:val="94"/>
              </w:rPr>
              <w:t>First Amendment, dated as of February 15, 2006,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Citibank FSB and SunTrust Bank, as Co-Syndication Agents, and</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89"/>
              </w:rPr>
              <w:t>Royal Bank of Canada and Wachovia Bank, National Association, as Co-Documentation Agents (Incorporated by reference to Exhibit 4.3(b) to</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the Company’s Annual 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4.3(c)</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Second Amendment, dated as of February 23, 2007,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Citibank FSB and SunTrust Bank, as Co-Syndication Agents, and</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88"/>
              </w:rPr>
              <w:t>Royal Bank of Canada and Wachovia Bank, National Association, as Co-Documentation Agents (Incorporated by reference to Exhibit 4.1 to the</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February 27,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4.3(d)</w:t>
            </w: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Third Amendment, dated as of June 4, 2007, among Integra LifeSciences Holdings Corporation, the lenders party thereto, Bank of America,</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0"/>
              </w:rPr>
              <w:t>N.A., as Administrative Agent, Swing Line Lender and L/C Issuer, Citibank, N.A., successor by merger to Citibank, FSB, as Syndication Agent</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4"/>
              </w:rPr>
              <w:t>and JPMorgan Chase Bank, N.A., Deutsche Bank Trust Company Americas and Royal Bank of Canada, as Co-Documentation Agents</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the Company’s Current Report on Form 8-K filed on June 6,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4.3(e)</w:t>
            </w:r>
          </w:p>
        </w:tc>
        <w:tc>
          <w:tcPr>
            <w:tcW w:w="10480" w:type="dxa"/>
            <w:vAlign w:val="bottom"/>
          </w:tcPr>
          <w:p>
            <w:pPr>
              <w:ind w:left="320"/>
              <w:spacing w:after="0"/>
              <w:rPr>
                <w:sz w:val="20"/>
                <w:szCs w:val="20"/>
                <w:color w:val="auto"/>
              </w:rPr>
            </w:pPr>
            <w:r>
              <w:rPr>
                <w:rFonts w:ascii="Arial" w:cs="Arial" w:eastAsia="Arial" w:hAnsi="Arial"/>
                <w:sz w:val="18"/>
                <w:szCs w:val="18"/>
                <w:color w:val="auto"/>
                <w:w w:val="92"/>
              </w:rPr>
              <w:t>Fourth Amendment, dated as of September 5, 2007, among Integra LifeSciences Holdings Corporation, the lenders party thereto, Bank of</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6"/>
              </w:rPr>
              <w:t>America, N.A., as Administrative Agent, Swing Line Lender and L/C Issuer, Citibank, N.A., successor by merger to Citibank FSB, as</w:t>
            </w:r>
          </w:p>
        </w:tc>
      </w:tr>
      <w:tr>
        <w:trPr>
          <w:trHeight w:val="216"/>
        </w:trPr>
        <w:tc>
          <w:tcPr>
            <w:tcW w:w="760" w:type="dxa"/>
            <w:vAlign w:val="bottom"/>
          </w:tcPr>
          <w:p>
            <w:pPr>
              <w:spacing w:after="0"/>
              <w:rPr>
                <w:sz w:val="18"/>
                <w:szCs w:val="18"/>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7"/>
              </w:rPr>
              <w:t>Syndication Agent and JPMorgan Chase Bank, N.A., Deutsche Bank Trust Company Americas and Royal Bank of Canada, as Co-</w:t>
            </w:r>
          </w:p>
        </w:tc>
      </w:tr>
      <w:tr>
        <w:trPr>
          <w:trHeight w:val="222"/>
        </w:trPr>
        <w:tc>
          <w:tcPr>
            <w:tcW w:w="760" w:type="dxa"/>
            <w:vAlign w:val="bottom"/>
          </w:tcPr>
          <w:p>
            <w:pPr>
              <w:spacing w:after="0"/>
              <w:rPr>
                <w:sz w:val="19"/>
                <w:szCs w:val="19"/>
                <w:color w:val="auto"/>
              </w:rPr>
            </w:pPr>
          </w:p>
        </w:tc>
        <w:tc>
          <w:tcPr>
            <w:tcW w:w="10480" w:type="dxa"/>
            <w:vAlign w:val="bottom"/>
          </w:tcPr>
          <w:p>
            <w:pPr>
              <w:ind w:left="320"/>
              <w:spacing w:after="0"/>
              <w:rPr>
                <w:sz w:val="20"/>
                <w:szCs w:val="20"/>
                <w:color w:val="auto"/>
              </w:rPr>
            </w:pPr>
            <w:r>
              <w:rPr>
                <w:rFonts w:ascii="Arial" w:cs="Arial" w:eastAsia="Arial" w:hAnsi="Arial"/>
                <w:sz w:val="18"/>
                <w:szCs w:val="18"/>
                <w:color w:val="auto"/>
                <w:w w:val="91"/>
              </w:rPr>
              <w:t>Documentation Agents (Incorporated by reference to Exhibit 4.1 to the Company’s Current Report on Form 8-K filed on September 6, 2007)</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4.3(f)</w:t>
            </w:r>
          </w:p>
        </w:tc>
        <w:tc>
          <w:tcPr>
            <w:tcW w:w="10420" w:type="dxa"/>
            <w:vAlign w:val="bottom"/>
          </w:tcPr>
          <w:p>
            <w:pPr>
              <w:ind w:left="320"/>
              <w:spacing w:after="0"/>
              <w:rPr>
                <w:sz w:val="20"/>
                <w:szCs w:val="20"/>
                <w:color w:val="auto"/>
              </w:rPr>
            </w:pPr>
            <w:r>
              <w:rPr>
                <w:rFonts w:ascii="Arial" w:cs="Arial" w:eastAsia="Arial" w:hAnsi="Arial"/>
                <w:sz w:val="18"/>
                <w:szCs w:val="18"/>
                <w:color w:val="auto"/>
                <w:w w:val="89"/>
              </w:rPr>
              <w:t>Amended and Restated Credit Agreement, dated as of August 10, 2010, among Integra LifeSciences Holdings Corporation, the lenders party</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thereto, Bank of America, N.A., as Administrative Agent, Swing Line Lender and L/C Issuer, JP Morgan Chase Bank, as Syndication Agent,</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and HSBC Bank USA, NA, RBC Capital Markets, Wells Fargo Bank, N.A., Fifth Third Bank, DNB NOR Bank ASA and TD Bank, N.A., as</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89"/>
              </w:rPr>
              <w:t>Co-Documentation Agents (Incorporated by reference to Exhibit 10.1 to the Company’s Current Report on Form 8-K filed on August 10, 2010)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4.3(g)</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Second Amended and Restated Credit Agreement, dated as of June 8, 2011, among Integra LifeSciences Holdings Corporation, the lenders</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89"/>
              </w:rPr>
              <w:t>party thereto, Bank of America, N.A. as Administrative Agent, Swing Line Lender and L/C Issuer, JPMorgan Chase Bank N.A. as Syndication</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Agent, and, HSBC Bank USA, NA, Royal Bank of Canada, Wells Fargo Bank, N.A., Fifth Third Bank, DNB NOR Bank ASA, and TD Bank,</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N.A., as Co-Documentation Agents (Incorporated by reference to Exhibit 4.3 to the Company’s Quarterly Report on Form 10-Q filed on July</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29, 2011)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4.4</w:t>
            </w: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Security Agreement, dated as of December 22, 2005, among Integra LifeSciences Holdings Corporation and the additional grantors party</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thereto in favor of Bank of America, N.A., as administrative and collateral agent (Incorporated by reference to Exhibit 4.4 to the Company’s</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Annual 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4.5</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Pledge Agreement, dated as of December 22, 2005, among Integra LifeSciences Holdings Corporation and the additional grantors party thereto</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in favor of Bank of America, N.A., as administrative and collateral agent (Incorporated by reference to Exhibit 4.5 to the Company’s Annual</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4.6</w:t>
            </w:r>
          </w:p>
        </w:tc>
        <w:tc>
          <w:tcPr>
            <w:tcW w:w="10420" w:type="dxa"/>
            <w:vAlign w:val="bottom"/>
          </w:tcPr>
          <w:p>
            <w:pPr>
              <w:ind w:left="320"/>
              <w:spacing w:after="0"/>
              <w:rPr>
                <w:sz w:val="20"/>
                <w:szCs w:val="20"/>
                <w:color w:val="auto"/>
              </w:rPr>
            </w:pPr>
            <w:r>
              <w:rPr>
                <w:rFonts w:ascii="Arial" w:cs="Arial" w:eastAsia="Arial" w:hAnsi="Arial"/>
                <w:sz w:val="18"/>
                <w:szCs w:val="18"/>
                <w:color w:val="auto"/>
                <w:w w:val="91"/>
              </w:rPr>
              <w:t>Subsidiary Guaranty Agreement, dated as of December 22, 2005, among the guarantors party thereto and individually as a “Guarantor”), in</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3"/>
              </w:rPr>
              <w:t>favor of Bank of America, N.A., as administrative and collateral agent (Incorporated by reference to Exhibit 4.6 to the Company’s Annual</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Report on Form 10-K for the year ended December 31,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4.7</w:t>
            </w:r>
          </w:p>
        </w:tc>
        <w:tc>
          <w:tcPr>
            <w:tcW w:w="10420" w:type="dxa"/>
            <w:vAlign w:val="bottom"/>
          </w:tcPr>
          <w:p>
            <w:pPr>
              <w:ind w:left="320"/>
              <w:spacing w:after="0"/>
              <w:rPr>
                <w:sz w:val="20"/>
                <w:szCs w:val="20"/>
                <w:color w:val="auto"/>
              </w:rPr>
            </w:pPr>
            <w:r>
              <w:rPr>
                <w:rFonts w:ascii="Arial" w:cs="Arial" w:eastAsia="Arial" w:hAnsi="Arial"/>
                <w:sz w:val="18"/>
                <w:szCs w:val="18"/>
                <w:color w:val="auto"/>
                <w:w w:val="88"/>
              </w:rPr>
              <w:t>Indenture, dated as of September 29, 2006, between the Company and Wells Fargo Bank, N.A. (Incorporated by reference to Exhibit 4.1 to the</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Company’s Current Report on Form 8-K filed on October 5, 2006)</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 Wells Fargo Bank,</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9"/>
              </w:rPr>
              <w:t>N.A., as trustee (Incorporated by reference to Exhibit 4.1 to the Company’s Current Report on Form 8-K filed on June 12,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4.9</w:t>
            </w:r>
          </w:p>
        </w:tc>
        <w:tc>
          <w:tcPr>
            <w:tcW w:w="10420" w:type="dxa"/>
            <w:vAlign w:val="bottom"/>
          </w:tcPr>
          <w:p>
            <w:pPr>
              <w:ind w:left="320"/>
              <w:spacing w:after="0"/>
              <w:rPr>
                <w:sz w:val="20"/>
                <w:szCs w:val="20"/>
                <w:color w:val="auto"/>
              </w:rPr>
            </w:pPr>
            <w:r>
              <w:rPr>
                <w:rFonts w:ascii="Arial" w:cs="Arial" w:eastAsia="Arial" w:hAnsi="Arial"/>
                <w:sz w:val="18"/>
                <w:szCs w:val="18"/>
                <w:color w:val="auto"/>
                <w:w w:val="89"/>
              </w:rPr>
              <w:t>Form of 2.75% Senior Convertible Note due 2010 (included in Exhibit 4.8) (Incorporated by reference to Exhibit 4.2 to the Company’s Current</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Report on Form 8-K filed on June 12,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4.10</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Indenture, dated June 11, 2007, among Integra LifeSciences Holdings Corporation, Integra LifeSciences Corporation and Wells Fargo Bank,</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9"/>
              </w:rPr>
              <w:t>N.A., as trustee (Incorporated by reference to Exhibit 4.3 to the Company’s Current Report on Form 8-K filed on June 12,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4.11</w:t>
            </w:r>
          </w:p>
        </w:tc>
        <w:tc>
          <w:tcPr>
            <w:tcW w:w="10420" w:type="dxa"/>
            <w:vAlign w:val="bottom"/>
          </w:tcPr>
          <w:p>
            <w:pPr>
              <w:ind w:left="320"/>
              <w:spacing w:after="0"/>
              <w:rPr>
                <w:sz w:val="20"/>
                <w:szCs w:val="20"/>
                <w:color w:val="auto"/>
              </w:rPr>
            </w:pPr>
            <w:r>
              <w:rPr>
                <w:rFonts w:ascii="Arial" w:cs="Arial" w:eastAsia="Arial" w:hAnsi="Arial"/>
                <w:sz w:val="18"/>
                <w:szCs w:val="18"/>
                <w:color w:val="auto"/>
                <w:w w:val="93"/>
              </w:rPr>
              <w:t>Form of 2.375% Senior Convertible Note due 2012 (included in Exhibit 4.10) (Incorporated by reference to Exhibit 4.4 to the Company’s</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Current Report on Form 8-K filed on June 12, 2007)</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4.12</w:t>
            </w: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Registration Rights Agreement, dated June 11, 2007, among Integra LifeSciences Holdings Corporation, Banc of America Securities LLC,</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J.P. Morgan Securities Inc. and Morgan Stanley &amp; Co., Incorporated, as representatives of the several initial purchasers (Incorporated by</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reference to Exhibit 4.5 to the Company’s Current Report on Form 8-K filed on June 12, 2007)</w:t>
            </w:r>
          </w:p>
        </w:tc>
      </w:tr>
      <w:tr>
        <w:trPr>
          <w:trHeight w:val="318"/>
        </w:trPr>
        <w:tc>
          <w:tcPr>
            <w:tcW w:w="760" w:type="dxa"/>
            <w:vAlign w:val="bottom"/>
          </w:tcPr>
          <w:p>
            <w:pPr>
              <w:ind w:left="100"/>
              <w:spacing w:after="0"/>
              <w:rPr>
                <w:sz w:val="20"/>
                <w:szCs w:val="20"/>
                <w:color w:val="auto"/>
              </w:rPr>
            </w:pPr>
            <w:r>
              <w:rPr>
                <w:rFonts w:ascii="Arial" w:cs="Arial" w:eastAsia="Arial" w:hAnsi="Arial"/>
                <w:sz w:val="18"/>
                <w:szCs w:val="18"/>
                <w:color w:val="auto"/>
              </w:rPr>
              <w:t>4.13</w:t>
            </w: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Registration Rights Agreement, dated June 11, 2007, among Integra LifeSciences Holdings Corporation, Banc of America Securities LLC,</w:t>
            </w:r>
          </w:p>
        </w:tc>
      </w:tr>
      <w:tr>
        <w:trPr>
          <w:trHeight w:val="216"/>
        </w:trPr>
        <w:tc>
          <w:tcPr>
            <w:tcW w:w="760" w:type="dxa"/>
            <w:vAlign w:val="bottom"/>
          </w:tcPr>
          <w:p>
            <w:pPr>
              <w:spacing w:after="0"/>
              <w:rPr>
                <w:sz w:val="18"/>
                <w:szCs w:val="18"/>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w w:val="92"/>
              </w:rPr>
              <w:t>J.P. Morgan Securities Inc. and Morgan Stanley &amp; Co., Incorporated, as representatives of the several initial purchasers (Incorporated by</w:t>
            </w:r>
          </w:p>
        </w:tc>
      </w:tr>
      <w:tr>
        <w:trPr>
          <w:trHeight w:val="222"/>
        </w:trPr>
        <w:tc>
          <w:tcPr>
            <w:tcW w:w="760" w:type="dxa"/>
            <w:vAlign w:val="bottom"/>
          </w:tcPr>
          <w:p>
            <w:pPr>
              <w:spacing w:after="0"/>
              <w:rPr>
                <w:sz w:val="19"/>
                <w:szCs w:val="19"/>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reference to Exhibit 4.6 to the Company’s Current Report on Form 8-K filed on June 12, 2007)</w:t>
            </w:r>
          </w:p>
        </w:tc>
      </w:tr>
    </w:tbl>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10.1(a)</w:t>
            </w:r>
          </w:p>
        </w:tc>
        <w:tc>
          <w:tcPr>
            <w:tcW w:w="10320" w:type="dxa"/>
            <w:vAlign w:val="bottom"/>
          </w:tcPr>
          <w:p>
            <w:pPr>
              <w:ind w:left="340"/>
              <w:spacing w:after="0"/>
              <w:rPr>
                <w:sz w:val="20"/>
                <w:szCs w:val="20"/>
                <w:color w:val="auto"/>
              </w:rPr>
            </w:pPr>
            <w:r>
              <w:rPr>
                <w:rFonts w:ascii="Arial" w:cs="Arial" w:eastAsia="Arial" w:hAnsi="Arial"/>
                <w:sz w:val="18"/>
                <w:szCs w:val="18"/>
                <w:color w:val="auto"/>
                <w:w w:val="90"/>
              </w:rPr>
              <w:t>Lease between Plainsboro Associates and American Biomaterials Corporation dated as of April 16, 1985, as assigned to Colla-Tec, Inc. on</w:t>
            </w:r>
          </w:p>
        </w:tc>
      </w:tr>
      <w:tr>
        <w:trPr>
          <w:trHeight w:val="216"/>
        </w:trPr>
        <w:tc>
          <w:tcPr>
            <w:tcW w:w="9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w w:val="91"/>
              </w:rPr>
              <w:t>October 24, 1989 and as amended through November 1, 1992 (Incorporated by reference to Exhibit 10.30 to the Company’s Registration</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Statement on Form 10/A (File No. 0-26224) which became effective on August 8, 1995)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10.1(b)</w:t>
            </w:r>
          </w:p>
        </w:tc>
        <w:tc>
          <w:tcPr>
            <w:tcW w:w="10320" w:type="dxa"/>
            <w:vAlign w:val="bottom"/>
          </w:tcPr>
          <w:p>
            <w:pPr>
              <w:ind w:left="340"/>
              <w:spacing w:after="0"/>
              <w:rPr>
                <w:sz w:val="20"/>
                <w:szCs w:val="20"/>
                <w:color w:val="auto"/>
              </w:rPr>
            </w:pPr>
            <w:r>
              <w:rPr>
                <w:rFonts w:ascii="Arial" w:cs="Arial" w:eastAsia="Arial" w:hAnsi="Arial"/>
                <w:sz w:val="18"/>
                <w:szCs w:val="18"/>
                <w:color w:val="auto"/>
                <w:w w:val="91"/>
              </w:rPr>
              <w:t>Lease Modification #2 entered into as of the 28th day of October, 2005, by and between Plainsboro Associates and Integra LifeSciences</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w w:val="97"/>
              </w:rPr>
              <w:t>Corporation (Incorporated by reference to Exhibit 10.1 to the Company’s Current Report on Form 8-K filed on November 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10.1(c)</w:t>
            </w:r>
          </w:p>
        </w:tc>
        <w:tc>
          <w:tcPr>
            <w:tcW w:w="10320" w:type="dxa"/>
            <w:vAlign w:val="bottom"/>
          </w:tcPr>
          <w:p>
            <w:pPr>
              <w:ind w:left="340"/>
              <w:spacing w:after="0"/>
              <w:rPr>
                <w:sz w:val="20"/>
                <w:szCs w:val="20"/>
                <w:color w:val="auto"/>
              </w:rPr>
            </w:pPr>
            <w:r>
              <w:rPr>
                <w:rFonts w:ascii="Arial" w:cs="Arial" w:eastAsia="Arial" w:hAnsi="Arial"/>
                <w:sz w:val="18"/>
                <w:szCs w:val="18"/>
                <w:color w:val="auto"/>
                <w:w w:val="94"/>
              </w:rPr>
              <w:t>Lease Modification #3 entered into as of the 2</w:t>
            </w:r>
            <w:r>
              <w:rPr>
                <w:rFonts w:ascii="Arial" w:cs="Arial" w:eastAsia="Arial" w:hAnsi="Arial"/>
                <w:sz w:val="11"/>
                <w:szCs w:val="11"/>
                <w:color w:val="auto"/>
                <w:w w:val="94"/>
              </w:rPr>
              <w:t>nd</w:t>
            </w:r>
            <w:r>
              <w:rPr>
                <w:rFonts w:ascii="Arial" w:cs="Arial" w:eastAsia="Arial" w:hAnsi="Arial"/>
                <w:sz w:val="18"/>
                <w:szCs w:val="18"/>
                <w:color w:val="auto"/>
                <w:w w:val="94"/>
              </w:rPr>
              <w:t xml:space="preserve"> day of March, 2011, by and between Plainsboro Associates and Integra LifeSciences</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Corporation (Incorporated by reference to Exhibit 10.1 to the Company’s Current Report on Form 8-K filed on March 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10.2(a)</w:t>
            </w:r>
          </w:p>
        </w:tc>
        <w:tc>
          <w:tcPr>
            <w:tcW w:w="10320" w:type="dxa"/>
            <w:vAlign w:val="bottom"/>
          </w:tcPr>
          <w:p>
            <w:pPr>
              <w:ind w:left="340"/>
              <w:spacing w:after="0"/>
              <w:rPr>
                <w:sz w:val="20"/>
                <w:szCs w:val="20"/>
                <w:color w:val="auto"/>
              </w:rPr>
            </w:pPr>
            <w:r>
              <w:rPr>
                <w:rFonts w:ascii="Arial" w:cs="Arial" w:eastAsia="Arial" w:hAnsi="Arial"/>
                <w:sz w:val="18"/>
                <w:szCs w:val="18"/>
                <w:color w:val="auto"/>
                <w:w w:val="88"/>
              </w:rPr>
              <w:t>Equipment Lease Agreement between Medicus Corporation and the Company, dated as of June 1, 2000 (Incorporated by reference to Exhibit</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10.1 to the Company’s Quarterly Report on Form 10-Q for the quarter ended June 30, 2000)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10.2(b)</w:t>
            </w:r>
          </w:p>
        </w:tc>
        <w:tc>
          <w:tcPr>
            <w:tcW w:w="10320" w:type="dxa"/>
            <w:vAlign w:val="bottom"/>
          </w:tcPr>
          <w:p>
            <w:pPr>
              <w:ind w:left="340"/>
              <w:spacing w:after="0"/>
              <w:rPr>
                <w:sz w:val="20"/>
                <w:szCs w:val="20"/>
                <w:color w:val="auto"/>
              </w:rPr>
            </w:pPr>
            <w:r>
              <w:rPr>
                <w:rFonts w:ascii="Arial" w:cs="Arial" w:eastAsia="Arial" w:hAnsi="Arial"/>
                <w:sz w:val="18"/>
                <w:szCs w:val="18"/>
                <w:color w:val="auto"/>
                <w:w w:val="89"/>
              </w:rPr>
              <w:t>First Amendment to Equipment Lease Agreement between Medicus Corporation and the Company, dated as of June 29, 2010 (Incorporated</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by reference to Exhibit 10.2 to the Company’s Quarterly Report on Form 10-Q for the quarter ended June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10320" w:type="dxa"/>
            <w:vAlign w:val="bottom"/>
          </w:tcPr>
          <w:p>
            <w:pPr>
              <w:ind w:left="340"/>
              <w:spacing w:after="0"/>
              <w:rPr>
                <w:sz w:val="20"/>
                <w:szCs w:val="20"/>
                <w:color w:val="auto"/>
              </w:rPr>
            </w:pPr>
            <w:r>
              <w:rPr>
                <w:rFonts w:ascii="Arial" w:cs="Arial" w:eastAsia="Arial" w:hAnsi="Arial"/>
                <w:sz w:val="18"/>
                <w:szCs w:val="18"/>
                <w:color w:val="auto"/>
                <w:w w:val="91"/>
              </w:rPr>
              <w:t>Form of Indemnification Agreement between the Company and [ ] dated August 16, 1995, including a schedule identifying the individuals</w:t>
            </w:r>
          </w:p>
        </w:tc>
      </w:tr>
      <w:tr>
        <w:trPr>
          <w:trHeight w:val="216"/>
        </w:trPr>
        <w:tc>
          <w:tcPr>
            <w:tcW w:w="940" w:type="dxa"/>
            <w:vAlign w:val="bottom"/>
          </w:tcPr>
          <w:p>
            <w:pPr>
              <w:spacing w:after="0"/>
              <w:rPr>
                <w:sz w:val="18"/>
                <w:szCs w:val="18"/>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w w:val="89"/>
              </w:rPr>
              <w:t>that are a party to such Indemnification Agreements (Incorporated by reference to Exhibit 10.37 to the Company’s Registration Statement on</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Form S-1 (File No. 33-98698) which became effective on January 24, 1996)*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320" w:type="dxa"/>
            <w:vAlign w:val="bottom"/>
          </w:tcPr>
          <w:p>
            <w:pPr>
              <w:ind w:left="340"/>
              <w:spacing w:after="0"/>
              <w:rPr>
                <w:sz w:val="20"/>
                <w:szCs w:val="20"/>
                <w:color w:val="auto"/>
              </w:rPr>
            </w:pPr>
            <w:r>
              <w:rPr>
                <w:rFonts w:ascii="Arial" w:cs="Arial" w:eastAsia="Arial" w:hAnsi="Arial"/>
                <w:sz w:val="18"/>
                <w:szCs w:val="18"/>
                <w:color w:val="auto"/>
                <w:w w:val="90"/>
              </w:rPr>
              <w:t>1996 Incentive Stock Option and Non-Qualified Stock Option Plan (as amended through December 27, 1997) (Incorporated by reference to</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Exhibit 10.4 to the Company’s Current Report 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10320" w:type="dxa"/>
            <w:vAlign w:val="bottom"/>
          </w:tcPr>
          <w:p>
            <w:pPr>
              <w:ind w:left="340"/>
              <w:spacing w:after="0"/>
              <w:rPr>
                <w:sz w:val="20"/>
                <w:szCs w:val="20"/>
                <w:color w:val="auto"/>
              </w:rPr>
            </w:pPr>
            <w:r>
              <w:rPr>
                <w:rFonts w:ascii="Arial" w:cs="Arial" w:eastAsia="Arial" w:hAnsi="Arial"/>
                <w:sz w:val="18"/>
                <w:szCs w:val="18"/>
                <w:color w:val="auto"/>
                <w:w w:val="90"/>
              </w:rPr>
              <w:t>1998 Stock Option Plan (amended and restated as of July 26, 2005) (Incorporated by reference to Exhibit 10.3 to the Company’s Quarterly</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10320" w:type="dxa"/>
            <w:vAlign w:val="bottom"/>
          </w:tcPr>
          <w:p>
            <w:pPr>
              <w:ind w:left="340"/>
              <w:spacing w:after="0"/>
              <w:rPr>
                <w:sz w:val="20"/>
                <w:szCs w:val="20"/>
                <w:color w:val="auto"/>
              </w:rPr>
            </w:pPr>
            <w:r>
              <w:rPr>
                <w:rFonts w:ascii="Arial" w:cs="Arial" w:eastAsia="Arial" w:hAnsi="Arial"/>
                <w:sz w:val="18"/>
                <w:szCs w:val="18"/>
                <w:color w:val="auto"/>
                <w:w w:val="90"/>
              </w:rPr>
              <w:t>1999 Stock Option Plan (amended and restated as of July 26, 2005) (Incorporated by reference to Exhibit 10.4 to the Company’s Quarterly</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10.7(a)</w:t>
            </w:r>
          </w:p>
        </w:tc>
        <w:tc>
          <w:tcPr>
            <w:tcW w:w="10320" w:type="dxa"/>
            <w:vAlign w:val="bottom"/>
          </w:tcPr>
          <w:p>
            <w:pPr>
              <w:ind w:left="340"/>
              <w:spacing w:after="0"/>
              <w:rPr>
                <w:sz w:val="20"/>
                <w:szCs w:val="20"/>
                <w:color w:val="auto"/>
              </w:rPr>
            </w:pPr>
            <w:r>
              <w:rPr>
                <w:rFonts w:ascii="Arial" w:cs="Arial" w:eastAsia="Arial" w:hAnsi="Arial"/>
                <w:sz w:val="18"/>
                <w:szCs w:val="18"/>
                <w:color w:val="auto"/>
                <w:w w:val="92"/>
              </w:rPr>
              <w:t>Employee Stock Purchase Plan (as amended on May 17, 2004) (Incorporated by reference to Exhibit 4.1 to the Company’s Registration</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Statement on Form S-8 (Registration No. 333-127488) filed on August 12,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10.7(b)</w:t>
            </w:r>
          </w:p>
        </w:tc>
        <w:tc>
          <w:tcPr>
            <w:tcW w:w="10320" w:type="dxa"/>
            <w:vAlign w:val="bottom"/>
          </w:tcPr>
          <w:p>
            <w:pPr>
              <w:ind w:left="340"/>
              <w:spacing w:after="0"/>
              <w:rPr>
                <w:sz w:val="20"/>
                <w:szCs w:val="20"/>
                <w:color w:val="auto"/>
              </w:rPr>
            </w:pPr>
            <w:r>
              <w:rPr>
                <w:rFonts w:ascii="Arial" w:cs="Arial" w:eastAsia="Arial" w:hAnsi="Arial"/>
                <w:sz w:val="18"/>
                <w:szCs w:val="18"/>
                <w:color w:val="auto"/>
                <w:w w:val="88"/>
              </w:rPr>
              <w:t>First Amendment to the Company’s Employee Stock Purchase Plan, dated October 26, 2005 (Incorporated by reference to Exhibit 10.1 to the</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November 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320" w:type="dxa"/>
            <w:vAlign w:val="bottom"/>
          </w:tcPr>
          <w:p>
            <w:pPr>
              <w:ind w:left="340"/>
              <w:spacing w:after="0"/>
              <w:rPr>
                <w:sz w:val="20"/>
                <w:szCs w:val="20"/>
                <w:color w:val="auto"/>
              </w:rPr>
            </w:pPr>
            <w:r>
              <w:rPr>
                <w:rFonts w:ascii="Arial" w:cs="Arial" w:eastAsia="Arial" w:hAnsi="Arial"/>
                <w:sz w:val="18"/>
                <w:szCs w:val="18"/>
                <w:color w:val="auto"/>
                <w:w w:val="88"/>
              </w:rPr>
              <w:t>2000 Equity Incentive Plan (amended and restated as of July 26, 2005) (Incorporated by reference to Exhibit 10.5 to the Company’s Quarterly</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320" w:type="dxa"/>
            <w:vAlign w:val="bottom"/>
          </w:tcPr>
          <w:p>
            <w:pPr>
              <w:ind w:left="340"/>
              <w:spacing w:after="0"/>
              <w:rPr>
                <w:sz w:val="20"/>
                <w:szCs w:val="20"/>
                <w:color w:val="auto"/>
              </w:rPr>
            </w:pPr>
            <w:r>
              <w:rPr>
                <w:rFonts w:ascii="Arial" w:cs="Arial" w:eastAsia="Arial" w:hAnsi="Arial"/>
                <w:sz w:val="18"/>
                <w:szCs w:val="18"/>
                <w:color w:val="auto"/>
                <w:w w:val="88"/>
              </w:rPr>
              <w:t>2001 Equity Incentive Plan (amended and restated as of July 26, 2005) (Incorporated by reference to Exhibit 10.6 to the Company’s Quarterly</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Report on Form 10-Q for the quarter ended September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10.10(a)</w:t>
            </w:r>
          </w:p>
        </w:tc>
        <w:tc>
          <w:tcPr>
            <w:tcW w:w="10320" w:type="dxa"/>
            <w:vAlign w:val="bottom"/>
          </w:tcPr>
          <w:p>
            <w:pPr>
              <w:ind w:left="340"/>
              <w:spacing w:after="0"/>
              <w:rPr>
                <w:sz w:val="20"/>
                <w:szCs w:val="20"/>
                <w:color w:val="auto"/>
              </w:rPr>
            </w:pPr>
            <w:r>
              <w:rPr>
                <w:rFonts w:ascii="Arial" w:cs="Arial" w:eastAsia="Arial" w:hAnsi="Arial"/>
                <w:sz w:val="18"/>
                <w:szCs w:val="18"/>
                <w:color w:val="auto"/>
                <w:w w:val="89"/>
              </w:rPr>
              <w:t>Integra LifeSciences Holdings Corporation Second Amended and Restated 2003 Equity Incentive Plan effective May 19, 2010 (Incorporated</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by reference to Exhibit 10 to the Company’s Current Report on Form 8-K filed May 21,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10.10(b)</w:t>
            </w:r>
          </w:p>
        </w:tc>
        <w:tc>
          <w:tcPr>
            <w:tcW w:w="10320" w:type="dxa"/>
            <w:vAlign w:val="bottom"/>
          </w:tcPr>
          <w:p>
            <w:pPr>
              <w:ind w:left="340"/>
              <w:spacing w:after="0"/>
              <w:rPr>
                <w:sz w:val="20"/>
                <w:szCs w:val="20"/>
                <w:color w:val="auto"/>
              </w:rPr>
            </w:pPr>
            <w:r>
              <w:rPr>
                <w:rFonts w:ascii="Arial" w:cs="Arial" w:eastAsia="Arial" w:hAnsi="Arial"/>
                <w:sz w:val="18"/>
                <w:szCs w:val="18"/>
                <w:color w:val="auto"/>
                <w:w w:val="93"/>
              </w:rPr>
              <w:t>Integra LifeSciences Holdings Corporation Amended and Restated 2003 Equity Incentive Plan effective July 9, 2008 (Incorporated by</w:t>
            </w:r>
          </w:p>
        </w:tc>
      </w:tr>
      <w:tr>
        <w:trPr>
          <w:trHeight w:val="222"/>
        </w:trPr>
        <w:tc>
          <w:tcPr>
            <w:tcW w:w="940" w:type="dxa"/>
            <w:vAlign w:val="bottom"/>
          </w:tcPr>
          <w:p>
            <w:pPr>
              <w:spacing w:after="0"/>
              <w:rPr>
                <w:sz w:val="19"/>
                <w:szCs w:val="19"/>
                <w:color w:val="auto"/>
              </w:rPr>
            </w:pPr>
          </w:p>
        </w:tc>
        <w:tc>
          <w:tcPr>
            <w:tcW w:w="10320" w:type="dxa"/>
            <w:vAlign w:val="bottom"/>
          </w:tcPr>
          <w:p>
            <w:pPr>
              <w:ind w:left="340"/>
              <w:spacing w:after="0"/>
              <w:rPr>
                <w:sz w:val="20"/>
                <w:szCs w:val="20"/>
                <w:color w:val="auto"/>
              </w:rPr>
            </w:pPr>
            <w:r>
              <w:rPr>
                <w:rFonts w:ascii="Arial" w:cs="Arial" w:eastAsia="Arial" w:hAnsi="Arial"/>
                <w:sz w:val="18"/>
                <w:szCs w:val="18"/>
                <w:color w:val="auto"/>
              </w:rPr>
              <w:t>reference to Exhibit 10.2 to the Company’s Current Report on Form 8-K filed on July 11, 2008)*</w:t>
            </w:r>
          </w:p>
        </w:tc>
      </w:tr>
    </w:tbl>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10.10(c)</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Amendment to the Integra LifeSciences Holdings Corporation 2003 Equity Incentive Plan dated July 9, 2008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10.3 to the Company’s Current Report on Form 8-K filed on July 11,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10.11(a)</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Second Amended and Restated Employment Agreement dated July 27, 2004 between the Company and Stuart M. Essig (Incorporated by</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reference to Exhibit 10.1 to the Company’s Quarterly Report on Form 10-Q for the quarter ended September 30,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10.11(b)</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Amendment 2006-1, dated as of December 19, 2006, to the Second Amended and Restated Employment Agreement, between the Company</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and Stuart M. Essig (Incorporated by reference to Exhibit 10.1 to the Company’s Current Report on Form 8-K filed on December 22,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10.11(c)</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Amendment 2008-1, dated as of March 6, 2008, to the Second Amended and Restated Employment Agreement, between the Company and</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Stuart M. Essig (Incorporated by reference to Exhibit 10.12(c) to the Company’s Annual Report on Form 10-K for the year ended December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10.11(d)</w:t>
            </w: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Amendment 2008-2, dated as of August 6, 2008, to the Second Amended and Restated Employment Agreement between Stuart M. Essig and</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the Company (Incorporated by reference to Exhibit 10.7 to the Company’s Quarterly Report on Form 10-Q for the quarter ended June 30,</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10.11(e)</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Amendment 2009-1, dated as of April 13, 2009, to the Second Amended and Restated Employment Agreement between Stuart M. Essig and</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9"/>
              </w:rPr>
              <w:t>the Company (Incorporated by reference to Exhibit 10.2 to the Company’s Current Report on Form 8-K filed on April 13,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10.11(f)</w:t>
            </w: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Letter Agreement dated May 17, 2011 between the Company and Stuart M. Essig (Incorporated by reference to Exhibit 10.1 to the Company’s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Current Report on Form 8-K filed May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10.11(g)</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Letter dated December 20, 2011 from Stuart M. Essig to Integra LifeSciences Holdings Corporation (Incorporated by reference to Exhibit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10.3 to the Company’s Current Report on Form 8-K filed December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Indemnity letter agreement dated December 27, 1997 from the Company to Stuart M. Essig (Incorporated by reference to Exhibit 10.5 to the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Company’s Current Report 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10.13(a)</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Registration Rights Provisions for Stuart M. Essig (Incorporated by reference to Exhibit B of Exhibit 10.1 to the Company’s Current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10.13(b)</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Registration Rights Provisions for Stuart M. Essig (Incorporated by reference to Exhibit 10.2 to the Company’s Current Report on Form 8-K</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10.13(c)</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Registration Rights Provisions for Stuart M. Essig (Incorporated by reference to Exhibit B of Exhibit 10.1 to the Company’s Quarterly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10-Q for the quarter ended September 30,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10.14(a)</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Amended and Restated 2005 Employment Agreement between John B. Henneman, III and the Company dated December 19, 2005</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10.16 to the Company’s Annual Report on Form 10-K for the year ended December 31,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10.14(b)</w:t>
            </w:r>
          </w:p>
        </w:tc>
        <w:tc>
          <w:tcPr>
            <w:tcW w:w="10380" w:type="dxa"/>
            <w:vAlign w:val="bottom"/>
          </w:tcPr>
          <w:p>
            <w:pPr>
              <w:ind w:left="340"/>
              <w:spacing w:after="0"/>
              <w:rPr>
                <w:sz w:val="20"/>
                <w:szCs w:val="20"/>
                <w:color w:val="auto"/>
              </w:rPr>
            </w:pPr>
            <w:r>
              <w:rPr>
                <w:rFonts w:ascii="Arial" w:cs="Arial" w:eastAsia="Arial" w:hAnsi="Arial"/>
                <w:sz w:val="18"/>
                <w:szCs w:val="18"/>
                <w:color w:val="auto"/>
                <w:w w:val="87"/>
              </w:rPr>
              <w:t>Amendment 2008-1, dated as of January 2, 2008, to the Amended and Restated 2005 Employment Agreement between John B. Henneman, III</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and the Company (Incorporated by reference to Exhibit 10.15(b) to the Company’s Annual Report on Form 10-K for the year ended December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10.14(c)</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Amendment 2008-2, dated as of December 18, 2008, to the Amended and Restated 2005 Employment Agreement between John B.</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Henneman, III and the Company (Incorporated by reference to Exhibit 10.2 to the Company’s Current Report on Form 8-K filed on December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10.14(d)</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Amendment 2009-1, dated as of April 13, 2009, to the Amended and Restated 2005 Employment Agreement between John B. Henneman, III</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and the Company (Incorporated by reference to Exhibit 10.5 to the Company’s Current Report on Form 8-K filed on April 13, 2009)*</w:t>
            </w: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10.14(e)</w:t>
            </w:r>
          </w:p>
        </w:tc>
        <w:tc>
          <w:tcPr>
            <w:tcW w:w="10380" w:type="dxa"/>
            <w:vAlign w:val="bottom"/>
          </w:tcPr>
          <w:p>
            <w:pPr>
              <w:ind w:left="340"/>
              <w:spacing w:after="0"/>
              <w:rPr>
                <w:sz w:val="20"/>
                <w:szCs w:val="20"/>
                <w:color w:val="auto"/>
              </w:rPr>
            </w:pPr>
            <w:r>
              <w:rPr>
                <w:rFonts w:ascii="Arial" w:cs="Arial" w:eastAsia="Arial" w:hAnsi="Arial"/>
                <w:sz w:val="18"/>
                <w:szCs w:val="18"/>
                <w:color w:val="auto"/>
                <w:w w:val="97"/>
              </w:rPr>
              <w:t>Amendment 2010-1, dated as of October 12, 2010, to the Amended and Restated 2005 Employment Agreement between John B.</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Henneman, III and the Company (Incorporated by reference to Exhibit 10.3 to the Company’s Current Report on Form 8-K filed October 12,</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10.14(f)</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Letter dated February 22, 2012 from John B. Henneman, III to the Company (Incorporated by reference to Exhibit 10.1 of the Company’s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Current Report on Form 8-K filed February 22,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Consulting Agreement, dated October 12, 2010, between Integra LifeSciences Holdings Corporation and Inception Surgical (Incorporated by</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reference to Exhibit 10.1 to the Company’s Current Report on Form 8-K filed on October 12,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10.16(a)</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Severance Agreement between Judith O’Grady and the Company dated as of January 4, 2010 (Incorporated by reference to Exhibit 10.17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Company’s Annual Report on Form 10-K for the year ended December 31,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10.16(b)</w:t>
            </w:r>
          </w:p>
        </w:tc>
        <w:tc>
          <w:tcPr>
            <w:tcW w:w="10380" w:type="dxa"/>
            <w:vAlign w:val="bottom"/>
          </w:tcPr>
          <w:p>
            <w:pPr>
              <w:ind w:left="340"/>
              <w:spacing w:after="0"/>
              <w:rPr>
                <w:sz w:val="20"/>
                <w:szCs w:val="20"/>
                <w:color w:val="auto"/>
              </w:rPr>
            </w:pPr>
            <w:r>
              <w:rPr>
                <w:rFonts w:ascii="Arial" w:cs="Arial" w:eastAsia="Arial" w:hAnsi="Arial"/>
                <w:sz w:val="18"/>
                <w:szCs w:val="18"/>
                <w:color w:val="auto"/>
                <w:w w:val="87"/>
              </w:rPr>
              <w:t>Severance Agreement between Judith O’Grady and the Company dated as of January 3, 2011 (Incorporated by reference to Exhibit 10.17(a)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Company’s Annual Report on Form 10-K for the year ended December 31, 2010)*</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10.16(c)</w:t>
            </w:r>
          </w:p>
        </w:tc>
        <w:tc>
          <w:tcPr>
            <w:tcW w:w="10380" w:type="dxa"/>
            <w:vAlign w:val="bottom"/>
          </w:tcPr>
          <w:p>
            <w:pPr>
              <w:ind w:left="340"/>
              <w:spacing w:after="0"/>
              <w:rPr>
                <w:sz w:val="20"/>
                <w:szCs w:val="20"/>
                <w:color w:val="auto"/>
              </w:rPr>
            </w:pPr>
            <w:r>
              <w:rPr>
                <w:rFonts w:ascii="Arial" w:cs="Arial" w:eastAsia="Arial" w:hAnsi="Arial"/>
                <w:sz w:val="18"/>
                <w:szCs w:val="18"/>
                <w:color w:val="auto"/>
              </w:rPr>
              <w:t>Severance Agreement between Judith O’Grady and the Company dated as of January 3, 2012*+</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10.17(a)</w:t>
            </w:r>
          </w:p>
        </w:tc>
        <w:tc>
          <w:tcPr>
            <w:tcW w:w="10380" w:type="dxa"/>
            <w:vAlign w:val="bottom"/>
          </w:tcPr>
          <w:p>
            <w:pPr>
              <w:ind w:left="340"/>
              <w:spacing w:after="0"/>
              <w:rPr>
                <w:sz w:val="20"/>
                <w:szCs w:val="20"/>
                <w:color w:val="auto"/>
              </w:rPr>
            </w:pPr>
            <w:r>
              <w:rPr>
                <w:rFonts w:ascii="Arial" w:cs="Arial" w:eastAsia="Arial" w:hAnsi="Arial"/>
                <w:sz w:val="18"/>
                <w:szCs w:val="18"/>
                <w:color w:val="auto"/>
                <w:w w:val="98"/>
              </w:rPr>
              <w:t>Employment Agreement, dated as of October 12, 2010, between Peter J. Arduini and Integra LifeSciences Holdings Corporation</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10.2 to the Company’s Current Report on Form 8-K filed October 12,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10.17(b)</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Amended and Restated Employment Agreement dated December 20, 2011 between Peter J. Arduini and Integra LifeSciences Holdings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8"/>
              </w:rPr>
              <w:t>Corporation (Incorporated by reference to Exhibit 10.1 to the Company’s Current Report on Form 8-K filed December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Form of Notice of Stock Option Grant with Eight-Year Term for Peter J. Arduini (Incorporated by reference to Exhibit 10.2 to the Company’s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Current Report on Form 8-K filed December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10.19(a)</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Lease Contract, dated April 1, 2005, between the Puerto Rico Industrial Development Company and Integra CI, Inc. (executed on September</w:t>
            </w:r>
          </w:p>
        </w:tc>
      </w:tr>
      <w:tr>
        <w:trPr>
          <w:trHeight w:val="216"/>
        </w:trPr>
        <w:tc>
          <w:tcPr>
            <w:tcW w:w="94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15, 2006) (Incorporated by reference to Exhibit 10.3 to the Company’s Quarterly Report on Form 10-Q for the quarter ended September 30,</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10.19(b)</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Amendment to Lease Contract dated as of November 2, 2011, between Integra CI, Inc. and Puerto Rico Industrial Development Company</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7,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Restricted Units Agreement dated December 27, 1997 between the Company and Stuart M. Essig (Incorporated by reference to Exhibit 10.3</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to the Company’s Current Report on Form 8-K filed on February 3, 1998)*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Stock Option Grant and Agreement dated December 22, 2000 between the Company and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4.1 to the Company’s Current Report on Form 8-K 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Stock Option Grant and Agreement dated December 22, 2000 between the Company and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4.2 to the Company’s Current Report on Form 8-K 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10.23(a)</w:t>
            </w:r>
          </w:p>
        </w:tc>
        <w:tc>
          <w:tcPr>
            <w:tcW w:w="10380" w:type="dxa"/>
            <w:vAlign w:val="bottom"/>
          </w:tcPr>
          <w:p>
            <w:pPr>
              <w:ind w:left="340"/>
              <w:spacing w:after="0"/>
              <w:rPr>
                <w:sz w:val="20"/>
                <w:szCs w:val="20"/>
                <w:color w:val="auto"/>
              </w:rPr>
            </w:pPr>
            <w:r>
              <w:rPr>
                <w:rFonts w:ascii="Arial" w:cs="Arial" w:eastAsia="Arial" w:hAnsi="Arial"/>
                <w:sz w:val="18"/>
                <w:szCs w:val="18"/>
                <w:color w:val="auto"/>
                <w:w w:val="88"/>
              </w:rPr>
              <w:t>Restricted Units Agreement dated December 22, 2000 between the Company and Stuart M. Essig (Incorporated by reference to Exhibit 4.3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Company’s Current Report on Form 8-K filed on January 8, 2001)*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10.23(b)</w:t>
            </w:r>
          </w:p>
        </w:tc>
        <w:tc>
          <w:tcPr>
            <w:tcW w:w="10380" w:type="dxa"/>
            <w:vAlign w:val="bottom"/>
          </w:tcPr>
          <w:p>
            <w:pPr>
              <w:ind w:left="340"/>
              <w:spacing w:after="0"/>
              <w:rPr>
                <w:sz w:val="20"/>
                <w:szCs w:val="20"/>
                <w:color w:val="auto"/>
              </w:rPr>
            </w:pPr>
            <w:r>
              <w:rPr>
                <w:rFonts w:ascii="Arial" w:cs="Arial" w:eastAsia="Arial" w:hAnsi="Arial"/>
                <w:sz w:val="18"/>
                <w:szCs w:val="18"/>
                <w:color w:val="auto"/>
                <w:w w:val="94"/>
              </w:rPr>
              <w:t>Amendment 2006-1, dated as of October 30, 2006, to the Stuart M. Essig Restricted Units Agreement dated as of December 22, 2000</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the Company’s Current Report on Form 8-K filed on November 3,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380" w:type="dxa"/>
            <w:vAlign w:val="bottom"/>
          </w:tcPr>
          <w:p>
            <w:pPr>
              <w:ind w:left="340"/>
              <w:spacing w:after="0"/>
              <w:rPr>
                <w:sz w:val="20"/>
                <w:szCs w:val="20"/>
                <w:color w:val="auto"/>
              </w:rPr>
            </w:pPr>
            <w:r>
              <w:rPr>
                <w:rFonts w:ascii="Arial" w:cs="Arial" w:eastAsia="Arial" w:hAnsi="Arial"/>
                <w:sz w:val="18"/>
                <w:szCs w:val="18"/>
                <w:color w:val="auto"/>
                <w:w w:val="92"/>
              </w:rPr>
              <w:t>Stock Option Grant and Agreement dated July 27, 2004 between the Company and Stuart M. Essig (Incorporated by reference to Exhibit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10.30 to the Company’s Annual 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10.25(a)</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Contract Stock/Restricted Units Agreement dated July 27, 2004 between the Company and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10.31 to the Company’s Annual Report on Form 10-K for the year ended December 31, 2004)*</w:t>
            </w: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10.25(b)</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Amendment 2006-1, dated as of October 30, 2006, to the Stuart M. Essig Contract Stock/Restricted Units Agreement dated as of July 27,</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2004 (Incorporated by reference to Exhibit 10.2 to the Company’s Current Report on Form 8-K filed on November 3,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10.25(c)</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Amendment 2008-1, dated as of March 6, 2008, to the Stuart M. Essig Contract Stock/Restricted Units Agreement dated as of July 27, 2004</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10.25(c) to the Company’s Annual Report on Form 10-K for the year ended December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10.25(d)</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Amendment 2011-1, dated as of May 17, 2011, to the Stuart M. Essig Contract Stock/Restricted Units Agreement dated as of July 24, 2004</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10.6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Amendment 2011-1 to Contract Stock/Restricted Units Agreements between the Company and Mr. Essig (Incorporated by reference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to Exhibit 10.5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Contract Stock/Units Agreement dated as of May 17, 2011 between the Company and Stuart M. Essig (Incorporated by reference to Exhibit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10.2 to the Company’s Current Report on Form 8-K fled on May 23,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Form of Stock Option Grant and Agreement between the Company and Stuart M. Essig (Incorporated by reference to Exhibit 10.32 to the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Company’s Annual 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10.29(a)</w:t>
            </w:r>
          </w:p>
        </w:tc>
        <w:tc>
          <w:tcPr>
            <w:tcW w:w="10380" w:type="dxa"/>
            <w:vAlign w:val="bottom"/>
          </w:tcPr>
          <w:p>
            <w:pPr>
              <w:ind w:left="340"/>
              <w:spacing w:after="0"/>
              <w:rPr>
                <w:sz w:val="20"/>
                <w:szCs w:val="20"/>
                <w:color w:val="auto"/>
              </w:rPr>
            </w:pPr>
            <w:r>
              <w:rPr>
                <w:rFonts w:ascii="Arial" w:cs="Arial" w:eastAsia="Arial" w:hAnsi="Arial"/>
                <w:sz w:val="18"/>
                <w:szCs w:val="18"/>
                <w:color w:val="auto"/>
                <w:w w:val="95"/>
              </w:rPr>
              <w:t>Form of Contract Stock/Restricted Units Agreement for Stuart M. Essig (Incorporated by reference to Exhibit 10.8 to the Company’s</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10.29(b)</w:t>
            </w:r>
          </w:p>
        </w:tc>
        <w:tc>
          <w:tcPr>
            <w:tcW w:w="10380" w:type="dxa"/>
            <w:vAlign w:val="bottom"/>
          </w:tcPr>
          <w:p>
            <w:pPr>
              <w:ind w:left="340"/>
              <w:spacing w:after="0"/>
              <w:rPr>
                <w:sz w:val="20"/>
                <w:szCs w:val="20"/>
                <w:color w:val="auto"/>
              </w:rPr>
            </w:pPr>
            <w:r>
              <w:rPr>
                <w:rFonts w:ascii="Arial" w:cs="Arial" w:eastAsia="Arial" w:hAnsi="Arial"/>
                <w:sz w:val="18"/>
                <w:szCs w:val="18"/>
                <w:color w:val="auto"/>
                <w:w w:val="94"/>
              </w:rPr>
              <w:t>New Form of Contract Stock/Restricted Units Agreement (for Annual Equity Awards) for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10.28(b) to the Company’s Annual Report on Form 10-K for the year ended December 31,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10.29(c)</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Amendment 2011-1 to Contract Stock/Restricted Units Agreement betweeen the Company and Mr. Essig (Incorporated by reference</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to Exhibit 10.4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Form of Performance Stock Agreement for Stuart M. Essig (Incorporated by reference to Exhibit 10.9 to the Company’s Quarterly Report on</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Form 10-Q for the quarter ended June 30,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Form of Restricted Stock Agreement for Stuart M. Essig for 2009 (Incorporated by reference to Exhibit 10.3 to the Company’s Current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8-K filed April 13,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New Form of Contract Stock/Restricted Units Agreement (for 2011) Annual Equity Award for Stuart M. Essig) (Incorporated by reference to</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Exhibit 10.3 to the Company’s Quarterly Report on Form 10-Q filed July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Form of Notice of Grant of Stock Option and Stock Option Agreement (Incorporated by reference to Exhibit 10.1 to the Company’s Current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Report on Form 8-K filed on July 29,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380" w:type="dxa"/>
            <w:vAlign w:val="bottom"/>
          </w:tcPr>
          <w:p>
            <w:pPr>
              <w:ind w:left="340"/>
              <w:spacing w:after="0"/>
              <w:rPr>
                <w:sz w:val="20"/>
                <w:szCs w:val="20"/>
                <w:color w:val="auto"/>
              </w:rPr>
            </w:pPr>
            <w:r>
              <w:rPr>
                <w:rFonts w:ascii="Arial" w:cs="Arial" w:eastAsia="Arial" w:hAnsi="Arial"/>
                <w:sz w:val="18"/>
                <w:szCs w:val="18"/>
                <w:color w:val="auto"/>
                <w:w w:val="94"/>
              </w:rPr>
              <w:t>Form of Non-Qualified Stock Option Agreement (Non-Directors) (Incorporated by reference to Exhibit 10.35 to the Company’s Annual</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Report on 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380" w:type="dxa"/>
            <w:vAlign w:val="bottom"/>
          </w:tcPr>
          <w:p>
            <w:pPr>
              <w:ind w:left="340"/>
              <w:spacing w:after="0"/>
              <w:rPr>
                <w:sz w:val="20"/>
                <w:szCs w:val="20"/>
                <w:color w:val="auto"/>
              </w:rPr>
            </w:pPr>
            <w:r>
              <w:rPr>
                <w:rFonts w:ascii="Arial" w:cs="Arial" w:eastAsia="Arial" w:hAnsi="Arial"/>
                <w:sz w:val="18"/>
                <w:szCs w:val="18"/>
                <w:color w:val="auto"/>
                <w:w w:val="91"/>
              </w:rPr>
              <w:t>Form of Incentive Stock Option Agreement (Incorporated by reference to Exhibit 10.36 to the Company’s Annual Report on Form 10-K for</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10380" w:type="dxa"/>
            <w:vAlign w:val="bottom"/>
          </w:tcPr>
          <w:p>
            <w:pPr>
              <w:ind w:left="340"/>
              <w:spacing w:after="0"/>
              <w:rPr>
                <w:sz w:val="20"/>
                <w:szCs w:val="20"/>
                <w:color w:val="auto"/>
              </w:rPr>
            </w:pPr>
            <w:r>
              <w:rPr>
                <w:rFonts w:ascii="Arial" w:cs="Arial" w:eastAsia="Arial" w:hAnsi="Arial"/>
                <w:sz w:val="18"/>
                <w:szCs w:val="18"/>
                <w:color w:val="auto"/>
                <w:w w:val="90"/>
              </w:rPr>
              <w:t>Form of Non-Qualified Stock Option Agreement (Directors) (Incorporated by reference to Exhibit 10.37 to the Company’s Annual Report on</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Form 10-K for the year ended December 31, 2004)*</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10.37(a)</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Compensation of Directors of the Company effective July 9, 2008 (Incorporated by reference to Exhibit 10.1 to the Company’s Current Report</w:t>
            </w:r>
          </w:p>
        </w:tc>
      </w:tr>
      <w:tr>
        <w:trPr>
          <w:trHeight w:val="222"/>
        </w:trPr>
        <w:tc>
          <w:tcPr>
            <w:tcW w:w="9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on Form 8-K filed on July 11, 2008)*</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10.37(b)</w:t>
            </w:r>
          </w:p>
        </w:tc>
        <w:tc>
          <w:tcPr>
            <w:tcW w:w="10260" w:type="dxa"/>
            <w:vAlign w:val="bottom"/>
          </w:tcPr>
          <w:p>
            <w:pPr>
              <w:ind w:left="380"/>
              <w:spacing w:after="0"/>
              <w:rPr>
                <w:sz w:val="20"/>
                <w:szCs w:val="20"/>
                <w:color w:val="auto"/>
              </w:rPr>
            </w:pPr>
            <w:r>
              <w:rPr>
                <w:rFonts w:ascii="Arial" w:cs="Arial" w:eastAsia="Arial" w:hAnsi="Arial"/>
                <w:sz w:val="18"/>
                <w:szCs w:val="18"/>
                <w:color w:val="auto"/>
                <w:w w:val="91"/>
              </w:rPr>
              <w:t>Compensation of Directors of the Company effective May 17, 2011 (Incorporated by reference to Exhibit 10.1 to the Company’s Current</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Report on Form 8-K filed on December 16,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10.38(a)</w:t>
            </w:r>
          </w:p>
        </w:tc>
        <w:tc>
          <w:tcPr>
            <w:tcW w:w="10260" w:type="dxa"/>
            <w:vAlign w:val="bottom"/>
          </w:tcPr>
          <w:p>
            <w:pPr>
              <w:ind w:left="380"/>
              <w:spacing w:after="0"/>
              <w:rPr>
                <w:sz w:val="20"/>
                <w:szCs w:val="20"/>
                <w:color w:val="auto"/>
              </w:rPr>
            </w:pPr>
            <w:r>
              <w:rPr>
                <w:rFonts w:ascii="Arial" w:cs="Arial" w:eastAsia="Arial" w:hAnsi="Arial"/>
                <w:sz w:val="18"/>
                <w:szCs w:val="18"/>
                <w:color w:val="auto"/>
                <w:w w:val="94"/>
              </w:rPr>
              <w:t>Form of Restricted Stock Agreement for Non-Employee Directors under the Integra LifeSciences Holdings Corporation 2003 Equity</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w w:val="97"/>
              </w:rPr>
              <w:t>Incentive Plan (Incorporated by reference to Exhibit 10.2 to the Company’s Current Report on Form 8-K filed on May 17, 2005)*</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10.38(b)</w:t>
            </w:r>
          </w:p>
        </w:tc>
        <w:tc>
          <w:tcPr>
            <w:tcW w:w="10260" w:type="dxa"/>
            <w:vAlign w:val="bottom"/>
          </w:tcPr>
          <w:p>
            <w:pPr>
              <w:ind w:left="380"/>
              <w:spacing w:after="0"/>
              <w:rPr>
                <w:sz w:val="20"/>
                <w:szCs w:val="20"/>
                <w:color w:val="auto"/>
              </w:rPr>
            </w:pPr>
            <w:r>
              <w:rPr>
                <w:rFonts w:ascii="Arial" w:cs="Arial" w:eastAsia="Arial" w:hAnsi="Arial"/>
                <w:sz w:val="18"/>
                <w:szCs w:val="18"/>
                <w:color w:val="auto"/>
                <w:w w:val="94"/>
              </w:rPr>
              <w:t>Form of Restricted Stock Agreement for Non-Employee Directors under the Integra LifeSciences Holdings Corporation 2003 Equity</w:t>
            </w:r>
          </w:p>
        </w:tc>
      </w:tr>
      <w:tr>
        <w:trPr>
          <w:trHeight w:val="216"/>
        </w:trPr>
        <w:tc>
          <w:tcPr>
            <w:tcW w:w="1020" w:type="dxa"/>
            <w:vAlign w:val="bottom"/>
          </w:tcPr>
          <w:p>
            <w:pPr>
              <w:spacing w:after="0"/>
              <w:rPr>
                <w:sz w:val="18"/>
                <w:szCs w:val="18"/>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w w:val="89"/>
              </w:rPr>
              <w:t>Incentive Plan (Incorporated by reference to Exhibit 10.4 to the Company’s Quarterly Report on Form 10-Q for the quarter ended June 30,</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2008)*</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10.38(c)</w:t>
            </w:r>
          </w:p>
        </w:tc>
        <w:tc>
          <w:tcPr>
            <w:tcW w:w="10260" w:type="dxa"/>
            <w:vAlign w:val="bottom"/>
          </w:tcPr>
          <w:p>
            <w:pPr>
              <w:ind w:left="380"/>
              <w:spacing w:after="0"/>
              <w:rPr>
                <w:sz w:val="20"/>
                <w:szCs w:val="20"/>
                <w:color w:val="auto"/>
              </w:rPr>
            </w:pPr>
            <w:r>
              <w:rPr>
                <w:rFonts w:ascii="Arial" w:cs="Arial" w:eastAsia="Arial" w:hAnsi="Arial"/>
                <w:sz w:val="18"/>
                <w:szCs w:val="18"/>
                <w:color w:val="auto"/>
                <w:w w:val="91"/>
              </w:rPr>
              <w:t>New Form of Restricted Stock Agreement for Non-Employee Directors under the Integra LifeSciences Holdings Corporation 2003 Equity</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w w:val="97"/>
              </w:rPr>
              <w:t>Incentive Plan (Incorporated by reference to Exhibit 10.1 to the Company’s Current Report on Form 8-K filed on April 13,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10.39(a)</w:t>
            </w:r>
          </w:p>
        </w:tc>
        <w:tc>
          <w:tcPr>
            <w:tcW w:w="10260" w:type="dxa"/>
            <w:vAlign w:val="bottom"/>
          </w:tcPr>
          <w:p>
            <w:pPr>
              <w:ind w:left="380"/>
              <w:spacing w:after="0"/>
              <w:rPr>
                <w:sz w:val="20"/>
                <w:szCs w:val="20"/>
                <w:color w:val="auto"/>
              </w:rPr>
            </w:pPr>
            <w:r>
              <w:rPr>
                <w:rFonts w:ascii="Arial" w:cs="Arial" w:eastAsia="Arial" w:hAnsi="Arial"/>
                <w:sz w:val="18"/>
                <w:szCs w:val="18"/>
                <w:color w:val="auto"/>
                <w:w w:val="91"/>
              </w:rPr>
              <w:t>Form of Restricted Stock Agreement for Executive Officers — Cliff Vesting (Incorporated by reference to Exhibit 10.1 to the Company’s</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Current Report on Form 8-K filed on January 9, 2006)*</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10.39(b)</w:t>
            </w:r>
          </w:p>
        </w:tc>
        <w:tc>
          <w:tcPr>
            <w:tcW w:w="10260" w:type="dxa"/>
            <w:vAlign w:val="bottom"/>
          </w:tcPr>
          <w:p>
            <w:pPr>
              <w:ind w:left="380"/>
              <w:spacing w:after="0"/>
              <w:rPr>
                <w:sz w:val="20"/>
                <w:szCs w:val="20"/>
                <w:color w:val="auto"/>
              </w:rPr>
            </w:pPr>
            <w:r>
              <w:rPr>
                <w:rFonts w:ascii="Arial" w:cs="Arial" w:eastAsia="Arial" w:hAnsi="Arial"/>
                <w:sz w:val="18"/>
                <w:szCs w:val="18"/>
                <w:color w:val="auto"/>
                <w:w w:val="94"/>
              </w:rPr>
              <w:t>New Form of Restricted Stock Agreement for Executive Officers — Annual Vesting (Incorporated by reference to Exhibit 10.1 to the</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February 25,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10.39(c)</w:t>
            </w:r>
          </w:p>
        </w:tc>
        <w:tc>
          <w:tcPr>
            <w:tcW w:w="10260" w:type="dxa"/>
            <w:vAlign w:val="bottom"/>
          </w:tcPr>
          <w:p>
            <w:pPr>
              <w:ind w:left="380"/>
              <w:spacing w:after="0"/>
              <w:rPr>
                <w:sz w:val="20"/>
                <w:szCs w:val="20"/>
                <w:color w:val="auto"/>
              </w:rPr>
            </w:pPr>
            <w:r>
              <w:rPr>
                <w:rFonts w:ascii="Arial" w:cs="Arial" w:eastAsia="Arial" w:hAnsi="Arial"/>
                <w:sz w:val="18"/>
                <w:szCs w:val="18"/>
                <w:color w:val="auto"/>
                <w:w w:val="95"/>
              </w:rPr>
              <w:t>New Form of Restricted Stock Agreement with Cliff Vesting for Executive Officers (Incorporated by reference to Exhibit 10.8 to the</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Company’s Quarter Report on Form 10-Q for the quarter ended March 31,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10.39(d)</w:t>
            </w:r>
          </w:p>
        </w:tc>
        <w:tc>
          <w:tcPr>
            <w:tcW w:w="10260" w:type="dxa"/>
            <w:vAlign w:val="bottom"/>
          </w:tcPr>
          <w:p>
            <w:pPr>
              <w:ind w:left="380"/>
              <w:spacing w:after="0"/>
              <w:rPr>
                <w:sz w:val="20"/>
                <w:szCs w:val="20"/>
                <w:color w:val="auto"/>
              </w:rPr>
            </w:pPr>
            <w:r>
              <w:rPr>
                <w:rFonts w:ascii="Arial" w:cs="Arial" w:eastAsia="Arial" w:hAnsi="Arial"/>
                <w:sz w:val="18"/>
                <w:szCs w:val="18"/>
                <w:color w:val="auto"/>
                <w:w w:val="91"/>
              </w:rPr>
              <w:t>Form of Restricted Stock Agreement for Mr. Henneman for 2008 and 2009 (Incorporated by reference to Exhibit 10.6 to the Company’s</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Current Report on Form 8-K filed on April 13, 2009)*</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10.39(e)</w:t>
            </w:r>
          </w:p>
        </w:tc>
        <w:tc>
          <w:tcPr>
            <w:tcW w:w="10260" w:type="dxa"/>
            <w:vAlign w:val="bottom"/>
          </w:tcPr>
          <w:p>
            <w:pPr>
              <w:ind w:left="380"/>
              <w:spacing w:after="0"/>
              <w:rPr>
                <w:sz w:val="20"/>
                <w:szCs w:val="20"/>
                <w:color w:val="auto"/>
              </w:rPr>
            </w:pPr>
            <w:r>
              <w:rPr>
                <w:rFonts w:ascii="Arial" w:cs="Arial" w:eastAsia="Arial" w:hAnsi="Arial"/>
                <w:sz w:val="18"/>
                <w:szCs w:val="18"/>
                <w:color w:val="auto"/>
                <w:w w:val="92"/>
              </w:rPr>
              <w:t>Form of Option Agreement among Integra LifeSciences Holdings Corporation and John B. Henneman, III (Incorporated by reference to</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Exhibit 10.1 to the Company’s Current Report on Form 8-K filed on June 6, 2008)*</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10.39(f)</w:t>
            </w:r>
          </w:p>
        </w:tc>
        <w:tc>
          <w:tcPr>
            <w:tcW w:w="10260" w:type="dxa"/>
            <w:vAlign w:val="bottom"/>
          </w:tcPr>
          <w:p>
            <w:pPr>
              <w:ind w:left="380"/>
              <w:spacing w:after="0"/>
              <w:rPr>
                <w:sz w:val="20"/>
                <w:szCs w:val="20"/>
                <w:color w:val="auto"/>
              </w:rPr>
            </w:pPr>
            <w:r>
              <w:rPr>
                <w:rFonts w:ascii="Arial" w:cs="Arial" w:eastAsia="Arial" w:hAnsi="Arial"/>
                <w:sz w:val="18"/>
                <w:szCs w:val="18"/>
                <w:color w:val="auto"/>
                <w:w w:val="89"/>
              </w:rPr>
              <w:t>Form of Contract Stock/Restricted Units Agreement for Mr. Henneman (Incorporated by reference to Exhibit 10.4 to the Company’s Current</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Report on Form 8-K filed on December 24, 2008)*</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10.39(g)</w:t>
            </w:r>
          </w:p>
        </w:tc>
        <w:tc>
          <w:tcPr>
            <w:tcW w:w="10260" w:type="dxa"/>
            <w:vAlign w:val="bottom"/>
          </w:tcPr>
          <w:p>
            <w:pPr>
              <w:ind w:left="380"/>
              <w:spacing w:after="0"/>
              <w:rPr>
                <w:sz w:val="20"/>
                <w:szCs w:val="20"/>
                <w:color w:val="auto"/>
              </w:rPr>
            </w:pPr>
            <w:r>
              <w:rPr>
                <w:rFonts w:ascii="Arial" w:cs="Arial" w:eastAsia="Arial" w:hAnsi="Arial"/>
                <w:sz w:val="18"/>
                <w:szCs w:val="18"/>
                <w:color w:val="auto"/>
                <w:w w:val="89"/>
              </w:rPr>
              <w:t>Form of Restricted Stock Agreement for John B. Henneman, III (Incorporated by reference to Exhibit 10.1 to the Company’s Current Report</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on Form 8-K filed on February 27, 2007)*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10.39(h)</w:t>
            </w:r>
          </w:p>
        </w:tc>
        <w:tc>
          <w:tcPr>
            <w:tcW w:w="10260" w:type="dxa"/>
            <w:vAlign w:val="bottom"/>
          </w:tcPr>
          <w:p>
            <w:pPr>
              <w:ind w:left="380"/>
              <w:spacing w:after="0"/>
              <w:rPr>
                <w:sz w:val="20"/>
                <w:szCs w:val="20"/>
                <w:color w:val="auto"/>
              </w:rPr>
            </w:pPr>
            <w:r>
              <w:rPr>
                <w:rFonts w:ascii="Arial" w:cs="Arial" w:eastAsia="Arial" w:hAnsi="Arial"/>
                <w:sz w:val="18"/>
                <w:szCs w:val="18"/>
                <w:color w:val="auto"/>
                <w:w w:val="92"/>
              </w:rPr>
              <w:t>Form of Performance Stock Agreement for John B. Henneman, III (Incorporated by reference to Exhibit 10.1 to the Company’s Current</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Report on Form 8-K filed on March 21, 2007)*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10.39(i)</w:t>
            </w:r>
          </w:p>
        </w:tc>
        <w:tc>
          <w:tcPr>
            <w:tcW w:w="10260" w:type="dxa"/>
            <w:vAlign w:val="bottom"/>
          </w:tcPr>
          <w:p>
            <w:pPr>
              <w:ind w:left="380"/>
              <w:spacing w:after="0"/>
              <w:rPr>
                <w:sz w:val="20"/>
                <w:szCs w:val="20"/>
                <w:color w:val="auto"/>
              </w:rPr>
            </w:pPr>
            <w:r>
              <w:rPr>
                <w:rFonts w:ascii="Arial" w:cs="Arial" w:eastAsia="Arial" w:hAnsi="Arial"/>
                <w:sz w:val="18"/>
                <w:szCs w:val="18"/>
                <w:color w:val="auto"/>
                <w:w w:val="89"/>
              </w:rPr>
              <w:t>Form of Performance Stock Agreement for John B. Henneman, III (Incorporated by reference to Exhibit 10.37(b) to the Company’s Annual</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Report on Form 10-K for the year ended December 31, 2007)*</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10.39(j)</w:t>
            </w:r>
          </w:p>
        </w:tc>
        <w:tc>
          <w:tcPr>
            <w:tcW w:w="10260" w:type="dxa"/>
            <w:vAlign w:val="bottom"/>
          </w:tcPr>
          <w:p>
            <w:pPr>
              <w:ind w:left="380"/>
              <w:spacing w:after="0"/>
              <w:rPr>
                <w:sz w:val="20"/>
                <w:szCs w:val="20"/>
                <w:color w:val="auto"/>
              </w:rPr>
            </w:pPr>
            <w:r>
              <w:rPr>
                <w:rFonts w:ascii="Arial" w:cs="Arial" w:eastAsia="Arial" w:hAnsi="Arial"/>
                <w:sz w:val="18"/>
                <w:szCs w:val="18"/>
                <w:color w:val="auto"/>
                <w:w w:val="92"/>
              </w:rPr>
              <w:t>Form of Contract Stock/Restricted Units Agreement (for Signing Grant) for Mr. Arduini (Incorporated by reference to Exhibit 10.4 to the</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October 12,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10.39(k)</w:t>
            </w:r>
          </w:p>
        </w:tc>
        <w:tc>
          <w:tcPr>
            <w:tcW w:w="10260" w:type="dxa"/>
            <w:vAlign w:val="bottom"/>
          </w:tcPr>
          <w:p>
            <w:pPr>
              <w:ind w:left="380"/>
              <w:spacing w:after="0"/>
              <w:rPr>
                <w:sz w:val="20"/>
                <w:szCs w:val="20"/>
                <w:color w:val="auto"/>
              </w:rPr>
            </w:pPr>
            <w:r>
              <w:rPr>
                <w:rFonts w:ascii="Arial" w:cs="Arial" w:eastAsia="Arial" w:hAnsi="Arial"/>
                <w:sz w:val="18"/>
                <w:szCs w:val="18"/>
                <w:color w:val="auto"/>
                <w:w w:val="91"/>
              </w:rPr>
              <w:t>Form of Contract Stock/Restricted Units Agreement (for Annual Equity Awards) for Mr. Arduini (Incorporated by reference to Exhibit 10.5</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to the Company’s Current Report on Form 8-K filed on October 12,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10.39(l)</w:t>
            </w:r>
          </w:p>
        </w:tc>
        <w:tc>
          <w:tcPr>
            <w:tcW w:w="10260" w:type="dxa"/>
            <w:vAlign w:val="bottom"/>
          </w:tcPr>
          <w:p>
            <w:pPr>
              <w:ind w:left="380"/>
              <w:spacing w:after="0"/>
              <w:rPr>
                <w:sz w:val="20"/>
                <w:szCs w:val="20"/>
                <w:color w:val="auto"/>
              </w:rPr>
            </w:pPr>
            <w:r>
              <w:rPr>
                <w:rFonts w:ascii="Arial" w:cs="Arial" w:eastAsia="Arial" w:hAnsi="Arial"/>
                <w:sz w:val="18"/>
                <w:szCs w:val="18"/>
                <w:color w:val="auto"/>
                <w:w w:val="94"/>
              </w:rPr>
              <w:t>Form of Non-Qualified Stock Option Agreement for Mr. Arduini (Incorporated by reference to Exhibit 10.6 to the Company’s Current</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Report on Form 8-K filed on October 12, 2010)*</w:t>
            </w: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10.39(m)</w:t>
            </w:r>
          </w:p>
        </w:tc>
        <w:tc>
          <w:tcPr>
            <w:tcW w:w="10260" w:type="dxa"/>
            <w:vAlign w:val="bottom"/>
          </w:tcPr>
          <w:p>
            <w:pPr>
              <w:ind w:left="380"/>
              <w:spacing w:after="0"/>
              <w:rPr>
                <w:sz w:val="20"/>
                <w:szCs w:val="20"/>
                <w:color w:val="auto"/>
              </w:rPr>
            </w:pPr>
            <w:r>
              <w:rPr>
                <w:rFonts w:ascii="Arial" w:cs="Arial" w:eastAsia="Arial" w:hAnsi="Arial"/>
                <w:sz w:val="18"/>
                <w:szCs w:val="18"/>
                <w:color w:val="auto"/>
                <w:w w:val="92"/>
              </w:rPr>
              <w:t>Form of Restricted Stock Agreement for Mr. Henneman (Incorporated by reference to Exhibit 10.7 to the Company’s Current Report on</w:t>
            </w:r>
          </w:p>
        </w:tc>
      </w:tr>
      <w:tr>
        <w:trPr>
          <w:trHeight w:val="222"/>
        </w:trPr>
        <w:tc>
          <w:tcPr>
            <w:tcW w:w="1020" w:type="dxa"/>
            <w:vAlign w:val="bottom"/>
          </w:tcPr>
          <w:p>
            <w:pPr>
              <w:spacing w:after="0"/>
              <w:rPr>
                <w:sz w:val="19"/>
                <w:szCs w:val="19"/>
                <w:color w:val="auto"/>
              </w:rPr>
            </w:pPr>
          </w:p>
        </w:tc>
        <w:tc>
          <w:tcPr>
            <w:tcW w:w="10260" w:type="dxa"/>
            <w:vAlign w:val="bottom"/>
          </w:tcPr>
          <w:p>
            <w:pPr>
              <w:ind w:left="380"/>
              <w:spacing w:after="0"/>
              <w:rPr>
                <w:sz w:val="20"/>
                <w:szCs w:val="20"/>
                <w:color w:val="auto"/>
              </w:rPr>
            </w:pPr>
            <w:r>
              <w:rPr>
                <w:rFonts w:ascii="Arial" w:cs="Arial" w:eastAsia="Arial" w:hAnsi="Arial"/>
                <w:sz w:val="18"/>
                <w:szCs w:val="18"/>
                <w:color w:val="auto"/>
              </w:rPr>
              <w:t>Form 8-K filed on October 12, 2010)*</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10.39(n)</w:t>
            </w:r>
          </w:p>
        </w:tc>
        <w:tc>
          <w:tcPr>
            <w:tcW w:w="10260" w:type="dxa"/>
            <w:vAlign w:val="bottom"/>
          </w:tcPr>
          <w:p>
            <w:pPr>
              <w:ind w:left="380"/>
              <w:spacing w:after="0"/>
              <w:rPr>
                <w:sz w:val="20"/>
                <w:szCs w:val="20"/>
                <w:color w:val="auto"/>
              </w:rPr>
            </w:pPr>
            <w:r>
              <w:rPr>
                <w:rFonts w:ascii="Arial" w:cs="Arial" w:eastAsia="Arial" w:hAnsi="Arial"/>
                <w:sz w:val="18"/>
                <w:szCs w:val="18"/>
                <w:color w:val="auto"/>
              </w:rPr>
              <w:t>Form of Restricted Stock Agreement (Annual Vesting) for Mr. Henneman *+</w:t>
            </w:r>
          </w:p>
        </w:tc>
      </w:tr>
    </w:tbl>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10.40</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Asset Purchase Agreement, dated as of September 7, 2005, by and between Tyco Healthcare Group LP and Sherwood Services, AG and</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Integra LifeSciences Corporation and Integra LifeSciences (Ireland) Limited (Incorporated by reference to Exhibit 10.1 to the Company’s</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Current Report on Form 8-K filed on September 13,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10340" w:type="dxa"/>
            <w:vAlign w:val="bottom"/>
          </w:tcPr>
          <w:p>
            <w:pPr>
              <w:ind w:left="340"/>
              <w:spacing w:after="0"/>
              <w:rPr>
                <w:sz w:val="20"/>
                <w:szCs w:val="20"/>
                <w:color w:val="auto"/>
              </w:rPr>
            </w:pPr>
            <w:r>
              <w:rPr>
                <w:rFonts w:ascii="Arial" w:cs="Arial" w:eastAsia="Arial" w:hAnsi="Arial"/>
                <w:sz w:val="18"/>
                <w:szCs w:val="18"/>
                <w:color w:val="auto"/>
                <w:w w:val="88"/>
              </w:rPr>
              <w:t>Performance Stock Agreement by and between John B. Henneman, III and the Company dated January 3, 2006 (Incorporated by reference 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Exhibit 10.42 to the Company’s Annual Report on Form 10-K for the year ended December 31,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Stock Purchase Agreement, dated as of April 19, 2006, by and between ASP/Miltex LLC and Integra LifeSciences Corporation (Incorporated</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by reference to Exhibit 10.1 to the Company’s Current Report on Form 8-K filed on April 25,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Stock Agreement and Plan of Merger, dated as of June 30, 2006, by and between Integra LifeSciences Corporation, Integra California, Inc.,</w:t>
            </w:r>
          </w:p>
        </w:tc>
      </w:tr>
      <w:tr>
        <w:trPr>
          <w:trHeight w:val="216"/>
        </w:trPr>
        <w:tc>
          <w:tcPr>
            <w:tcW w:w="94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Kinetikos Medical, Inc., Telegraph Hill Partners Management LLC, as Shareholders Representative, and the Shareholders party thereto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to the Company’s Current Report on Form 8-K filed on July 7,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10.44(a)</w:t>
            </w: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Integra LifeSciences Holdings Corporation Management Incentive Compensation Plan (Incorporated by reference to Exhibit 10.1 to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Company’s Quarterly Report on Form 10-Q for the quarter ended September 30,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10.44(b)</w:t>
            </w: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First Amendment to Integra LifeSciences Holdings Corporation Management Incentive Compensation Plan (Incorporated by reference to</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Exhibit 10.5 to the Company’s Quarterly Report on Form 10-Q for the quarter ended March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10.44(c)</w:t>
            </w: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Integra LifeSciences Holdings Corporation Management Incentive Compensation Plan, as amended and restated as of January 1, 2008</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10.43(c) to the Company’s Annual Report on Form 10-K for the year ended December 31,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10.45</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Form of 2010 Convertible Bond Hedge Transaction Confirmation, dated June 6, 2007, between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and dealer (Incorporated by reference to Exhibit 10.1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10.46</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Form of 2012 Convertible Bond Hedge Transaction Confirmation, dated June 6, 2007, between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and dealer (Incorporated by reference to Exhibit 10.2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10.47</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Form of 2010 Amended and Restated Issuer Warrant Transaction Confirmation, dated June 6, 2007, between Integra LifeSciences Holdings</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Corporation and dealer (Incorporated by reference to Exhibit 10.3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10.48</w:t>
            </w:r>
          </w:p>
        </w:tc>
        <w:tc>
          <w:tcPr>
            <w:tcW w:w="10340" w:type="dxa"/>
            <w:vAlign w:val="bottom"/>
          </w:tcPr>
          <w:p>
            <w:pPr>
              <w:ind w:left="340"/>
              <w:spacing w:after="0"/>
              <w:rPr>
                <w:sz w:val="20"/>
                <w:szCs w:val="20"/>
                <w:color w:val="auto"/>
              </w:rPr>
            </w:pPr>
            <w:r>
              <w:rPr>
                <w:rFonts w:ascii="Arial" w:cs="Arial" w:eastAsia="Arial" w:hAnsi="Arial"/>
                <w:sz w:val="18"/>
                <w:szCs w:val="18"/>
                <w:color w:val="auto"/>
                <w:w w:val="89"/>
              </w:rPr>
              <w:t>Form of 2012 Amended and Restated Issuer Warrant Transaction Confirmation, dated June 6, 2007, between Integra LifeSciences Holdings</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Corporation and dealer (Incorporated by reference to Exhibit 10.4 to the Company’s Current Report on Form 8-K filed on June 12,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10.49</w:t>
            </w:r>
          </w:p>
        </w:tc>
        <w:tc>
          <w:tcPr>
            <w:tcW w:w="10340" w:type="dxa"/>
            <w:vAlign w:val="bottom"/>
          </w:tcPr>
          <w:p>
            <w:pPr>
              <w:ind w:left="340"/>
              <w:spacing w:after="0"/>
              <w:rPr>
                <w:sz w:val="20"/>
                <w:szCs w:val="20"/>
                <w:color w:val="auto"/>
              </w:rPr>
            </w:pPr>
            <w:r>
              <w:rPr>
                <w:rFonts w:ascii="Arial" w:cs="Arial" w:eastAsia="Arial" w:hAnsi="Arial"/>
                <w:sz w:val="18"/>
                <w:szCs w:val="18"/>
                <w:color w:val="auto"/>
                <w:w w:val="94"/>
              </w:rPr>
              <w:t>Letter Agreement, dated June 9, 2011, between Deutsche Bank AG, London Branch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regarding the Base Call Option Transaction (Incorporated by reference to Exhibit 10.1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10.50</w:t>
            </w:r>
          </w:p>
        </w:tc>
        <w:tc>
          <w:tcPr>
            <w:tcW w:w="10340" w:type="dxa"/>
            <w:vAlign w:val="bottom"/>
          </w:tcPr>
          <w:p>
            <w:pPr>
              <w:ind w:left="340"/>
              <w:spacing w:after="0"/>
              <w:rPr>
                <w:sz w:val="20"/>
                <w:szCs w:val="20"/>
                <w:color w:val="auto"/>
              </w:rPr>
            </w:pPr>
            <w:r>
              <w:rPr>
                <w:rFonts w:ascii="Arial" w:cs="Arial" w:eastAsia="Arial" w:hAnsi="Arial"/>
                <w:sz w:val="18"/>
                <w:szCs w:val="18"/>
                <w:color w:val="auto"/>
                <w:w w:val="90"/>
              </w:rPr>
              <w:t>Letter Agreement, dated June 9, 2011, between Royal Bank of Canada and Integra LifeSciences Holdings Corporation, regarding the Base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Call Option Transaction (Incorporated by reference to Exhibit 10.2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10.51</w:t>
            </w:r>
          </w:p>
        </w:tc>
        <w:tc>
          <w:tcPr>
            <w:tcW w:w="10340" w:type="dxa"/>
            <w:vAlign w:val="bottom"/>
          </w:tcPr>
          <w:p>
            <w:pPr>
              <w:ind w:left="340"/>
              <w:spacing w:after="0"/>
              <w:rPr>
                <w:sz w:val="20"/>
                <w:szCs w:val="20"/>
                <w:color w:val="auto"/>
              </w:rPr>
            </w:pPr>
            <w:r>
              <w:rPr>
                <w:rFonts w:ascii="Arial" w:cs="Arial" w:eastAsia="Arial" w:hAnsi="Arial"/>
                <w:sz w:val="18"/>
                <w:szCs w:val="18"/>
                <w:color w:val="auto"/>
                <w:w w:val="88"/>
              </w:rPr>
              <w:t>Letter Agreement, dated June 9, 2011, between The Royal Bank of Scotland plc and Integra LifeSciences Holdings Corporation, regarding the</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Base Call Option Transaction (Incorporated by reference to Exhibit 10.3 to the Company’s Form 8-K filed on June 15,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10.52</w:t>
            </w:r>
          </w:p>
        </w:tc>
        <w:tc>
          <w:tcPr>
            <w:tcW w:w="10340" w:type="dxa"/>
            <w:vAlign w:val="bottom"/>
          </w:tcPr>
          <w:p>
            <w:pPr>
              <w:ind w:left="340"/>
              <w:spacing w:after="0"/>
              <w:rPr>
                <w:sz w:val="20"/>
                <w:szCs w:val="20"/>
                <w:color w:val="auto"/>
              </w:rPr>
            </w:pPr>
            <w:r>
              <w:rPr>
                <w:rFonts w:ascii="Arial" w:cs="Arial" w:eastAsia="Arial" w:hAnsi="Arial"/>
                <w:sz w:val="18"/>
                <w:szCs w:val="18"/>
                <w:color w:val="auto"/>
                <w:w w:val="92"/>
              </w:rPr>
              <w:t>Letter Agreement, dated June 9, 2011, between Wells Fargo Bank, National Association and Integra LifeSciences Holdings Corporation,</w:t>
            </w:r>
          </w:p>
        </w:tc>
      </w:tr>
      <w:tr>
        <w:trPr>
          <w:trHeight w:val="222"/>
        </w:trPr>
        <w:tc>
          <w:tcPr>
            <w:tcW w:w="940" w:type="dxa"/>
            <w:vAlign w:val="bottom"/>
          </w:tcPr>
          <w:p>
            <w:pPr>
              <w:spacing w:after="0"/>
              <w:rPr>
                <w:sz w:val="19"/>
                <w:szCs w:val="19"/>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w w:val="91"/>
              </w:rPr>
              <w:t>regarding the Base Call Option Transaction (Incorporated by reference to Exhibit 10.4 to the Company’s Form 8-K filed on June 15, 2011)</w:t>
            </w:r>
          </w:p>
        </w:tc>
      </w:tr>
    </w:tbl>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10.53</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Letter Agreement, dated June 9, 2011, between Deutsche Bank AG, London Branch and Integra LifeSciences Holdings Corporation, regarding</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the Base Warrant Transaction (Incorporated by reference to Exhibit 10.5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10.54</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Letter Agreement, dated June 9, 2011, between Royal Bank of Canada and Integra LifeSciences Holdings Corporation, regarding the Base</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Warrant Transaction (Incorporated by reference to Exhibit 10.6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10.55</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Letter Agreement, dated June 9, 2011, between The Royal Bank of Scotland plc and Integra LifeSciences Holdings Corporation, regarding the</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Base Warrant Transaction (Incorporated by reference to Exhibit 10.7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10.56</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Letter Agreement, dated June 9, 2011, between Wells Fargo Bank, National Association and Integra LifeSciences Holdings Corporation,</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regarding the Base Warrant Transaction (Incorporated by reference to Exhibit 10.8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10.57</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Letter Agreement, dated June 14, 2011, between Deutsche Bank AG, London Branch and Integra LifeSciences Holdings Corporation, regarding</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the Additional Call Option Transaction (Incorporated by reference to Exhibit 10.9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10.58</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Letter Agreement, dated June 14, 2011, between Royal Bank of Canada and Integra LifeSciences Holdings Corporation, regarding the Additional</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Call Option Transaction (Incorporated by reference to Exhibit 10.10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10.59</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 the</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Additional Call Option Transaction (Incorporated by reference to Exhibit 10.11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10.60</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regarding the Additional Call Option Transaction (Incorporated by reference to Exhibit 10.12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10.61</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Letter Agreement, dated June 14, 2011, between Deutsche Bank AG, London Branch and Integra LifeSciences Holdings Corporation, regarding</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8"/>
              </w:rPr>
              <w:t>the Additional Warrant Transaction (Incorporated by reference to Exhibit 10.13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10.62</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Letter Agreement, dated June 14, 2011, between Royal Bank of Canada and Integra LifeSciences Holdings Corporation, regarding the Additional</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Warrant Transaction (Incorporated by reference to Exhibit 10.14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10.63</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Letter Agreement, dated June 14, 2011, between The Royal Bank of Scotland plc and Integra LifeSciences Holdings Corporation, regarding the</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Additional Warrant Transaction (Incorporated by reference to Exhibit 10.15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10.64</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Letter Agreement, dated June 14, 2011, between Wells Fargo Bank, National Association and Integra LifeSciences Holdings Corporation,</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regarding the Additional Warrant Transaction (Incorporated by reference to Exhibit 10.16 to the Company’s Form 8-K filed on June 15,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10.65</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Unit Purchase Agreement, dated as of July 23, 2008, by and among Integra LifeSciences Holdings Corporation, Theken Spine LLC, Randall R.</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Theken and the other members of Theken Spine, LLC party thereto (Incorporated by reference to Exhibit 10.1 to the Company’s Current Report</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on Form 8-K filed on July 24, 2008)</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10.66</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Indemnification Agreement for Non-Employee Directors and Officers (Incorporated by reference to Exhibit 10.1 to the Company’s</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Current Report on Form 8-K filed on December 24, 2008)*</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10.67</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Piggyback Registration Rights Agreement dated December 22, 2008 between Integra LifeSciences Holdings Corporation and George Heenan,</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Thomas Gilliam and Michael Evers, as trustees of The Bruce A. LeVahn 2008 Trust and Steven M. LeVahn (Incorporated by reference to Exhibit</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10.1 to the Company’s Current Report on Form 8-K filed on December 29, 2008)</w:t>
            </w:r>
          </w:p>
        </w:tc>
      </w:tr>
    </w:tbl>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100"/>
              <w:spacing w:after="0"/>
              <w:rPr>
                <w:sz w:val="20"/>
                <w:szCs w:val="20"/>
                <w:color w:val="auto"/>
              </w:rPr>
            </w:pPr>
            <w:r>
              <w:rPr>
                <w:rFonts w:ascii="Arial" w:cs="Arial" w:eastAsia="Arial" w:hAnsi="Arial"/>
                <w:sz w:val="18"/>
                <w:szCs w:val="18"/>
                <w:color w:val="auto"/>
              </w:rPr>
              <w:t>10.68(a)</w:t>
            </w:r>
          </w:p>
        </w:tc>
        <w:tc>
          <w:tcPr>
            <w:tcW w:w="10200" w:type="dxa"/>
            <w:vAlign w:val="bottom"/>
          </w:tcPr>
          <w:p>
            <w:pPr>
              <w:ind w:left="340"/>
              <w:spacing w:after="0"/>
              <w:rPr>
                <w:sz w:val="20"/>
                <w:szCs w:val="20"/>
                <w:color w:val="auto"/>
              </w:rPr>
            </w:pPr>
            <w:r>
              <w:rPr>
                <w:rFonts w:ascii="Arial" w:cs="Arial" w:eastAsia="Arial" w:hAnsi="Arial"/>
                <w:sz w:val="18"/>
                <w:szCs w:val="18"/>
                <w:color w:val="auto"/>
                <w:w w:val="88"/>
              </w:rPr>
              <w:t>Lease Agreement between 109 Morgan Lane, LLC and Integra LifeSciences Corporation, dated May 15, 2008 (Incorporated by reference to</w:t>
            </w:r>
          </w:p>
        </w:tc>
      </w:tr>
      <w:tr>
        <w:trPr>
          <w:trHeight w:val="222"/>
        </w:trPr>
        <w:tc>
          <w:tcPr>
            <w:tcW w:w="1040" w:type="dxa"/>
            <w:vAlign w:val="bottom"/>
          </w:tcPr>
          <w:p>
            <w:pPr>
              <w:spacing w:after="0"/>
              <w:rPr>
                <w:sz w:val="19"/>
                <w:szCs w:val="19"/>
                <w:color w:val="auto"/>
              </w:rPr>
            </w:pPr>
          </w:p>
        </w:tc>
        <w:tc>
          <w:tcPr>
            <w:tcW w:w="10200" w:type="dxa"/>
            <w:vAlign w:val="bottom"/>
          </w:tcPr>
          <w:p>
            <w:pPr>
              <w:ind w:left="340"/>
              <w:spacing w:after="0"/>
              <w:rPr>
                <w:sz w:val="20"/>
                <w:szCs w:val="20"/>
                <w:color w:val="auto"/>
              </w:rPr>
            </w:pPr>
            <w:r>
              <w:rPr>
                <w:rFonts w:ascii="Arial" w:cs="Arial" w:eastAsia="Arial" w:hAnsi="Arial"/>
                <w:sz w:val="18"/>
                <w:szCs w:val="18"/>
                <w:color w:val="auto"/>
              </w:rPr>
              <w:t>Exhibit 10.10 to the Company’s Quarterly Report on Form 10-Q for the quarter ended June 30, 2008)</w:t>
            </w: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10.68(b)</w:t>
            </w:r>
          </w:p>
        </w:tc>
        <w:tc>
          <w:tcPr>
            <w:tcW w:w="10200" w:type="dxa"/>
            <w:vAlign w:val="bottom"/>
          </w:tcPr>
          <w:p>
            <w:pPr>
              <w:ind w:left="340"/>
              <w:spacing w:after="0"/>
              <w:rPr>
                <w:sz w:val="20"/>
                <w:szCs w:val="20"/>
                <w:color w:val="auto"/>
              </w:rPr>
            </w:pPr>
            <w:r>
              <w:rPr>
                <w:rFonts w:ascii="Arial" w:cs="Arial" w:eastAsia="Arial" w:hAnsi="Arial"/>
                <w:sz w:val="18"/>
                <w:szCs w:val="18"/>
                <w:color w:val="auto"/>
                <w:w w:val="94"/>
              </w:rPr>
              <w:t>First Amendment to Lease Agreement between 109 Morgan Lane, LLC and Integra LifeSciences Corporation, dated March 9, 2009</w:t>
            </w:r>
          </w:p>
        </w:tc>
      </w:tr>
      <w:tr>
        <w:trPr>
          <w:trHeight w:val="222"/>
        </w:trPr>
        <w:tc>
          <w:tcPr>
            <w:tcW w:w="1040" w:type="dxa"/>
            <w:vAlign w:val="bottom"/>
          </w:tcPr>
          <w:p>
            <w:pPr>
              <w:spacing w:after="0"/>
              <w:rPr>
                <w:sz w:val="19"/>
                <w:szCs w:val="19"/>
                <w:color w:val="auto"/>
              </w:rPr>
            </w:pPr>
          </w:p>
        </w:tc>
        <w:tc>
          <w:tcPr>
            <w:tcW w:w="102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10.9 to the Company’s Quarterly Report on Form 10-Q for the quarter ended March 31, 2009)</w:t>
            </w:r>
          </w:p>
        </w:tc>
      </w:tr>
      <w:tr>
        <w:trPr>
          <w:trHeight w:val="324"/>
        </w:trPr>
        <w:tc>
          <w:tcPr>
            <w:tcW w:w="1040" w:type="dxa"/>
            <w:vAlign w:val="bottom"/>
          </w:tcPr>
          <w:p>
            <w:pPr>
              <w:ind w:left="100"/>
              <w:spacing w:after="0"/>
              <w:rPr>
                <w:sz w:val="20"/>
                <w:szCs w:val="20"/>
                <w:color w:val="auto"/>
              </w:rPr>
            </w:pPr>
            <w:r>
              <w:rPr>
                <w:rFonts w:ascii="Arial" w:cs="Arial" w:eastAsia="Arial" w:hAnsi="Arial"/>
                <w:sz w:val="18"/>
                <w:szCs w:val="18"/>
                <w:color w:val="auto"/>
              </w:rPr>
              <w:t>21</w:t>
            </w:r>
          </w:p>
        </w:tc>
        <w:tc>
          <w:tcPr>
            <w:tcW w:w="10200" w:type="dxa"/>
            <w:vAlign w:val="bottom"/>
          </w:tcPr>
          <w:p>
            <w:pPr>
              <w:ind w:left="34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1040" w:type="dxa"/>
            <w:vAlign w:val="bottom"/>
          </w:tcPr>
          <w:p>
            <w:pPr>
              <w:ind w:left="100"/>
              <w:spacing w:after="0"/>
              <w:rPr>
                <w:sz w:val="20"/>
                <w:szCs w:val="20"/>
                <w:color w:val="auto"/>
              </w:rPr>
            </w:pPr>
            <w:r>
              <w:rPr>
                <w:rFonts w:ascii="Arial" w:cs="Arial" w:eastAsia="Arial" w:hAnsi="Arial"/>
                <w:sz w:val="18"/>
                <w:szCs w:val="18"/>
                <w:color w:val="auto"/>
              </w:rPr>
              <w:t>23</w:t>
            </w:r>
          </w:p>
        </w:tc>
        <w:tc>
          <w:tcPr>
            <w:tcW w:w="10200" w:type="dxa"/>
            <w:vAlign w:val="bottom"/>
          </w:tcPr>
          <w:p>
            <w:pPr>
              <w:ind w:left="340"/>
              <w:spacing w:after="0"/>
              <w:rPr>
                <w:sz w:val="20"/>
                <w:szCs w:val="20"/>
                <w:color w:val="auto"/>
              </w:rPr>
            </w:pPr>
            <w:r>
              <w:rPr>
                <w:rFonts w:ascii="Arial" w:cs="Arial" w:eastAsia="Arial" w:hAnsi="Arial"/>
                <w:sz w:val="18"/>
                <w:szCs w:val="18"/>
                <w:color w:val="auto"/>
              </w:rPr>
              <w:t>Consent of Pricewaterhouse Coopers LLP+</w:t>
            </w:r>
          </w:p>
        </w:tc>
      </w:tr>
      <w:tr>
        <w:trPr>
          <w:trHeight w:val="324"/>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10200" w:type="dxa"/>
            <w:vAlign w:val="bottom"/>
          </w:tcPr>
          <w:p>
            <w:pPr>
              <w:ind w:left="3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200" w:type="dxa"/>
            <w:vAlign w:val="bottom"/>
          </w:tcPr>
          <w:p>
            <w:pPr>
              <w:ind w:left="3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10200" w:type="dxa"/>
            <w:vAlign w:val="bottom"/>
          </w:tcPr>
          <w:p>
            <w:pPr>
              <w:ind w:left="3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324"/>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200" w:type="dxa"/>
            <w:vAlign w:val="bottom"/>
          </w:tcPr>
          <w:p>
            <w:pPr>
              <w:ind w:left="3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99.1</w:t>
            </w:r>
          </w:p>
        </w:tc>
        <w:tc>
          <w:tcPr>
            <w:tcW w:w="10200" w:type="dxa"/>
            <w:vAlign w:val="bottom"/>
          </w:tcPr>
          <w:p>
            <w:pPr>
              <w:ind w:left="340"/>
              <w:spacing w:after="0"/>
              <w:rPr>
                <w:sz w:val="20"/>
                <w:szCs w:val="20"/>
                <w:color w:val="auto"/>
              </w:rPr>
            </w:pPr>
            <w:r>
              <w:rPr>
                <w:rFonts w:ascii="Arial" w:cs="Arial" w:eastAsia="Arial" w:hAnsi="Arial"/>
                <w:sz w:val="18"/>
                <w:szCs w:val="18"/>
                <w:color w:val="auto"/>
                <w:w w:val="89"/>
              </w:rPr>
              <w:t>Letter, dated December 21, 2011, from the United States Federal Drug Administration to Integra LifeSciences Corporation (Incorporated by</w:t>
            </w:r>
          </w:p>
        </w:tc>
      </w:tr>
      <w:tr>
        <w:trPr>
          <w:trHeight w:val="222"/>
        </w:trPr>
        <w:tc>
          <w:tcPr>
            <w:tcW w:w="1040" w:type="dxa"/>
            <w:vAlign w:val="bottom"/>
          </w:tcPr>
          <w:p>
            <w:pPr>
              <w:spacing w:after="0"/>
              <w:rPr>
                <w:sz w:val="19"/>
                <w:szCs w:val="19"/>
                <w:color w:val="auto"/>
              </w:rPr>
            </w:pPr>
          </w:p>
        </w:tc>
        <w:tc>
          <w:tcPr>
            <w:tcW w:w="10200" w:type="dxa"/>
            <w:vAlign w:val="bottom"/>
          </w:tcPr>
          <w:p>
            <w:pPr>
              <w:ind w:left="340"/>
              <w:spacing w:after="0"/>
              <w:rPr>
                <w:sz w:val="20"/>
                <w:szCs w:val="20"/>
                <w:color w:val="auto"/>
              </w:rPr>
            </w:pPr>
            <w:r>
              <w:rPr>
                <w:rFonts w:ascii="Arial" w:cs="Arial" w:eastAsia="Arial" w:hAnsi="Arial"/>
                <w:sz w:val="18"/>
                <w:szCs w:val="18"/>
                <w:color w:val="auto"/>
              </w:rPr>
              <w:t>reference to Exhibit 99.1 to the Company’s Current Report on Form 8-K filed on January 5, 2012)</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160" w:firstLine="8"/>
        <w:spacing w:after="0" w:line="286" w:lineRule="auto"/>
        <w:tabs>
          <w:tab w:leader="none" w:pos="2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 Indicates this document is filed as an exhibit herewith.</w:t>
      </w:r>
    </w:p>
    <w:p>
      <w:pPr>
        <w:ind w:left="220" w:hanging="216"/>
        <w:spacing w:after="0" w:line="281" w:lineRule="auto"/>
        <w:rPr>
          <w:rFonts w:ascii="Arial" w:cs="Arial" w:eastAsia="Arial" w:hAnsi="Arial"/>
          <w:sz w:val="16"/>
          <w:szCs w:val="16"/>
          <w:color w:val="auto"/>
        </w:rPr>
      </w:pPr>
      <w:r>
        <w:rPr>
          <w:rFonts w:ascii="Arial" w:cs="Arial" w:eastAsia="Arial" w:hAnsi="Arial"/>
          <w:sz w:val="16"/>
          <w:szCs w:val="16"/>
          <w:color w:val="auto"/>
        </w:rPr>
        <w:t># The financial information of Integra LifeSciences Holdings Corporation Annual Report on Form 10-K for the year ended December 31, 2011 filed on February 27, 2012 formatted in XBRL (Extensible Business Reporting Language): (i) the Consolidated Statements of Operations, (ii) the Consolidated Balance Sheets,</w:t>
      </w:r>
    </w:p>
    <w:p>
      <w:pPr>
        <w:spacing w:after="0" w:line="1" w:lineRule="exact"/>
        <w:rPr>
          <w:rFonts w:ascii="Arial" w:cs="Arial" w:eastAsia="Arial" w:hAnsi="Arial"/>
          <w:sz w:val="16"/>
          <w:szCs w:val="16"/>
          <w:color w:val="auto"/>
        </w:rPr>
      </w:pPr>
    </w:p>
    <w:p>
      <w:pPr>
        <w:ind w:left="220" w:right="280" w:firstLine="4"/>
        <w:spacing w:after="0" w:line="261" w:lineRule="auto"/>
        <w:tabs>
          <w:tab w:leader="none" w:pos="5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Parenthetical Data to the Consolidated Balance Sheets, (iv) the Consolidated Statements of Cash Flows, (v) the Consolidated Statements of Changes in Stockholders’ Equity, and (vi) Notes to Consolidated Financial Statements, is furnished electronically herewith.</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Commission File Number for Reports on Form 10-K, Form 10-Q and Form 8-K is 0-26224.</w:t>
      </w:r>
    </w:p>
    <w:p>
      <w:pPr>
        <w:sectPr>
          <w:pgSz w:w="11900" w:h="16838" w:orient="portrait"/>
          <w:cols w:equalWidth="0" w:num="1">
            <w:col w:w="11420"/>
          </w:cols>
          <w:pgMar w:left="240" w:top="459"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10.16(c)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SEVERANCE AGREEMENT</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THIS SEVERANCE AGREEMENT (this “Agreement”) is made as of the 3rd day of January, 2012 by and between Integra LifeSciences Holdings Corporation, a Delaware Corporation, and Judith E. O’Grady (“Executive”).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this Agreement is, in part, intended to specify the financial arrangements that the Company (as defined below) will provide to Executive upon Executive’s separation from employment with the Company in connection with or after a Change in Control (as defined below).</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agreements contained herein and intended to be legally bound hereby, the parties hereto agree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w:t>
      </w:r>
    </w:p>
    <w:p>
      <w:pPr>
        <w:spacing w:after="0" w:line="171" w:lineRule="exact"/>
        <w:rPr>
          <w:sz w:val="20"/>
          <w:szCs w:val="20"/>
          <w:color w:val="auto"/>
        </w:rPr>
      </w:pPr>
    </w:p>
    <w:p>
      <w:pPr>
        <w:ind w:right="340" w:firstLine="464"/>
        <w:spacing w:after="0" w:line="275"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words and phrases shall have the meanings set forth below for the purposes of this Agreement (unless the context clearly</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indicates otherwise):</w:t>
      </w:r>
    </w:p>
    <w:p>
      <w:pPr>
        <w:spacing w:after="0" w:line="44"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shall mean a minimum base salary of $275,000 per year, payable in periodic installments in accordance with the Company’s regular payroll practices in effect from time to time. Executive’s Base Salary shall be subject to annual reviews, and may increase pursuant to such reviews, in which case the increased annual Base Salary shall become the “Base Salary.”</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 or any successor thereto.</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as determined by the Board in good faith, shall mean Executive has —</w:t>
      </w:r>
    </w:p>
    <w:p>
      <w:pPr>
        <w:spacing w:after="0" w:line="90" w:lineRule="exact"/>
        <w:rPr>
          <w:rFonts w:ascii="Arial" w:cs="Arial" w:eastAsia="Arial" w:hAnsi="Arial"/>
          <w:sz w:val="18"/>
          <w:szCs w:val="18"/>
          <w:color w:val="auto"/>
        </w:rPr>
      </w:pPr>
    </w:p>
    <w:p>
      <w:pPr>
        <w:ind w:left="2380" w:right="140" w:hanging="441"/>
        <w:spacing w:after="0" w:line="268" w:lineRule="auto"/>
        <w:tabs>
          <w:tab w:leader="none" w:pos="23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failed to perform his stated duties in all material respects, which failure continues for 15 days after his receipt of written notice of the failure;</w:t>
      </w:r>
    </w:p>
    <w:p>
      <w:pPr>
        <w:spacing w:after="0" w:line="50" w:lineRule="exact"/>
        <w:rPr>
          <w:rFonts w:ascii="Arial" w:cs="Arial" w:eastAsia="Arial" w:hAnsi="Arial"/>
          <w:sz w:val="18"/>
          <w:szCs w:val="18"/>
          <w:color w:val="auto"/>
        </w:rPr>
      </w:pPr>
    </w:p>
    <w:p>
      <w:pPr>
        <w:ind w:left="2380" w:right="120" w:hanging="441"/>
        <w:spacing w:after="0" w:line="268" w:lineRule="auto"/>
        <w:tabs>
          <w:tab w:leader="none" w:pos="23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intentionally and materially breached any provision of this Agreement and not cured such breach (if curable) within 15 days of his receipt of written notice of the breach;</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demonstrated his personal dishonesty in connection with his employment by the Company;</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engaged in a breach of fiduciary duty in connection with his employment with the Company;</w:t>
      </w:r>
    </w:p>
    <w:p>
      <w:pPr>
        <w:sectPr>
          <w:pgSz w:w="11900" w:h="16838" w:orient="portrait"/>
          <w:cols w:equalWidth="0" w:num="1">
            <w:col w:w="11420"/>
          </w:cols>
          <w:pgMar w:left="240" w:top="125" w:right="239" w:bottom="1440" w:gutter="0" w:footer="0" w:header="0"/>
        </w:sectPr>
      </w:pPr>
    </w:p>
    <w:bookmarkStart w:id="125" w:name="page126"/>
    <w:bookmarkEnd w:id="125"/>
    <w:p>
      <w:pPr>
        <w:ind w:left="1467" w:hanging="441"/>
        <w:spacing w:after="0"/>
        <w:tabs>
          <w:tab w:leader="none" w:pos="1467"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engaged in willful misconduct that is materially and demonstrably injurious to the Company or any of its subsidiaries; or</w:t>
      </w:r>
    </w:p>
    <w:p>
      <w:pPr>
        <w:spacing w:after="0" w:line="113" w:lineRule="exact"/>
        <w:rPr>
          <w:rFonts w:ascii="Arial" w:cs="Arial" w:eastAsia="Arial" w:hAnsi="Arial"/>
          <w:sz w:val="16"/>
          <w:szCs w:val="16"/>
          <w:color w:val="auto"/>
        </w:rPr>
      </w:pPr>
    </w:p>
    <w:p>
      <w:pPr>
        <w:ind w:left="1467" w:right="120" w:hanging="441"/>
        <w:spacing w:after="0" w:line="332" w:lineRule="auto"/>
        <w:tabs>
          <w:tab w:leader="none" w:pos="1467"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been convicted or entered a plea of guilty or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 felony or to any other crime involving moral turpitude which conviction or plea is materially and demonstrably injurious to the Company or any of its subsidiaries.</w:t>
      </w:r>
    </w:p>
    <w:p>
      <w:pPr>
        <w:spacing w:after="0" w:line="4" w:lineRule="exact"/>
        <w:rPr>
          <w:rFonts w:ascii="Arial" w:cs="Arial" w:eastAsia="Arial" w:hAnsi="Arial"/>
          <w:sz w:val="16"/>
          <w:szCs w:val="16"/>
          <w:color w:val="auto"/>
        </w:rPr>
      </w:pPr>
    </w:p>
    <w:p>
      <w:pPr>
        <w:ind w:left="567" w:hanging="567"/>
        <w:spacing w:after="0"/>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of the Company shall be deemed to have occurred:</w:t>
      </w:r>
    </w:p>
    <w:p>
      <w:pPr>
        <w:spacing w:after="0" w:line="90" w:lineRule="exact"/>
        <w:rPr>
          <w:rFonts w:ascii="Arial" w:cs="Arial" w:eastAsia="Arial" w:hAnsi="Arial"/>
          <w:sz w:val="18"/>
          <w:szCs w:val="18"/>
          <w:color w:val="auto"/>
        </w:rPr>
      </w:pPr>
    </w:p>
    <w:p>
      <w:pPr>
        <w:ind w:left="1467" w:right="40" w:hanging="441"/>
        <w:spacing w:after="0" w:line="288" w:lineRule="auto"/>
        <w:tabs>
          <w:tab w:leader="none" w:pos="1467"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acquisition from the Company or any acquisition pursuant to a transaction which complies with clauses (i), (ii) and (iii) of paragraph (3) of this definition shall not be a Change in Control under this paragraph (1); or</w:t>
      </w:r>
    </w:p>
    <w:p>
      <w:pPr>
        <w:spacing w:after="0" w:line="38" w:lineRule="exact"/>
        <w:rPr>
          <w:rFonts w:ascii="Arial" w:cs="Arial" w:eastAsia="Arial" w:hAnsi="Arial"/>
          <w:sz w:val="16"/>
          <w:szCs w:val="16"/>
          <w:color w:val="auto"/>
        </w:rPr>
      </w:pPr>
    </w:p>
    <w:p>
      <w:pPr>
        <w:ind w:left="1467" w:hanging="441"/>
        <w:spacing w:after="0" w:line="290" w:lineRule="auto"/>
        <w:tabs>
          <w:tab w:leader="none" w:pos="1467"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5"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7"/>
          </w:cols>
          <w:pgMar w:left="1153" w:top="280" w:right="259" w:bottom="1440" w:gutter="0" w:footer="0" w:header="0"/>
        </w:sectPr>
      </w:pPr>
    </w:p>
    <w:bookmarkStart w:id="126" w:name="page127"/>
    <w:bookmarkEnd w:id="126"/>
    <w:p>
      <w:pPr>
        <w:ind w:left="1467" w:hanging="441"/>
        <w:spacing w:after="0" w:line="285" w:lineRule="auto"/>
        <w:tabs>
          <w:tab w:leader="none" w:pos="1467" w:val="left"/>
        </w:tabs>
        <w:numPr>
          <w:ilvl w:val="1"/>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consummation by the Company of a reorganization, merger or consolidation or sale or other disposition of all or substantially all of the assets of the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 (x)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the Company or all or substantially all of the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40" w:lineRule="exact"/>
        <w:rPr>
          <w:rFonts w:ascii="Arial" w:cs="Arial" w:eastAsia="Arial" w:hAnsi="Arial"/>
          <w:sz w:val="16"/>
          <w:szCs w:val="16"/>
          <w:color w:val="auto"/>
        </w:rPr>
      </w:pPr>
    </w:p>
    <w:p>
      <w:pPr>
        <w:ind w:left="1467" w:hanging="441"/>
        <w:spacing w:after="0"/>
        <w:tabs>
          <w:tab w:leader="none" w:pos="1467" w:val="left"/>
        </w:tabs>
        <w:numPr>
          <w:ilvl w:val="1"/>
          <w:numId w:val="41"/>
        </w:numPr>
        <w:rPr>
          <w:rFonts w:ascii="Arial" w:cs="Arial" w:eastAsia="Arial" w:hAnsi="Arial"/>
          <w:sz w:val="18"/>
          <w:szCs w:val="18"/>
          <w:color w:val="auto"/>
        </w:rPr>
      </w:pPr>
      <w:r>
        <w:rPr>
          <w:rFonts w:ascii="Arial" w:cs="Arial" w:eastAsia="Arial" w:hAnsi="Arial"/>
          <w:sz w:val="18"/>
          <w:szCs w:val="18"/>
          <w:color w:val="auto"/>
        </w:rPr>
        <w:t>upon approval by the stockholders of the Company of a complete liquidation or dissolution of the Company.</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5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7"/>
          </w:cols>
          <w:pgMar w:left="1153" w:top="280" w:right="359" w:bottom="1440" w:gutter="0" w:footer="0" w:header="0"/>
        </w:sectPr>
      </w:pPr>
    </w:p>
    <w:bookmarkStart w:id="127" w:name="page128"/>
    <w:bookmarkEnd w:id="127"/>
    <w:p>
      <w:pPr>
        <w:ind w:left="567" w:right="540" w:hanging="567"/>
        <w:spacing w:after="0" w:line="268" w:lineRule="auto"/>
        <w:tabs>
          <w:tab w:leader="none" w:pos="567"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Integra LifeSciences Holdings Corporation and any corporation, partnership or other entity owned directly or indirectly, in whole or in part, by Integra LifeSciences Holdings Corporation.</w:t>
      </w:r>
    </w:p>
    <w:p>
      <w:pPr>
        <w:spacing w:after="0" w:line="50" w:lineRule="exact"/>
        <w:rPr>
          <w:rFonts w:ascii="Arial" w:cs="Arial" w:eastAsia="Arial" w:hAnsi="Arial"/>
          <w:sz w:val="18"/>
          <w:szCs w:val="18"/>
          <w:color w:val="auto"/>
        </w:rPr>
      </w:pPr>
    </w:p>
    <w:p>
      <w:pPr>
        <w:ind w:left="567" w:right="260" w:hanging="567"/>
        <w:spacing w:after="0" w:line="259" w:lineRule="auto"/>
        <w:tabs>
          <w:tab w:leader="none" w:pos="5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59" w:lineRule="exact"/>
        <w:rPr>
          <w:rFonts w:ascii="Arial" w:cs="Arial" w:eastAsia="Arial" w:hAnsi="Arial"/>
          <w:sz w:val="18"/>
          <w:szCs w:val="18"/>
          <w:color w:val="auto"/>
        </w:rPr>
      </w:pPr>
    </w:p>
    <w:p>
      <w:pPr>
        <w:ind w:left="567" w:hanging="567"/>
        <w:spacing w:after="0"/>
        <w:tabs>
          <w:tab w:leader="none" w:pos="5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w:t>
      </w:r>
    </w:p>
    <w:p>
      <w:pPr>
        <w:spacing w:after="0" w:line="90" w:lineRule="exact"/>
        <w:rPr>
          <w:rFonts w:ascii="Arial" w:cs="Arial" w:eastAsia="Arial" w:hAnsi="Arial"/>
          <w:sz w:val="18"/>
          <w:szCs w:val="18"/>
          <w:color w:val="auto"/>
        </w:rPr>
      </w:pPr>
    </w:p>
    <w:p>
      <w:pPr>
        <w:ind w:left="1467" w:hanging="441"/>
        <w:spacing w:after="0" w:line="268" w:lineRule="auto"/>
        <w:tabs>
          <w:tab w:leader="none" w:pos="146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which is not cured by the Company within 15 days of its receipt of written notice of the breach;</w:t>
      </w:r>
    </w:p>
    <w:p>
      <w:pPr>
        <w:spacing w:after="0" w:line="50" w:lineRule="exact"/>
        <w:rPr>
          <w:rFonts w:ascii="Arial" w:cs="Arial" w:eastAsia="Arial" w:hAnsi="Arial"/>
          <w:sz w:val="18"/>
          <w:szCs w:val="18"/>
          <w:color w:val="auto"/>
        </w:rPr>
      </w:pPr>
    </w:p>
    <w:p>
      <w:pPr>
        <w:ind w:left="1467" w:right="140" w:hanging="441"/>
        <w:spacing w:after="0" w:line="256" w:lineRule="auto"/>
        <w:tabs>
          <w:tab w:leader="none" w:pos="146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during the one-year period following a Change in Control, the relocation by the Company of Executive’s office to a location more than forty (40) miles from Princeton, New Jersey, or, where Executive’s office is located other than at the Company’s headquarters in Plainsboro, New Jersey, to a location more than forty (40) miles from the location of Executive’s office on the date hereof;</w:t>
      </w:r>
    </w:p>
    <w:p>
      <w:pPr>
        <w:spacing w:after="0" w:line="62" w:lineRule="exact"/>
        <w:rPr>
          <w:rFonts w:ascii="Arial" w:cs="Arial" w:eastAsia="Arial" w:hAnsi="Arial"/>
          <w:sz w:val="18"/>
          <w:szCs w:val="18"/>
          <w:color w:val="auto"/>
        </w:rPr>
      </w:pPr>
    </w:p>
    <w:p>
      <w:pPr>
        <w:ind w:left="1467" w:hanging="441"/>
        <w:spacing w:after="0"/>
        <w:tabs>
          <w:tab w:leader="none" w:pos="146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Company’s failure to obtain the assumption of this Agreement by any successor to the Company; or</w:t>
      </w:r>
    </w:p>
    <w:p>
      <w:pPr>
        <w:spacing w:after="0" w:line="90" w:lineRule="exact"/>
        <w:rPr>
          <w:rFonts w:ascii="Arial" w:cs="Arial" w:eastAsia="Arial" w:hAnsi="Arial"/>
          <w:sz w:val="18"/>
          <w:szCs w:val="18"/>
          <w:color w:val="auto"/>
        </w:rPr>
      </w:pPr>
    </w:p>
    <w:p>
      <w:pPr>
        <w:ind w:left="1467" w:hanging="441"/>
        <w:spacing w:after="0"/>
        <w:tabs>
          <w:tab w:leader="none" w:pos="1467" w:val="left"/>
        </w:tabs>
        <w:numPr>
          <w:ilvl w:val="1"/>
          <w:numId w:val="43"/>
        </w:numPr>
        <w:rPr>
          <w:rFonts w:ascii="Arial" w:cs="Arial" w:eastAsia="Arial" w:hAnsi="Arial"/>
          <w:sz w:val="16"/>
          <w:szCs w:val="16"/>
          <w:color w:val="auto"/>
        </w:rPr>
      </w:pPr>
      <w:r>
        <w:rPr>
          <w:rFonts w:ascii="Arial" w:cs="Arial" w:eastAsia="Arial" w:hAnsi="Arial"/>
          <w:sz w:val="16"/>
          <w:szCs w:val="16"/>
          <w:color w:val="auto"/>
        </w:rPr>
        <w:t>during the one-year period following a Change in Control, the Company, without Executive’s express written consent, effects:</w:t>
      </w:r>
    </w:p>
    <w:p>
      <w:pPr>
        <w:spacing w:after="0" w:line="38" w:lineRule="exact"/>
        <w:rPr>
          <w:rFonts w:ascii="Arial" w:cs="Arial" w:eastAsia="Arial" w:hAnsi="Arial"/>
          <w:sz w:val="16"/>
          <w:szCs w:val="16"/>
          <w:color w:val="auto"/>
        </w:rPr>
      </w:pPr>
    </w:p>
    <w:p>
      <w:pPr>
        <w:ind w:left="1467" w:right="320"/>
        <w:spacing w:after="0" w:line="302" w:lineRule="auto"/>
        <w:rPr>
          <w:rFonts w:ascii="Arial" w:cs="Arial" w:eastAsia="Arial" w:hAnsi="Arial"/>
          <w:sz w:val="16"/>
          <w:szCs w:val="16"/>
          <w:color w:val="auto"/>
        </w:rPr>
      </w:pPr>
      <w:r>
        <w:rPr>
          <w:rFonts w:ascii="Arial" w:cs="Arial" w:eastAsia="Arial" w:hAnsi="Arial"/>
          <w:sz w:val="16"/>
          <w:szCs w:val="16"/>
          <w:color w:val="auto"/>
        </w:rPr>
        <w:t>(i) a reduction in Executive’s Base Salary, bonus opportunity (if applicable) or the aggregate fringe benefits provided to Executive; or (ii) a substantial alteration of Executive’s authority and/or title or other substantial diminution in the nature or status of Executive’s responsibilities in a manner reasonably construed to constitute a demotion.</w:t>
      </w:r>
    </w:p>
    <w:p>
      <w:pPr>
        <w:spacing w:after="0" w:line="28" w:lineRule="exact"/>
        <w:rPr>
          <w:sz w:val="20"/>
          <w:szCs w:val="20"/>
          <w:color w:val="auto"/>
        </w:rPr>
      </w:pPr>
    </w:p>
    <w:p>
      <w:pPr>
        <w:ind w:left="587"/>
        <w:spacing w:after="0" w:line="294" w:lineRule="auto"/>
        <w:rPr>
          <w:sz w:val="20"/>
          <w:szCs w:val="20"/>
          <w:color w:val="auto"/>
        </w:rPr>
      </w:pPr>
      <w:r>
        <w:rPr>
          <w:rFonts w:ascii="Arial" w:cs="Arial" w:eastAsia="Arial" w:hAnsi="Arial"/>
          <w:sz w:val="16"/>
          <w:szCs w:val="16"/>
          <w:color w:val="auto"/>
        </w:rPr>
        <w:t>Notwithstanding the foregoing, Executive will not be deemed to have resigned for Good Reason unless (1) Executive provides the Company with written notice setting forth in reasonable detail the facts and circumstances claimed by Executive to constitute Good Reason within 60 days after the date of the occurrence of any event that Executive knows or should reasonably have known constitutes Good Reason for voluntary termination, (2) the Company fails to cure such acts or omissions within 30 days of its actual receipt of such notice, and (3) the effective date of Executive’s termination for Good Reason occurs no later than 30 days after the expiration of the cure period.</w:t>
      </w:r>
    </w:p>
    <w:p>
      <w:pPr>
        <w:spacing w:after="0" w:line="102"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7"/>
          </w:cols>
          <w:pgMar w:left="1153" w:top="280" w:right="279" w:bottom="1440" w:gutter="0" w:footer="0" w:header="0"/>
        </w:sectPr>
      </w:pPr>
    </w:p>
    <w:bookmarkStart w:id="128" w:name="page129"/>
    <w:bookmarkEnd w:id="128"/>
    <w:p>
      <w:pPr>
        <w:ind w:left="1440" w:hanging="567"/>
        <w:spacing w:after="0" w:line="268"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the termination of Executive’s employment with the Company in accordance with the retirement policies, including early retirement policies, generally applicable to the Company’s salaried employees.</w:t>
      </w:r>
    </w:p>
    <w:p>
      <w:pPr>
        <w:spacing w:after="0" w:line="50" w:lineRule="exact"/>
        <w:rPr>
          <w:rFonts w:ascii="Arial" w:cs="Arial" w:eastAsia="Arial" w:hAnsi="Arial"/>
          <w:sz w:val="18"/>
          <w:szCs w:val="18"/>
          <w:color w:val="auto"/>
        </w:rPr>
      </w:pPr>
    </w:p>
    <w:p>
      <w:pPr>
        <w:ind w:left="1440" w:hanging="567"/>
        <w:spacing w:after="0"/>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2 hereof.</w:t>
      </w:r>
    </w:p>
    <w:p>
      <w:pPr>
        <w:spacing w:after="0" w:line="90" w:lineRule="exact"/>
        <w:rPr>
          <w:rFonts w:ascii="Arial" w:cs="Arial" w:eastAsia="Arial" w:hAnsi="Arial"/>
          <w:sz w:val="18"/>
          <w:szCs w:val="18"/>
          <w:color w:val="auto"/>
        </w:rPr>
      </w:pPr>
    </w:p>
    <w:p>
      <w:pPr>
        <w:ind w:left="1440" w:right="280" w:hanging="567"/>
        <w:spacing w:after="0" w:line="268" w:lineRule="auto"/>
        <w:tabs>
          <w:tab w:leader="none" w:pos="14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date on which Executive’s employment with the Company terminates, as specified in the Termination Notice.</w:t>
      </w:r>
    </w:p>
    <w:p>
      <w:pPr>
        <w:spacing w:after="0" w:line="50" w:lineRule="exact"/>
        <w:rPr>
          <w:rFonts w:ascii="Arial" w:cs="Arial" w:eastAsia="Arial" w:hAnsi="Arial"/>
          <w:sz w:val="18"/>
          <w:szCs w:val="18"/>
          <w:color w:val="auto"/>
        </w:rPr>
      </w:pPr>
    </w:p>
    <w:p>
      <w:pPr>
        <w:ind w:left="1440" w:hanging="567"/>
        <w:spacing w:after="0"/>
        <w:tabs>
          <w:tab w:leader="none" w:pos="14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Notice</w:t>
      </w:r>
      <w:r>
        <w:rPr>
          <w:rFonts w:ascii="Arial" w:cs="Arial" w:eastAsia="Arial" w:hAnsi="Arial"/>
          <w:sz w:val="16"/>
          <w:szCs w:val="16"/>
          <w:color w:val="auto"/>
        </w:rPr>
        <w:t>” shall mean a dated notice which: (i) indicates the specific termination provision in this Agreement relied upon (if any);</w:t>
      </w:r>
    </w:p>
    <w:p>
      <w:pPr>
        <w:spacing w:after="0" w:line="38" w:lineRule="exact"/>
        <w:rPr>
          <w:rFonts w:ascii="Arial" w:cs="Arial" w:eastAsia="Arial" w:hAnsi="Arial"/>
          <w:sz w:val="16"/>
          <w:szCs w:val="16"/>
          <w:color w:val="auto"/>
        </w:rPr>
      </w:pPr>
    </w:p>
    <w:p>
      <w:pPr>
        <w:ind w:left="1440" w:right="400"/>
        <w:spacing w:after="0" w:line="323" w:lineRule="auto"/>
        <w:tabs>
          <w:tab w:leader="none" w:pos="1698" w:val="left"/>
        </w:tabs>
        <w:numPr>
          <w:ilvl w:val="2"/>
          <w:numId w:val="44"/>
        </w:numPr>
        <w:rPr>
          <w:rFonts w:ascii="Arial" w:cs="Arial" w:eastAsia="Arial" w:hAnsi="Arial"/>
          <w:sz w:val="16"/>
          <w:szCs w:val="16"/>
          <w:color w:val="auto"/>
        </w:rPr>
      </w:pPr>
      <w:r>
        <w:rPr>
          <w:rFonts w:ascii="Arial" w:cs="Arial" w:eastAsia="Arial" w:hAnsi="Arial"/>
          <w:sz w:val="16"/>
          <w:szCs w:val="16"/>
          <w:color w:val="auto"/>
        </w:rPr>
        <w:t>sets forth in reasonable detail the facts and circumstances claimed to provide a basis for the termination of Executive’s employment under such provision; (iii) specifies a Termination Date; and (iv) is given in the manner specified in Section 16(i).</w:t>
      </w:r>
    </w:p>
    <w:p>
      <w:pPr>
        <w:spacing w:after="0" w:line="86" w:lineRule="exact"/>
        <w:rPr>
          <w:rFonts w:ascii="Arial" w:cs="Arial" w:eastAsia="Arial" w:hAnsi="Arial"/>
          <w:sz w:val="16"/>
          <w:szCs w:val="16"/>
          <w:color w:val="auto"/>
        </w:rPr>
      </w:pPr>
    </w:p>
    <w:p>
      <w:pPr>
        <w:jc w:val="both"/>
        <w:ind w:left="-40" w:right="40" w:firstLine="464"/>
        <w:spacing w:after="0" w:line="258" w:lineRule="auto"/>
        <w:tabs>
          <w:tab w:leader="none" w:pos="592"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shall commence on the date hereof as first written above and shall terminate on December 31, 2012</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provided, that, notwithstanding any decision of the Company not to extend this Agreement, this Agreement shall continue in effect for a period of 12 months beyond the date on which a Change in Control occurs if a Change in Control shall have occurred during the Term and while Executive is employed by the Company.</w:t>
      </w:r>
    </w:p>
    <w:p>
      <w:pPr>
        <w:spacing w:after="0" w:line="136" w:lineRule="exact"/>
        <w:rPr>
          <w:rFonts w:ascii="Arial" w:cs="Arial" w:eastAsia="Arial" w:hAnsi="Arial"/>
          <w:sz w:val="18"/>
          <w:szCs w:val="18"/>
          <w:color w:val="auto"/>
        </w:rPr>
      </w:pPr>
    </w:p>
    <w:p>
      <w:pPr>
        <w:ind w:left="600" w:hanging="176"/>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1440" w:right="400" w:hanging="567"/>
        <w:spacing w:after="0" w:line="256" w:lineRule="auto"/>
        <w:tabs>
          <w:tab w:leader="none" w:pos="144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Prior to a Change in Control</w:t>
      </w:r>
      <w:r>
        <w:rPr>
          <w:rFonts w:ascii="Arial" w:cs="Arial" w:eastAsia="Arial" w:hAnsi="Arial"/>
          <w:sz w:val="18"/>
          <w:szCs w:val="18"/>
          <w:color w:val="auto"/>
        </w:rPr>
        <w:t>. Executive’s rights upon termination of employment prior to a Change in Control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2" w:lineRule="exact"/>
        <w:rPr>
          <w:rFonts w:ascii="Arial" w:cs="Arial" w:eastAsia="Arial" w:hAnsi="Arial"/>
          <w:sz w:val="18"/>
          <w:szCs w:val="18"/>
          <w:color w:val="auto"/>
        </w:rPr>
      </w:pPr>
    </w:p>
    <w:p>
      <w:pPr>
        <w:ind w:left="1440" w:hanging="567"/>
        <w:spacing w:after="0"/>
        <w:tabs>
          <w:tab w:leader="none" w:pos="144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After a Change in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880" w:right="200" w:hanging="440"/>
        <w:spacing w:after="0" w:line="332" w:lineRule="auto"/>
        <w:tabs>
          <w:tab w:leader="none" w:pos="1880" w:val="left"/>
        </w:tabs>
        <w:numPr>
          <w:ilvl w:val="2"/>
          <w:numId w:val="45"/>
        </w:numPr>
        <w:rPr>
          <w:rFonts w:ascii="Arial" w:cs="Arial" w:eastAsia="Arial" w:hAnsi="Arial"/>
          <w:sz w:val="16"/>
          <w:szCs w:val="16"/>
          <w:color w:val="auto"/>
        </w:rPr>
      </w:pPr>
      <w:r>
        <w:rPr>
          <w:rFonts w:ascii="Arial" w:cs="Arial" w:eastAsia="Arial" w:hAnsi="Arial"/>
          <w:sz w:val="16"/>
          <w:szCs w:val="16"/>
          <w:color w:val="auto"/>
        </w:rPr>
        <w:t>From and after the date of a Change in Control during the Term, the Company shall not terminate Executive from employment with the Company except as provided in this Section 3(b) or as a result of Executive’s Disability, Retirement or death.</w:t>
      </w:r>
    </w:p>
    <w:p>
      <w:pPr>
        <w:spacing w:after="0" w:line="4" w:lineRule="exact"/>
        <w:rPr>
          <w:rFonts w:ascii="Arial" w:cs="Arial" w:eastAsia="Arial" w:hAnsi="Arial"/>
          <w:sz w:val="16"/>
          <w:szCs w:val="16"/>
          <w:color w:val="auto"/>
        </w:rPr>
      </w:pPr>
    </w:p>
    <w:p>
      <w:pPr>
        <w:ind w:left="1880" w:hanging="440"/>
        <w:spacing w:after="0" w:line="259" w:lineRule="auto"/>
        <w:tabs>
          <w:tab w:leader="none" w:pos="18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From and after the date of a Change in Control during the Term, the Company shall have the right to terminate Executive from employment with the Company at any time during the Term for Cause, by written notice to Executive, specifying the particulars of the conduct of Executive forming the basis for such 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129" w:name="page130"/>
    <w:bookmarkEnd w:id="129"/>
    <w:p>
      <w:pPr>
        <w:ind w:left="1460" w:right="240" w:hanging="440"/>
        <w:spacing w:after="0" w:line="259" w:lineRule="auto"/>
        <w:tabs>
          <w:tab w:leader="none" w:pos="1460" w:val="left"/>
        </w:tabs>
        <w:numPr>
          <w:ilvl w:val="2"/>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and after the date of a Change in Control during the Term, subject to Section 4 below: (x) the Company shall have the right to terminate Executive’s employment without Cause, at any time; and (y) Executive shall have the right to voluntarily terminate his employment for Good Reason.</w:t>
      </w:r>
    </w:p>
    <w:p>
      <w:pPr>
        <w:spacing w:after="0" w:line="134" w:lineRule="exact"/>
        <w:rPr>
          <w:rFonts w:ascii="Arial" w:cs="Arial" w:eastAsia="Arial" w:hAnsi="Arial"/>
          <w:sz w:val="18"/>
          <w:szCs w:val="18"/>
          <w:color w:val="auto"/>
        </w:rPr>
      </w:pPr>
    </w:p>
    <w:p>
      <w:pPr>
        <w:ind w:left="180" w:hanging="176"/>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 of Employment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1020" w:hanging="567"/>
        <w:spacing w:after="0"/>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As consideration for the restrictive covenants contained in Section 5, in the event that within twelve months of a Change in Control</w:t>
      </w:r>
    </w:p>
    <w:p>
      <w:pPr>
        <w:spacing w:after="0" w:line="38" w:lineRule="exact"/>
        <w:rPr>
          <w:rFonts w:ascii="Arial" w:cs="Arial" w:eastAsia="Arial" w:hAnsi="Arial"/>
          <w:sz w:val="16"/>
          <w:szCs w:val="16"/>
          <w:color w:val="auto"/>
        </w:rPr>
      </w:pPr>
    </w:p>
    <w:p>
      <w:pPr>
        <w:ind w:left="1020" w:right="120"/>
        <w:spacing w:after="0" w:line="261" w:lineRule="auto"/>
        <w:tabs>
          <w:tab w:leader="none" w:pos="1230" w:val="left"/>
        </w:tabs>
        <w:numPr>
          <w:ilvl w:val="2"/>
          <w:numId w:val="47"/>
        </w:numPr>
        <w:rPr>
          <w:rFonts w:ascii="Arial" w:cs="Arial" w:eastAsia="Arial" w:hAnsi="Arial"/>
          <w:sz w:val="18"/>
          <w:szCs w:val="18"/>
          <w:color w:val="auto"/>
        </w:rPr>
      </w:pPr>
      <w:r>
        <w:rPr>
          <w:rFonts w:ascii="Arial" w:cs="Arial" w:eastAsia="Arial" w:hAnsi="Arial"/>
          <w:sz w:val="18"/>
          <w:szCs w:val="18"/>
          <w:color w:val="auto"/>
        </w:rPr>
        <w:t>Executive terminates his employment for Good Reason, or (ii) Executive’s employment is terminated by the Company for a reason other than Retirement, Disability, death or Cause, then the Company shall:</w:t>
      </w:r>
    </w:p>
    <w:p>
      <w:pPr>
        <w:spacing w:after="0" w:line="57" w:lineRule="exact"/>
        <w:rPr>
          <w:sz w:val="20"/>
          <w:szCs w:val="20"/>
          <w:color w:val="auto"/>
        </w:rPr>
      </w:pPr>
    </w:p>
    <w:p>
      <w:pPr>
        <w:ind w:left="1460" w:right="220" w:hanging="440"/>
        <w:spacing w:after="0" w:line="259"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Executive a lump-sum severance amount equal to Executive’s annual Base Salary (determined without regard to any reduction that would give rise to Good Reason) as of his last day of active employment; the severance amount shall be paid in a single sum on the first business day of the month following the Termination Date; and</w:t>
      </w:r>
    </w:p>
    <w:p>
      <w:pPr>
        <w:spacing w:after="0" w:line="59" w:lineRule="exact"/>
        <w:rPr>
          <w:rFonts w:ascii="Arial" w:cs="Arial" w:eastAsia="Arial" w:hAnsi="Arial"/>
          <w:sz w:val="18"/>
          <w:szCs w:val="18"/>
          <w:color w:val="auto"/>
        </w:rPr>
      </w:pPr>
    </w:p>
    <w:p>
      <w:pPr>
        <w:ind w:left="1460" w:hanging="440"/>
        <w:spacing w:after="0" w:line="287" w:lineRule="auto"/>
        <w:tabs>
          <w:tab w:leader="none" w:pos="1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maintain and provide to Executive, for a period commencing on the Termination Date and ending on the earlier of (A) the end of the twelfth month after the Termination Date, or (B) Executive’s death, continued health coverage in the plan in which Executive was participating immediately prior to the Termination Date; provided that the continuation of such coverage is not prohibited by the terms of the plan or by the Company for legal reasons; and provided further, that in order to receive such continued coverage, Executive shall be required to pay to the Company at the same time that premium payments are due for the month an amount equal to the full monthly premium payments required to pay for such coverage and the Company shall reimburse to Executive the amount of such monthly premium, less the amount that Executive was required to pay for such coverage immediately prior to the Termination Date (the “Health Payment”), no later than the next payroll date of the Company that occurs after the date the premium for the month is paid by Executive</w:t>
      </w:r>
      <w:r>
        <w:rPr>
          <w:rFonts w:ascii="Arial" w:cs="Arial" w:eastAsia="Arial" w:hAnsi="Arial"/>
          <w:sz w:val="16"/>
          <w:szCs w:val="16"/>
          <w:b w:val="1"/>
          <w:bCs w:val="1"/>
          <w:color w:val="auto"/>
        </w:rPr>
        <w:t>.</w:t>
      </w:r>
      <w:r>
        <w:rPr>
          <w:rFonts w:ascii="Arial" w:cs="Arial" w:eastAsia="Arial" w:hAnsi="Arial"/>
          <w:sz w:val="16"/>
          <w:szCs w:val="16"/>
          <w:color w:val="auto"/>
        </w:rPr>
        <w:t xml:space="preserve"> To the extent not otherwise exempt from Section 409A of the Code, the Health Payment shall be reimbursed to Executive in a manner that complies with the requirements of Treas. Reg. §1.409A-3(i)(1)(iv); and</w:t>
      </w:r>
    </w:p>
    <w:p>
      <w:pPr>
        <w:spacing w:after="0" w:line="41" w:lineRule="exact"/>
        <w:rPr>
          <w:rFonts w:ascii="Arial" w:cs="Arial" w:eastAsia="Arial" w:hAnsi="Arial"/>
          <w:sz w:val="16"/>
          <w:szCs w:val="16"/>
          <w:color w:val="auto"/>
        </w:rPr>
      </w:pPr>
    </w:p>
    <w:p>
      <w:pPr>
        <w:ind w:left="1460" w:right="40" w:hanging="440"/>
        <w:spacing w:after="0" w:line="256"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to Executive a lump sum cash payment within thirty (30) days following Executive’s Termination Date equal to the premium cost of continuing the life and disability insurance in effect on Executive’s Termination Date for the period ending on the end of the twelfth month after the Termination Date; provided that the continuation of such benefits is not prohibited by the terms of the plan or by the Company for legal reasons.</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30" w:name="page131"/>
    <w:bookmarkEnd w:id="130"/>
    <w:p>
      <w:pPr>
        <w:ind w:left="720" w:hanging="440"/>
        <w:spacing w:after="0" w:line="284"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payment or benefit to Executive under this Agreement would be considered a “parachute payment” within the meaning of Section 280G(b)(2) of the Code and, if, after reduction for any applicable federal excise tax imposed by Section 4999 of the Code (the “Excise Tax”) and federal income tax imposed by the Code, Executive’s net proceeds of the amounts payable and the benefits provided under this Agreement would be less than the amount of Executive’s net proceeds resulting from the payment of the Reduced Amount described below, after reduction for federal income taxes, then the amount payable and the benefits provided under this Agreement shall be limited to the Reduced Amount. The “Reduced Amount” shall be the largest amount that could be received by Executive under this Agreement such that no amount paid to Executive under this Agreement and any other agreement, contract or understanding heretofore or hereafter entered into between Executive and the Company (the “Other Agreements”)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“Benefit Plan”) would be subject to the Excise Tax. In the event that the amount payable to Executive shall be limited to the Reduced Amount, then, first non-cash benefits that are not equity-based shall be reduced, then equity award vesting acceleration and next new equity award grants shall be reduced, followed by a reduction of cash payments, including without limitation the severance amounts set forth in Section 4, beginning with payments that would be made last in time, in all cases, (A) if and to the extent not already provided, accelerated, granted or paid, as applicable, prior to the date of such reduction, (B) only to the least extent necessary so that no portion thereof shall be subject to the Excise Tax, (C) in a manner that results in the best economic benefit to Executive, and (D) to the extent economically equivalent, in a pro rata manner.</w:t>
      </w:r>
    </w:p>
    <w:p>
      <w:pPr>
        <w:spacing w:after="0" w:line="51" w:lineRule="exact"/>
        <w:rPr>
          <w:rFonts w:ascii="Arial" w:cs="Arial" w:eastAsia="Arial" w:hAnsi="Arial"/>
          <w:sz w:val="16"/>
          <w:szCs w:val="16"/>
          <w:color w:val="auto"/>
        </w:rPr>
      </w:pPr>
    </w:p>
    <w:p>
      <w:pPr>
        <w:ind w:left="720" w:right="80" w:hanging="440"/>
        <w:spacing w:after="0" w:line="298" w:lineRule="auto"/>
        <w:tabs>
          <w:tab w:leader="none" w:pos="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any provision to the contrary herein, if at the time of Executive’s termination of employment the Company’s stock is publicly traded and Executive is a “specified employee” (as such term is defined in Section 409A(2)(B)(i) of the Code and its corresponding regulations), then, to the extent that paying such amounts at the time or times indicated in this Agreement would be a prohibited distribution under Section 409A(a)(2)(B)(i) of the Code, all payments to Executive pursuant to this Section 4(a) that</w:t>
      </w:r>
    </w:p>
    <w:p>
      <w:pPr>
        <w:spacing w:after="0" w:line="9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80" w:right="259" w:bottom="1440" w:gutter="0" w:footer="0" w:header="0"/>
        </w:sectPr>
      </w:pPr>
    </w:p>
    <w:bookmarkStart w:id="131" w:name="page132"/>
    <w:bookmarkEnd w:id="131"/>
    <w:p>
      <w:pPr>
        <w:ind w:left="14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If Executive dies during such six-month period and prior to the payment of the postponed amounts hereunder, the amounts withheld on account of Section 409A of the Code shall be paid to the personal representative of Executive’s estate within thirty (30) days after the date of Executive’s death. If any of the payments payable pursuant to this Section 4(a)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37" w:lineRule="exact"/>
        <w:rPr>
          <w:sz w:val="20"/>
          <w:szCs w:val="20"/>
          <w:color w:val="auto"/>
        </w:rPr>
      </w:pPr>
    </w:p>
    <w:p>
      <w:pPr>
        <w:ind w:left="1020" w:right="80" w:hanging="567"/>
        <w:spacing w:after="0" w:line="256"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In the event that Executive’s employment terminates other than as set forth in Section 4(a), Executive’s rights upon termination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2" w:lineRule="exact"/>
        <w:rPr>
          <w:rFonts w:ascii="Arial" w:cs="Arial" w:eastAsia="Arial" w:hAnsi="Arial"/>
          <w:sz w:val="18"/>
          <w:szCs w:val="18"/>
          <w:color w:val="auto"/>
        </w:rPr>
      </w:pPr>
    </w:p>
    <w:p>
      <w:pPr>
        <w:ind w:left="1020" w:right="860" w:hanging="567"/>
        <w:spacing w:after="0" w:line="268"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 Notice</w:t>
      </w:r>
      <w:r>
        <w:rPr>
          <w:rFonts w:ascii="Arial" w:cs="Arial" w:eastAsia="Arial" w:hAnsi="Arial"/>
          <w:sz w:val="18"/>
          <w:szCs w:val="18"/>
          <w:color w:val="auto"/>
        </w:rPr>
        <w:t>. Except in the event of Executive’s death, a termination under this Agreement shall be effected by means of a Termination Notice.</w:t>
      </w:r>
    </w:p>
    <w:p>
      <w:pPr>
        <w:spacing w:after="0" w:line="125" w:lineRule="exact"/>
        <w:rPr>
          <w:rFonts w:ascii="Arial" w:cs="Arial" w:eastAsia="Arial" w:hAnsi="Arial"/>
          <w:sz w:val="18"/>
          <w:szCs w:val="18"/>
          <w:color w:val="auto"/>
        </w:rPr>
      </w:pPr>
    </w:p>
    <w:p>
      <w:pPr>
        <w:ind w:left="180" w:hanging="176"/>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1020" w:right="20" w:hanging="567"/>
        <w:spacing w:after="0" w:line="288"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Covenant Not to Compete</w:t>
      </w:r>
      <w:r>
        <w:rPr>
          <w:rFonts w:ascii="Arial" w:cs="Arial" w:eastAsia="Arial" w:hAnsi="Arial"/>
          <w:sz w:val="16"/>
          <w:szCs w:val="16"/>
          <w:color w:val="auto"/>
        </w:rPr>
        <w:t>. During the Term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32" w:name="page133"/>
    <w:bookmarkEnd w:id="132"/>
    <w:p>
      <w:pPr>
        <w:ind w:left="567"/>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 consultant to or give financial or other assistance to, any person or entity engaged in the Business; (III) seek in competition with the Business to procure orders from or do business with any customer of the Company; (IV) solicit, or contact with a view to the engagement or employment by any person or entity of, any person who is an employee of the Company; (V) seek to contract with or engage (in such a way as to adversely affect or interfere with the business of the Company) any person or entity who has been contracted with or engaged to manufacture, assemble, supply or deliver products, goods, materials or services to the Company; or (VI) engage in or participate in any effort or act to induce any of the customers, associates, consultants, or employees of the Company to take any action which might be disadvantageous to the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5(a) shall prohibit Executive from becoming an employee or agent of, or consultant to, any entity that is engaged in the Business so long as Executive does not engage in any activities in the Business in any capacity for said entity.</w:t>
      </w:r>
    </w:p>
    <w:p>
      <w:pPr>
        <w:spacing w:after="0" w:line="40" w:lineRule="exact"/>
        <w:rPr>
          <w:sz w:val="20"/>
          <w:szCs w:val="20"/>
          <w:color w:val="auto"/>
        </w:rPr>
      </w:pPr>
    </w:p>
    <w:p>
      <w:pPr>
        <w:ind w:left="567" w:right="60" w:hanging="567"/>
        <w:spacing w:after="0" w:line="287" w:lineRule="auto"/>
        <w:tabs>
          <w:tab w:leader="none" w:pos="567"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Executive acknowledges a duty of confidentiality owed to the Company and shall not, at any time during or after his employment by the Company, retain in writing, use, divulge, furnish, or make accessible to anyone, without the express authorization of the Board, any trade secret, private or confidential information or knowledge of the Company obtained or acquired by him while so employed. All computer software, business cards, telephone lists, customer lists, price lists, contract forms, catalogs, the Company books, records, files and know-how acquired while an employee of the Company are acknowledged to be the property of the Company and shall not be duplicated, removed from the Company’s possession or premises or made use of other than in pursuit of the Company’s business or as may otherwise be required by law or any legal process, or as is necessary in connection with any adversarial proceeding against the Company and, upon termination of employment for any reason, Executive shall deliver to the Company all copies thereof which are then in his possession or under his control. No information shall be treated as “confidential information” if it is generally available public knowledge at the time of disclosure or use by Executive.</w:t>
      </w:r>
    </w:p>
    <w:p>
      <w:pPr>
        <w:spacing w:after="0" w:line="41" w:lineRule="exact"/>
        <w:rPr>
          <w:rFonts w:ascii="Arial" w:cs="Arial" w:eastAsia="Arial" w:hAnsi="Arial"/>
          <w:sz w:val="16"/>
          <w:szCs w:val="16"/>
          <w:color w:val="auto"/>
        </w:rPr>
      </w:pPr>
    </w:p>
    <w:p>
      <w:pPr>
        <w:ind w:left="567" w:right="320" w:hanging="567"/>
        <w:spacing w:after="0" w:line="268" w:lineRule="auto"/>
        <w:tabs>
          <w:tab w:leader="none" w:pos="56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Inventions and Improvements</w:t>
      </w:r>
      <w:r>
        <w:rPr>
          <w:rFonts w:ascii="Arial" w:cs="Arial" w:eastAsia="Arial" w:hAnsi="Arial"/>
          <w:sz w:val="18"/>
          <w:szCs w:val="18"/>
          <w:color w:val="auto"/>
        </w:rPr>
        <w:t>. Executive shall promptly communicate to the Company all ideas, discoveries and inventions which are or may be</w:t>
      </w:r>
    </w:p>
    <w:p>
      <w:pPr>
        <w:spacing w:after="0" w:line="118"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87"/>
          </w:cols>
          <w:pgMar w:left="1153" w:top="280" w:right="259" w:bottom="1440" w:gutter="0" w:footer="0" w:header="0"/>
        </w:sectPr>
      </w:pPr>
    </w:p>
    <w:bookmarkStart w:id="133" w:name="page134"/>
    <w:bookmarkEnd w:id="133"/>
    <w:p>
      <w:pPr>
        <w:ind w:left="14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useful to the Company or its business. Executive acknowledges that all such ideas, discoveries, inventions, and improvements which heretofore have been or are hereafter made, conceived, or reduced to practice by him at any time during his employment with the Company heretofore or hereafter gained by him at any time during his employment with the Company are the property of the Company, and Executive hereby irrevocably assigns all such ideas, discoveries, inventions and improvements to the Company for its sole use and benefit, without additional compensation. The provisions of this Section 5(c) shall apply whether such ideas, discoveries, inventions, or improvements were or are conceived, made or gained by him alone or with others, whether during or after usual working hours, whether on or off the job, whether applicable to matters directly or indirectly related to the Company’s business interests (including potential business interests), and whether or not within the specific realm of his duties. Executive shall, upon request of the Company, but at no expense to Executive, at any time during or after his employment with the Company, sign all instruments and documents reasonably requested by the Company and otherwise cooperate with the Company to protect its right to such ideas, discoveries, inventions, or improvements including applying for, obtaining and enforcing patents and copyrights thereon in such countries as the Company shall determine.</w:t>
      </w:r>
    </w:p>
    <w:p>
      <w:pPr>
        <w:spacing w:after="0" w:line="46" w:lineRule="exact"/>
        <w:rPr>
          <w:sz w:val="20"/>
          <w:szCs w:val="20"/>
          <w:color w:val="auto"/>
        </w:rPr>
      </w:pPr>
    </w:p>
    <w:p>
      <w:pPr>
        <w:ind w:left="1400" w:right="40" w:hanging="567"/>
        <w:spacing w:after="0" w:line="294" w:lineRule="auto"/>
        <w:tabs>
          <w:tab w:leader="none" w:pos="140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Breach of Covenant</w:t>
      </w:r>
      <w:r>
        <w:rPr>
          <w:rFonts w:ascii="Arial" w:cs="Arial" w:eastAsia="Arial" w:hAnsi="Arial"/>
          <w:sz w:val="16"/>
          <w:szCs w:val="16"/>
          <w:color w:val="auto"/>
        </w:rPr>
        <w:t>. Executive expressly acknowledges that damages alone will be an inadequate remedy for any breach or violation of any of the provisions of this Section 5 and that the Company, in addition to all other remedies, shall be entitled as a matter of right to equitable relief, including injunctions and specific performance, in any court of competent jurisdiction. If any of the provisions of this Section 5 are held to be in any respect unenforceable, then they shall be deemed to extend only over the maximum period of time, geographic area, or range of activities as to which they may be enforceable.</w:t>
      </w:r>
    </w:p>
    <w:p>
      <w:pPr>
        <w:spacing w:after="0" w:line="34" w:lineRule="exact"/>
        <w:rPr>
          <w:rFonts w:ascii="Arial" w:cs="Arial" w:eastAsia="Arial" w:hAnsi="Arial"/>
          <w:sz w:val="16"/>
          <w:szCs w:val="16"/>
          <w:color w:val="auto"/>
        </w:rPr>
      </w:pPr>
    </w:p>
    <w:p>
      <w:pPr>
        <w:ind w:left="1400" w:right="280" w:hanging="567"/>
        <w:spacing w:after="0" w:line="259" w:lineRule="auto"/>
        <w:tabs>
          <w:tab w:leader="none" w:pos="140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Survivability</w:t>
      </w:r>
      <w:r>
        <w:rPr>
          <w:rFonts w:ascii="Arial" w:cs="Arial" w:eastAsia="Arial" w:hAnsi="Arial"/>
          <w:sz w:val="18"/>
          <w:szCs w:val="18"/>
          <w:color w:val="auto"/>
        </w:rPr>
        <w:t>. Executive’s obligations under this Section 5 shall survive termination of this Agreement and/or termination of Executive’s employment regardless of the manner of termination and shall be binding upon Executive’s heirs, executors, administrators and legal representatives.</w:t>
      </w:r>
    </w:p>
    <w:p>
      <w:pPr>
        <w:spacing w:after="0" w:line="134" w:lineRule="exact"/>
        <w:rPr>
          <w:rFonts w:ascii="Arial" w:cs="Arial" w:eastAsia="Arial" w:hAnsi="Arial"/>
          <w:sz w:val="18"/>
          <w:szCs w:val="18"/>
          <w:color w:val="auto"/>
        </w:rPr>
      </w:pPr>
    </w:p>
    <w:p>
      <w:pPr>
        <w:ind w:left="-80" w:right="340" w:firstLine="464"/>
        <w:spacing w:after="0" w:line="262" w:lineRule="auto"/>
        <w:tabs>
          <w:tab w:leader="none" w:pos="55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to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receipt of the compensation benefits set forth herein are expressly conditioned upon Executive’s execution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release satisfactory to the Company within twenty-one (21) days (or to the extent required by applicable law, forty-five (45) days) following the Termination Date and Executive’s non-revocation of such release within seven (7) days thereafter.</w:t>
      </w:r>
    </w:p>
    <w:p>
      <w:pPr>
        <w:spacing w:after="0" w:line="132" w:lineRule="exact"/>
        <w:rPr>
          <w:rFonts w:ascii="Arial" w:cs="Arial" w:eastAsia="Arial" w:hAnsi="Arial"/>
          <w:sz w:val="18"/>
          <w:szCs w:val="18"/>
          <w:color w:val="auto"/>
        </w:rPr>
      </w:pPr>
    </w:p>
    <w:p>
      <w:pPr>
        <w:ind w:left="-80" w:right="40" w:firstLine="464"/>
        <w:spacing w:after="0" w:line="262" w:lineRule="auto"/>
        <w:tabs>
          <w:tab w:leader="none" w:pos="552"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 Duty to Mitigate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be required to mitigate the amount of any payment or benefit provided for in this Agreement by seeking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otherwise, nor shall the amount of any payment or benefit provided for herein be reduced by any compensation earned by other employment or otherwise.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320" w:top="280" w:right="299" w:bottom="1440" w:gutter="0" w:footer="0" w:header="0"/>
        </w:sectPr>
      </w:pPr>
    </w:p>
    <w:bookmarkStart w:id="134" w:name="page135"/>
    <w:bookmarkEnd w:id="134"/>
    <w:p>
      <w:pPr>
        <w:ind w:left="-20" w:right="20" w:firstLine="464"/>
        <w:spacing w:after="0" w:line="262" w:lineRule="auto"/>
        <w:tabs>
          <w:tab w:leader="none" w:pos="61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the Company’s obligation to make the payments provided for in this Agreement and otherwise to perform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shall not be affected by any circumstances, including, without limitation, any set-off, counterclaim, recoupment, defense or other right which the Company may have against Executive or otherwise arising.</w:t>
      </w:r>
    </w:p>
    <w:p>
      <w:pPr>
        <w:spacing w:after="0" w:line="132" w:lineRule="exact"/>
        <w:rPr>
          <w:rFonts w:ascii="Arial" w:cs="Arial" w:eastAsia="Arial" w:hAnsi="Arial"/>
          <w:sz w:val="18"/>
          <w:szCs w:val="18"/>
          <w:color w:val="auto"/>
        </w:rPr>
      </w:pPr>
    </w:p>
    <w:p>
      <w:pPr>
        <w:ind w:left="-20" w:right="80" w:firstLine="464"/>
        <w:spacing w:after="0" w:line="258" w:lineRule="auto"/>
        <w:tabs>
          <w:tab w:leader="none" w:pos="612"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understands that this Agreement does not create an obligation on the Company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to continue his employment or to exploit any Inventions. Executive understands and acknowledges that his employment with the Company is for an unspecified duration and constitutes “at-will” employment and that this employment relationship may be terminated at any time, with or without cause, either at Executive’s or the Company’s option, with or without notice.</w:t>
      </w:r>
    </w:p>
    <w:p>
      <w:pPr>
        <w:spacing w:after="0" w:line="136" w:lineRule="exact"/>
        <w:rPr>
          <w:rFonts w:ascii="Arial" w:cs="Arial" w:eastAsia="Arial" w:hAnsi="Arial"/>
          <w:sz w:val="18"/>
          <w:szCs w:val="18"/>
          <w:color w:val="auto"/>
        </w:rPr>
      </w:pPr>
    </w:p>
    <w:p>
      <w:pPr>
        <w:jc w:val="both"/>
        <w:ind w:left="-20" w:firstLine="464"/>
        <w:spacing w:after="0" w:line="25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Executive Duties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such notice is waived by the Company, Executive shall not terminate employment with the Company without giving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notice to the Board, and during such 30-day period Executive will assist, as and to the extent reasonably requested by the Company, in training the successor to Executive’s position with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provisions of Section 1(h) shall control over this Section 10 in the event of a voluntary termination by Executive for Good Reason.</w:t>
      </w:r>
    </w:p>
    <w:p>
      <w:pPr>
        <w:spacing w:after="0" w:line="136" w:lineRule="exact"/>
        <w:rPr>
          <w:rFonts w:ascii="Arial" w:cs="Arial" w:eastAsia="Arial" w:hAnsi="Arial"/>
          <w:sz w:val="18"/>
          <w:szCs w:val="18"/>
          <w:color w:val="auto"/>
        </w:rPr>
      </w:pPr>
    </w:p>
    <w:p>
      <w:pPr>
        <w:ind w:left="-20" w:right="180" w:firstLine="464"/>
        <w:spacing w:after="0" w:line="339" w:lineRule="auto"/>
        <w:tabs>
          <w:tab w:leader="none" w:pos="693" w:val="left"/>
        </w:tabs>
        <w:numPr>
          <w:ilvl w:val="0"/>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have the right to withhold from all payments made pursuant to this Agreement any federal, state, or local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such other amounts as may be required by law to be withheld from such payments.</w:t>
      </w:r>
    </w:p>
    <w:p>
      <w:pPr>
        <w:spacing w:after="0" w:line="74" w:lineRule="exact"/>
        <w:rPr>
          <w:rFonts w:ascii="Arial" w:cs="Arial" w:eastAsia="Arial" w:hAnsi="Arial"/>
          <w:sz w:val="16"/>
          <w:szCs w:val="16"/>
          <w:color w:val="auto"/>
        </w:rPr>
      </w:pPr>
    </w:p>
    <w:p>
      <w:pPr>
        <w:ind w:left="-20" w:right="60" w:firstLine="464"/>
        <w:spacing w:after="0" w:line="326" w:lineRule="auto"/>
        <w:tabs>
          <w:tab w:leader="none" w:pos="700" w:val="left"/>
        </w:tabs>
        <w:numPr>
          <w:ilvl w:val="0"/>
          <w:numId w:val="55"/>
        </w:numPr>
        <w:rPr>
          <w:rFonts w:ascii="Arial" w:cs="Arial" w:eastAsia="Arial" w:hAnsi="Arial"/>
          <w:sz w:val="15"/>
          <w:szCs w:val="15"/>
          <w:color w:val="auto"/>
        </w:rPr>
      </w:pPr>
      <w:r>
        <w:rPr>
          <w:rFonts w:ascii="Arial" w:cs="Arial" w:eastAsia="Arial" w:hAnsi="Arial"/>
          <w:sz w:val="15"/>
          <w:szCs w:val="15"/>
          <w:b w:val="1"/>
          <w:bCs w:val="1"/>
          <w:u w:val="single" w:color="auto"/>
          <w:color w:val="auto"/>
        </w:rPr>
        <w:t>Assignability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assign this Agreement and its rights and obligations hereunder in whole, but not in part, to any entity to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may transfer all or substantially all of its assets, if in any such case said entity shall expressly in writing assume all obligations of the Company hereunder as fully as if it had been originally made a party hereto. The Company may not otherwise assign this Agreement or its rights and obligations hereunder. This Agreement is personal to Executive and his rights and duties hereunder shall not be assigned except as expressly agreed to in writing by the Company.</w:t>
      </w:r>
    </w:p>
    <w:p>
      <w:pPr>
        <w:spacing w:after="0" w:line="89" w:lineRule="exact"/>
        <w:rPr>
          <w:rFonts w:ascii="Arial" w:cs="Arial" w:eastAsia="Arial" w:hAnsi="Arial"/>
          <w:sz w:val="15"/>
          <w:szCs w:val="15"/>
          <w:color w:val="auto"/>
        </w:rPr>
      </w:pPr>
    </w:p>
    <w:p>
      <w:pPr>
        <w:ind w:left="-20" w:right="200" w:firstLine="464"/>
        <w:spacing w:after="0" w:line="262"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amounts due Executive under this Agreement (not including any Base Salary not yet earned by Executive) unpaid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Executive’s death shall be paid in a single sum within thirty (30) days after Executive’s death to Executive’s surviving spouse, or if none, to the duly appointed personal representative of his estate.</w:t>
      </w:r>
    </w:p>
    <w:p>
      <w:pPr>
        <w:spacing w:after="0" w:line="132" w:lineRule="exact"/>
        <w:rPr>
          <w:rFonts w:ascii="Arial" w:cs="Arial" w:eastAsia="Arial" w:hAnsi="Arial"/>
          <w:sz w:val="18"/>
          <w:szCs w:val="18"/>
          <w:color w:val="auto"/>
        </w:rPr>
      </w:pPr>
    </w:p>
    <w:p>
      <w:pPr>
        <w:ind w:left="-20" w:right="260" w:firstLine="464"/>
        <w:spacing w:after="0" w:line="258"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Legal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termination pursuant to Section 4(a) hereof, the Company shall also pay to Executive all reasonable legal fees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Executive as a result of such termination 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135" w:name="page136"/>
    <w:bookmarkEnd w:id="135"/>
    <w:p>
      <w:pPr>
        <w:ind w:left="260" w:hanging="256"/>
        <w:spacing w:after="0"/>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color w:val="auto"/>
        </w:rPr>
      </w:pPr>
    </w:p>
    <w:p>
      <w:pPr>
        <w:ind w:left="1020" w:right="220" w:hanging="567"/>
        <w:spacing w:after="0" w:line="268"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unless such amendment is signed by Executive and such officer as may be specifically designated by the Board to sign on the Company’s behalf.</w:t>
      </w:r>
    </w:p>
    <w:p>
      <w:pPr>
        <w:spacing w:after="0" w:line="50" w:lineRule="exact"/>
        <w:rPr>
          <w:rFonts w:ascii="Arial" w:cs="Arial" w:eastAsia="Arial" w:hAnsi="Arial"/>
          <w:sz w:val="18"/>
          <w:szCs w:val="18"/>
          <w:color w:val="auto"/>
        </w:rPr>
      </w:pPr>
    </w:p>
    <w:p>
      <w:pPr>
        <w:jc w:val="both"/>
        <w:ind w:left="1020" w:right="20" w:hanging="567"/>
        <w:spacing w:after="0" w:line="259"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Nature of Obligations</w:t>
      </w:r>
      <w:r>
        <w:rPr>
          <w:rFonts w:ascii="Arial" w:cs="Arial" w:eastAsia="Arial" w:hAnsi="Arial"/>
          <w:sz w:val="18"/>
          <w:szCs w:val="18"/>
          <w:color w:val="auto"/>
        </w:rPr>
        <w:t>. Nothing contained herein shall create or require the Company to create a trust of any kind to fund any benefits which may be payable hereunder, and to the extent that Executive acquires a right to receive benefits from the Company hereunder, such right shall be no greater than the right of any unsecured general creditor of the Company.</w:t>
      </w:r>
    </w:p>
    <w:p>
      <w:pPr>
        <w:spacing w:after="0" w:line="59" w:lineRule="exact"/>
        <w:rPr>
          <w:rFonts w:ascii="Arial" w:cs="Arial" w:eastAsia="Arial" w:hAnsi="Arial"/>
          <w:sz w:val="18"/>
          <w:szCs w:val="18"/>
          <w:color w:val="auto"/>
        </w:rPr>
      </w:pPr>
    </w:p>
    <w:p>
      <w:pPr>
        <w:ind w:left="1020" w:right="140" w:hanging="567"/>
        <w:spacing w:after="0" w:line="357" w:lineRule="auto"/>
        <w:tabs>
          <w:tab w:leader="none" w:pos="1020"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t>ERISA</w:t>
      </w:r>
      <w:r>
        <w:rPr>
          <w:rFonts w:ascii="Arial" w:cs="Arial" w:eastAsia="Arial" w:hAnsi="Arial"/>
          <w:sz w:val="15"/>
          <w:szCs w:val="15"/>
          <w:color w:val="auto"/>
        </w:rPr>
        <w:t>. For purposes of the Employee Retirement Income Security Act of 1974, as amended, this Agreement is intended to be a severance pay employee welfare benefit plan, and not an employee pension plan, and shall be construed and administered with that intention.</w:t>
      </w:r>
    </w:p>
    <w:p>
      <w:pPr>
        <w:ind w:left="1020" w:right="460" w:hanging="567"/>
        <w:spacing w:after="0" w:line="332" w:lineRule="auto"/>
        <w:tabs>
          <w:tab w:leader="none" w:pos="102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Prior Employment</w:t>
      </w:r>
      <w:r>
        <w:rPr>
          <w:rFonts w:ascii="Arial" w:cs="Arial" w:eastAsia="Arial" w:hAnsi="Arial"/>
          <w:sz w:val="16"/>
          <w:szCs w:val="16"/>
          <w:color w:val="auto"/>
        </w:rPr>
        <w:t>. Executive represents and warrants that his acceptance of employment with the Company has not breached, and the performance of his duties for the Company will not breach, any duty owed by him to any prior employer or other person.</w:t>
      </w:r>
    </w:p>
    <w:p>
      <w:pPr>
        <w:spacing w:after="0" w:line="4" w:lineRule="exact"/>
        <w:rPr>
          <w:rFonts w:ascii="Arial" w:cs="Arial" w:eastAsia="Arial" w:hAnsi="Arial"/>
          <w:sz w:val="16"/>
          <w:szCs w:val="16"/>
          <w:color w:val="auto"/>
        </w:rPr>
      </w:pPr>
    </w:p>
    <w:p>
      <w:pPr>
        <w:ind w:left="1020" w:right="80" w:hanging="567"/>
        <w:spacing w:after="0" w:line="259"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59" w:lineRule="exact"/>
        <w:rPr>
          <w:rFonts w:ascii="Arial" w:cs="Arial" w:eastAsia="Arial" w:hAnsi="Arial"/>
          <w:sz w:val="18"/>
          <w:szCs w:val="18"/>
          <w:color w:val="auto"/>
        </w:rPr>
      </w:pPr>
    </w:p>
    <w:p>
      <w:pPr>
        <w:ind w:left="1020" w:right="260" w:hanging="567"/>
        <w:spacing w:after="0" w:line="259"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59" w:lineRule="exact"/>
        <w:rPr>
          <w:rFonts w:ascii="Arial" w:cs="Arial" w:eastAsia="Arial" w:hAnsi="Arial"/>
          <w:sz w:val="18"/>
          <w:szCs w:val="18"/>
          <w:color w:val="auto"/>
        </w:rPr>
      </w:pPr>
    </w:p>
    <w:p>
      <w:pPr>
        <w:ind w:left="1020" w:right="120" w:hanging="567"/>
        <w:spacing w:after="0" w:line="259"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59" w:lineRule="exact"/>
        <w:rPr>
          <w:rFonts w:ascii="Arial" w:cs="Arial" w:eastAsia="Arial" w:hAnsi="Arial"/>
          <w:sz w:val="18"/>
          <w:szCs w:val="18"/>
          <w:color w:val="auto"/>
        </w:rPr>
      </w:pPr>
    </w:p>
    <w:p>
      <w:pPr>
        <w:ind w:left="1020" w:hanging="567"/>
        <w:spacing w:after="0" w:line="268"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and their respective successors, permitted assigns, heirs, executors and administrators.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74" w:right="279" w:bottom="1440" w:gutter="0" w:footer="0" w:header="0"/>
        </w:sectPr>
      </w:pPr>
    </w:p>
    <w:bookmarkStart w:id="136" w:name="page137"/>
    <w:bookmarkEnd w:id="136"/>
    <w:p>
      <w:pPr>
        <w:ind w:left="567" w:right="20" w:hanging="567"/>
        <w:spacing w:after="0" w:line="306" w:lineRule="auto"/>
        <w:tabs>
          <w:tab w:leader="none" w:pos="56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r>
        <w:rPr>
          <w:rFonts w:ascii="Arial" w:cs="Arial" w:eastAsia="Arial" w:hAnsi="Arial"/>
          <w:sz w:val="16"/>
          <w:szCs w:val="16"/>
          <w:color w:val="auto"/>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26"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the Company:</w:t>
      </w:r>
    </w:p>
    <w:p>
      <w:pPr>
        <w:spacing w:after="0" w:line="90" w:lineRule="exact"/>
        <w:rPr>
          <w:sz w:val="20"/>
          <w:szCs w:val="20"/>
          <w:color w:val="auto"/>
        </w:rPr>
      </w:pPr>
    </w:p>
    <w:p>
      <w:pPr>
        <w:ind w:left="587"/>
        <w:spacing w:after="0"/>
        <w:rPr>
          <w:sz w:val="20"/>
          <w:szCs w:val="20"/>
          <w:color w:val="auto"/>
        </w:rPr>
      </w:pPr>
      <w:r>
        <w:rPr>
          <w:rFonts w:ascii="Arial" w:cs="Arial" w:eastAsia="Arial" w:hAnsi="Arial"/>
          <w:sz w:val="18"/>
          <w:szCs w:val="18"/>
          <w:color w:val="auto"/>
        </w:rPr>
        <w:t>Integra LifeSciences Holdings Corporation</w:t>
      </w:r>
    </w:p>
    <w:p>
      <w:pPr>
        <w:spacing w:after="0" w:line="15" w:lineRule="exact"/>
        <w:rPr>
          <w:sz w:val="20"/>
          <w:szCs w:val="20"/>
          <w:color w:val="auto"/>
        </w:rPr>
      </w:pPr>
    </w:p>
    <w:p>
      <w:pPr>
        <w:ind w:left="587"/>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587"/>
        <w:spacing w:after="0"/>
        <w:rPr>
          <w:sz w:val="20"/>
          <w:szCs w:val="20"/>
          <w:color w:val="auto"/>
        </w:rPr>
      </w:pPr>
      <w:r>
        <w:rPr>
          <w:rFonts w:ascii="Arial" w:cs="Arial" w:eastAsia="Arial" w:hAnsi="Arial"/>
          <w:sz w:val="18"/>
          <w:szCs w:val="18"/>
          <w:color w:val="auto"/>
        </w:rPr>
        <w:t>Plainsboro, New Jersey 08536</w:t>
      </w:r>
    </w:p>
    <w:p>
      <w:pPr>
        <w:spacing w:after="0" w:line="9" w:lineRule="exact"/>
        <w:rPr>
          <w:sz w:val="20"/>
          <w:szCs w:val="20"/>
          <w:color w:val="auto"/>
        </w:rPr>
      </w:pPr>
    </w:p>
    <w:p>
      <w:pPr>
        <w:ind w:left="587"/>
        <w:spacing w:after="0"/>
        <w:rPr>
          <w:sz w:val="20"/>
          <w:szCs w:val="20"/>
          <w:color w:val="auto"/>
        </w:rPr>
      </w:pPr>
      <w:r>
        <w:rPr>
          <w:rFonts w:ascii="Arial" w:cs="Arial" w:eastAsia="Arial" w:hAnsi="Arial"/>
          <w:sz w:val="18"/>
          <w:szCs w:val="18"/>
          <w:color w:val="auto"/>
        </w:rPr>
        <w:t>Attn: President and CEO</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587"/>
        <w:spacing w:after="0"/>
        <w:rPr>
          <w:sz w:val="20"/>
          <w:szCs w:val="20"/>
          <w:color w:val="auto"/>
        </w:rPr>
      </w:pPr>
      <w:r>
        <w:rPr>
          <w:rFonts w:ascii="Arial" w:cs="Arial" w:eastAsia="Arial" w:hAnsi="Arial"/>
          <w:sz w:val="18"/>
          <w:szCs w:val="18"/>
          <w:color w:val="auto"/>
        </w:rPr>
        <w:t>The Company’s General Counsel:</w:t>
      </w:r>
    </w:p>
    <w:p>
      <w:pPr>
        <w:spacing w:after="0" w:line="90"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Executive:</w:t>
      </w:r>
    </w:p>
    <w:p>
      <w:pPr>
        <w:spacing w:after="0" w:line="90" w:lineRule="exact"/>
        <w:rPr>
          <w:sz w:val="20"/>
          <w:szCs w:val="20"/>
          <w:color w:val="auto"/>
        </w:rPr>
      </w:pPr>
    </w:p>
    <w:p>
      <w:pPr>
        <w:ind w:left="587"/>
        <w:spacing w:after="0"/>
        <w:rPr>
          <w:sz w:val="20"/>
          <w:szCs w:val="20"/>
          <w:color w:val="auto"/>
        </w:rPr>
      </w:pPr>
      <w:r>
        <w:rPr>
          <w:rFonts w:ascii="Arial" w:cs="Arial" w:eastAsia="Arial" w:hAnsi="Arial"/>
          <w:sz w:val="18"/>
          <w:szCs w:val="18"/>
          <w:color w:val="auto"/>
        </w:rPr>
        <w:t>Judith E. O’Grady</w:t>
      </w:r>
    </w:p>
    <w:p>
      <w:pPr>
        <w:spacing w:after="0" w:line="15" w:lineRule="exact"/>
        <w:rPr>
          <w:sz w:val="20"/>
          <w:szCs w:val="20"/>
          <w:color w:val="auto"/>
        </w:rPr>
      </w:pPr>
    </w:p>
    <w:p>
      <w:pPr>
        <w:ind w:left="587"/>
        <w:spacing w:after="0"/>
        <w:rPr>
          <w:sz w:val="20"/>
          <w:szCs w:val="20"/>
          <w:color w:val="auto"/>
        </w:rPr>
      </w:pPr>
      <w:r>
        <w:rPr>
          <w:rFonts w:ascii="Arial" w:cs="Arial" w:eastAsia="Arial" w:hAnsi="Arial"/>
          <w:sz w:val="18"/>
          <w:szCs w:val="18"/>
          <w:color w:val="auto"/>
        </w:rPr>
        <w:t>c/o Integra LifeSciences Corporation</w:t>
      </w:r>
    </w:p>
    <w:p>
      <w:pPr>
        <w:spacing w:after="0" w:line="9" w:lineRule="exact"/>
        <w:rPr>
          <w:sz w:val="20"/>
          <w:szCs w:val="20"/>
          <w:color w:val="auto"/>
        </w:rPr>
      </w:pPr>
    </w:p>
    <w:p>
      <w:pPr>
        <w:ind w:left="587"/>
        <w:spacing w:after="0"/>
        <w:rPr>
          <w:sz w:val="20"/>
          <w:szCs w:val="20"/>
          <w:color w:val="auto"/>
        </w:rPr>
      </w:pPr>
      <w:r>
        <w:rPr>
          <w:rFonts w:ascii="Arial" w:cs="Arial" w:eastAsia="Arial" w:hAnsi="Arial"/>
          <w:sz w:val="18"/>
          <w:szCs w:val="18"/>
          <w:color w:val="auto"/>
        </w:rPr>
        <w:t>311 Enterprise Drive</w:t>
      </w:r>
    </w:p>
    <w:p>
      <w:pPr>
        <w:spacing w:after="0" w:line="9" w:lineRule="exact"/>
        <w:rPr>
          <w:sz w:val="20"/>
          <w:szCs w:val="20"/>
          <w:color w:val="auto"/>
        </w:rPr>
      </w:pPr>
    </w:p>
    <w:p>
      <w:pPr>
        <w:ind w:left="587"/>
        <w:spacing w:after="0"/>
        <w:rPr>
          <w:sz w:val="20"/>
          <w:szCs w:val="20"/>
          <w:color w:val="auto"/>
        </w:rPr>
      </w:pPr>
      <w:r>
        <w:rPr>
          <w:rFonts w:ascii="Arial" w:cs="Arial" w:eastAsia="Arial" w:hAnsi="Arial"/>
          <w:sz w:val="18"/>
          <w:szCs w:val="18"/>
          <w:color w:val="auto"/>
        </w:rPr>
        <w:t>Plainsboro, NJ 08536</w:t>
      </w:r>
    </w:p>
    <w:p>
      <w:pPr>
        <w:spacing w:after="0" w:line="84" w:lineRule="exact"/>
        <w:rPr>
          <w:sz w:val="20"/>
          <w:szCs w:val="20"/>
          <w:color w:val="auto"/>
        </w:rPr>
      </w:pPr>
    </w:p>
    <w:p>
      <w:pPr>
        <w:ind w:left="567" w:right="160" w:hanging="567"/>
        <w:spacing w:after="0" w:line="268" w:lineRule="auto"/>
        <w:tabs>
          <w:tab w:leader="none" w:pos="56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understanding of the parties and supersedes all prior agreements, arrangements and communications, whether oral or written, pertaining to the subject matter hereof.</w:t>
      </w:r>
    </w:p>
    <w:p>
      <w:pPr>
        <w:spacing w:after="0" w:line="50" w:lineRule="exact"/>
        <w:rPr>
          <w:rFonts w:ascii="Arial" w:cs="Arial" w:eastAsia="Arial" w:hAnsi="Arial"/>
          <w:sz w:val="18"/>
          <w:szCs w:val="18"/>
          <w:color w:val="auto"/>
        </w:rPr>
      </w:pPr>
    </w:p>
    <w:p>
      <w:pPr>
        <w:ind w:left="567" w:right="260" w:hanging="567"/>
        <w:spacing w:after="0" w:line="268" w:lineRule="auto"/>
        <w:tabs>
          <w:tab w:leader="none" w:pos="56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interpretation, construction and performance of this Agreement shall be governed by the laws of the United States where applicable and otherwise by the laws of the State of New Jersey.</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hanging="440"/>
        <w:spacing w:after="0" w:line="290" w:lineRule="auto"/>
        <w:tabs>
          <w:tab w:leader="none" w:pos="1007"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This Agreement shall be interpreted in accordance with Section 409A of the Code and Department of Treasury regulations and other interpretive guidance issued thereunder and to avoid any penalty sanctions under Section 409A of the Code. If any payment or benefit cannot be provided or made at the time specified herein without incurring sanctions under Section 409A of the Code, then such benefit or payment shall be provided in full at the earliest time thereafter when such sanctions will not be imposed. All payments to be made upon a termination of employment under this Agreement may only be made upon a “separation from service” under Section 409A of the Code. For purposes of Section 409A of the Code, each payment made under this Agreement shall be treated as a separate payment. In no event may Executive, directly or indirectly, designate the calendar year of payment.</w:t>
      </w:r>
    </w:p>
    <w:p>
      <w:pPr>
        <w:spacing w:after="0" w:line="105" w:lineRule="exact"/>
        <w:rPr>
          <w:sz w:val="20"/>
          <w:szCs w:val="20"/>
          <w:color w:val="auto"/>
        </w:rPr>
      </w:pPr>
    </w:p>
    <w:p>
      <w:pPr>
        <w:ind w:left="4707"/>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7"/>
          </w:cols>
          <w:pgMar w:left="1153" w:top="280" w:right="259" w:bottom="1440" w:gutter="0" w:footer="0" w:header="0"/>
        </w:sectPr>
      </w:pPr>
    </w:p>
    <w:bookmarkStart w:id="137" w:name="page138"/>
    <w:bookmarkEnd w:id="137"/>
    <w:p>
      <w:pPr>
        <w:ind w:left="1920" w:right="20" w:hanging="440"/>
        <w:spacing w:after="0" w:line="289" w:lineRule="auto"/>
        <w:tabs>
          <w:tab w:leader="none" w:pos="1920"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reimbursements provided under this Agreement shall be made or provided in accordance with the requirements of Section 409A of the Code,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If expenses are incurred in connection with litigation, any reimbursements under the Agreement shall be paid not later than the end of the calendar year following the year in which the litigation is resolved.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INTEGRA LIFESCIENCES HOLDINGS CORPORATION</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Arduini</w:t>
            </w:r>
          </w:p>
        </w:tc>
        <w:tc>
          <w:tcPr>
            <w:tcW w:w="6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Judith E. O’Grady</w:t>
            </w: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Judith E. O’Grady</w:t>
            </w:r>
          </w:p>
        </w:tc>
      </w:tr>
      <w:tr>
        <w:trPr>
          <w:trHeight w:val="365"/>
        </w:trPr>
        <w:tc>
          <w:tcPr>
            <w:tcW w:w="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8" w:name="page139"/>
    <w:bookmarkEnd w:id="138"/>
    <w:p>
      <w:pPr>
        <w:ind w:left="10220"/>
        <w:spacing w:after="0"/>
        <w:rPr>
          <w:sz w:val="20"/>
          <w:szCs w:val="20"/>
          <w:color w:val="auto"/>
        </w:rPr>
      </w:pPr>
      <w:r>
        <w:rPr>
          <w:rFonts w:ascii="Arial" w:cs="Arial" w:eastAsia="Arial" w:hAnsi="Arial"/>
          <w:sz w:val="16"/>
          <w:szCs w:val="16"/>
          <w:b w:val="1"/>
          <w:bCs w:val="1"/>
          <w:color w:val="auto"/>
        </w:rPr>
        <w:t>Exhibit 10.39(n)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171" w:lineRule="exact"/>
        <w:rPr>
          <w:sz w:val="20"/>
          <w:szCs w:val="20"/>
          <w:color w:val="auto"/>
        </w:rPr>
      </w:pPr>
    </w:p>
    <w:p>
      <w:pPr>
        <w:ind w:left="920"/>
        <w:spacing w:after="0"/>
        <w:tabs>
          <w:tab w:leader="none" w:pos="7640" w:val="left"/>
          <w:tab w:leader="none" w:pos="8260" w:val="left"/>
        </w:tabs>
        <w:rPr>
          <w:sz w:val="20"/>
          <w:szCs w:val="20"/>
          <w:color w:val="auto"/>
        </w:rPr>
      </w:pPr>
      <w:r>
        <w:rPr>
          <w:rFonts w:ascii="Arial" w:cs="Arial" w:eastAsia="Arial" w:hAnsi="Arial"/>
          <w:sz w:val="18"/>
          <w:szCs w:val="18"/>
          <w:b w:val="1"/>
          <w:bCs w:val="1"/>
          <w:color w:val="auto"/>
        </w:rPr>
        <w:t xml:space="preserve">THIS RESTRICTED STOCK AGREEMENT </w:t>
      </w:r>
      <w:r>
        <w:rPr>
          <w:rFonts w:ascii="Arial" w:cs="Arial" w:eastAsia="Arial" w:hAnsi="Arial"/>
          <w:sz w:val="18"/>
          <w:szCs w:val="18"/>
          <w:color w:val="auto"/>
        </w:rPr>
        <w:t>(the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“Award Date”), is made by and between</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Integra LifeSciences Holdings Corporation</w:t>
      </w:r>
      <w:r>
        <w:rPr>
          <w:rFonts w:ascii="Arial" w:cs="Arial" w:eastAsia="Arial" w:hAnsi="Arial"/>
          <w:sz w:val="18"/>
          <w:szCs w:val="18"/>
          <w:b w:val="1"/>
          <w:bCs w:val="1"/>
          <w:color w:val="auto"/>
        </w:rPr>
        <w:t>,</w:t>
      </w:r>
      <w:r>
        <w:rPr>
          <w:rFonts w:ascii="Arial" w:cs="Arial" w:eastAsia="Arial" w:hAnsi="Arial"/>
          <w:sz w:val="18"/>
          <w:szCs w:val="18"/>
          <w:color w:val="auto"/>
        </w:rPr>
        <w:t xml:space="preserve"> a Delaware corporation (the “Company”), and John B. Henneman, III, an employee of the Company (or one or more of its Related Corporations or Affiliates), hereinafter referred to as the “Participant”:</w:t>
      </w:r>
    </w:p>
    <w:p>
      <w:pPr>
        <w:spacing w:after="0" w:line="132"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maintains the Integra LifeSciences Holdings Corporation 2003 Second Amended and Restated Equity Incentive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wishes to carry out the Plan, the terms of which are hereby incorporated by reference and made part of this Award Agreement; and</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various covenants herein contained, and intending to be legally bound hereby, the parties hereto agree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right="380" w:firstLine="913"/>
        <w:spacing w:after="0" w:line="306" w:lineRule="auto"/>
        <w:rPr>
          <w:sz w:val="20"/>
          <w:szCs w:val="20"/>
          <w:color w:val="auto"/>
        </w:rPr>
      </w:pPr>
      <w:r>
        <w:rPr>
          <w:rFonts w:ascii="Arial" w:cs="Arial" w:eastAsia="Arial" w:hAnsi="Arial"/>
          <w:sz w:val="16"/>
          <w:szCs w:val="16"/>
          <w:color w:val="auto"/>
        </w:rPr>
        <w:t>Capitalized terms not otherwise defined below shall have the meaning set forth in the Plan or, as indicated herein, in that certain Amended and Restated Employment Agreement dated as of December 19, 2005 between the Company and the Participant, as amended (the “Employment Agreement”), as applicable. The masculine pronoun shall include the feminine and neuter, and the singular the plural, where the context so indicates.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w w:val="94"/>
              </w:rPr>
              <w:t xml:space="preserve">Section 1.1 Restricted Stock. </w:t>
            </w:r>
            <w:r>
              <w:rPr>
                <w:rFonts w:ascii="Arial" w:cs="Arial" w:eastAsia="Arial" w:hAnsi="Arial"/>
                <w:sz w:val="18"/>
                <w:szCs w:val="18"/>
                <w:color w:val="auto"/>
                <w:w w:val="94"/>
              </w:rPr>
              <w:t>“Restricted Stock” shall mean</w:t>
            </w:r>
          </w:p>
        </w:tc>
        <w:tc>
          <w:tcPr>
            <w:tcW w:w="5800" w:type="dxa"/>
            <w:vAlign w:val="bottom"/>
          </w:tcPr>
          <w:p>
            <w:pPr>
              <w:ind w:left="300"/>
              <w:spacing w:after="0"/>
              <w:rPr>
                <w:sz w:val="20"/>
                <w:szCs w:val="20"/>
                <w:color w:val="auto"/>
              </w:rPr>
            </w:pPr>
            <w:r>
              <w:rPr>
                <w:rFonts w:ascii="Arial" w:cs="Arial" w:eastAsia="Arial" w:hAnsi="Arial"/>
                <w:sz w:val="18"/>
                <w:szCs w:val="18"/>
                <w:color w:val="auto"/>
                <w:w w:val="87"/>
              </w:rPr>
              <w:t>shares of Common Stock of the Company issued under this Award Agreement</w:t>
            </w:r>
          </w:p>
        </w:tc>
      </w:tr>
      <w:tr>
        <w:trPr>
          <w:trHeight w:val="20"/>
        </w:trPr>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35"/>
        </w:trPr>
        <w:tc>
          <w:tcPr>
            <w:tcW w:w="5520" w:type="dxa"/>
            <w:vAlign w:val="bottom"/>
            <w:gridSpan w:val="3"/>
          </w:tcPr>
          <w:p>
            <w:pPr>
              <w:spacing w:after="0"/>
              <w:rPr>
                <w:sz w:val="20"/>
                <w:szCs w:val="20"/>
                <w:color w:val="auto"/>
              </w:rPr>
            </w:pPr>
            <w:r>
              <w:rPr>
                <w:rFonts w:ascii="Arial" w:cs="Arial" w:eastAsia="Arial" w:hAnsi="Arial"/>
                <w:sz w:val="18"/>
                <w:szCs w:val="18"/>
                <w:color w:val="auto"/>
              </w:rPr>
              <w:t>and subject to the Restrictions imposed hereunder.</w:t>
            </w:r>
          </w:p>
        </w:tc>
        <w:tc>
          <w:tcPr>
            <w:tcW w:w="5800" w:type="dxa"/>
            <w:vAlign w:val="bottom"/>
          </w:tcPr>
          <w:p>
            <w:pPr>
              <w:spacing w:after="0"/>
              <w:rPr>
                <w:sz w:val="20"/>
                <w:szCs w:val="20"/>
                <w:color w:val="auto"/>
              </w:rPr>
            </w:pPr>
          </w:p>
        </w:tc>
      </w:tr>
    </w:tbl>
    <w:p>
      <w:pPr>
        <w:spacing w:after="0" w:line="150"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b w:val="1"/>
          <w:bCs w:val="1"/>
          <w:u w:val="single" w:color="auto"/>
          <w:color w:val="auto"/>
        </w:rPr>
        <w:t>Section 1.2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“Restrictions” shall mean the forfeiture and transferability restrictions imposed upon Restricted Stock under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Section 1.3</w:t>
      </w:r>
      <w:r>
        <w:rPr>
          <w:rFonts w:ascii="Arial" w:cs="Arial" w:eastAsia="Arial" w:hAnsi="Arial"/>
          <w:sz w:val="16"/>
          <w:szCs w:val="16"/>
          <w:b w:val="1"/>
          <w:bCs w:val="1"/>
          <w:color w:val="auto"/>
        </w:rPr>
        <w:t xml:space="preserve"> Rule 16b-3. </w:t>
      </w:r>
      <w:r>
        <w:rPr>
          <w:rFonts w:ascii="Arial" w:cs="Arial" w:eastAsia="Arial" w:hAnsi="Arial"/>
          <w:sz w:val="16"/>
          <w:szCs w:val="16"/>
          <w:color w:val="auto"/>
        </w:rPr>
        <w:t>“Rule 16b-3” shall mean that certain Rule 16b-3 under the Exchange Act, as such Rule may be amended from time to time.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Section 1.4</w:t>
      </w:r>
      <w:r>
        <w:rPr>
          <w:rFonts w:ascii="Arial" w:cs="Arial" w:eastAsia="Arial" w:hAnsi="Arial"/>
          <w:sz w:val="18"/>
          <w:szCs w:val="18"/>
          <w:b w:val="1"/>
          <w:bCs w:val="1"/>
          <w:color w:val="auto"/>
        </w:rPr>
        <w:t xml:space="preserve"> Secretary. </w:t>
      </w:r>
      <w:r>
        <w:rPr>
          <w:rFonts w:ascii="Arial" w:cs="Arial" w:eastAsia="Arial" w:hAnsi="Arial"/>
          <w:sz w:val="18"/>
          <w:szCs w:val="18"/>
          <w:color w:val="auto"/>
        </w:rPr>
        <w:t>“Secretary” shall mean the Secretary of the Company.</w:t>
      </w:r>
    </w:p>
    <w:p>
      <w:pPr>
        <w:spacing w:after="0" w:line="171" w:lineRule="exact"/>
        <w:rPr>
          <w:sz w:val="20"/>
          <w:szCs w:val="20"/>
          <w:color w:val="auto"/>
        </w:rPr>
      </w:pPr>
    </w:p>
    <w:p>
      <w:pPr>
        <w:ind w:right="140" w:firstLine="913"/>
        <w:spacing w:after="0" w:line="301" w:lineRule="auto"/>
        <w:rPr>
          <w:sz w:val="20"/>
          <w:szCs w:val="20"/>
          <w:color w:val="auto"/>
        </w:rPr>
      </w:pPr>
      <w:r>
        <w:rPr>
          <w:rFonts w:ascii="Arial" w:cs="Arial" w:eastAsia="Arial" w:hAnsi="Arial"/>
          <w:sz w:val="16"/>
          <w:szCs w:val="16"/>
          <w:b w:val="1"/>
          <w:bCs w:val="1"/>
          <w:u w:val="single" w:color="auto"/>
          <w:color w:val="auto"/>
        </w:rPr>
        <w:t>Section 1.5</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“Termination of Service” shall mean the time when the Participant ceases to provide services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Related Corporations and Affiliates as an employee or Associate for any reason with or without cause, including, but not by way of limitation, a termination by resignation, discharge, death, or Disability, but excluding a termination where the Participant is simultaneously reemployed by, or remains employed by, or continues to provide services to, the Company and/or one or more of its Related Corporations and Affiliates or a successor entity thereto.</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Section 1.6</w:t>
      </w:r>
      <w:r>
        <w:rPr>
          <w:rFonts w:ascii="Arial" w:cs="Arial" w:eastAsia="Arial" w:hAnsi="Arial"/>
          <w:sz w:val="16"/>
          <w:szCs w:val="16"/>
          <w:b w:val="1"/>
          <w:bCs w:val="1"/>
          <w:color w:val="auto"/>
        </w:rPr>
        <w:t xml:space="preserve"> Vested Shares. </w:t>
      </w:r>
      <w:r>
        <w:rPr>
          <w:rFonts w:ascii="Arial" w:cs="Arial" w:eastAsia="Arial" w:hAnsi="Arial"/>
          <w:sz w:val="16"/>
          <w:szCs w:val="16"/>
          <w:color w:val="auto"/>
        </w:rPr>
        <w:t>“Vested Shares” shall mean the shares of Restricted Stock which are no longer subject to the Restrictions by reason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3.2.</w:t>
      </w:r>
    </w:p>
    <w:p>
      <w:pPr>
        <w:sectPr>
          <w:pgSz w:w="11900" w:h="16838" w:orient="portrait"/>
          <w:cols w:equalWidth="0" w:num="1">
            <w:col w:w="11420"/>
          </w:cols>
          <w:pgMar w:left="240" w:top="125" w:right="239" w:bottom="1440" w:gutter="0" w:footer="0" w:header="0"/>
        </w:sectPr>
      </w:pPr>
    </w:p>
    <w:bookmarkStart w:id="139" w:name="page140"/>
    <w:bookmarkEnd w:id="139"/>
    <w:p>
      <w:pPr>
        <w:ind w:left="9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1.7</w:t>
      </w:r>
      <w:r>
        <w:rPr>
          <w:rFonts w:ascii="Arial" w:cs="Arial" w:eastAsia="Arial" w:hAnsi="Arial"/>
          <w:sz w:val="16"/>
          <w:szCs w:val="16"/>
          <w:b w:val="1"/>
          <w:bCs w:val="1"/>
          <w:color w:val="auto"/>
        </w:rPr>
        <w:t xml:space="preserve"> Vesting Date. </w:t>
      </w:r>
      <w:r>
        <w:rPr>
          <w:rFonts w:ascii="Arial" w:cs="Arial" w:eastAsia="Arial" w:hAnsi="Arial"/>
          <w:sz w:val="16"/>
          <w:szCs w:val="16"/>
          <w:color w:val="auto"/>
        </w:rPr>
        <w:t>“Vesting Date” shall mean each of the first-, second- and third-year anniversary dates of the Award Date.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ISSUANCE OF RESTRICTED STOCK</w:t>
      </w:r>
    </w:p>
    <w:p>
      <w:pPr>
        <w:spacing w:after="0" w:line="159" w:lineRule="exact"/>
        <w:rPr>
          <w:sz w:val="20"/>
          <w:szCs w:val="20"/>
          <w:color w:val="auto"/>
        </w:rPr>
      </w:pPr>
    </w:p>
    <w:p>
      <w:pPr>
        <w:ind w:right="100" w:firstLine="913"/>
        <w:spacing w:after="0" w:line="296" w:lineRule="auto"/>
        <w:rPr>
          <w:sz w:val="20"/>
          <w:szCs w:val="20"/>
          <w:color w:val="auto"/>
        </w:rPr>
      </w:pPr>
      <w:r>
        <w:rPr>
          <w:rFonts w:ascii="Arial" w:cs="Arial" w:eastAsia="Arial" w:hAnsi="Arial"/>
          <w:sz w:val="16"/>
          <w:szCs w:val="16"/>
          <w:b w:val="1"/>
          <w:bCs w:val="1"/>
          <w:u w:val="single" w:color="auto"/>
          <w:color w:val="auto"/>
        </w:rPr>
        <w:t>Section 2.1</w:t>
      </w:r>
      <w:r>
        <w:rPr>
          <w:rFonts w:ascii="Arial" w:cs="Arial" w:eastAsia="Arial" w:hAnsi="Arial"/>
          <w:sz w:val="16"/>
          <w:szCs w:val="16"/>
          <w:b w:val="1"/>
          <w:bCs w:val="1"/>
          <w:color w:val="auto"/>
        </w:rPr>
        <w:t xml:space="preserve"> Issuance of Restricted Stock. </w:t>
      </w:r>
      <w:r>
        <w:rPr>
          <w:rFonts w:ascii="Arial" w:cs="Arial" w:eastAsia="Arial" w:hAnsi="Arial"/>
          <w:sz w:val="16"/>
          <w:szCs w:val="16"/>
          <w:color w:val="auto"/>
        </w:rPr>
        <w:t>On the date hereof the Company issues to the Participant the Restricted Stock subject to the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other conditions set forth in this Award Agreement. The Company shall cause the Restricted Stock to be issued in the name of the Participant or held in book entry form, but if a stock certificate is issued it shall be delivered to and held in custody by the Company until the Restrictions lapse or such Restricted Stock is forfeited. As a further condition to the Company’s obligations under this Award Agreement, the Participant’s spouse, if any, shall execute and deliver to the Company the Consent of Spouse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08"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b w:val="1"/>
          <w:bCs w:val="1"/>
          <w:u w:val="single" w:color="auto"/>
          <w:color w:val="auto"/>
        </w:rPr>
        <w:t>Section 2.2</w:t>
      </w:r>
      <w:r>
        <w:rPr>
          <w:rFonts w:ascii="Arial" w:cs="Arial" w:eastAsia="Arial" w:hAnsi="Arial"/>
          <w:sz w:val="18"/>
          <w:szCs w:val="18"/>
          <w:b w:val="1"/>
          <w:bCs w:val="1"/>
          <w:color w:val="auto"/>
        </w:rPr>
        <w:t xml:space="preserve"> Restrictions. </w:t>
      </w:r>
      <w:r>
        <w:rPr>
          <w:rFonts w:ascii="Arial" w:cs="Arial" w:eastAsia="Arial" w:hAnsi="Arial"/>
          <w:sz w:val="18"/>
          <w:szCs w:val="18"/>
          <w:color w:val="auto"/>
        </w:rPr>
        <w:t>Until vested pursuant to Section 3.2, the Restricted Stock shall be subject to forfeiture as provided in Section 3.1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sold, assigned, transferred, pledged, or otherwise encumbered or disposed of.</w:t>
      </w:r>
    </w:p>
    <w:p>
      <w:pPr>
        <w:spacing w:after="0" w:line="120" w:lineRule="exact"/>
        <w:rPr>
          <w:sz w:val="20"/>
          <w:szCs w:val="20"/>
          <w:color w:val="auto"/>
        </w:rPr>
      </w:pPr>
    </w:p>
    <w:p>
      <w:pPr>
        <w:jc w:val="both"/>
        <w:ind w:right="240" w:firstLine="913"/>
        <w:spacing w:after="0" w:line="262" w:lineRule="auto"/>
        <w:rPr>
          <w:sz w:val="20"/>
          <w:szCs w:val="20"/>
          <w:color w:val="auto"/>
        </w:rPr>
      </w:pPr>
      <w:r>
        <w:rPr>
          <w:rFonts w:ascii="Arial" w:cs="Arial" w:eastAsia="Arial" w:hAnsi="Arial"/>
          <w:sz w:val="18"/>
          <w:szCs w:val="18"/>
          <w:b w:val="1"/>
          <w:bCs w:val="1"/>
          <w:u w:val="single" w:color="auto"/>
          <w:color w:val="auto"/>
        </w:rPr>
        <w:t>Section 2.3</w:t>
      </w:r>
      <w:r>
        <w:rPr>
          <w:rFonts w:ascii="Arial" w:cs="Arial" w:eastAsia="Arial" w:hAnsi="Arial"/>
          <w:sz w:val="18"/>
          <w:szCs w:val="18"/>
          <w:b w:val="1"/>
          <w:bCs w:val="1"/>
          <w:color w:val="auto"/>
        </w:rPr>
        <w:t xml:space="preserve"> Voting and Dividend Rights. </w:t>
      </w:r>
      <w:r>
        <w:rPr>
          <w:rFonts w:ascii="Arial" w:cs="Arial" w:eastAsia="Arial" w:hAnsi="Arial"/>
          <w:sz w:val="18"/>
          <w:szCs w:val="18"/>
          <w:color w:val="auto"/>
        </w:rPr>
        <w:t>The Participant, shall have all the rights of a stockholder with respect to his Restricted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vote the Restricted Stock, except that the Participant shall have the right to receive all dividends or other distributions paid or made with respect to only those outstanding vested shares of Common Stock.</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RESTRICTIONS</w:t>
      </w:r>
    </w:p>
    <w:p>
      <w:pPr>
        <w:spacing w:after="0" w:line="159" w:lineRule="exact"/>
        <w:rPr>
          <w:sz w:val="20"/>
          <w:szCs w:val="20"/>
          <w:color w:val="auto"/>
        </w:rPr>
      </w:pPr>
    </w:p>
    <w:p>
      <w:pPr>
        <w:jc w:val="both"/>
        <w:ind w:right="80" w:firstLine="913"/>
        <w:spacing w:after="0" w:line="310" w:lineRule="auto"/>
        <w:rPr>
          <w:sz w:val="20"/>
          <w:szCs w:val="20"/>
          <w:color w:val="auto"/>
        </w:rPr>
      </w:pPr>
      <w:r>
        <w:rPr>
          <w:rFonts w:ascii="Arial" w:cs="Arial" w:eastAsia="Arial" w:hAnsi="Arial"/>
          <w:sz w:val="16"/>
          <w:szCs w:val="16"/>
          <w:b w:val="1"/>
          <w:bCs w:val="1"/>
          <w:u w:val="single" w:color="auto"/>
          <w:color w:val="auto"/>
        </w:rPr>
        <w:t>Section 3.1</w:t>
      </w:r>
      <w:r>
        <w:rPr>
          <w:rFonts w:ascii="Arial" w:cs="Arial" w:eastAsia="Arial" w:hAnsi="Arial"/>
          <w:sz w:val="16"/>
          <w:szCs w:val="16"/>
          <w:b w:val="1"/>
          <w:bCs w:val="1"/>
          <w:color w:val="auto"/>
        </w:rPr>
        <w:t xml:space="preserve"> Forfeiture. </w:t>
      </w:r>
      <w:r>
        <w:rPr>
          <w:rFonts w:ascii="Arial" w:cs="Arial" w:eastAsia="Arial" w:hAnsi="Arial"/>
          <w:sz w:val="16"/>
          <w:szCs w:val="16"/>
          <w:color w:val="auto"/>
        </w:rPr>
        <w:t>Upon the Participant’s Termination of Service, the Participant’s rights in Restricted Stock that has not yet vested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3.2 shall lapse, and such Restricted Stock shall be surrendered to the Company without consideration (and, in the event that certificates representing such Restricted Stock are held by the Company, such Restricted Stock shall be so transferred without any further action by the Participant).</w:t>
      </w:r>
    </w:p>
    <w:p>
      <w:pPr>
        <w:spacing w:after="0" w:line="9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u w:val="single" w:color="auto"/>
          <w:color w:val="auto"/>
        </w:rPr>
        <w:t>Section 3.2</w:t>
      </w:r>
      <w:r>
        <w:rPr>
          <w:rFonts w:ascii="Arial" w:cs="Arial" w:eastAsia="Arial" w:hAnsi="Arial"/>
          <w:sz w:val="16"/>
          <w:szCs w:val="16"/>
          <w:b w:val="1"/>
          <w:bCs w:val="1"/>
          <w:color w:val="auto"/>
        </w:rPr>
        <w:t xml:space="preserve"> Termination of Restrictions. </w:t>
      </w:r>
      <w:r>
        <w:rPr>
          <w:rFonts w:ascii="Arial" w:cs="Arial" w:eastAsia="Arial" w:hAnsi="Arial"/>
          <w:sz w:val="16"/>
          <w:szCs w:val="16"/>
          <w:color w:val="auto"/>
        </w:rPr>
        <w:t>The Restrictions shall terminate and lapse, and such shares shall vest in the Participant and become Vested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on each Vesting Date as provided in Section 3.3, provided that the Participant has continued to serve as an employee or an Associate from the Award Date to and including such Vesting Date. For the avoidance of doubt, in the event that a Termination of Service occurs on a Vesting Date as a result of the expiration of the term of the Participant’s employment with the Company, the shares of Restricted Stock scheduled to vest on such Vesting Date shall, as of such date, vest and become Vested Shares and the Restrictions thereon shall lapse. Notwithstanding the foregoing, upon a Change in Control, or in the event that the Participant’s employment is terminated by the Company without Cause, by the Participant for Good Reason, or as a result of the Participant’s death or Disability (each as defined in the Employment Agreement), or the Participant’s employment terminates as a result of the Employment Agreement not being renewed, or not being amended or replaced by a new employment agreement, upon the expiration of such agreement on January 4, 2013 or any extended expiration date, all Restrictions on outstanding shares of Restricted Stock shall thereupon lapse and all outstanding shares of Restricted Stock shall become Vested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0" w:name="page141"/>
    <w:bookmarkEnd w:id="140"/>
    <w:p>
      <w:pPr>
        <w:ind w:firstLine="913"/>
        <w:spacing w:after="0" w:line="289"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3.3</w:t>
      </w:r>
      <w:r>
        <w:rPr>
          <w:rFonts w:ascii="Arial" w:cs="Arial" w:eastAsia="Arial" w:hAnsi="Arial"/>
          <w:sz w:val="16"/>
          <w:szCs w:val="16"/>
          <w:b w:val="1"/>
          <w:bCs w:val="1"/>
          <w:color w:val="auto"/>
        </w:rPr>
        <w:t xml:space="preserve"> Lapse of Restrictions. </w:t>
      </w:r>
      <w:r>
        <w:rPr>
          <w:rFonts w:ascii="Arial" w:cs="Arial" w:eastAsia="Arial" w:hAnsi="Arial"/>
          <w:sz w:val="16"/>
          <w:szCs w:val="16"/>
          <w:color w:val="auto"/>
        </w:rPr>
        <w:t>Thirty-three percent (33%) of the shares of Restricted Stock shall become Vested Shares on each of the first two</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Dates, and thirty-four percent (34%) of the shares of Restricted Stock shall become Vested Shares on the third Vesting Date. On each Vesting Date, the Company shall issue new certificates evidencing such Vested Shares and deliver such certificates to the Participant or his legal representative, or record such Vested Shares in book entry form, free from the legend provided for in Section 4.2 and any of the other Restrictions; provided, however, such certificates shall bear any other legends and such book entry accounts shall be subject to any other restrictions as the Company may determine are required to comply with Section 4.6. Such Vested Shares shall cease to be considered Restricted Stock subject to the terms and conditions of this Award Agreement.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lapse of the Restrictions in accordance with Section 4.3.</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9" w:lineRule="exact"/>
        <w:rPr>
          <w:sz w:val="20"/>
          <w:szCs w:val="20"/>
          <w:color w:val="auto"/>
        </w:rPr>
      </w:pPr>
    </w:p>
    <w:p>
      <w:pPr>
        <w:ind w:right="340" w:firstLine="913"/>
        <w:spacing w:after="0" w:line="262" w:lineRule="auto"/>
        <w:rPr>
          <w:sz w:val="20"/>
          <w:szCs w:val="20"/>
          <w:color w:val="auto"/>
        </w:rPr>
      </w:pPr>
      <w:r>
        <w:rPr>
          <w:rFonts w:ascii="Arial" w:cs="Arial" w:eastAsia="Arial" w:hAnsi="Arial"/>
          <w:sz w:val="18"/>
          <w:szCs w:val="18"/>
          <w:b w:val="1"/>
          <w:bCs w:val="1"/>
          <w:u w:val="single" w:color="auto"/>
          <w:color w:val="auto"/>
        </w:rPr>
        <w:t>Section 4.1</w:t>
      </w:r>
      <w:r>
        <w:rPr>
          <w:rFonts w:ascii="Arial" w:cs="Arial" w:eastAsia="Arial" w:hAnsi="Arial"/>
          <w:sz w:val="18"/>
          <w:szCs w:val="18"/>
          <w:b w:val="1"/>
          <w:bCs w:val="1"/>
          <w:color w:val="auto"/>
        </w:rPr>
        <w:t xml:space="preserve"> No Additional Rights. </w:t>
      </w:r>
      <w:r>
        <w:rPr>
          <w:rFonts w:ascii="Arial" w:cs="Arial" w:eastAsia="Arial" w:hAnsi="Arial"/>
          <w:sz w:val="18"/>
          <w:szCs w:val="18"/>
          <w:color w:val="auto"/>
        </w:rPr>
        <w:t>Nothing in this Award Agreement or in the Plan shall confer upon any person any right to a position as an</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 or continued employment by the Company or any of its Related Corporations or Affiliates or affect in any way the right of any of the foregoing to terminate the services of an individual at any time.</w:t>
      </w:r>
    </w:p>
    <w:p>
      <w:pPr>
        <w:spacing w:after="0" w:line="132"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u w:val="single" w:color="auto"/>
          <w:color w:val="auto"/>
        </w:rPr>
        <w:t>Section 4.2</w:t>
      </w:r>
      <w:r>
        <w:rPr>
          <w:rFonts w:ascii="Arial" w:cs="Arial" w:eastAsia="Arial" w:hAnsi="Arial"/>
          <w:sz w:val="18"/>
          <w:szCs w:val="18"/>
          <w:b w:val="1"/>
          <w:bCs w:val="1"/>
          <w:color w:val="auto"/>
        </w:rPr>
        <w:t xml:space="preserve"> Legend. </w:t>
      </w:r>
      <w:r>
        <w:rPr>
          <w:rFonts w:ascii="Arial" w:cs="Arial" w:eastAsia="Arial" w:hAnsi="Arial"/>
          <w:sz w:val="18"/>
          <w:szCs w:val="18"/>
          <w:color w:val="auto"/>
        </w:rPr>
        <w:t>Any certificates representing shares of Restricted Stock issued pursuant to this Award Agreement shall, until all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lapse and new certificates are issued pursuant to Section 3.3, bear the following legend:</w:t>
      </w:r>
    </w:p>
    <w:p>
      <w:pPr>
        <w:spacing w:after="0" w:line="45" w:lineRule="exact"/>
        <w:rPr>
          <w:sz w:val="20"/>
          <w:szCs w:val="20"/>
          <w:color w:val="auto"/>
        </w:rPr>
      </w:pPr>
    </w:p>
    <w:p>
      <w:pPr>
        <w:ind w:left="240" w:firstLine="223"/>
        <w:spacing w:after="0" w:line="254" w:lineRule="auto"/>
        <w:rPr>
          <w:sz w:val="20"/>
          <w:szCs w:val="20"/>
          <w:color w:val="auto"/>
        </w:rPr>
      </w:pPr>
      <w:r>
        <w:rPr>
          <w:rFonts w:ascii="Arial" w:cs="Arial" w:eastAsia="Arial" w:hAnsi="Arial"/>
          <w:sz w:val="18"/>
          <w:szCs w:val="18"/>
          <w:color w:val="auto"/>
        </w:rPr>
        <w:t>THE SECURITIES REPRESENTED BY THIS CERTIFICATE ARE SUBJECT TO CERTAIN VESTING REQUIREMENTS AND MAY BE SUBJECT TO FORFEITURE UNDER THE TERMS OF THAT CERTAIN RESTRICTED STOCK AGREEMENT BY AND BETWEEN INTEGRA LIFESCIENCES HOLDINGS CORPORATION AND THE HOLDER OF THE SECURITIES. PRIOR TO VESTING OF OWNERSHIP IN THE SECURITIES, THEY MAY NOT BE, SOLD, ASSIGNED, TRANSFERRED, PLEDGED, OR OTHERWISE ENCUMBERED OR DISPOSED OF UNDER ANY CIRCUMSTANCES. COPIES OF THE ABOVE REFERENCED AGREEMENT ARE ON FILE AT THE OFFICES OF THE CORPORATION AT 311 ENTERPRISE DRIVE, PLAINSBORO, NEW JERSEY 08536.</w:t>
      </w:r>
    </w:p>
    <w:p>
      <w:pPr>
        <w:spacing w:after="0" w:line="13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u w:val="single" w:color="auto"/>
          <w:color w:val="auto"/>
        </w:rPr>
        <w:t>Section 4.3</w:t>
      </w:r>
      <w:r>
        <w:rPr>
          <w:rFonts w:ascii="Arial" w:cs="Arial" w:eastAsia="Arial" w:hAnsi="Arial"/>
          <w:sz w:val="18"/>
          <w:szCs w:val="18"/>
          <w:b w:val="1"/>
          <w:bCs w:val="1"/>
          <w:color w:val="auto"/>
        </w:rPr>
        <w:t xml:space="preserve"> Tax Withholding. </w:t>
      </w:r>
      <w:r>
        <w:rPr>
          <w:rFonts w:ascii="Arial" w:cs="Arial" w:eastAsia="Arial" w:hAnsi="Arial"/>
          <w:sz w:val="18"/>
          <w:szCs w:val="18"/>
          <w:color w:val="auto"/>
        </w:rPr>
        <w:t>On each Vesting Date, the Company shall inform the Participant of the amount of tax which must be withheld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all applicable federal, state and local tax laws. Subject to any applicable legal conditions or restrictions, the Company shall withhold from the shares of Restricted Stock a number of whole shares of common stock having a fair market value, determined as of such Vesting Date, not in excess of the minimum of tax required to be withheld by law.</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141" w:name="page142"/>
    <w:bookmarkEnd w:id="141"/>
    <w:p>
      <w:pPr>
        <w:ind w:firstLine="913"/>
        <w:spacing w:after="0" w:line="254"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4.4</w:t>
      </w:r>
      <w:r>
        <w:rPr>
          <w:rFonts w:ascii="Arial" w:cs="Arial" w:eastAsia="Arial" w:hAnsi="Arial"/>
          <w:sz w:val="18"/>
          <w:szCs w:val="18"/>
          <w:b w:val="1"/>
          <w:bCs w:val="1"/>
          <w:color w:val="auto"/>
        </w:rPr>
        <w:t xml:space="preserve"> Notices. </w:t>
      </w:r>
      <w:r>
        <w:rPr>
          <w:rFonts w:ascii="Arial" w:cs="Arial" w:eastAsia="Arial" w:hAnsi="Arial"/>
          <w:sz w:val="18"/>
          <w:szCs w:val="18"/>
          <w:color w:val="auto"/>
        </w:rPr>
        <w:t>Any notice to be given under the terms of this Award Agreement to the Company shall be addressed to the Company in care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Secretary, and any notice to be given to the Participant shall be addressed to him at the address given beneath his signature hereto. By a notice given pursuant to this Section 4.4,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4.4. Any notice shall have been deemed duly given when enclosed in a properly sealed envelope or wrapper addressed as aforesaid, deposited (with postage prepaid) in a post office or branch post office regularly maintained by the United States Postal Service.</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Section 4.5</w:t>
      </w:r>
      <w:r>
        <w:rPr>
          <w:rFonts w:ascii="Arial" w:cs="Arial" w:eastAsia="Arial" w:hAnsi="Arial"/>
          <w:sz w:val="16"/>
          <w:szCs w:val="16"/>
          <w:b w:val="1"/>
          <w:bCs w:val="1"/>
          <w:color w:val="auto"/>
        </w:rPr>
        <w:t xml:space="preserve"> Titles. </w:t>
      </w:r>
      <w:r>
        <w:rPr>
          <w:rFonts w:ascii="Arial" w:cs="Arial" w:eastAsia="Arial" w:hAnsi="Arial"/>
          <w:sz w:val="16"/>
          <w:szCs w:val="16"/>
          <w:color w:val="auto"/>
        </w:rPr>
        <w:t>Titles are provided herein for convenience only and are not to serve as a basis for interpretation or construction of this Award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9" w:lineRule="exact"/>
        <w:rPr>
          <w:sz w:val="20"/>
          <w:szCs w:val="20"/>
          <w:color w:val="auto"/>
        </w:rPr>
      </w:pPr>
    </w:p>
    <w:p>
      <w:pPr>
        <w:ind w:right="180" w:firstLine="913"/>
        <w:spacing w:after="0" w:line="296" w:lineRule="auto"/>
        <w:rPr>
          <w:sz w:val="20"/>
          <w:szCs w:val="20"/>
          <w:color w:val="auto"/>
        </w:rPr>
      </w:pPr>
      <w:r>
        <w:rPr>
          <w:rFonts w:ascii="Arial" w:cs="Arial" w:eastAsia="Arial" w:hAnsi="Arial"/>
          <w:sz w:val="16"/>
          <w:szCs w:val="16"/>
          <w:b w:val="1"/>
          <w:bCs w:val="1"/>
          <w:u w:val="single" w:color="auto"/>
          <w:color w:val="auto"/>
        </w:rPr>
        <w:t>Section 4.6</w:t>
      </w:r>
      <w:r>
        <w:rPr>
          <w:rFonts w:ascii="Arial" w:cs="Arial" w:eastAsia="Arial" w:hAnsi="Arial"/>
          <w:sz w:val="16"/>
          <w:szCs w:val="16"/>
          <w:b w:val="1"/>
          <w:bCs w:val="1"/>
          <w:color w:val="auto"/>
        </w:rPr>
        <w:t xml:space="preserve"> Conformity to Securities Laws. </w:t>
      </w:r>
      <w:r>
        <w:rPr>
          <w:rFonts w:ascii="Arial" w:cs="Arial" w:eastAsia="Arial" w:hAnsi="Arial"/>
          <w:sz w:val="16"/>
          <w:szCs w:val="16"/>
          <w:color w:val="auto"/>
        </w:rPr>
        <w:t>This Award Agreement is intended to conform to the extent necessary with all provisions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Act and the Exchange Act and any and all regulations and rules promulgated by the Securities and Exchange Commission thereunder, including without limitation Rule 16b-3. Notwithstanding anything herein to the contrary, this Award Agreement shall be administered, and the Restricted Stock shall be issued, only in such a manner as to conform to such laws, rules and regulations. To the extent permitted by applicable law, this Award Agreement and the Restricted Stock issued hereunder shall be deemed amended to the extent necessary to conform to such laws, rules and regulations.</w:t>
      </w:r>
    </w:p>
    <w:p>
      <w:pPr>
        <w:spacing w:after="0" w:line="108" w:lineRule="exact"/>
        <w:rPr>
          <w:sz w:val="20"/>
          <w:szCs w:val="20"/>
          <w:color w:val="auto"/>
        </w:rPr>
      </w:pPr>
    </w:p>
    <w:p>
      <w:pPr>
        <w:ind w:right="60" w:firstLine="913"/>
        <w:spacing w:after="0" w:line="275" w:lineRule="auto"/>
        <w:rPr>
          <w:sz w:val="20"/>
          <w:szCs w:val="20"/>
          <w:color w:val="auto"/>
        </w:rPr>
      </w:pPr>
      <w:r>
        <w:rPr>
          <w:rFonts w:ascii="Arial" w:cs="Arial" w:eastAsia="Arial" w:hAnsi="Arial"/>
          <w:sz w:val="18"/>
          <w:szCs w:val="18"/>
          <w:b w:val="1"/>
          <w:bCs w:val="1"/>
          <w:u w:val="single" w:color="auto"/>
          <w:color w:val="auto"/>
        </w:rPr>
        <w:t>Section 4.7</w:t>
      </w:r>
      <w:r>
        <w:rPr>
          <w:rFonts w:ascii="Arial" w:cs="Arial" w:eastAsia="Arial" w:hAnsi="Arial"/>
          <w:sz w:val="18"/>
          <w:szCs w:val="18"/>
          <w:b w:val="1"/>
          <w:bCs w:val="1"/>
          <w:color w:val="auto"/>
        </w:rPr>
        <w:t xml:space="preserve"> Amendment. </w:t>
      </w:r>
      <w:r>
        <w:rPr>
          <w:rFonts w:ascii="Arial" w:cs="Arial" w:eastAsia="Arial" w:hAnsi="Arial"/>
          <w:sz w:val="18"/>
          <w:szCs w:val="18"/>
          <w:color w:val="auto"/>
        </w:rPr>
        <w:t>This Award Agreement may be amended only by a writing executed by the parties hereto which specifically states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is amending this Award Agreement.</w:t>
      </w:r>
    </w:p>
    <w:p>
      <w:pPr>
        <w:spacing w:after="0" w:line="120" w:lineRule="exact"/>
        <w:rPr>
          <w:sz w:val="20"/>
          <w:szCs w:val="20"/>
          <w:color w:val="auto"/>
        </w:rPr>
      </w:pPr>
    </w:p>
    <w:p>
      <w:pPr>
        <w:ind w:right="780" w:firstLine="913"/>
        <w:spacing w:after="0" w:line="339" w:lineRule="auto"/>
        <w:rPr>
          <w:sz w:val="20"/>
          <w:szCs w:val="20"/>
          <w:color w:val="auto"/>
        </w:rPr>
      </w:pPr>
      <w:r>
        <w:rPr>
          <w:rFonts w:ascii="Arial" w:cs="Arial" w:eastAsia="Arial" w:hAnsi="Arial"/>
          <w:sz w:val="16"/>
          <w:szCs w:val="16"/>
          <w:b w:val="1"/>
          <w:bCs w:val="1"/>
          <w:u w:val="single" w:color="auto"/>
          <w:color w:val="auto"/>
        </w:rPr>
        <w:t>Section 4.8</w:t>
      </w:r>
      <w:r>
        <w:rPr>
          <w:rFonts w:ascii="Arial" w:cs="Arial" w:eastAsia="Arial" w:hAnsi="Arial"/>
          <w:sz w:val="16"/>
          <w:szCs w:val="16"/>
          <w:b w:val="1"/>
          <w:bCs w:val="1"/>
          <w:color w:val="auto"/>
        </w:rPr>
        <w:t xml:space="preserve"> Governing Law. </w:t>
      </w:r>
      <w:r>
        <w:rPr>
          <w:rFonts w:ascii="Arial" w:cs="Arial" w:eastAsia="Arial" w:hAnsi="Arial"/>
          <w:sz w:val="16"/>
          <w:szCs w:val="16"/>
          <w:color w:val="auto"/>
        </w:rPr>
        <w:t>The laws of the State of Delaware shall govern the interpretation, validity, administration, enforcement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terms of this Award Agreement regardless of the law that might be applied under principles of conflicts of laws.</w:t>
      </w:r>
    </w:p>
    <w:p>
      <w:pPr>
        <w:spacing w:after="0" w:line="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74" w:right="339" w:bottom="1440" w:gutter="0" w:footer="0" w:header="0"/>
        </w:sectPr>
      </w:pPr>
    </w:p>
    <w:bookmarkStart w:id="142" w:name="page143"/>
    <w:bookmarkEnd w:id="142"/>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HEREOF</w:t>
      </w:r>
      <w:r>
        <w:rPr>
          <w:rFonts w:ascii="Arial" w:cs="Arial" w:eastAsia="Arial" w:hAnsi="Arial"/>
          <w:sz w:val="18"/>
          <w:szCs w:val="18"/>
          <w:color w:val="auto"/>
        </w:rPr>
        <w:t>, this Award Agreement has been executed and delivered by the parties hereto.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00" w:type="dxa"/>
            <w:vAlign w:val="bottom"/>
            <w:gridSpan w:val="2"/>
          </w:tcPr>
          <w:p>
            <w:pPr>
              <w:spacing w:after="0"/>
              <w:rPr>
                <w:sz w:val="20"/>
                <w:szCs w:val="20"/>
                <w:color w:val="auto"/>
              </w:rPr>
            </w:pPr>
            <w:r>
              <w:rPr>
                <w:rFonts w:ascii="Arial" w:cs="Arial" w:eastAsia="Arial" w:hAnsi="Arial"/>
                <w:sz w:val="18"/>
                <w:szCs w:val="18"/>
                <w:color w:val="auto"/>
              </w:rPr>
              <w:t>THE PARTICIPANT</w:t>
            </w:r>
          </w:p>
        </w:tc>
        <w:tc>
          <w:tcPr>
            <w:tcW w:w="6620" w:type="dxa"/>
            <w:vAlign w:val="bottom"/>
            <w:gridSpan w:val="2"/>
          </w:tcPr>
          <w:p>
            <w:pPr>
              <w:ind w:left="1260"/>
              <w:spacing w:after="0"/>
              <w:rPr>
                <w:sz w:val="20"/>
                <w:szCs w:val="20"/>
                <w:color w:val="auto"/>
              </w:rPr>
            </w:pPr>
            <w:r>
              <w:rPr>
                <w:rFonts w:ascii="Arial" w:cs="Arial" w:eastAsia="Arial" w:hAnsi="Arial"/>
                <w:sz w:val="18"/>
                <w:szCs w:val="18"/>
                <w:color w:val="auto"/>
              </w:rPr>
              <w:t>INTEGRA LIFESCIENCES HOLDINGS CORPORATION</w:t>
            </w: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620" w:type="dxa"/>
            <w:vAlign w:val="bottom"/>
            <w:gridSpan w:val="2"/>
          </w:tcPr>
          <w:p>
            <w:pPr>
              <w:ind w:left="1260"/>
              <w:spacing w:after="0"/>
              <w:rPr>
                <w:sz w:val="20"/>
                <w:szCs w:val="20"/>
                <w:color w:val="auto"/>
              </w:rPr>
            </w:pPr>
            <w:r>
              <w:rPr>
                <w:rFonts w:ascii="Arial" w:cs="Arial" w:eastAsia="Arial" w:hAnsi="Arial"/>
                <w:sz w:val="18"/>
                <w:szCs w:val="18"/>
                <w:color w:val="auto"/>
              </w:rPr>
              <w:t>By</w:t>
            </w:r>
          </w:p>
        </w:tc>
      </w:tr>
      <w:tr>
        <w:trPr>
          <w:trHeight w:val="217"/>
        </w:trPr>
        <w:tc>
          <w:tcPr>
            <w:tcW w:w="20" w:type="dxa"/>
            <w:vAlign w:val="bottom"/>
          </w:tcPr>
          <w:p>
            <w:pPr>
              <w:spacing w:after="0"/>
              <w:rPr>
                <w:sz w:val="18"/>
                <w:szCs w:val="18"/>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John B. Henneman, III</w:t>
            </w:r>
          </w:p>
        </w:tc>
        <w:tc>
          <w:tcPr>
            <w:tcW w:w="1840" w:type="dxa"/>
            <w:vAlign w:val="bottom"/>
          </w:tcPr>
          <w:p>
            <w:pPr>
              <w:ind w:left="12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Peter J. Arduini</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c/o Integra LifeSciences Corporation</w:t>
            </w:r>
          </w:p>
        </w:tc>
        <w:tc>
          <w:tcPr>
            <w:tcW w:w="6620" w:type="dxa"/>
            <w:vAlign w:val="bottom"/>
            <w:gridSpan w:val="2"/>
          </w:tcPr>
          <w:p>
            <w:pPr>
              <w:ind w:left="1260"/>
              <w:spacing w:after="0"/>
              <w:rPr>
                <w:sz w:val="20"/>
                <w:szCs w:val="20"/>
                <w:color w:val="auto"/>
              </w:rPr>
            </w:pPr>
            <w:r>
              <w:rPr>
                <w:rFonts w:ascii="Arial" w:cs="Arial" w:eastAsia="Arial" w:hAnsi="Arial"/>
                <w:sz w:val="18"/>
                <w:szCs w:val="18"/>
                <w:color w:val="auto"/>
              </w:rPr>
              <w:t>Title:   President and Chief Executive Officer</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311 Enterprise Drive</w:t>
            </w:r>
          </w:p>
        </w:tc>
        <w:tc>
          <w:tcPr>
            <w:tcW w:w="18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Plainsboro, NJ 08536</w:t>
            </w:r>
          </w:p>
        </w:tc>
        <w:tc>
          <w:tcPr>
            <w:tcW w:w="18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40" w:type="dxa"/>
            <w:vAlign w:val="bottom"/>
          </w:tcPr>
          <w:p>
            <w:pPr>
              <w:ind w:left="880"/>
              <w:spacing w:after="0"/>
              <w:rPr>
                <w:sz w:val="20"/>
                <w:szCs w:val="20"/>
                <w:color w:val="auto"/>
              </w:rPr>
            </w:pPr>
            <w:r>
              <w:rPr>
                <w:rFonts w:ascii="Arial" w:cs="Arial" w:eastAsia="Arial" w:hAnsi="Arial"/>
                <w:sz w:val="18"/>
                <w:szCs w:val="18"/>
                <w:color w:val="auto"/>
              </w:rPr>
              <w:t>5</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A</w:t>
            </w:r>
          </w:p>
        </w:tc>
        <w:tc>
          <w:tcPr>
            <w:tcW w:w="4380" w:type="dxa"/>
            <w:vAlign w:val="bottom"/>
            <w:gridSpan w:val="2"/>
          </w:tcPr>
          <w:p>
            <w:pPr>
              <w:spacing w:after="0"/>
              <w:rPr>
                <w:sz w:val="17"/>
                <w:szCs w:val="17"/>
                <w:color w:val="auto"/>
              </w:rPr>
            </w:pPr>
          </w:p>
        </w:tc>
      </w:tr>
      <w:tr>
        <w:trPr>
          <w:trHeight w:val="358"/>
        </w:trPr>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780" w:type="dxa"/>
            <w:vAlign w:val="bottom"/>
            <w:gridSpan w:val="4"/>
          </w:tcPr>
          <w:p>
            <w:pPr>
              <w:jc w:val="center"/>
              <w:ind w:right="3920"/>
              <w:spacing w:after="0"/>
              <w:rPr>
                <w:sz w:val="20"/>
                <w:szCs w:val="20"/>
                <w:color w:val="auto"/>
              </w:rPr>
            </w:pPr>
            <w:r>
              <w:rPr>
                <w:rFonts w:ascii="Arial" w:cs="Arial" w:eastAsia="Arial" w:hAnsi="Arial"/>
                <w:sz w:val="18"/>
                <w:szCs w:val="18"/>
                <w:b w:val="1"/>
                <w:bCs w:val="1"/>
                <w:color w:val="auto"/>
                <w:w w:val="93"/>
              </w:rPr>
              <w:t>CONSENT OF SPOUSE</w:t>
            </w:r>
          </w:p>
        </w:tc>
      </w:tr>
      <w:tr>
        <w:trPr>
          <w:trHeight w:val="20"/>
        </w:trPr>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7"/>
        </w:trPr>
        <w:tc>
          <w:tcPr>
            <w:tcW w:w="540" w:type="dxa"/>
            <w:vAlign w:val="bottom"/>
          </w:tcPr>
          <w:p>
            <w:pPr>
              <w:spacing w:after="0"/>
              <w:rPr>
                <w:sz w:val="20"/>
                <w:szCs w:val="20"/>
                <w:color w:val="auto"/>
              </w:rPr>
            </w:pPr>
            <w:r>
              <w:rPr>
                <w:rFonts w:ascii="Arial" w:cs="Arial" w:eastAsia="Arial" w:hAnsi="Arial"/>
                <w:sz w:val="18"/>
                <w:szCs w:val="18"/>
                <w:color w:val="auto"/>
              </w:rPr>
              <w:t>I,</w:t>
            </w:r>
          </w:p>
        </w:tc>
        <w:tc>
          <w:tcPr>
            <w:tcW w:w="1660" w:type="dxa"/>
            <w:vAlign w:val="bottom"/>
          </w:tcPr>
          <w:p>
            <w:pPr>
              <w:ind w:left="440"/>
              <w:spacing w:after="0"/>
              <w:rPr>
                <w:sz w:val="20"/>
                <w:szCs w:val="20"/>
                <w:color w:val="auto"/>
              </w:rPr>
            </w:pPr>
            <w:r>
              <w:rPr>
                <w:rFonts w:ascii="Arial" w:cs="Arial" w:eastAsia="Arial" w:hAnsi="Arial"/>
                <w:sz w:val="18"/>
                <w:szCs w:val="18"/>
                <w:color w:val="auto"/>
              </w:rPr>
              <w:t>, spouse of</w:t>
            </w:r>
          </w:p>
        </w:tc>
        <w:tc>
          <w:tcPr>
            <w:tcW w:w="7900" w:type="dxa"/>
            <w:vAlign w:val="bottom"/>
            <w:gridSpan w:val="5"/>
          </w:tcPr>
          <w:p>
            <w:pPr>
              <w:ind w:left="460"/>
              <w:spacing w:after="0"/>
              <w:rPr>
                <w:sz w:val="20"/>
                <w:szCs w:val="20"/>
                <w:color w:val="auto"/>
              </w:rPr>
            </w:pPr>
            <w:r>
              <w:rPr>
                <w:rFonts w:ascii="Arial" w:cs="Arial" w:eastAsia="Arial" w:hAnsi="Arial"/>
                <w:sz w:val="18"/>
                <w:szCs w:val="18"/>
                <w:color w:val="auto"/>
                <w:w w:val="88"/>
              </w:rPr>
              <w:t>, have read and approve the foregoing Award Agreement. In consideration of granting of shares of Integra</w:t>
            </w:r>
          </w:p>
        </w:tc>
      </w:tr>
    </w:tbl>
    <w:p>
      <w:pPr>
        <w:spacing w:after="0" w:line="254" w:lineRule="auto"/>
        <w:rPr>
          <w:sz w:val="20"/>
          <w:szCs w:val="20"/>
          <w:color w:val="auto"/>
        </w:rPr>
      </w:pPr>
      <w:r>
        <w:rPr>
          <w:rFonts w:ascii="Arial" w:cs="Arial" w:eastAsia="Arial" w:hAnsi="Arial"/>
          <w:sz w:val="18"/>
          <w:szCs w:val="18"/>
          <w:color w:val="auto"/>
        </w:rPr>
        <w:t>LifeSciences Holdings Corporation to my spouse as set forth in the Award Agreement,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4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57" w:right="2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6600" w:type="dxa"/>
            <w:vAlign w:val="bottom"/>
            <w:gridSpan w:val="2"/>
          </w:tcPr>
          <w:p>
            <w:pPr>
              <w:ind w:left="2440"/>
              <w:spacing w:after="0"/>
              <w:rPr>
                <w:sz w:val="20"/>
                <w:szCs w:val="20"/>
                <w:color w:val="auto"/>
              </w:rPr>
            </w:pPr>
            <w:r>
              <w:rPr>
                <w:rFonts w:ascii="Arial" w:cs="Arial" w:eastAsia="Arial" w:hAnsi="Arial"/>
                <w:sz w:val="18"/>
                <w:szCs w:val="18"/>
                <w:color w:val="auto"/>
                <w:w w:val="89"/>
              </w:rPr>
              <w:t>Subsidiaries of Integra LifeSciences Holdings Corporation</w:t>
            </w:r>
          </w:p>
        </w:tc>
      </w:tr>
      <w:tr>
        <w:trPr>
          <w:trHeight w:val="340"/>
        </w:trPr>
        <w:tc>
          <w:tcPr>
            <w:tcW w:w="1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State or Country of</w:t>
            </w:r>
          </w:p>
        </w:tc>
      </w:tr>
      <w:tr>
        <w:trPr>
          <w:trHeight w:val="181"/>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of Subsidiary</w:t>
            </w:r>
          </w:p>
        </w:tc>
        <w:tc>
          <w:tcPr>
            <w:tcW w:w="4740" w:type="dxa"/>
            <w:vAlign w:val="bottom"/>
          </w:tcPr>
          <w:p>
            <w:pPr>
              <w:spacing w:after="0"/>
              <w:rPr>
                <w:sz w:val="15"/>
                <w:szCs w:val="15"/>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Incorporation or Organization</w:t>
            </w:r>
          </w:p>
        </w:tc>
      </w:tr>
      <w:tr>
        <w:trPr>
          <w:trHeight w:val="195"/>
        </w:trPr>
        <w:tc>
          <w:tcPr>
            <w:tcW w:w="5960" w:type="dxa"/>
            <w:vAlign w:val="bottom"/>
            <w:gridSpan w:val="2"/>
          </w:tcPr>
          <w:p>
            <w:pPr>
              <w:spacing w:after="0" w:line="195" w:lineRule="exact"/>
              <w:rPr>
                <w:sz w:val="20"/>
                <w:szCs w:val="20"/>
                <w:color w:val="auto"/>
              </w:rPr>
            </w:pPr>
            <w:r>
              <w:rPr>
                <w:rFonts w:ascii="Arial" w:cs="Arial" w:eastAsia="Arial" w:hAnsi="Arial"/>
                <w:sz w:val="18"/>
                <w:szCs w:val="18"/>
                <w:color w:val="auto"/>
              </w:rPr>
              <w:t>Ascension Orthopedics, Inc.</w:t>
            </w:r>
          </w:p>
        </w:tc>
        <w:tc>
          <w:tcPr>
            <w:tcW w:w="186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Ascension Orthopedics, Ltd.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Bimeco, Inc.</w:t>
            </w:r>
          </w:p>
        </w:tc>
        <w:tc>
          <w:tcPr>
            <w:tcW w:w="1860" w:type="dxa"/>
            <w:vAlign w:val="bottom"/>
          </w:tcPr>
          <w:p>
            <w:pPr>
              <w:spacing w:after="0"/>
              <w:rPr>
                <w:sz w:val="20"/>
                <w:szCs w:val="20"/>
                <w:color w:val="auto"/>
              </w:rPr>
            </w:pPr>
            <w:r>
              <w:rPr>
                <w:rFonts w:ascii="Arial" w:cs="Arial" w:eastAsia="Arial" w:hAnsi="Arial"/>
                <w:sz w:val="18"/>
                <w:szCs w:val="18"/>
                <w:color w:val="auto"/>
              </w:rPr>
              <w:t>Florida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CardioDyne, Inc.</w:t>
            </w:r>
          </w:p>
        </w:tc>
        <w:tc>
          <w:tcPr>
            <w:tcW w:w="18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Cathtec, Incorporated</w:t>
            </w:r>
          </w:p>
        </w:tc>
        <w:tc>
          <w:tcPr>
            <w:tcW w:w="18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Caveangle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EndoSolutions,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Fiber Imaging Technologies, Inc.</w:t>
            </w:r>
          </w:p>
        </w:tc>
        <w:tc>
          <w:tcPr>
            <w:tcW w:w="18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GMS, Gesellschaft für medizinische Sondentechnik mbH</w:t>
            </w:r>
          </w:p>
        </w:tc>
        <w:tc>
          <w:tcPr>
            <w:tcW w:w="1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ILS Services Switzerland Ltd.</w:t>
            </w:r>
          </w:p>
        </w:tc>
        <w:tc>
          <w:tcPr>
            <w:tcW w:w="18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Burlington MA, Inc. (formerly known as Integra Radionics,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Canada ULC (formerly known as Canada Microsurgical ULC)</w:t>
            </w:r>
          </w:p>
        </w:tc>
        <w:tc>
          <w:tcPr>
            <w:tcW w:w="186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CI, Inc.</w:t>
            </w:r>
          </w:p>
        </w:tc>
        <w:tc>
          <w:tcPr>
            <w:tcW w:w="186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Euro Holdings,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France Holdings SAS</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German Holdings GmbH</w:t>
            </w:r>
          </w:p>
        </w:tc>
        <w:tc>
          <w:tcPr>
            <w:tcW w:w="1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GmbH</w:t>
            </w:r>
          </w:p>
        </w:tc>
        <w:tc>
          <w:tcPr>
            <w:tcW w:w="1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Healthcare Products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(Canada) Holdings,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(France)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(Ireland) Limited</w:t>
            </w:r>
          </w:p>
        </w:tc>
        <w:tc>
          <w:tcPr>
            <w:tcW w:w="18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Corporation</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Holdings SAS</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NR Ireland Limited</w:t>
            </w:r>
          </w:p>
        </w:tc>
        <w:tc>
          <w:tcPr>
            <w:tcW w:w="18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Sales (Ireland) Limited</w:t>
            </w:r>
          </w:p>
        </w:tc>
        <w:tc>
          <w:tcPr>
            <w:tcW w:w="18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Services (France) SAS</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LifeSciences Shared Services (Ireland) Limited</w:t>
            </w:r>
          </w:p>
        </w:tc>
        <w:tc>
          <w:tcPr>
            <w:tcW w:w="18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LS (Benelux) NV</w:t>
            </w:r>
          </w:p>
        </w:tc>
        <w:tc>
          <w:tcPr>
            <w:tcW w:w="186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Luxtec, Inc.</w:t>
            </w:r>
          </w:p>
        </w:tc>
        <w:tc>
          <w:tcPr>
            <w:tcW w:w="18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ME GmbH</w:t>
            </w:r>
          </w:p>
        </w:tc>
        <w:tc>
          <w:tcPr>
            <w:tcW w:w="1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(International),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Holdings (UK)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Holdings B.V.</w:t>
            </w:r>
          </w:p>
        </w:tc>
        <w:tc>
          <w:tcPr>
            <w:tcW w:w="18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Implants (France) SA</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Pty Ltd.</w:t>
            </w:r>
          </w:p>
        </w:tc>
        <w:tc>
          <w:tcPr>
            <w:tcW w:w="186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Neurosciences Pty Ltd.</w:t>
            </w:r>
          </w:p>
        </w:tc>
        <w:tc>
          <w:tcPr>
            <w:tcW w:w="186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Sales,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Selector Corporation</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Integra York PA, Inc. (formerly known as Miltex,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IsoTis International SA</w:t>
            </w:r>
          </w:p>
        </w:tc>
        <w:tc>
          <w:tcPr>
            <w:tcW w:w="186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IsoTis NV</w:t>
            </w:r>
          </w:p>
        </w:tc>
        <w:tc>
          <w:tcPr>
            <w:tcW w:w="18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IsoTis OrthoBiologics, Inc.</w:t>
            </w:r>
          </w:p>
        </w:tc>
        <w:tc>
          <w:tcPr>
            <w:tcW w:w="1860" w:type="dxa"/>
            <w:vAlign w:val="bottom"/>
          </w:tcPr>
          <w:p>
            <w:pPr>
              <w:spacing w:after="0"/>
              <w:rPr>
                <w:sz w:val="20"/>
                <w:szCs w:val="20"/>
                <w:color w:val="auto"/>
              </w:rPr>
            </w:pPr>
            <w:r>
              <w:rPr>
                <w:rFonts w:ascii="Arial" w:cs="Arial" w:eastAsia="Arial" w:hAnsi="Arial"/>
                <w:sz w:val="18"/>
                <w:szCs w:val="18"/>
                <w:color w:val="auto"/>
              </w:rPr>
              <w:t>Washington</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IsoTis T.E. Facility B.V.</w:t>
            </w:r>
          </w:p>
        </w:tc>
        <w:tc>
          <w:tcPr>
            <w:tcW w:w="18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IsoTis,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 Jamner Surgical Instruments,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Jarit GmbH</w:t>
            </w:r>
          </w:p>
        </w:tc>
        <w:tc>
          <w:tcPr>
            <w:tcW w:w="1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LXU Healthcare, Inc. — Medical Specialty Products</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Miltex GmbH</w:t>
            </w:r>
          </w:p>
        </w:tc>
        <w:tc>
          <w:tcPr>
            <w:tcW w:w="18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Minnesota Scientific, Inc.</w:t>
            </w:r>
          </w:p>
        </w:tc>
        <w:tc>
          <w:tcPr>
            <w:tcW w:w="1860" w:type="dxa"/>
            <w:vAlign w:val="bottom"/>
          </w:tcPr>
          <w:p>
            <w:pPr>
              <w:spacing w:after="0"/>
              <w:rPr>
                <w:sz w:val="20"/>
                <w:szCs w:val="20"/>
                <w:color w:val="auto"/>
              </w:rPr>
            </w:pPr>
            <w:r>
              <w:rPr>
                <w:rFonts w:ascii="Arial" w:cs="Arial" w:eastAsia="Arial" w:hAnsi="Arial"/>
                <w:sz w:val="18"/>
                <w:szCs w:val="18"/>
                <w:color w:val="auto"/>
              </w:rPr>
              <w:t>Minnesota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Newdeal SAS</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Newdeal, Inc.</w:t>
            </w:r>
          </w:p>
        </w:tc>
        <w:tc>
          <w:tcPr>
            <w:tcW w:w="1860" w:type="dxa"/>
            <w:vAlign w:val="bottom"/>
          </w:tcPr>
          <w:p>
            <w:pPr>
              <w:spacing w:after="0"/>
              <w:rPr>
                <w:sz w:val="20"/>
                <w:szCs w:val="20"/>
                <w:color w:val="auto"/>
              </w:rPr>
            </w:pPr>
            <w:r>
              <w:rPr>
                <w:rFonts w:ascii="Arial" w:cs="Arial" w:eastAsia="Arial" w:hAnsi="Arial"/>
                <w:sz w:val="18"/>
                <w:szCs w:val="18"/>
                <w:color w:val="auto"/>
              </w:rPr>
              <w:t>Texas</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Precise Dental Holding Corp.</w:t>
            </w:r>
          </w:p>
        </w:tc>
        <w:tc>
          <w:tcPr>
            <w:tcW w:w="1860" w:type="dxa"/>
            <w:vAlign w:val="bottom"/>
          </w:tcPr>
          <w:p>
            <w:pPr>
              <w:spacing w:after="0"/>
              <w:rPr>
                <w:sz w:val="20"/>
                <w:szCs w:val="20"/>
                <w:color w:val="auto"/>
              </w:rPr>
            </w:pPr>
            <w:r>
              <w:rPr>
                <w:rFonts w:ascii="Arial" w:cs="Arial" w:eastAsia="Arial" w:hAnsi="Arial"/>
                <w:sz w:val="18"/>
                <w:szCs w:val="18"/>
                <w:color w:val="auto"/>
              </w:rPr>
              <w:t>New Jersey</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Precise Dental Internacional, S.A. de C.V.</w:t>
            </w:r>
          </w:p>
        </w:tc>
        <w:tc>
          <w:tcPr>
            <w:tcW w:w="186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Precise Dental Products, Ltd.</w:t>
            </w:r>
          </w:p>
        </w:tc>
        <w:tc>
          <w:tcPr>
            <w:tcW w:w="18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Precision Dental International, Inc.</w:t>
            </w:r>
          </w:p>
        </w:tc>
        <w:tc>
          <w:tcPr>
            <w:tcW w:w="18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SeaSpine,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Spembly Cryosurgery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Spembly Medical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22"/>
        </w:trPr>
        <w:tc>
          <w:tcPr>
            <w:tcW w:w="5960" w:type="dxa"/>
            <w:vAlign w:val="bottom"/>
            <w:gridSpan w:val="2"/>
          </w:tcPr>
          <w:p>
            <w:pPr>
              <w:spacing w:after="0"/>
              <w:rPr>
                <w:sz w:val="20"/>
                <w:szCs w:val="20"/>
                <w:color w:val="auto"/>
              </w:rPr>
            </w:pPr>
            <w:r>
              <w:rPr>
                <w:rFonts w:ascii="Arial" w:cs="Arial" w:eastAsia="Arial" w:hAnsi="Arial"/>
                <w:sz w:val="18"/>
                <w:szCs w:val="18"/>
                <w:color w:val="auto"/>
              </w:rPr>
              <w:t>Theken Spine, LLC</w:t>
            </w:r>
          </w:p>
        </w:tc>
        <w:tc>
          <w:tcPr>
            <w:tcW w:w="1860" w:type="dxa"/>
            <w:vAlign w:val="bottom"/>
          </w:tcPr>
          <w:p>
            <w:pPr>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420"/>
          </w:cols>
          <w:pgMar w:left="240" w:top="12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333-170210, 333-46024, 333-82233, 333-58235, 333-06577, 333-73512, 333-109042, 333-127488, 333-155263 and 333-170210) of Integra LifeSciences Holdings Corporation and its Subsidiaries of our report dated February 27, 2012 relating to the consolidated financial statements, financial statement schedule, and the effectiveness of internal control over financial reporting, which appears in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ectPr>
          <w:pgSz w:w="11900" w:h="16838" w:orient="portrait"/>
          <w:cols w:equalWidth="0" w:num="1">
            <w:col w:w="11380"/>
          </w:cols>
          <w:pgMar w:left="240" w:top="125" w:right="27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9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9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Finance and Administration, and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President and Chief Executive Officer of Integra LifeSciences Holdings Corporation (the “Company”), hereby certify that, to my knowledge:</w:t>
      </w:r>
    </w:p>
    <w:p>
      <w:pPr>
        <w:spacing w:after="0" w:line="113" w:lineRule="exact"/>
        <w:rPr>
          <w:sz w:val="20"/>
          <w:szCs w:val="20"/>
          <w:color w:val="auto"/>
        </w:rPr>
      </w:pPr>
    </w:p>
    <w:p>
      <w:pPr>
        <w:ind w:left="460" w:right="78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2011 (the “Report”) fully complies with the requirements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J. Arduini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72" w:lineRule="exact"/>
        <w:rPr>
          <w:sz w:val="20"/>
          <w:szCs w:val="20"/>
          <w:color w:val="auto"/>
        </w:rPr>
      </w:pPr>
    </w:p>
    <w:p>
      <w:pPr>
        <w:ind w:left="460" w:right="78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2011 (the “Report”) fully complies with the requirements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Finance and Administration, and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2"/>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lvl w:ilvl="1">
      <w:lvlJc w:val="left"/>
      <w:lvlText w:val="(%2)"/>
      <w:numFmt w:val="lowerRoman"/>
      <w:start w:val="3"/>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2"/>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emdash "/>
      <w:numFmt w:val="bullet"/>
      <w:start w:val="1"/>
    </w:lvl>
  </w:abstractNum>
  <w:abstractNum w:abstractNumId="21">
    <w:nsid w:val="6A2342EC"/>
    <w:multiLevelType w:val="hybridMultilevel"/>
    <w:lvl w:ilvl="0">
      <w:lvlJc w:val="left"/>
      <w:lvlText w:val="%1."/>
      <w:numFmt w:val="decimal"/>
      <w:start w:val="3"/>
    </w:lvl>
  </w:abstractNum>
  <w:abstractNum w:abstractNumId="22">
    <w:nsid w:val="2A487CB0"/>
    <w:multiLevelType w:val="hybridMultilevel"/>
    <w:lvl w:ilvl="0">
      <w:lvlJc w:val="left"/>
      <w:lvlText w:val="%1."/>
      <w:numFmt w:val="decimal"/>
      <w:start w:val="4"/>
    </w:lvl>
  </w:abstractNum>
  <w:abstractNum w:abstractNumId="23">
    <w:nsid w:val="1D4ED43B"/>
    <w:multiLevelType w:val="hybridMultilevel"/>
    <w:lvl w:ilvl="0">
      <w:lvlJc w:val="left"/>
      <w:lvlText w:val="%1."/>
      <w:numFmt w:val="decimal"/>
      <w:start w:val="5"/>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decimal"/>
      <w:start w:val="8"/>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decimal"/>
      <w:start w:val="9"/>
    </w:lvl>
  </w:abstractNum>
  <w:abstractNum w:abstractNumId="28">
    <w:nsid w:val="4B588F54"/>
    <w:multiLevelType w:val="hybridMultilevel"/>
    <w:lvl w:ilvl="0">
      <w:lvlJc w:val="left"/>
      <w:lvlText w:val="%1."/>
      <w:numFmt w:val="decimal"/>
      <w:start w:val="11"/>
    </w:lvl>
  </w:abstractNum>
  <w:abstractNum w:abstractNumId="29">
    <w:nsid w:val="542289EC"/>
    <w:multiLevelType w:val="hybridMultilevel"/>
    <w:lvl w:ilvl="0">
      <w:lvlJc w:val="left"/>
      <w:lvlText w:val="%1."/>
      <w:numFmt w:val="decimal"/>
      <w:start w:val="12"/>
    </w:lvl>
  </w:abstractNum>
  <w:abstractNum w:abstractNumId="30">
    <w:nsid w:val="6DE91B18"/>
    <w:multiLevelType w:val="hybridMultilevel"/>
    <w:lvl w:ilvl="0">
      <w:lvlJc w:val="left"/>
      <w:lvlText w:val="%1."/>
      <w:numFmt w:val="decimal"/>
      <w:start w:val="13"/>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decimal"/>
      <w:start w:val="14"/>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lvl w:ilvl="1">
      <w:lvlJc w:val="left"/>
      <w:lvlText w:val="(%2)"/>
      <w:numFmt w:val="lowerRoman"/>
      <w:start w:val="3"/>
    </w:lvl>
  </w:abstractNum>
  <w:abstractNum w:abstractNumId="37">
    <w:nsid w:val="3DC240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8">
    <w:nsid w:val="1BA026FA"/>
    <w:multiLevelType w:val="hybridMultilevel"/>
    <w:lvl w:ilvl="0">
      <w:lvlJc w:val="left"/>
      <w:lvlText w:val="%1"/>
      <w:numFmt w:val="lowerLetter"/>
      <w:start w:val="1"/>
    </w:lvl>
    <w:lvl w:ilvl="1">
      <w:lvlJc w:val="left"/>
      <w:lvlText w:val="(%2)"/>
      <w:numFmt w:val="decimal"/>
      <w:start w:val="5"/>
    </w:lvl>
  </w:abstractNum>
  <w:abstractNum w:abstractNumId="39">
    <w:nsid w:val="79A1DEAA"/>
    <w:multiLevelType w:val="hybridMultilevel"/>
    <w:lvl w:ilvl="0">
      <w:lvlJc w:val="left"/>
      <w:lvlText w:val="(%1)"/>
      <w:numFmt w:val="lowerLetter"/>
      <w:start w:val="4"/>
    </w:lvl>
    <w:lvl w:ilvl="1">
      <w:lvlJc w:val="left"/>
      <w:lvlText w:val="(%2)"/>
      <w:numFmt w:val="decimal"/>
      <w:start w:val="1"/>
    </w:lvl>
  </w:abstractNum>
  <w:abstractNum w:abstractNumId="40">
    <w:nsid w:val="75C6C33A"/>
    <w:multiLevelType w:val="hybridMultilevel"/>
    <w:lvl w:ilvl="0">
      <w:lvlJc w:val="left"/>
      <w:lvlText w:val="%1"/>
      <w:numFmt w:val="lowerLetter"/>
      <w:start w:val="1"/>
    </w:lvl>
    <w:lvl w:ilvl="1">
      <w:lvlJc w:val="left"/>
      <w:lvlText w:val="(%2)"/>
      <w:numFmt w:val="decimal"/>
      <w:start w:val="3"/>
    </w:lvl>
  </w:abstractNum>
  <w:abstractNum w:abstractNumId="41">
    <w:nsid w:val="12E685FB"/>
    <w:multiLevelType w:val="hybridMultilevel"/>
    <w:lvl w:ilvl="0">
      <w:lvlJc w:val="left"/>
      <w:lvlText w:val="(%1)"/>
      <w:numFmt w:val="lowerLetter"/>
      <w:start w:val="5"/>
    </w:lvl>
    <w:lvl w:ilvl="1">
      <w:lvlJc w:val="left"/>
      <w:lvlText w:val="%2"/>
      <w:numFmt w:val="decimal"/>
      <w:start w:val="1"/>
    </w:lvl>
  </w:abstractNum>
  <w:abstractNum w:abstractNumId="42">
    <w:nsid w:val="70C6A529"/>
    <w:multiLevelType w:val="hybridMultilevel"/>
    <w:lvl w:ilvl="0">
      <w:lvlJc w:val="left"/>
      <w:lvlText w:val="(%1)"/>
      <w:numFmt w:val="lowerLetter"/>
      <w:start w:val="6"/>
    </w:lvl>
    <w:lvl w:ilvl="1">
      <w:lvlJc w:val="left"/>
      <w:lvlText w:val="(%2)"/>
      <w:numFmt w:val="decimal"/>
      <w:start w:val="1"/>
    </w:lvl>
  </w:abstractNum>
  <w:abstractNum w:abstractNumId="43">
    <w:nsid w:val="520EEDD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2"/>
    </w:lvl>
  </w:abstractNum>
  <w:abstractNum w:abstractNumId="44">
    <w:nsid w:val="374A3FE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5">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6">
    <w:nsid w:val="23F9C13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7">
    <w:nsid w:val="649BB77C"/>
    <w:multiLevelType w:val="hybridMultilevel"/>
    <w:lvl w:ilvl="0">
      <w:lvlJc w:val="left"/>
      <w:lvlText w:val="(%1)"/>
      <w:numFmt w:val="lowerRoman"/>
      <w:start w:val="1"/>
    </w:lvl>
  </w:abstractNum>
  <w:abstractNum w:abstractNumId="48">
    <w:nsid w:val="275AC794"/>
    <w:multiLevelType w:val="hybridMultilevel"/>
    <w:lvl w:ilvl="0">
      <w:lvlJc w:val="left"/>
      <w:lvlText w:val="(%1)"/>
      <w:numFmt w:val="lowerRoman"/>
      <w:start w:val="4"/>
    </w:lvl>
  </w:abstractNum>
  <w:abstractNum w:abstractNumId="49">
    <w:nsid w:val="39386575"/>
    <w:multiLevelType w:val="hybridMultilevel"/>
    <w:lvl w:ilvl="0">
      <w:lvlJc w:val="left"/>
      <w:lvlText w:val="%1"/>
      <w:numFmt w:val="decimal"/>
      <w:start w:val="1"/>
    </w:lvl>
    <w:lvl w:ilvl="1">
      <w:lvlJc w:val="left"/>
      <w:lvlText w:val="(%2)"/>
      <w:numFmt w:val="lowerLetter"/>
      <w:start w:val="2"/>
    </w:lvl>
  </w:abstractNum>
  <w:abstractNum w:abstractNumId="50">
    <w:nsid w:val="1CF10FD8"/>
    <w:multiLevelType w:val="hybridMultilevel"/>
    <w:lvl w:ilvl="0">
      <w:lvlJc w:val="left"/>
      <w:lvlText w:val="%1."/>
      <w:numFmt w:val="decimal"/>
      <w:start w:val="5"/>
    </w:lvl>
    <w:lvl w:ilvl="1">
      <w:lvlJc w:val="left"/>
      <w:lvlText w:val="(%2)"/>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decimal"/>
      <w:start w:val="1"/>
    </w:lvl>
    <w:lvl w:ilvl="1">
      <w:lvlJc w:val="left"/>
      <w:lvlText w:val="(%2)"/>
      <w:numFmt w:val="lowerLetter"/>
      <w:start w:val="4"/>
    </w:lvl>
  </w:abstractNum>
  <w:abstractNum w:abstractNumId="53">
    <w:nsid w:val="47398C89"/>
    <w:multiLevelType w:val="hybridMultilevel"/>
    <w:lvl w:ilvl="0">
      <w:lvlJc w:val="left"/>
      <w:lvlText w:val="%1."/>
      <w:numFmt w:val="decimal"/>
      <w:start w:val="6"/>
    </w:lvl>
    <w:lvl w:ilvl="1">
      <w:lvlJc w:val="left"/>
      <w:lvlText w:val="%2"/>
      <w:numFmt w:val="lowerLetter"/>
      <w:start w:val="1"/>
    </w:lvl>
  </w:abstractNum>
  <w:abstractNum w:abstractNumId="54">
    <w:nsid w:val="354FE9F9"/>
    <w:multiLevelType w:val="hybridMultilevel"/>
    <w:lvl w:ilvl="0">
      <w:lvlJc w:val="left"/>
      <w:lvlText w:val="%1."/>
      <w:numFmt w:val="decimal"/>
      <w:start w:val="8"/>
    </w:lvl>
  </w:abstractNum>
  <w:abstractNum w:abstractNumId="55">
    <w:nsid w:val="15B5AF5C"/>
    <w:multiLevelType w:val="hybridMultilevel"/>
    <w:lvl w:ilvl="0">
      <w:lvlJc w:val="left"/>
      <w:lvlText w:val="%1."/>
      <w:numFmt w:val="decimal"/>
      <w:start w:val="15"/>
    </w:lvl>
    <w:lvl w:ilvl="1">
      <w:lvlJc w:val="left"/>
      <w:lvlText w:val="(%2)"/>
      <w:numFmt w:val="lowerLetter"/>
      <w:start w:val="1"/>
    </w:lvl>
  </w:abstractNum>
  <w:abstractNum w:abstractNumId="56">
    <w:nsid w:val="741226BB"/>
    <w:multiLevelType w:val="hybridMultilevel"/>
    <w:lvl w:ilvl="0">
      <w:lvlJc w:val="left"/>
      <w:lvlText w:val="(%1)"/>
      <w:numFmt w:val="lowerRoman"/>
      <w:start w:val="1"/>
    </w:lvl>
  </w:abstractNum>
  <w:abstractNum w:abstractNumId="57">
    <w:nsid w:val="D34B6A8"/>
    <w:multiLevelType w:val="hybridMultilevel"/>
    <w:lvl w:ilvl="0">
      <w:lvlJc w:val="left"/>
      <w:lvlText w:val="(%1)"/>
      <w:numFmt w:val="lowerLetter"/>
      <w:start w:val="10"/>
    </w:lvl>
    <w:lvl w:ilvl="1">
      <w:lvlJc w:val="left"/>
      <w:lvlText w:val="(%2)"/>
      <w:numFmt w:val="lowerRoman"/>
      <w:start w:val="1"/>
    </w:lvl>
  </w:abstractNum>
  <w:abstractNum w:abstractNumId="58">
    <w:nsid w:val="10233C99"/>
    <w:multiLevelType w:val="hybridMultilevel"/>
    <w:lvl w:ilvl="0">
      <w:lvlJc w:val="left"/>
      <w:lvlText w:val="(%1)"/>
      <w:numFmt w:val="lowerRoman"/>
      <w:start w:val="2"/>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2019-12-09T11:45:05Z</dcterms:created>
  <dcterms:modified xsi:type="dcterms:W3CDTF">2019-12-09T11:45:05Z</dcterms:modified>
</cp:coreProperties>
</file>