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1460" w:right="1799" w:hanging="89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COMMISSION FILE NO. 0-26224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6"/>
              </w:rPr>
              <w:t>DELAWARE</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color w:val="auto"/>
              </w:rPr>
              <w:t>51-0317849</w:t>
            </w:r>
          </w:p>
        </w:tc>
      </w:tr>
      <w:tr>
        <w:trPr>
          <w:trHeight w:val="209"/>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(I.R.S. EMPLOYER IDENTIFICATION NO.)</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6"/>
              </w:rPr>
              <w:t>INCORPORATION OR ORGANIZATION)</w:t>
            </w:r>
          </w:p>
        </w:tc>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18"/>
        </w:trPr>
        <w:tc>
          <w:tcPr>
            <w:tcW w:w="4420" w:type="dxa"/>
            <w:vAlign w:val="bottom"/>
          </w:tcPr>
          <w:p>
            <w:pPr>
              <w:jc w:val="center"/>
              <w:spacing w:after="0"/>
              <w:rPr>
                <w:sz w:val="20"/>
                <w:szCs w:val="20"/>
                <w:color w:val="auto"/>
              </w:rPr>
            </w:pPr>
            <w:r>
              <w:rPr>
                <w:rFonts w:ascii="Arial" w:cs="Arial" w:eastAsia="Arial" w:hAnsi="Arial"/>
                <w:sz w:val="18"/>
                <w:szCs w:val="18"/>
                <w:color w:val="auto"/>
                <w:w w:val="94"/>
              </w:rPr>
              <w:t>311 ENTERPRISE DRIVE</w:t>
            </w:r>
          </w:p>
        </w:tc>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4"/>
              </w:rPr>
              <w:t>PLAINSBORO, NEW JERSEY</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color w:val="auto"/>
              </w:rPr>
              <w:t>08536</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00" w:type="dxa"/>
            <w:vAlign w:val="bottom"/>
          </w:tcPr>
          <w:p>
            <w:pPr>
              <w:jc w:val="center"/>
              <w:ind w:right="90"/>
              <w:spacing w:after="0"/>
              <w:rPr>
                <w:sz w:val="20"/>
                <w:szCs w:val="20"/>
                <w:color w:val="auto"/>
              </w:rPr>
            </w:pPr>
            <w:r>
              <w:rPr>
                <w:rFonts w:ascii="Arial" w:cs="Arial" w:eastAsia="Arial" w:hAnsi="Arial"/>
                <w:sz w:val="18"/>
                <w:szCs w:val="18"/>
                <w:color w:val="auto"/>
                <w:w w:val="90"/>
              </w:rPr>
              <w:t>Large accelerated filer</w:t>
            </w:r>
          </w:p>
        </w:tc>
        <w:tc>
          <w:tcPr>
            <w:tcW w:w="1680" w:type="dxa"/>
            <w:vAlign w:val="bottom"/>
          </w:tcPr>
          <w:p>
            <w:pPr>
              <w:ind w:left="180"/>
              <w:spacing w:after="0"/>
              <w:rPr>
                <w:sz w:val="20"/>
                <w:szCs w:val="20"/>
                <w:color w:val="auto"/>
              </w:rPr>
            </w:pPr>
            <w:r>
              <w:rPr>
                <w:rFonts w:ascii="Arial" w:cs="Arial" w:eastAsia="Arial" w:hAnsi="Arial"/>
                <w:sz w:val="18"/>
                <w:szCs w:val="18"/>
                <w:color w:val="auto"/>
              </w:rPr>
              <w:t>Accelerated filer o</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w w:val="91"/>
              </w:rPr>
              <w:t>Non-accelerated filer o</w:t>
            </w:r>
          </w:p>
        </w:tc>
        <w:tc>
          <w:tcPr>
            <w:tcW w:w="2200" w:type="dxa"/>
            <w:vAlign w:val="bottom"/>
          </w:tcPr>
          <w:p>
            <w:pPr>
              <w:ind w:left="10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8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May 4, 2009 was 28,402,040.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40" w:type="dxa"/>
            <w:vAlign w:val="bottom"/>
            <w:gridSpan w:val="9"/>
          </w:tcPr>
          <w:p>
            <w:pPr>
              <w:jc w:val="center"/>
              <w:ind w:right="116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80" w:type="dxa"/>
            <w:vAlign w:val="bottom"/>
            <w:gridSpan w:val="7"/>
          </w:tcPr>
          <w:p>
            <w:pPr>
              <w:jc w:val="center"/>
              <w:ind w:right="174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80" w:type="dxa"/>
            <w:vAlign w:val="bottom"/>
            <w:gridSpan w:val="14"/>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280" w:type="dxa"/>
            <w:vAlign w:val="bottom"/>
            <w:gridSpan w:val="7"/>
            <w:vMerge w:val="restart"/>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Page Number</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0000EE"/>
            </w:tcBorders>
            <w:gridSpan w:val="14"/>
            <w:vMerge w:val="continue"/>
          </w:tcPr>
          <w:p>
            <w:pPr>
              <w:spacing w:after="0"/>
              <w:rPr>
                <w:sz w:val="14"/>
                <w:szCs w:val="14"/>
                <w:color w:val="auto"/>
              </w:rPr>
            </w:pPr>
          </w:p>
        </w:tc>
        <w:tc>
          <w:tcPr>
            <w:tcW w:w="5280" w:type="dxa"/>
            <w:vAlign w:val="bottom"/>
            <w:gridSpan w:val="7"/>
            <w:vMerge w:val="continue"/>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100" w:type="dxa"/>
            <w:vAlign w:val="bottom"/>
            <w:gridSpan w:val="10"/>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months ended March 31, 2009 and 2008</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440" w:type="dxa"/>
            <w:vAlign w:val="bottom"/>
            <w:gridSpan w:val="2"/>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Balance Sheets as of March 31, 2009 and December 31, 2008 (Unaudited)</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gridSpan w:val="19"/>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Cash Flows for the three months ended March 31, 2009 and 2008</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3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6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49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20" w:type="dxa"/>
            <w:vAlign w:val="bottom"/>
            <w:tcBorders>
              <w:top w:val="single" w:sz="8" w:color="0000EE"/>
            </w:tcBorders>
          </w:tcPr>
          <w:p>
            <w:pPr>
              <w:spacing w:after="0"/>
              <w:rPr>
                <w:sz w:val="24"/>
                <w:szCs w:val="24"/>
                <w:color w:val="auto"/>
              </w:rPr>
            </w:pPr>
          </w:p>
        </w:tc>
        <w:tc>
          <w:tcPr>
            <w:tcW w:w="1160" w:type="dxa"/>
            <w:vAlign w:val="bottom"/>
            <w:gridSpan w:val="4"/>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4. Controls and Procedures</w:t>
              </w:r>
            </w:hyperlink>
          </w:p>
        </w:tc>
        <w:tc>
          <w:tcPr>
            <w:tcW w:w="5840" w:type="dxa"/>
            <w:vAlign w:val="bottom"/>
            <w:gridSpan w:val="9"/>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1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60" w:type="dxa"/>
            <w:vAlign w:val="bottom"/>
            <w:tcBorders>
              <w:top w:val="single" w:sz="8" w:color="0000EE"/>
            </w:tcBorders>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5600" w:type="dxa"/>
            <w:vAlign w:val="bottom"/>
            <w:gridSpan w:val="8"/>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280" w:type="dxa"/>
            <w:vAlign w:val="bottom"/>
            <w:gridSpan w:val="11"/>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3260" w:type="dxa"/>
            <w:vAlign w:val="bottom"/>
            <w:gridSpan w:val="6"/>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81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020" w:type="dxa"/>
            <w:vAlign w:val="bottom"/>
            <w:gridSpan w:val="14"/>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8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EXHIBITS</w:t>
              </w:r>
            </w:hyperlink>
          </w:p>
        </w:tc>
        <w:tc>
          <w:tcPr>
            <w:tcW w:w="7340" w:type="dxa"/>
            <w:vAlign w:val="bottom"/>
            <w:gridSpan w:val="17"/>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0000EE"/>
              </w:rPr>
              <w:t>Exhibit 10.8</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10.9</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160,950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156,008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58,148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10,643</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7,798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66,451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62,489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2,973</w:t>
            </w:r>
          </w:p>
        </w:tc>
      </w:tr>
      <w:tr>
        <w:trPr>
          <w:trHeight w:val="27"/>
        </w:trPr>
        <w:tc>
          <w:tcPr>
            <w:tcW w:w="6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135,472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22,252</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20,536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(6,684)</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(8,567)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14,947</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14,163</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5,113</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28,943</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26,889</w:t>
            </w: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29,252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28,199</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to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1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rPr>
              <w:t>INTEGRA LIFESCIENCES HOLDINGS CORPORATION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60" w:type="dxa"/>
            <w:vAlign w:val="bottom"/>
          </w:tcPr>
          <w:p>
            <w:pPr>
              <w:jc w:val="center"/>
              <w:ind w:left="143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jc w:val="center"/>
              <w:ind w:left="1430"/>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3"/>
              </w:rPr>
              <w:t>March 31,</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Trade accounts receivable, net of allowances of $9,432 and $10,052</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101,610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112,417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141,582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21,325</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24,135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27,420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477,567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69,783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220,225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225,998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207,705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20,137</w:t>
            </w:r>
          </w:p>
        </w:tc>
        <w:tc>
          <w:tcPr>
            <w:tcW w:w="3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1,026,014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Borrowings under senior credit 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22,834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3,173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17,176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27,488</w:t>
            </w:r>
          </w:p>
        </w:tc>
        <w:tc>
          <w:tcPr>
            <w:tcW w:w="3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32,704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Long-term borrowings under senior credit facility</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convertible securities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271,307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19,170</w:t>
            </w:r>
          </w:p>
        </w:tc>
        <w:tc>
          <w:tcPr>
            <w:tcW w:w="3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19,474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653,705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Commitments and contingencies (see Footnote 12)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5"/>
              </w:rPr>
              <w:t>Common stock: $0.01 par value; 60,000 authorized shares; 34,458 and 34,352 issued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at March 31, 2009 and December 31, 2008, respectively</w:t>
            </w: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502,784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Treasury stock, at cost; 6,354 shares at March 31, 2009 and December 31, 2008</w:t>
            </w:r>
          </w:p>
        </w:tc>
        <w:tc>
          <w:tcPr>
            <w:tcW w:w="8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(252,380)</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(252,380)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Pension liability adjustment, net of tax</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125,773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116,206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372,309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995,417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0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rPr>
              <w:t>INTEGRA LIFESCIENCES HOLDINGS CORPORATION</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4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jc w:val="center"/>
              <w:ind w:left="151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tcPr>
          <w:p>
            <w:pPr>
              <w:jc w:val="center"/>
              <w:ind w:left="1510"/>
              <w:spacing w:after="0"/>
              <w:rPr>
                <w:sz w:val="20"/>
                <w:szCs w:val="20"/>
                <w:color w:val="auto"/>
              </w:rPr>
            </w:pPr>
            <w:r>
              <w:rPr>
                <w:rFonts w:ascii="Arial" w:cs="Arial" w:eastAsia="Arial" w:hAnsi="Arial"/>
                <w:sz w:val="18"/>
                <w:szCs w:val="18"/>
                <w:color w:val="auto"/>
                <w:w w:val="90"/>
              </w:rPr>
              <w:t>(In thousands)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9,567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9,050</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8,676</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7,073</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(3,689)</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Amortization of bond issuance costs</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4,352</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Payment of accreted interest</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(1,544)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bond repurchase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3,760</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3,478</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9,141</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(2,616)</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7,247</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(1,899)</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(5,420)</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4,755</w:t>
            </w:r>
          </w:p>
        </w:tc>
      </w:tr>
      <w:tr>
        <w:trPr>
          <w:trHeight w:val="216"/>
        </w:trPr>
        <w:tc>
          <w:tcPr>
            <w:tcW w:w="34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r>
      <w:tr>
        <w:trPr>
          <w:trHeight w:val="223"/>
        </w:trPr>
        <w:tc>
          <w:tcPr>
            <w:tcW w:w="3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(4,003)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w:t>
            </w:r>
          </w:p>
        </w:tc>
      </w:tr>
      <w:tr>
        <w:trPr>
          <w:trHeight w:val="223"/>
        </w:trPr>
        <w:tc>
          <w:tcPr>
            <w:tcW w:w="3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Borrowings under senior credit facility</w:t>
            </w:r>
          </w:p>
        </w:tc>
        <w:tc>
          <w:tcPr>
            <w:tcW w:w="3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120,000</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loans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3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(27,988)</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w:t>
            </w: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(27,957)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121,001</w:t>
            </w:r>
          </w:p>
        </w:tc>
      </w:tr>
      <w:tr>
        <w:trPr>
          <w:trHeight w:val="230"/>
        </w:trPr>
        <w:tc>
          <w:tcPr>
            <w:tcW w:w="3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141,674</w:t>
            </w:r>
          </w:p>
        </w:tc>
      </w:tr>
      <w:tr>
        <w:trPr>
          <w:trHeight w:val="216"/>
        </w:trPr>
        <w:tc>
          <w:tcPr>
            <w:tcW w:w="3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183,546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57,339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199,013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w:t>
      </w:r>
      <w:r>
        <w:rPr>
          <w:rFonts w:ascii="Arial" w:cs="Arial" w:eastAsia="Arial" w:hAnsi="Arial"/>
          <w:sz w:val="18"/>
          <w:szCs w:val="18"/>
          <w:color w:val="auto"/>
        </w:rPr>
        <w:t>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w:t>
      </w:r>
      <w:r>
        <w:rPr>
          <w:rFonts w:ascii="Arial" w:cs="Arial" w:eastAsia="Arial" w:hAnsi="Arial"/>
          <w:sz w:val="18"/>
          <w:szCs w:val="18"/>
          <w:color w:val="auto"/>
        </w:rPr>
        <w: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the opinion of management, the March 31, 2009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2008 included in the Company’s Annual Report on Form 10-K. The December 31, 2008 condensed consolidated balance sheet was derived from audited financial statements but does not include all disclosures required by accounting principles generally accepted in the United States. Operating results for the three-month period ended March 31, 2009 are not necessarily indicative of the results to be expected for the entire year.</w:t>
      </w:r>
    </w:p>
    <w:p>
      <w:pPr>
        <w:spacing w:after="0" w:line="137"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02"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 xml:space="preserve">Effective January 1, 2009, the Company adopted Financial Accounting Standards Board (“FASB”) Staff Position No. APB 14-1, </w:t>
      </w:r>
      <w:r>
        <w:rPr>
          <w:rFonts w:ascii="Arial" w:cs="Arial" w:eastAsia="Arial" w:hAnsi="Arial"/>
          <w:sz w:val="17"/>
          <w:szCs w:val="17"/>
          <w:i w:val="1"/>
          <w:iCs w:val="1"/>
          <w:color w:val="auto"/>
        </w:rPr>
        <w:t xml:space="preserve">Accounting for Convertible Debt Instruments that May be Settled in Cash Upon Conversion (Including Partial Cash Settlement) </w:t>
      </w:r>
      <w:r>
        <w:rPr>
          <w:rFonts w:ascii="Arial" w:cs="Arial" w:eastAsia="Arial" w:hAnsi="Arial"/>
          <w:sz w:val="17"/>
          <w:szCs w:val="17"/>
          <w:color w:val="auto"/>
        </w:rPr>
        <w:t>(“FSP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FSP APB 14-1 is effective for our $330.0 million aggregate principal amount of our senior convertible notes due June 2010 and June 2012 with an annual rate of 2.75% and 2.375%, respectively, (the “2010 Notes” and the “2012 Notes,” respectively), and the $119.5 million exchanged portion of our contingent convertible subordinated notes due March 2008 with an annual rate of 2.5% (the “2008 Notes”) and requires retrospective application for all periods presented. FSP APB 14-1 requires the issuer of convertible debt instruments with cash settlement features to separately account for the liability. As of the date of issuance for the 2010 Notes and the 2012 Notes, and the date of modification for the 2008 Notes (collectively, the “Covered Notes”), the result of the impact of FSP APB 14-1 for each of the Covered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Date impacted by FSP APB 14-1</w:t>
            </w:r>
          </w:p>
        </w:tc>
        <w:tc>
          <w:tcPr>
            <w:tcW w:w="1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June 2007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June 2007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Amount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Component</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bl>
    <w:p>
      <w:pPr>
        <w:spacing w:after="0" w:line="16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debt component was recognized at the present value of its cash flows discounted using discount rates of 9.70%, 6.47% and 6.81%, our borrowing rate at the date of exchange of the 2008 Notes and the dates of the issuance of the 2010 Notes and the 2012 Notes, respectively, for a similar debt instrument without the conversion feature. For additional information, see Note 6, “Debt.” FSP APB 14-1 also requires an accretion of the resultant debt discount over the expected life of the Covered Notes, which is March, 2008 to June, 2012.</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sets forth the effect of the retrospective application of FSP APB 14-1 on certain previously reported line items (in thousands, except per share amounts):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1"/>
              </w:rPr>
              <w:t>Three Months Ended March 31, 2008</w:t>
            </w:r>
          </w:p>
        </w:tc>
      </w:tr>
      <w:tr>
        <w:trPr>
          <w:trHeight w:val="191"/>
        </w:trPr>
        <w:tc>
          <w:tcPr>
            <w:tcW w:w="570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Originally</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6"/>
                <w:szCs w:val="16"/>
                <w:color w:val="auto"/>
              </w:rPr>
            </w:pPr>
          </w:p>
        </w:tc>
      </w:tr>
      <w:tr>
        <w:trPr>
          <w:trHeight w:val="234"/>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2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Adjusted</w:t>
            </w:r>
          </w:p>
        </w:tc>
      </w:tr>
      <w:tr>
        <w:trPr>
          <w:trHeight w:val="210"/>
        </w:trPr>
        <w:tc>
          <w:tcPr>
            <w:tcW w:w="5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(4,215)</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5,113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r>
      <w:tr>
        <w:trPr>
          <w:trHeight w:val="392"/>
        </w:trPr>
        <w:tc>
          <w:tcPr>
            <w:tcW w:w="570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 2008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5700" w:type="dxa"/>
            <w:vAlign w:val="bottom"/>
          </w:tcPr>
          <w:p>
            <w:pPr>
              <w:spacing w:after="0"/>
              <w:rPr>
                <w:sz w:val="16"/>
                <w:szCs w:val="16"/>
                <w:color w:val="auto"/>
              </w:rPr>
            </w:pPr>
          </w:p>
        </w:tc>
        <w:tc>
          <w:tcPr>
            <w:tcW w:w="102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Originally</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6"/>
                <w:szCs w:val="16"/>
                <w:color w:val="auto"/>
              </w:rPr>
            </w:pPr>
          </w:p>
        </w:tc>
      </w:tr>
      <w:tr>
        <w:trPr>
          <w:trHeight w:val="234"/>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2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Adjusted</w:t>
            </w:r>
          </w:p>
        </w:tc>
      </w:tr>
      <w:tr>
        <w:trPr>
          <w:trHeight w:val="210"/>
        </w:trPr>
        <w:tc>
          <w:tcPr>
            <w:tcW w:w="5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28,565</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Long-term convertible securities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(30,520)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299,480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464,668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502,784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132,219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(16,013)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116,206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350,206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372,309</w:t>
            </w:r>
          </w:p>
        </w:tc>
      </w:tr>
      <w:tr>
        <w:trPr>
          <w:trHeight w:val="392"/>
        </w:trPr>
        <w:tc>
          <w:tcPr>
            <w:tcW w:w="57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1"/>
              </w:rPr>
              <w:t>Three Months Ended March 31, 2008</w:t>
            </w:r>
          </w:p>
        </w:tc>
      </w:tr>
      <w:tr>
        <w:trPr>
          <w:trHeight w:val="191"/>
        </w:trPr>
        <w:tc>
          <w:tcPr>
            <w:tcW w:w="570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Originally</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6"/>
                <w:szCs w:val="16"/>
                <w:color w:val="auto"/>
              </w:rPr>
            </w:pPr>
          </w:p>
        </w:tc>
      </w:tr>
      <w:tr>
        <w:trPr>
          <w:trHeight w:val="234"/>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2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Adjusted</w:t>
            </w:r>
          </w:p>
        </w:tc>
      </w:tr>
      <w:tr>
        <w:trPr>
          <w:trHeight w:val="210"/>
        </w:trPr>
        <w:tc>
          <w:tcPr>
            <w:tcW w:w="5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11,565</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(3,689)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4,352</w:t>
            </w:r>
          </w:p>
        </w:tc>
      </w:tr>
    </w:tbl>
    <w:p>
      <w:pPr>
        <w:spacing w:after="0" w:line="17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 the three months ended March 31, 2009, the additional pre-tax non-cash interest expense recognized in the condensed consolidated income statement was $2.8 million. Accumulated amortization related to the debt discount was $8.2 million and $5.5 million as of March 31, 2009 and December 31, 2008, respectively. The pre-tax increase in non-cash interest expense on our condensed consolidated statements of income to be recognized through 2012, the latest maturity date of the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Pre-tax increase in non-cash interest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bl>
    <w:p>
      <w:pPr>
        <w:spacing w:after="0" w:line="16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Effective January 1, 2009, the Company adopted FASB Staff Position No. EITF 03-6-1, </w:t>
      </w:r>
      <w:r>
        <w:rPr>
          <w:rFonts w:ascii="Arial" w:cs="Arial" w:eastAsia="Arial" w:hAnsi="Arial"/>
          <w:sz w:val="18"/>
          <w:szCs w:val="18"/>
          <w:i w:val="1"/>
          <w:iCs w:val="1"/>
          <w:color w:val="auto"/>
        </w:rPr>
        <w:t>Determining Whether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Granted in Share-Based Payment Transactions Are Participating Securities </w:t>
      </w:r>
      <w:r>
        <w:rPr>
          <w:rFonts w:ascii="Arial" w:cs="Arial" w:eastAsia="Arial" w:hAnsi="Arial"/>
          <w:sz w:val="18"/>
          <w:szCs w:val="18"/>
          <w:color w:val="auto"/>
        </w:rPr>
        <w:t>(“FSP 03-6-1”). In FSP 03-6-1, unvested share-based payment awards that contain rights to receive nonforfeitable dividends or dividend equivalents (whether paid or unpaid) are participating securities, and thus, should be included in the two-class method of computing earnings per share (“EPS”). The adoption of this standard did not have a material impact on the Company’s disclosure of EPS. See Note 10, “Net Income Per Share” for a further discussion.</w:t>
      </w:r>
    </w:p>
    <w:p>
      <w:pPr>
        <w:spacing w:after="0" w:line="153"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 xml:space="preserve">Effective January 1, 2009, the Company adopted FASB Statement No. 141(R), Business Combinations (“Statement 141(R)”), a replacement of FASB Statement No. 141. Statement 141(R) changes the practice for accounting for business combinations, such as requiring that the Company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the Company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would have been met at the acquisition date. Additionally, Statement 141(R)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Statement 141(R) could result in an increase or decrease in future selling, general and administrative and other operating expenses, depending upon the extent of the Company’s acquisition related activities going forward. No business combination transactions occurred during the three months ended March 31, 2009. The adoption of this standard did not have a material impact on the Company’s financial condition and results of operations.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19"/>
          </w:cols>
          <w:pgMar w:left="240" w:top="419" w:right="1440"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 xml:space="preserve">In April 2008, the FASB issued FASB Staff Position No.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(“FAS 142-3”). FAS 142-3 amends the factors that should be considered in developing renewal or extension assumptions used to determine the useful life of a recognized intangible asset under Statement of Financial Accounting Standards No. 142,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Intangible Assets </w:t>
      </w:r>
      <w:r>
        <w:rPr>
          <w:rFonts w:ascii="Arial" w:cs="Arial" w:eastAsia="Arial" w:hAnsi="Arial"/>
          <w:sz w:val="18"/>
          <w:szCs w:val="18"/>
          <w:color w:val="auto"/>
        </w:rPr>
        <w:t>(“SFAS 142”). The intent of FAS 142-3 is to improve the consistency between the useful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intangible asset under SFAS 142 and the period of expected cash flows used to measure the fair value of the asset under SFAS 141(R), and other generally accepted accounting principles. FAS 142-3 is effective for fiscal years beginning after December 15, 2008. The adoption of this standard did not have a material impact on the Company’s financial condition and results of operations.</w:t>
      </w:r>
    </w:p>
    <w:p>
      <w:pPr>
        <w:spacing w:after="0" w:line="16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The Company adopted FASB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(“FSP 157-2”), on January 1, 2009, which delayed the effective date of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for all non-financial assets and non-financial liabilities, except for items that are recognized or disclosed at fair value on a recurring basis (at least annually). The adoption of this standard did not have a material impact on the Company’s financial condition and results of operations.</w:t>
      </w:r>
    </w:p>
    <w:p>
      <w:pPr>
        <w:spacing w:after="0" w:line="14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 xml:space="preserve">The Company adopted FASB Statement No. 161, </w:t>
      </w:r>
      <w:r>
        <w:rPr>
          <w:rFonts w:ascii="Arial" w:cs="Arial" w:eastAsia="Arial" w:hAnsi="Arial"/>
          <w:sz w:val="17"/>
          <w:szCs w:val="17"/>
          <w:i w:val="1"/>
          <w:iCs w:val="1"/>
          <w:color w:val="auto"/>
        </w:rPr>
        <w:t>Disclosures about Derivative Instruments and Hedging Activities</w:t>
      </w:r>
      <w:r>
        <w:rPr>
          <w:rFonts w:ascii="Arial" w:cs="Arial" w:eastAsia="Arial" w:hAnsi="Arial"/>
          <w:sz w:val="17"/>
          <w:szCs w:val="17"/>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does not affect our financial position or results of operations.</w:t>
      </w:r>
    </w:p>
    <w:p>
      <w:pPr>
        <w:spacing w:after="0" w:line="138"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June 2008, the FASB ratified Emerging Issues Task Force (“EITF”) Issue No. 07-05, </w:t>
      </w:r>
      <w:r>
        <w:rPr>
          <w:rFonts w:ascii="Arial" w:cs="Arial" w:eastAsia="Arial" w:hAnsi="Arial"/>
          <w:sz w:val="18"/>
          <w:szCs w:val="18"/>
          <w:i w:val="1"/>
          <w:iCs w:val="1"/>
          <w:color w:val="auto"/>
        </w:rPr>
        <w:t>Determining Whether an Instrument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Embedded Feature) is Indexed to an Entity’s Own Stock </w:t>
      </w:r>
      <w:r>
        <w:rPr>
          <w:rFonts w:ascii="Arial" w:cs="Arial" w:eastAsia="Arial" w:hAnsi="Arial"/>
          <w:sz w:val="18"/>
          <w:szCs w:val="18"/>
          <w:color w:val="auto"/>
        </w:rPr>
        <w:t>(“EITF 07-05”). EITF 07-05 mandates a two-step process for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an equity-linked financial instrument or embedded feature is indexed to the entity’s own stock, for the purpose of applying the Paragraph 11(a) scope exception in FASB, Statement No. 133, </w:t>
      </w:r>
      <w:r>
        <w:rPr>
          <w:rFonts w:ascii="Arial" w:cs="Arial" w:eastAsia="Arial" w:hAnsi="Arial"/>
          <w:sz w:val="18"/>
          <w:szCs w:val="18"/>
          <w:i w:val="1"/>
          <w:iCs w:val="1"/>
          <w:color w:val="auto"/>
        </w:rPr>
        <w:t>Accounting for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Equity instruments that a company issues that contain a strike price adjustment feature, upon the adoption of EITF 07-05, may no longer be considered indexed to the company’s own stock. Accordingly, adoption of EITF 07-05 may change the current classification (from equity to liability) and the related accounting for such equity instruments outstanding at that date. EITF 07-05 is effective for fiscal years beginning after December 15, 2008, and interim periods within those fiscal years. The adoption of this standard did not change the classification of the Company’s warrants issued in connection with the convertible debt.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May 2008, the FASB issued Statement of Financial Accounting Standards No. 162, </w:t>
      </w:r>
      <w:r>
        <w:rPr>
          <w:rFonts w:ascii="Arial" w:cs="Arial" w:eastAsia="Arial" w:hAnsi="Arial"/>
          <w:sz w:val="18"/>
          <w:szCs w:val="18"/>
          <w:i w:val="1"/>
          <w:iCs w:val="1"/>
          <w:color w:val="auto"/>
        </w:rPr>
        <w:t>The Hierarchy of Generally Accepted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w:t>
      </w:r>
      <w:r>
        <w:rPr>
          <w:rFonts w:ascii="Arial" w:cs="Arial" w:eastAsia="Arial" w:hAnsi="Arial"/>
          <w:sz w:val="18"/>
          <w:szCs w:val="18"/>
          <w:color w:val="auto"/>
        </w:rPr>
        <w:t>(“SFAS 162”). SFAS 162 identifies the sources of accounting principles and the framework for selecting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principles used in the preparation of financial statements of nongovernmental entities that are presented in conformity with GAAP in the U.S. Any effect of applying the provisions of SFAS 162 shall be reported as a change in accounting principle in accordance with 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SFAS 162 is effective 60 days following approval by the Securities and Exchange Commission of the Public Company Accounting Oversight Board amendments to AU Section 411, The Meaning of Present Fairly in Conformity with Generally Accepted Accounting Principles. The Company does not anticipate that the adoption of SFAS 162 will have a material impact on its financial statements.</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ACQUISITIONS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Minnesota Scientific, Inc.</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7"/>
          <w:szCs w:val="17"/>
          <w:color w:val="auto"/>
        </w:rPr>
        <w:t>In December 2008, the Company acquired Minnesota Scientific, Inc., doing business as Omni-Tract Surgical (“Omni-Tract”), for $6.4 million in cash paid at closing, 310,000 unregistered shares of the Company’s common stock valued at $10.7 million (of which 135,000 shares were issued at closing, with the remainder issued in January 2009),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The Company will integrate Omni-Tract’s product lines into its combined offering of JARIT</w:t>
      </w:r>
      <w:r>
        <w:rPr>
          <w:rFonts w:ascii="Arial" w:cs="Arial" w:eastAsia="Arial" w:hAnsi="Arial"/>
          <w:sz w:val="25"/>
          <w:szCs w:val="25"/>
          <w:color w:val="auto"/>
          <w:vertAlign w:val="superscript"/>
        </w:rPr>
        <w:t>®</w:t>
      </w:r>
      <w:r>
        <w:rPr>
          <w:rFonts w:ascii="Arial" w:cs="Arial" w:eastAsia="Arial" w:hAnsi="Arial"/>
          <w:sz w:val="17"/>
          <w:szCs w:val="17"/>
          <w:color w:val="auto"/>
        </w:rPr>
        <w:t>, Padgett™, R&amp;B Redmond™, and 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lines of surgical instruments and illumination systems sold by the Integra Medical Instruments sales organization.</w:t>
      </w:r>
    </w:p>
    <w:p>
      <w:pPr>
        <w:spacing w:after="0" w:line="14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w w:val="96"/>
              </w:rPr>
              <w:t>Wtd. Avg. Life</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3,816</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 years</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Tradename</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13,084</w:t>
            </w:r>
          </w:p>
        </w:tc>
        <w:tc>
          <w:tcPr>
            <w:tcW w:w="1440" w:type="dxa"/>
            <w:vAlign w:val="bottom"/>
          </w:tcPr>
          <w:p>
            <w:pPr>
              <w:ind w:left="340"/>
              <w:spacing w:after="0"/>
              <w:rPr>
                <w:sz w:val="20"/>
                <w:szCs w:val="20"/>
                <w:color w:val="auto"/>
              </w:rPr>
            </w:pPr>
            <w:r>
              <w:rPr>
                <w:rFonts w:ascii="Arial" w:cs="Arial" w:eastAsia="Arial" w:hAnsi="Arial"/>
                <w:sz w:val="18"/>
                <w:szCs w:val="18"/>
                <w:color w:val="auto"/>
              </w:rPr>
              <w:t>Indefinite</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assets acquired</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23,753</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Deferred tax liabilities — non current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6,365</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17,388</w:t>
            </w:r>
          </w:p>
        </w:tc>
        <w:tc>
          <w:tcPr>
            <w:tcW w:w="2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Management determined the preliminary fair value of assets acquired during the fourth quarter of 2008. The purchase price was finalized in the first quarter of 2009 with no changes being recorded. The goodwill recorded in connection with this acquisition is based on the benefits the Company expects to generate from Omni-Tract’s future cash flows.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Integra Neurosciences Pty Ltd.</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the Company now has a direct selling presence in Australia and New Zealand.</w:t>
      </w:r>
    </w:p>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w w:val="96"/>
              </w:rPr>
              <w:t>Wtd. Avg. Life</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4,367</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 years</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Tradename</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1 year</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6,351</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non current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2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Management determined the preliminary fair value of assets acquired during the fourth quarter of 2008. Certain elements of the purchase price allocation are considered preliminary, particularly as they relate to the final valuation of certain identifiable intangible assets, deferred taxes and final assessment of certain pre-acquisition tax and other contingencies.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98"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In August 2008 the Company acquired Theken Spine, LLC, Theken Disc, LLC and Therics, LLC (collectively, “Theken”) for $75.0 million in cash, subject to certain adjustments, acquisition expenses of $2.4 million, working capital adjustments of $4.0 million, and up to approximately $121.0 million in future payments based on the revenue performance of the business in the two years after closing. Theken, based in Akron, Ohio, designs, develops and manufactures spinal fixation products, synthetic bone substitute products and spinal arthroplasty products.</w:t>
      </w:r>
    </w:p>
    <w:p>
      <w:pPr>
        <w:spacing w:after="0" w:line="148"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15,130</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w:t>
            </w: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8,244</w:t>
            </w: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Wtd. Avg. Life</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13,470</w:t>
            </w:r>
          </w:p>
        </w:tc>
        <w:tc>
          <w:tcPr>
            <w:tcW w:w="2040" w:type="dxa"/>
            <w:vAlign w:val="bottom"/>
          </w:tcPr>
          <w:p>
            <w:pPr>
              <w:ind w:left="420"/>
              <w:spacing w:after="0"/>
              <w:rPr>
                <w:sz w:val="20"/>
                <w:szCs w:val="20"/>
                <w:color w:val="auto"/>
              </w:rPr>
            </w:pPr>
            <w:r>
              <w:rPr>
                <w:rFonts w:ascii="Arial" w:cs="Arial" w:eastAsia="Arial" w:hAnsi="Arial"/>
                <w:sz w:val="18"/>
                <w:szCs w:val="18"/>
                <w:color w:val="auto"/>
              </w:rPr>
              <w:t>11 years</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15,630</w:t>
            </w:r>
          </w:p>
        </w:tc>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25,240</w:t>
            </w:r>
          </w:p>
        </w:tc>
        <w:tc>
          <w:tcPr>
            <w:tcW w:w="2040" w:type="dxa"/>
            <w:vAlign w:val="bottom"/>
          </w:tcPr>
          <w:p>
            <w:pPr>
              <w:ind w:left="420"/>
              <w:spacing w:after="0"/>
              <w:rPr>
                <w:sz w:val="20"/>
                <w:szCs w:val="20"/>
                <w:color w:val="auto"/>
              </w:rPr>
            </w:pPr>
            <w:r>
              <w:rPr>
                <w:rFonts w:ascii="Arial" w:cs="Arial" w:eastAsia="Arial" w:hAnsi="Arial"/>
                <w:sz w:val="18"/>
                <w:szCs w:val="18"/>
                <w:color w:val="auto"/>
                <w:w w:val="88"/>
              </w:rPr>
              <w:t>Expensed immediately</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6,533</w:t>
            </w: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91,083</w:t>
            </w:r>
          </w:p>
        </w:tc>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9,716</w:t>
            </w: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81,367</w:t>
            </w:r>
          </w:p>
        </w:tc>
        <w:tc>
          <w:tcPr>
            <w:tcW w:w="20" w:type="dxa"/>
            <w:vAlign w:val="bottom"/>
            <w:tcBorders>
              <w:bottom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spacing w:after="0" w:line="273" w:lineRule="auto"/>
        <w:rPr>
          <w:sz w:val="20"/>
          <w:szCs w:val="20"/>
          <w:color w:val="auto"/>
        </w:rPr>
      </w:pPr>
      <w:r>
        <w:rPr>
          <w:rFonts w:ascii="Arial" w:cs="Arial" w:eastAsia="Arial" w:hAnsi="Arial"/>
          <w:sz w:val="17"/>
          <w:szCs w:val="17"/>
          <w:color w:val="auto"/>
        </w:rPr>
        <w:t>Management determined the preliminary fair value of assets acquired during the third quarter of 2008. The in-process research and development has not yet reached technological feasibility and has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is based on the benefits the Company expects to generate from Theken’s future cash flows. The purchase price was finalized in the first quarter of 2009 with only minor changes being recorded to goodwill.</w:t>
      </w:r>
    </w:p>
    <w:p>
      <w:pPr>
        <w:spacing w:after="0" w:line="151"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The fair value of the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 and development costs, selling, general and administrative costs and income taxes from the development projects. A summary of the estimates used to calculate the net cash flows for the projects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Discount rate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Year net cash</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including factor</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In-flows</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 account for</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Acquired In-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expected to</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uncertainty of</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Process Research</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28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begin</w:t>
            </w: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75"/>
              </w:rPr>
              <w:t>success</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and Development</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eDisc artificial lumbar disc</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2013</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 million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eDisc artificial cervical disc</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2016</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7.2 million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Spinal fixation implants</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2009</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 million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All other</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2009</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0.3 million</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80" w:type="dxa"/>
            <w:vAlign w:val="bottom"/>
            <w:gridSpan w:val="2"/>
          </w:tcPr>
          <w:p>
            <w:pPr>
              <w:jc w:val="right"/>
              <w:ind w:right="87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 Forma Results (unaudited)</w:t>
      </w:r>
    </w:p>
    <w:p>
      <w:pPr>
        <w:spacing w:after="0" w:line="19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months ended March 31, 2008 as if the acquisitions completed by the Company during 2008 had been completed as of the beginning of the period presented.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No effect has been given to cost reductions or operating synergies. As a result, the pro forma results do not necessarily represent results that would have occurred if the acquisitions had taken place on the basis assumed above, nor are they indicative of the results of future combined operations.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2"/>
              </w:rPr>
              <w:t>Ended March 31, 2008</w:t>
            </w:r>
          </w:p>
        </w:tc>
      </w:tr>
      <w:tr>
        <w:trPr>
          <w:trHeight w:val="216"/>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auto"/>
                <w:w w:val="90"/>
              </w:rPr>
              <w:t>(in thousands, except per</w:t>
            </w:r>
          </w:p>
        </w:tc>
      </w:tr>
      <w:tr>
        <w:trPr>
          <w:trHeight w:val="234"/>
        </w:trPr>
        <w:tc>
          <w:tcPr>
            <w:tcW w:w="6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share amounts)</w:t>
            </w:r>
          </w:p>
        </w:tc>
        <w:tc>
          <w:tcPr>
            <w:tcW w:w="8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165,899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7,692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0.28</w:t>
            </w: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r>
      <w:tr>
        <w:trPr>
          <w:trHeight w:val="392"/>
        </w:trPr>
        <w:tc>
          <w:tcPr>
            <w:tcW w:w="678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78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3"/>
              </w:rPr>
              <w:t>March 31,</w:t>
            </w:r>
          </w:p>
        </w:tc>
        <w:tc>
          <w:tcPr>
            <w:tcW w:w="12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80"/>
              </w:rPr>
              <w:t>thousands)</w:t>
            </w:r>
          </w:p>
        </w:tc>
        <w:tc>
          <w:tcPr>
            <w:tcW w:w="100" w:type="dxa"/>
            <w:vAlign w:val="bottom"/>
            <w:gridSpan w:val="2"/>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102,410</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109,033</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Work-in process</w:t>
            </w:r>
          </w:p>
        </w:tc>
        <w:tc>
          <w:tcPr>
            <w:tcW w:w="80" w:type="dxa"/>
            <w:vAlign w:val="bottom"/>
          </w:tcPr>
          <w:p>
            <w:pPr>
              <w:spacing w:after="0"/>
              <w:rPr>
                <w:sz w:val="18"/>
                <w:szCs w:val="18"/>
                <w:color w:val="auto"/>
              </w:rPr>
            </w:pPr>
          </w:p>
        </w:tc>
        <w:tc>
          <w:tcPr>
            <w:tcW w:w="1260" w:type="dxa"/>
            <w:vAlign w:val="bottom"/>
            <w:gridSpan w:val="3"/>
          </w:tcPr>
          <w:p>
            <w:pPr>
              <w:jc w:val="right"/>
              <w:ind w:right="270"/>
              <w:spacing w:after="0"/>
              <w:rPr>
                <w:sz w:val="20"/>
                <w:szCs w:val="20"/>
                <w:color w:val="auto"/>
              </w:rPr>
            </w:pPr>
            <w:r>
              <w:rPr>
                <w:rFonts w:ascii="Arial" w:cs="Arial" w:eastAsia="Arial" w:hAnsi="Arial"/>
                <w:sz w:val="18"/>
                <w:szCs w:val="18"/>
                <w:color w:val="auto"/>
              </w:rPr>
              <w:t>23,310</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21,883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40,859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Less: reserves</w:t>
            </w:r>
          </w:p>
        </w:tc>
        <w:tc>
          <w:tcPr>
            <w:tcW w:w="80" w:type="dxa"/>
            <w:vAlign w:val="bottom"/>
          </w:tcPr>
          <w:p>
            <w:pPr>
              <w:spacing w:after="0"/>
              <w:rPr>
                <w:sz w:val="18"/>
                <w:szCs w:val="18"/>
                <w:color w:val="auto"/>
              </w:rPr>
            </w:pPr>
          </w:p>
        </w:tc>
        <w:tc>
          <w:tcPr>
            <w:tcW w:w="1260" w:type="dxa"/>
            <w:vAlign w:val="bottom"/>
            <w:gridSpan w:val="3"/>
          </w:tcPr>
          <w:p>
            <w:pPr>
              <w:jc w:val="right"/>
              <w:ind w:right="210"/>
              <w:spacing w:after="0"/>
              <w:rPr>
                <w:sz w:val="20"/>
                <w:szCs w:val="20"/>
                <w:color w:val="auto"/>
              </w:rPr>
            </w:pPr>
            <w:r>
              <w:rPr>
                <w:rFonts w:ascii="Arial" w:cs="Arial" w:eastAsia="Arial" w:hAnsi="Arial"/>
                <w:sz w:val="18"/>
                <w:szCs w:val="18"/>
                <w:color w:val="auto"/>
              </w:rPr>
              <w:t>(24,997)</w:t>
            </w: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(23,501)</w:t>
            </w:r>
          </w:p>
        </w:tc>
      </w:tr>
      <w:tr>
        <w:trPr>
          <w:trHeight w:val="27"/>
        </w:trPr>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141,582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146,103</w:t>
            </w:r>
          </w:p>
        </w:tc>
        <w:tc>
          <w:tcPr>
            <w:tcW w:w="8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GOODWILL AND OTHER INTANGIBLE ASSETS</w:t>
      </w:r>
    </w:p>
    <w:p>
      <w:pPr>
        <w:sectPr>
          <w:pgSz w:w="11900" w:h="16838" w:orient="portrait"/>
          <w:cols w:equalWidth="0" w:num="1">
            <w:col w:w="10219"/>
          </w:cols>
          <w:pgMar w:left="240" w:top="419" w:right="1440" w:bottom="1440" w:gutter="0" w:footer="0" w:header="0"/>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for the three months ended March 31, 2009, were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price allocation adjustments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March 31, 2009</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the Company’s identifiable intangible assets were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hanging="43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212,094</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7"/>
          <w:szCs w:val="17"/>
          <w:color w:val="auto"/>
        </w:rPr>
        <w:t>(196)</w:t>
      </w:r>
    </w:p>
    <w:p>
      <w:pPr>
        <w:spacing w:after="0" w:line="21"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(4,193)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 w:lineRule="exact"/>
        <w:rPr>
          <w:sz w:val="20"/>
          <w:szCs w:val="20"/>
          <w:color w:val="auto"/>
        </w:rPr>
      </w:pPr>
    </w:p>
    <w:p>
      <w:pPr>
        <w:ind w:left="440" w:hanging="435"/>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207,705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7940" w:space="600"/>
            <w:col w:w="1679"/>
          </w:cols>
          <w:pgMar w:left="240" w:top="419" w:right="1440" w:bottom="1440" w:gutter="0" w:footer="0" w:header="0"/>
          <w:type w:val="continuous"/>
        </w:sectPr>
      </w:pPr>
    </w:p>
    <w:tbl>
      <w:tblPr>
        <w:tblLayout w:type="fixed"/>
        <w:tblInd w:w="3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March 31, 2009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December 31, 2008</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Completed technology</w:t>
            </w:r>
          </w:p>
        </w:tc>
        <w:tc>
          <w:tcPr>
            <w:tcW w:w="9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12 years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66,733</w:t>
            </w:r>
          </w:p>
        </w:tc>
        <w:tc>
          <w:tcPr>
            <w:tcW w:w="5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(16,895)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49,838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67,154</w:t>
            </w:r>
          </w:p>
        </w:tc>
        <w:tc>
          <w:tcPr>
            <w:tcW w:w="4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(15,658)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51,496</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Customer relationships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12 years</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93,893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(28,415)</w:t>
            </w: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65,478</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94,487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(26,104)</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68,383</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Trademarks/brand names</w:t>
            </w:r>
          </w:p>
        </w:tc>
        <w:tc>
          <w:tcPr>
            <w:tcW w:w="9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35 years</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34,253</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(6,840)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27,413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34,582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28,035</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Trademarks/brand names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Indefinite</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50,034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50,034</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50,034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50,034</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Noncompetition agreements</w:t>
            </w:r>
          </w:p>
        </w:tc>
        <w:tc>
          <w:tcPr>
            <w:tcW w:w="9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7"/>
              </w:rPr>
              <w:t>5 years</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6,398</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(5,991)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6,449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(5,724)</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Supplier relationships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30 years</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29,300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(2,816)</w:t>
            </w: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26,484</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29,300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(2,670)</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26,630</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9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15 years</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(960)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282,142</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(61,917)</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220,225</w:t>
            </w: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283,537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(57,539)</w:t>
            </w: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225,998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Annual amortization expense is expected to approximate $18.9 million in 2009, $16.5 million in 2010, $16.3 million in 2011, $16.0 million in 2012, $13.3 million in 2013 and $89.2 million thereafter. Identifiable intangible assets are initially recorded at fair market value at the time of acquisition generally using an income or cost approach.</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ACTIVITIES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cost reduction efforts, the Company has recorded the following charges during the three months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2009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Selling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7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Cost of</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6"/>
              </w:rPr>
              <w:t>Research and</w:t>
            </w:r>
          </w:p>
        </w:tc>
        <w:tc>
          <w:tcPr>
            <w:tcW w:w="15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General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740" w:type="dxa"/>
            <w:vAlign w:val="bottom"/>
          </w:tcPr>
          <w:p>
            <w:pPr>
              <w:jc w:val="center"/>
              <w:ind w:left="110"/>
              <w:spacing w:after="0"/>
              <w:rPr>
                <w:sz w:val="20"/>
                <w:szCs w:val="20"/>
                <w:color w:val="auto"/>
              </w:rPr>
            </w:pPr>
            <w:r>
              <w:rPr>
                <w:rFonts w:ascii="Arial" w:cs="Arial" w:eastAsia="Arial" w:hAnsi="Arial"/>
                <w:sz w:val="18"/>
                <w:szCs w:val="18"/>
                <w:b w:val="1"/>
                <w:bCs w:val="1"/>
                <w:color w:val="auto"/>
                <w:w w:val="80"/>
              </w:rPr>
              <w:t>Sales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88"/>
              </w:rPr>
              <w:t>Development</w:t>
            </w:r>
          </w:p>
        </w:tc>
        <w:tc>
          <w:tcPr>
            <w:tcW w:w="15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Administrative</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9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Facility exit costs</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392"/>
        </w:trPr>
        <w:tc>
          <w:tcPr>
            <w:tcW w:w="7140" w:type="dxa"/>
            <w:vAlign w:val="bottom"/>
            <w:gridSpan w:val="12"/>
          </w:tcPr>
          <w:p>
            <w:pPr>
              <w:spacing w:after="0"/>
              <w:rPr>
                <w:sz w:val="20"/>
                <w:szCs w:val="20"/>
                <w:color w:val="auto"/>
              </w:rPr>
            </w:pPr>
            <w:r>
              <w:rPr>
                <w:rFonts w:ascii="Arial" w:cs="Arial" w:eastAsia="Arial" w:hAnsi="Arial"/>
                <w:sz w:val="18"/>
                <w:szCs w:val="18"/>
                <w:color w:val="auto"/>
                <w:w w:val="92"/>
              </w:rPr>
              <w:t>Below is a reconciliation of the restructuring accrual activity recorded during 2009 (in thousands):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Employee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6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Payments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Effects of Foreign Exchange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Balance at March 31, 2009</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to pay all of the remaining costs in 2009.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98"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Company paid interest on its $120 million contingent convertible subordinated notes (the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is convertible. Holders of the 2008 Notes could convert the 2008 Notes under certain circumstances, including when the market price of its common stock on the previous trading day was more than $37.56 per share, based on an initial conversion price of $34.15 per share. As of December 31, 2008, all of the 2008 Notes had been converted to common stock or cash.</w:t>
      </w:r>
    </w:p>
    <w:p>
      <w:pPr>
        <w:spacing w:after="0" w:line="12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There were no financial covenants associated with the convertible 2008 Notes.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98" w:lineRule="exact"/>
        <w:rPr>
          <w:sz w:val="20"/>
          <w:szCs w:val="20"/>
          <w:color w:val="auto"/>
        </w:rPr>
      </w:pPr>
    </w:p>
    <w:p>
      <w:pPr>
        <w:jc w:val="both"/>
        <w:ind w:left="340" w:right="559"/>
        <w:spacing w:after="0" w:line="283" w:lineRule="auto"/>
        <w:rPr>
          <w:sz w:val="20"/>
          <w:szCs w:val="20"/>
          <w:color w:val="auto"/>
        </w:rPr>
      </w:pPr>
      <w:r>
        <w:rPr>
          <w:rFonts w:ascii="Arial" w:cs="Arial" w:eastAsia="Arial" w:hAnsi="Arial"/>
          <w:sz w:val="16"/>
          <w:szCs w:val="16"/>
          <w:color w:val="auto"/>
        </w:rPr>
        <w:t>On June 11, 2007, the Company issued $165 million aggregate principal amount of its 2010 Notes and $165 million aggregate principal amount of its 2012 Notes (the 2010 Notes and the 2012, collectively the “Notes”). The 2010 Notes and the 2012 Notes bear interest at a rate of 2.75% per annum and 2.375% per annum, respectively, in each case payable semi-annually in arrears on December 1 and June 1 of each year. The fair value of the 2010 Notes and the 2012 Notes at March 31, 2009 was approximately $121.7 million and $129.3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w:t>
      </w:r>
    </w:p>
    <w:p>
      <w:pPr>
        <w:spacing w:after="0" w:line="2" w:lineRule="exact"/>
        <w:rPr>
          <w:sz w:val="20"/>
          <w:szCs w:val="20"/>
          <w:color w:val="auto"/>
        </w:rPr>
      </w:pPr>
    </w:p>
    <w:p>
      <w:pPr>
        <w:jc w:val="both"/>
        <w:ind w:left="340" w:right="559" w:hanging="8"/>
        <w:spacing w:after="0" w:line="253" w:lineRule="auto"/>
        <w:tabs>
          <w:tab w:leader="none" w:pos="617"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March 31, 2009, none of these conditions existed and, as a result, the balance of the 2010 Notes and the 2012 Notes is classified as long-term.</w:t>
      </w:r>
    </w:p>
    <w:p>
      <w:pPr>
        <w:spacing w:after="0" w:line="15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1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6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1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 March 2009, the Company repurchased $32.1 million principal amount of the 2010 Notes and recognized a non-cash gain of $1.2 million. Total cash paid for this repurchase was $29.5 million of which $28.0 million related to repayment of the liability component of the Notes and $1.5 million for payment of accreted interest. The bond hedge contracts were terminated on a pro-rata basis and the number of options was adjusted to reflect the number of convertible securities outstanding that together have a total principal amount of $132.9 million. In a separate transaction, we amended the warrant transactions to reduce the number of warrants outstanding to reflect such number of convertible securities outstanding.</w:t>
      </w:r>
    </w:p>
    <w:p>
      <w:pPr>
        <w:spacing w:after="0" w:line="15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See Note 1, “Basis of Operation,” for a discussion of the liability component associated with the Covered Notes and the retrospective accounting change resulting from the adoption of FSP APB 14-1 effective January 1,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As of March 31, 2009 the Company had $260.0 million of outstanding borrowings under this credit facility at a weighted average rate of 1.53%. The Company used a portion of the proceeds to repay all of the remaining 2008 Notes totaling approximately $119.4 million in the second quarter of 2008 and $3.3 million of related accrued and contingent interest during March 2008. On July 28, 2008 and October 30, 2008, the Company borrowed $80.0 million and $60.0 million, respectively, to fund the acquisition of Theken and for other general corporate purposes. The Company regularly borrows under the credit facility and makes payments each month with respect thereto and considers $100.0 million of such outstanding amounts to be short-term in nature based on its current intent and ability. If additional borrowings are made in connection with, for instance, future acquisitions, such activities could impact the timing of when the Company intends to repay amounts under this credit facility, which runs through December 2011.</w:t>
      </w:r>
    </w:p>
    <w:p>
      <w:pPr>
        <w:sectPr>
          <w:pgSz w:w="11900" w:h="16838" w:orient="portrait"/>
          <w:cols w:equalWidth="0" w:num="1">
            <w:col w:w="10219"/>
          </w:cols>
          <w:pgMar w:left="240" w:top="419" w:right="1440" w:bottom="852"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52"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As of March 31, 2009,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the 1996 Plan or the 1998 Plan.</w:t>
      </w:r>
    </w:p>
    <w:p>
      <w:pPr>
        <w:spacing w:after="0" w:line="124"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did not grant stock options during the three months ended March 31, 2009, and March 31, 2008, respectively. As of March 31, 2009, there was approximately $8.0 million of total unrecognized compensation costs related to unvested stock options. These costs are expected to be recognized over a weighted-average period of approximately 2.2 years. The Company received proceeds of $0.1 million and $1.1 million from stock option exercises for the three months ended March 31, 2009 and 2008,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or requisite service period, whichever is shorter. As of March 31, 2009, there was approximately $13.7 million of total unrecognized compensation costs related to unvested awards. These costs are expected to be recognized over a weighted-average period of approximately 2.3 years.</w:t>
      </w:r>
    </w:p>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FASB Statement No. 123(R), </w:t>
      </w:r>
      <w:r>
        <w:rPr>
          <w:rFonts w:ascii="Arial" w:cs="Arial" w:eastAsia="Arial" w:hAnsi="Arial"/>
          <w:sz w:val="18"/>
          <w:szCs w:val="18"/>
          <w:i w:val="1"/>
          <w:iCs w:val="1"/>
          <w:color w:val="auto"/>
        </w:rPr>
        <w:t>Share 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Company maintains defined benefit pension plans that cover employees in its manufacturing plants located in Andover, United Kingdom (the “UK Plan”) and Tuttlingen, Germany (the “Germany Plan”). The Company had maintained a plan covering its employees located in York, Pennsylvania (the “Miltex Plan”) which was terminated in the fourth quarter of 2008 with all distributions made to participants. The Miltex Plan was frozen and all future benefits were curtailed prior to the acquisition of Miltex by the Company. Accordingly, the Miltex Plan had no assets or liabilities remaining at December 31, 2008. The Company closed the Tuttlingen, Germany plant in December 2005. However, the Germany Plan was not terminated and the Company remains obligated for the accrued pension benefits related to this plan. The plans cover certain current and former employees. Net periodic benefit costs for the Company’s defined benefit pension plans included the following amounts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7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139</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7"/>
        </w:trPr>
        <w:tc>
          <w:tcPr>
            <w:tcW w:w="6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r>
      <w:tr>
        <w:trPr>
          <w:trHeight w:val="20"/>
        </w:trPr>
        <w:tc>
          <w:tcPr>
            <w:tcW w:w="6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made $90,600 and $131,000 of contributions to its defined benefit pension plans during the three months ended March 31, 2009 and 2008, respectively.</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9. COMPREHENSIVE INCOME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00" w:type="dxa"/>
            <w:vAlign w:val="bottom"/>
          </w:tcPr>
          <w:p>
            <w:pPr>
              <w:spacing w:after="0"/>
              <w:rPr>
                <w:sz w:val="20"/>
                <w:szCs w:val="20"/>
                <w:color w:val="auto"/>
              </w:rPr>
            </w:pPr>
            <w:r>
              <w:rPr>
                <w:rFonts w:ascii="Arial" w:cs="Arial" w:eastAsia="Arial" w:hAnsi="Arial"/>
                <w:sz w:val="18"/>
                <w:szCs w:val="18"/>
                <w:color w:val="auto"/>
              </w:rPr>
              <w:t>Comprehensive income was as follows (in thousands):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00" w:type="dxa"/>
            <w:vAlign w:val="bottom"/>
          </w:tcPr>
          <w:p>
            <w:pPr>
              <w:spacing w:after="0"/>
              <w:rPr>
                <w:sz w:val="24"/>
                <w:szCs w:val="24"/>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(7,967)</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10,130</w:t>
            </w:r>
          </w:p>
        </w:tc>
      </w:tr>
      <w:tr>
        <w:trPr>
          <w:trHeight w:val="27"/>
        </w:trPr>
        <w:tc>
          <w:tcPr>
            <w:tcW w:w="6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19,180</w:t>
            </w:r>
          </w:p>
        </w:tc>
      </w:tr>
      <w:tr>
        <w:trPr>
          <w:trHeight w:val="20"/>
        </w:trPr>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NET INCOME PER SHARE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7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6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attributable to common shares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9,567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9,050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Percentage allocated to common shares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attributable to common shares</w:t>
            </w: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9,462</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8,889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26,889</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0.33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r>
      <w:tr>
        <w:trPr>
          <w:trHeight w:val="202"/>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attributable to diluted shares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9,471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8,896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Shares issuable upon conversion of notes payable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r>
      <w:tr>
        <w:trPr>
          <w:trHeight w:val="27"/>
        </w:trPr>
        <w:tc>
          <w:tcPr>
            <w:tcW w:w="6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28,199</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r>
      <w:tr>
        <w:trPr>
          <w:trHeight w:val="202"/>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Weighted average common shares and other participating securities</w:t>
            </w: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29,251</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27,377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Common share percentage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Diluted share percentage</w:t>
            </w:r>
          </w:p>
        </w:tc>
        <w:tc>
          <w:tcPr>
            <w:tcW w:w="2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r>
    </w:tbl>
    <w:p>
      <w:pPr>
        <w:spacing w:after="0" w:line="147"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described in Note 1, “Basis of Presentation,” the Company adopted FSP 03-6-1 on January 1, 2009. Certain of the Company’s unvested restricted share units contain rights to receive nonforfeitable dividends, and thus, are participating securities requiring the two-class method of computing EPS. The calculation of earnings per share for common stock shown above excludes the income attributable to the unvested restricted share units from the numerator and excludes the dilutive impact of those units from the denominator.</w:t>
      </w:r>
    </w:p>
    <w:p>
      <w:pPr>
        <w:spacing w:after="0" w:line="14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At March 31, 2009 and 2008, the Company had 2.6 million and 2.9 million of outstanding stock options, respectively. The Company also has warrants outstanding relating to its 2010 Notes and 2012 Notes. Stock options and warrants are included in the diluted earnings per share calculation using the treasury stock method, unless the effect of including the stock options would be anti-dilutive. For the three months ended March 31, 2009 and 2008, 2.3 million and 0.5 million anti-dilutive stock options, respectively, were excluded from the diluted earnings per share calculation. As the strike price of the warrants exceed the Company’s average stock price for the period, the warrants are anti-dilutive and the entire number of warrants, the amount of which is based on the Company’s average stock price, were also excluded from the diluted earnings per share calculation.</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4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presents its revenues in three categories: NeuroSciences, Orthopedics and Medical Instruments. The Company’s revenues were as follows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NeuroSciences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59,731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61,704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64,366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50,355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Medical Instruments</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36,853</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43,949</w:t>
            </w:r>
          </w:p>
        </w:tc>
      </w:tr>
      <w:tr>
        <w:trPr>
          <w:trHeight w:val="223"/>
        </w:trPr>
        <w:tc>
          <w:tcPr>
            <w:tcW w:w="6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160,950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156,008</w:t>
            </w:r>
          </w:p>
        </w:tc>
      </w:tr>
      <w:tr>
        <w:trPr>
          <w:trHeight w:val="20"/>
        </w:trPr>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2" w:lineRule="auto"/>
        <w:rPr>
          <w:sz w:val="20"/>
          <w:szCs w:val="20"/>
          <w:color w:val="auto"/>
        </w:rPr>
      </w:pPr>
      <w:r>
        <w:rPr>
          <w:rFonts w:ascii="Arial" w:cs="Arial" w:eastAsia="Arial" w:hAnsi="Arial"/>
          <w:sz w:val="17"/>
          <w:szCs w:val="17"/>
          <w:color w:val="auto"/>
        </w:rPr>
        <w:t>Certain of the Company’s products, including the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NeuraGen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families and the INTEGRA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23% and 22% of total revenues in each of the three-month periods ended March 31, 2009 and 2008,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United States</w:t>
            </w:r>
          </w:p>
        </w:tc>
        <w:tc>
          <w:tcPr>
            <w:tcW w:w="1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Asia Pacific</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Other Foreign</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0"/>
        </w:trPr>
        <w:tc>
          <w:tcPr>
            <w:tcW w:w="2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8"/>
              </w:rPr>
              <w:t>Three months ended March 31, 2009</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122,585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23,394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160,950</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w w:val="98"/>
              </w:rPr>
              <w:t>Three months ended March 31, 2008</w:t>
            </w:r>
          </w:p>
        </w:tc>
        <w:tc>
          <w:tcPr>
            <w:tcW w:w="28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113,375</w:t>
            </w:r>
          </w:p>
        </w:tc>
        <w:tc>
          <w:tcPr>
            <w:tcW w:w="1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26,662</w:t>
            </w:r>
          </w:p>
        </w:tc>
        <w:tc>
          <w:tcPr>
            <w:tcW w:w="3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7,219</w:t>
            </w:r>
          </w:p>
        </w:tc>
        <w:tc>
          <w:tcPr>
            <w:tcW w:w="4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8,752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156,008</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3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559"/>
        <w:spacing w:after="0" w:line="265"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duraplasty products.</w:t>
      </w:r>
    </w:p>
    <w:p>
      <w:pPr>
        <w:spacing w:after="0" w:line="24" w:lineRule="exact"/>
        <w:rPr>
          <w:sz w:val="20"/>
          <w:szCs w:val="20"/>
          <w:color w:val="auto"/>
        </w:rPr>
      </w:pPr>
    </w:p>
    <w:p>
      <w:pPr>
        <w:jc w:val="both"/>
        <w:ind w:left="340" w:right="559"/>
        <w:spacing w:after="0" w:line="216" w:lineRule="auto"/>
        <w:rPr>
          <w:sz w:val="20"/>
          <w:szCs w:val="20"/>
          <w:color w:val="auto"/>
        </w:rPr>
      </w:pPr>
      <w:r>
        <w:rPr>
          <w:rFonts w:ascii="Arial" w:cs="Arial" w:eastAsia="Arial" w:hAnsi="Arial"/>
          <w:sz w:val="17"/>
          <w:szCs w:val="17"/>
          <w:color w:val="auto"/>
        </w:rPr>
        <w:t>The action seeks declaratory relief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Dural Graft Matrix. The Company has filed a counterclaim against Codman, alleging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infringes the ‘895 Patent, seeking injunctive relief preventing the sale and use of DURAFORM</w:t>
      </w:r>
      <w:r>
        <w:rPr>
          <w:rFonts w:ascii="Arial" w:cs="Arial" w:eastAsia="Arial" w:hAnsi="Arial"/>
          <w:sz w:val="25"/>
          <w:szCs w:val="25"/>
          <w:color w:val="auto"/>
          <w:vertAlign w:val="superscript"/>
        </w:rPr>
        <w:t>®</w:t>
      </w:r>
      <w:r>
        <w:rPr>
          <w:rFonts w:ascii="Arial" w:cs="Arial" w:eastAsia="Arial" w:hAnsi="Arial"/>
          <w:sz w:val="17"/>
          <w:szCs w:val="17"/>
          <w:color w:val="auto"/>
        </w:rPr>
        <w:t>, and seeking damages, including treble damages, for past infringement.</w:t>
      </w: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5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March 2009, the Company entered into the First Amendment to Lease Agreement dated as of January 1, 2009 with 109 Morgan Lane, LLC. (the “Amendment”) relating to the Company’s general office, lab and warehouse facility located at 109 Morgan Lane, Plainsboro, New Jersey (the “Facility”). The Company entered into the original Lease Agreement, dated as of May 15, 2008 (the “Lease”) for the expansion of the Company’s headquarters in Plainsboro.</w:t>
      </w:r>
    </w:p>
    <w:p>
      <w:pPr>
        <w:spacing w:after="0" w:line="146"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Amendment changed the base rent terms and extended the term of the Lease through March 31, 2019. Effective on January 1, 2009, the annual rent for the initial approximately 26,750 square feet of space of the Facility (the “Initial Space”) is approximately $270,000 per year and, effective April 1, 2009, the rent for the remaining approximately 31,261 square feet of the Facility (the “Remaining Space”), which will be added to the Lease on such date if certain conditions are met, is approximately $316,000 per year, subject to adjustments. Additional rent is also required for, among other things, operating expenses and taxes. The Company has a five year renewal option to extend the term of the Lease through March 31, 2024.</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2008 included in our Annual Report on Form 10-K.</w:t>
      </w:r>
    </w:p>
    <w:p>
      <w:pPr>
        <w:spacing w:after="0" w:line="12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2008.</w:t>
      </w:r>
    </w:p>
    <w:p>
      <w:pPr>
        <w:spacing w:after="0" w:line="153"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present revenues in three market categories: NeuroSciences, Orthopedics and Medical Instruments. Our neurosurgical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orthopedics products include specialty metal implants for surgery of the extremities and spine, orthobiologics products for repair and grafting of bone, dermal regeneration products and tissue engineered wound dressings and nerve and tendon repair products. Our medical instruments products include a wide range of specialty and general surgical and dental instruments and surgical lighting for sale to hospitals, outpatient surgery centers, and physician, veterinarian and dental practices.</w:t>
      </w:r>
    </w:p>
    <w:p>
      <w:pPr>
        <w:spacing w:after="0" w:line="13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06"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manufacture many of our products in plants located in the U.S., Puerto Rico, France, Germany, Ireland, the United Kingdom and Mexico. We also source most of our handheld surgical instruments through specialized third-party vendors.</w:t>
      </w:r>
    </w:p>
    <w:p>
      <w:pPr>
        <w:spacing w:after="0" w:line="10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the U.S., we have three sales channels. The largest, Integra NeuroSciences, sells products through directly employed sales representatives. Within our Integra Orthopedics sales channel, there are three sales organizations: Integra Extremity Reconstruction, which sells through a large direct sales organization; Integra OrthoBiologics and Integra Spine, which sell through specialty distributors focused on their respective surgical specialties. The Integra Medical Instruments market sales channel sells through two main sales organizations: Integra Surgical, which sells both directly and through distributors and Miltex, which sells through distributors and wholesalers.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partners or original equipment manufacturer customers.</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3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operating cash flows (which we aim to increase through improved working capital management), and earnings per diluted share of common stock.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9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i w:val="1"/>
          <w:iCs w:val="1"/>
          <w:color w:val="auto"/>
        </w:rPr>
        <w:t>Developing, manufacturing and selling specialty regenerative technology products</w:t>
      </w:r>
      <w:r>
        <w:rPr>
          <w:rFonts w:ascii="Arial" w:cs="Arial" w:eastAsia="Arial" w:hAnsi="Arial"/>
          <w:sz w:val="18"/>
          <w:szCs w:val="18"/>
          <w:color w:val="auto"/>
        </w:rPr>
        <w:t>. 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comprised 23% and 22% of revenues for the three months ended March 31, 2009 and 2008, respectively. Products that contain materials derived from animal sources, including food, pharmaceuticals and medical devices, have been subject to scrutiny from the media and regulatory authorities. Accordingly, widespread public controversy concerning collagen products, new regulations, or a ban of our products containing material derived from bovine tissue, could have a material adverse effect on our current business and our ability to expand.</w:t>
      </w:r>
    </w:p>
    <w:p>
      <w:pPr>
        <w:spacing w:after="0" w:line="15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Developing metal implants for bone and joint repair, fixation and fusion</w:t>
      </w:r>
      <w:r>
        <w:rPr>
          <w:rFonts w:ascii="Arial" w:cs="Arial" w:eastAsia="Arial" w:hAnsi="Arial"/>
          <w:sz w:val="18"/>
          <w:szCs w:val="18"/>
          <w:color w:val="auto"/>
        </w:rPr>
        <w:t>. Through acquisitions, particularly those of Theken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Newdeal Technologies SAS in 2005, we have acquired significant expertise in developing metal implants for use in bone and joint repair, fixation and fusion and in successfully bringing those products to market.</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i w:val="1"/>
          <w:iCs w:val="1"/>
          <w:color w:val="auto"/>
        </w:rPr>
        <w:t>Acquiring and integrating new product lines and complementary businesses</w:t>
      </w:r>
      <w:r>
        <w:rPr>
          <w:rFonts w:ascii="Arial" w:cs="Arial" w:eastAsia="Arial" w:hAnsi="Arial"/>
          <w:sz w:val="17"/>
          <w:szCs w:val="17"/>
          <w:color w:val="auto"/>
        </w:rPr>
        <w:t>. Since 1999, we have acquired and integrated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30 product lines or businesses through an acquisition program that focuses on acquiring companies or product lines at reasonable valuations which complement our existing product lines or can be used to leverage our broad technology platform in tissue regeneration and metal implants. We also employ a team of seasoned managers and executives who have demonstrated their ability to successfully integrate the acquired product lines and businesses.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Our strategy for growing our business includes the acquisition of complementary product lines and companies. Our recent acquisitions of businesses, assets and product lines may make our financial results for the three months ended March 31, 2009 not directly comparable to those of the corresponding prior-year period. See Note 2 to the unaudited condensed consolidated financial statements for a further discussion. Since the beginning of 2008, we have acquired the following businesses:</w:t>
      </w:r>
    </w:p>
    <w:p>
      <w:pPr>
        <w:spacing w:after="0" w:line="114"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August 2008, we acquired Theken Spine, LLC, Theken Disc, LLC and Therics, LLC (collectively, “Theken”) for $75.0 million in cash, subject to certain adjustments, acquisition expenses of $2.4 million, working capital adjustments of $4.0 million, and up to approximately $121.0 million in future payments based on the revenue performance of the business in the two years after closing. Theken, based in Akron, Ohio, designs, develops and manufactures spinal fixation products, synthetic bone substitute products and spinal arthroplasty products. With Theken, we acquired a unique and comprehensive portfolio of spinal implant products and a robust technology pipeline and demonstrated product development capacity, an established network of spinal hardware distributors with established access to the orthopedic spine market, and a strong management team with extensive experience in the orthopedic spine market. Theken does not currently sell its products outside of the U.S. Accordingly, we expect that the business will benefit from Integra’s large international presence. The Theken products are now being marketed under the name Integra Spine™.</w:t>
      </w:r>
    </w:p>
    <w:p>
      <w:pPr>
        <w:spacing w:after="0" w:line="15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October 2008, we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the Company now has a direct selling presence in Australia and New Zealand.</w:t>
      </w:r>
    </w:p>
    <w:p>
      <w:pPr>
        <w:spacing w:after="0" w:line="14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7"/>
          <w:szCs w:val="17"/>
          <w:color w:val="auto"/>
        </w:rPr>
        <w:t>In December 2008, we acquired Minnesota Scientific, Inc., doing business as Omni-Tract Surgical (“Omni-Tract”), for $6.4 million in cash paid at closing, 310,000 unregistered shares of our common stock valued at $10.7 million (of which 135,000 shares were issued at closing, with the remainder issued in January 2009),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We will integrate Omni-Tract’s product lines into our combined offering of JARIT</w:t>
      </w:r>
      <w:r>
        <w:rPr>
          <w:rFonts w:ascii="Arial" w:cs="Arial" w:eastAsia="Arial" w:hAnsi="Arial"/>
          <w:sz w:val="25"/>
          <w:szCs w:val="25"/>
          <w:color w:val="auto"/>
          <w:vertAlign w:val="superscript"/>
        </w:rPr>
        <w:t>®</w:t>
      </w:r>
      <w:r>
        <w:rPr>
          <w:rFonts w:ascii="Arial" w:cs="Arial" w:eastAsia="Arial" w:hAnsi="Arial"/>
          <w:sz w:val="17"/>
          <w:szCs w:val="17"/>
          <w:color w:val="auto"/>
        </w:rPr>
        <w:t>, Padgett™, R&amp;B Redmond™, and 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lines of surgical instruments and illumination systems sold by the Integra Medical Instruments sales organization.</w:t>
      </w: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Net income for the three months ended March 31, 2009 was $9.6 million, or $0.32 per diluted share, as compared to net income of $9.1 million, or $0.32 per diluted share, for the three months ended March 31, 2008. These amounts include the following pre-tax charges (in thousands):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Inventory fair market value purchase accounting adjustments</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3,208</w:t>
            </w:r>
          </w:p>
        </w:tc>
      </w:tr>
      <w:tr>
        <w:trPr>
          <w:trHeight w:val="202"/>
        </w:trPr>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Facility consolidation, acquisition integration, manufacturing transfer, enterprise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system integration and related costs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Incremental professional and bank fees related to the delayed 10-K filing</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bank fees related to consideration of waiver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Gain related to early extinguishment of convertible note</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(1,213)</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 related to the application of FSP APB 14-1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Foreign exchange loss on intercompany loan*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8,472</w:t>
            </w:r>
          </w:p>
        </w:tc>
      </w:tr>
      <w:tr>
        <w:trPr>
          <w:trHeight w:val="20"/>
        </w:trPr>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foreign exchange loss is associated with our intercompany loan set up in connection with the restructuring of a German subsidiary in the fourth quarter of 2008. Net income for the first quarter of 2009 and prior periods include foreign exchange gains and losses associated with intercompany loans not related to any restructuring.</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Of these amounts, $2.2 million and $3.4 million were charged to cost of product revenues in the three-month periods ended March 31, 2009 and 2008, respectively. The remaining amounts were primarily charged to selling, general and administrative and interest expenses.</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Revenues and Gross Margin on Product Revenues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6600" w:type="dxa"/>
            <w:vAlign w:val="bottom"/>
          </w:tcPr>
          <w:p>
            <w:pPr>
              <w:spacing w:after="0"/>
              <w:rPr>
                <w:sz w:val="20"/>
                <w:szCs w:val="20"/>
                <w:color w:val="auto"/>
              </w:rPr>
            </w:pPr>
            <w:r>
              <w:rPr>
                <w:rFonts w:ascii="Arial" w:cs="Arial" w:eastAsia="Arial" w:hAnsi="Arial"/>
                <w:sz w:val="18"/>
                <w:szCs w:val="18"/>
                <w:color w:val="auto"/>
                <w:w w:val="97"/>
              </w:rPr>
              <w:t>Our revenues and gross margin on product revenues were as follows (in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6600" w:type="dxa"/>
            <w:vAlign w:val="bottom"/>
          </w:tcPr>
          <w:p>
            <w:pPr>
              <w:spacing w:after="0"/>
              <w:rPr>
                <w:sz w:val="24"/>
                <w:szCs w:val="24"/>
                <w:color w:val="auto"/>
              </w:rPr>
            </w:pPr>
          </w:p>
        </w:tc>
        <w:tc>
          <w:tcPr>
            <w:tcW w:w="27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10"/>
        </w:trPr>
        <w:tc>
          <w:tcPr>
            <w:tcW w:w="66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NeuroSciences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59,731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61,704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Orthopedics</w:t>
            </w: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64,366</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50,355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Medical Instruments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43,949</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160,950</w:t>
            </w:r>
          </w:p>
        </w:tc>
        <w:tc>
          <w:tcPr>
            <w:tcW w:w="4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156,008</w:t>
            </w:r>
          </w:p>
        </w:tc>
        <w:tc>
          <w:tcPr>
            <w:tcW w:w="18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62,212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102,802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93,796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THREE MONTHS ENDED MARCH 31, 2009 AS COMPARED TO THE THREE MONTHS ENDED MARCH 31, 2008</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For the three-month period ended March 31, 2009, total revenues increased by $5.0 million, or 3%, to $161.0 million from $156.0 million for the same period last year. Domestic revenues increased by $9.2 million to $122.6 million from $113.4 million, increasing to 76% of total revenues for the three-month period ended March 31, 2009, compared to 73% of total revenues in the same period last year.</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7"/>
          <w:szCs w:val="17"/>
          <w:color w:val="auto"/>
        </w:rPr>
        <w:t>In the NeuroSciences category, sales of our hospital capital equipment decreased from 2008, particularly in our CUSA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ultrasonic surgical systems, and Radionics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image-guided surgery and stereotactic radio surgery systems. Implants and service revenues continued to grow in this category. In the Orthopedics category, sales of our spine products provided most of the year-over-year growth, and sales of extremity reconstruction products for mid/hindfoot, upper extremity and skin/wound applications also demonstrated rapid growth. In the Medical Instruments category, sales decreased due to eliminated distributed product lines related to the LXU Healthcare business that we acquired in May 2007, contractions in distribution chain inventories, and from reductions in hospital and healthcare provider spending.</w:t>
      </w:r>
    </w:p>
    <w:p>
      <w:pPr>
        <w:spacing w:after="0" w:line="175"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Foreign exchange fluctuations, due to the weakening of the of the euro, pound, and Canadian dollar versus the dollar, accounted for a $5.2 million decrease in first quarter of 2009 revenues as compared to the same period last year.</w:t>
      </w:r>
    </w:p>
    <w:p>
      <w:pPr>
        <w:spacing w:after="0" w:line="106"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We expect that the following factors will continue to temper sales growth in the short term: reduced spending by hospitals on capital equipment, the occurrence of fewer elective surgical procedures in the current global recessionary economic environment, the recent strengthening of the U.S. dollar against the foreign currencies that we generate revenues in, and our recent elimination of many of the product lines we distributed for third parties. However, we do expect these factors to produce a benefit in our gross margin as a percentage of revenue, as most of our capital equipment products and products distributed for third parties tend to generate lower gross margins as compared to our other products and because the U.S. dollar cost of those products we manufacture outside the U.S. or procure in foreign currencies will also be reduced as the U.S. dollar strengthens against those foreign currencies.</w:t>
      </w:r>
    </w:p>
    <w:p>
      <w:pPr>
        <w:spacing w:after="0" w:line="152"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7"/>
          <w:szCs w:val="17"/>
          <w:color w:val="auto"/>
        </w:rPr>
        <w:t>While most of our products are not used in elective surgical procedures, approximately 9% of our revenues in the three-month period ended March 31, 2009 consisted of sales of capital equipment. Given the current economic conditions, lower hospital spending on capital equipment is expected to continue throughout 2009 and potentially beyond then. With our large installed base of capital equipment, such as Camino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intracranial pressure monitors, CUSA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ultrasonic surgical systems, and Radionics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image-guided surgery and stereotactic radio surgery systems, we expect to continue to generate revenue growth from the related disposable products and we plan to focus on generating more revenues from service and repair agreements on the installed base of capital equipment as hospitals reduce spending on new capital equipment. We are also exploring other revenue generating alternatives with respect to our capital equipment.</w:t>
      </w:r>
    </w:p>
    <w:p>
      <w:pPr>
        <w:spacing w:after="0" w:line="177"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expect to drive future revenue growth by continuing to launch new products and acquire businesses and products that can be sold through our existing sales organizations, and by gaining additional market share through the expansion of our Integra Extremity Reconstruction and Integra Spine sales organizations in the U.S. and leveraging the distribution channels in our Integra Spine, Integra NeuroSciences, and Integra OrthoBiologics sales organizations to broaden each organization’s access to spine surgeons. We believe that the biggest opportunities for revenue growth exist in the extremity reconstruction and spine markets.</w:t>
      </w:r>
    </w:p>
    <w:p>
      <w:pPr>
        <w:spacing w:after="0" w:line="153"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Gross margin increased by $9.0 million to $102.8 million for the three-month period ended March 31, 2009, from $93.8 million for the same period last year. Gross margin as a percentage of total revenue was 64% for the first quarter 2009 compared to 60% for the same period last year. This increase results from a higher portion of product sales coming from higher margin implants, particularly spine and extremity reconstruction, in combination with reduced sales of lower margin instrument products. There was also improvement from a reduction in inventory purchase accounting adjustments, where charges related to our IsoTis and Precise Dental acquisitions affected the first quarter of 2008 by $3.2 million, versus charges of $2.0 million related to Theken, Integra Neurosciences Pty Ltd. in Australia and New Zealand, and Omni-Tract in the first quarter of 2009.</w:t>
      </w:r>
    </w:p>
    <w:p>
      <w:pPr>
        <w:spacing w:after="0" w:line="127"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We expect our consolidated gross margin to further increase throughout 2009 as sales of our higher gross margin implant products, particularly those from the recently acquired Theken business, are expected to continue to increase as a proportion of total revenues. Additionally, we expect that our gross margin as a percentage of sales will improve further if the U.S. dollar continues to strengthen against the euro and British pound, as such a strengthening would lower the U.S. dollar cost of products we manufacture at our European plants and the large proportion of the handheld surgical instruments that we procure in euros. Although we continuously identify and implement programs to reduce costs at our manufacturing plants and to manage our inventory more efficiently, gross margin improvements in our business are expected to continue to result primarily from changes in sales mix to a larger proportion of sales of our higher gross margin implant products.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21"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Total other operating expenses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4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 selling, general and administrative expense and amortization expense, increased $7.3 million, or 10%, to $80.6 million in the first quarter of 2009, compared to $73.3 million in the first quarter of 2008.</w:t>
      </w:r>
    </w:p>
    <w:p>
      <w:pPr>
        <w:spacing w:after="0" w:line="141" w:lineRule="exact"/>
        <w:rPr>
          <w:sz w:val="20"/>
          <w:szCs w:val="20"/>
          <w:color w:val="auto"/>
        </w:rPr>
      </w:pPr>
    </w:p>
    <w:p>
      <w:pPr>
        <w:jc w:val="both"/>
        <w:ind w:left="340" w:right="559"/>
        <w:spacing w:after="0" w:line="233" w:lineRule="auto"/>
        <w:rPr>
          <w:sz w:val="20"/>
          <w:szCs w:val="20"/>
          <w:color w:val="auto"/>
        </w:rPr>
      </w:pPr>
      <w:r>
        <w:rPr>
          <w:rFonts w:ascii="Arial" w:cs="Arial" w:eastAsia="Arial" w:hAnsi="Arial"/>
          <w:sz w:val="18"/>
          <w:szCs w:val="18"/>
          <w:color w:val="auto"/>
        </w:rPr>
        <w:t>Research and development expenses in the first quarter of 2009 increased by $2.8 million to $10.6 million, compared to $7.8 million in the same period last year. The increase was due largely to the purchase of Theken in August 2008 and to increased spending on our multi-center clinical trial being conducted under a Food and Drug Administration (“FDA”) Investigational Device Exemption initiated in 2006 to support FDA approval of the DuraGen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Adhesion Barrier Matrix product.</w:t>
      </w:r>
    </w:p>
    <w:p>
      <w:pPr>
        <w:spacing w:after="0" w:line="175" w:lineRule="exact"/>
        <w:rPr>
          <w:sz w:val="20"/>
          <w:szCs w:val="20"/>
          <w:color w:val="auto"/>
        </w:rPr>
      </w:pPr>
    </w:p>
    <w:p>
      <w:pPr>
        <w:jc w:val="both"/>
        <w:ind w:left="340" w:right="559"/>
        <w:spacing w:after="0" w:line="233" w:lineRule="auto"/>
        <w:rPr>
          <w:sz w:val="20"/>
          <w:szCs w:val="20"/>
          <w:color w:val="auto"/>
        </w:rPr>
      </w:pPr>
      <w:r>
        <w:rPr>
          <w:rFonts w:ascii="Arial" w:cs="Arial" w:eastAsia="Arial" w:hAnsi="Arial"/>
          <w:sz w:val="18"/>
          <w:szCs w:val="18"/>
          <w:color w:val="auto"/>
        </w:rPr>
        <w:t>Excluding acquisition-related and other special charges, we target 2009 spending on research and development to be between 5% and 7% of total revenues. Most of this planned spending for 2009 is concentrated on product development efforts for our spine, neurosurgery and extremity reconstruction product lines. Additionally, we are continuing the Adhesion Barrier Matrix clinical trial and the clinical trial to support FDA approval of expanded claims for our INTEGRA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Dermal Regeneration Template product.</w:t>
      </w:r>
    </w:p>
    <w:p>
      <w:pPr>
        <w:spacing w:after="0" w:line="16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Selling, general and administrative expenses in the first quarter of 2009 increased by $4.0 million to $66.5 million, compared to $62.5 million in the same period last year. Selling expenses increased by $5.6 million primarily due to increase in revenues and the corresponding commission costs, particularly in connection with our Theken revenues, which generate relatively higher distributor commission costs. General and administrative costs decreased $1.6 million primarily due to decreases in cash bonuses and lower professional fees. Selling, general and administrative expenses also increased in the first quarter of 2009 compared to the same period last year in connection with the acquisitions of the Theken, Integra Neurosciences Pty Ltd. in Australia and New Zealand, and Omni-Tract businesses.</w:t>
      </w:r>
    </w:p>
    <w:p>
      <w:pPr>
        <w:spacing w:after="0" w:line="137"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We will continue to expand our direct sales organizations in our direct selling platforms where business opportunities are most attractive, including extremity reconstruction, and increase corporate staff to support our information infrastructure to facilitate future growth. We expect to incur costs related to these activities in 2009 as we continue these ongoing activities.</w:t>
      </w:r>
    </w:p>
    <w:p>
      <w:pPr>
        <w:spacing w:after="0" w:line="13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Amortization expense in the first quarter of 2009 increased by $0.5 million to $3.5 million, compared to $3.0 million in the same period last year. The increase was primarily related to the acquisitions of the Theken, Integra Neurosciences Pty Ltd. in Australia and New Zealand, and Omni-Tract businesses.</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4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40" w:type="dxa"/>
            <w:vAlign w:val="bottom"/>
          </w:tcPr>
          <w:p>
            <w:pPr>
              <w:spacing w:after="0"/>
              <w:rPr>
                <w:sz w:val="24"/>
                <w:szCs w:val="24"/>
                <w:color w:val="auto"/>
              </w:rPr>
            </w:pPr>
          </w:p>
        </w:tc>
        <w:tc>
          <w:tcPr>
            <w:tcW w:w="258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(6,684)</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(8,567)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Interest income decreased in the three-month period ended March 31, 2009, compared to the same period last year, primarily due to lower interest rates and lower average cash and investment balances.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Interest expense for the three months ended March 31, 2009 and 2008 included the impact of the additional interest expense from the adoption of FSP APB 14-1 (see Note 1 for more information). Interest expense decreased in the three-month period ended March 31, 2009, compared to the same period last year, primarily due to the settlement of our 2008 Notes, which were fully repaid in April 2008.</w:t>
      </w:r>
    </w:p>
    <w:p>
      <w:pPr>
        <w:spacing w:after="0" w:line="146"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Our reported interest expense for the three-month periods ended March 31, 2009 and 2008, respectively, includes $1.8 million and $3.8 million of cash interest expense. The remainder of the expense represents non-cash interest expense related to the adoption of FSP APB 14-1 and the amortization of debt issuance costs.</w:t>
      </w:r>
    </w:p>
    <w:p>
      <w:pPr>
        <w:spacing w:after="0" w:line="141" w:lineRule="exact"/>
        <w:rPr>
          <w:sz w:val="20"/>
          <w:szCs w:val="20"/>
          <w:color w:val="auto"/>
        </w:rPr>
      </w:pPr>
    </w:p>
    <w:p>
      <w:pPr>
        <w:jc w:val="both"/>
        <w:ind w:left="340" w:right="1760"/>
        <w:spacing w:after="0" w:line="291" w:lineRule="auto"/>
        <w:rPr>
          <w:sz w:val="20"/>
          <w:szCs w:val="20"/>
          <w:color w:val="auto"/>
        </w:rPr>
      </w:pPr>
      <w:r>
        <w:rPr>
          <w:rFonts w:ascii="Arial" w:cs="Arial" w:eastAsia="Arial" w:hAnsi="Arial"/>
          <w:sz w:val="16"/>
          <w:szCs w:val="16"/>
          <w:color w:val="auto"/>
        </w:rPr>
        <w:t>On March 17, 2008, our 2008 Notes matured and we paid $1.8 million of contingent interest because our common stock price was greater than $37.56 at thirty days prior to the maturity date. The value of this contingent interest obligation was marked to its fair value at each balance sheet date, with changes in the fair value recorded to interest expense. In accordance with the terms of the 2008 Notes we paid approximately $0.2 million and $119.4 million and issued 12,000 and 756,000 shares of our common stock in March and April 2008, respectively. We borrowed $120 million under our credit facility in March 2008 in order to repay the 2008 Notes, which were entirely repaid in April 2008. The changes in the estimated fair value of the contingent interest obligation increased interest expense by $25,000 for the three months ended March 31, 2008.</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jc w:val="both"/>
        <w:ind w:left="340" w:right="1760"/>
        <w:spacing w:after="0" w:line="293" w:lineRule="auto"/>
        <w:rPr>
          <w:sz w:val="20"/>
          <w:szCs w:val="20"/>
          <w:color w:val="auto"/>
        </w:rPr>
      </w:pPr>
      <w:r>
        <w:rPr>
          <w:rFonts w:ascii="Arial" w:cs="Arial" w:eastAsia="Arial" w:hAnsi="Arial"/>
          <w:sz w:val="16"/>
          <w:szCs w:val="16"/>
          <w:color w:val="auto"/>
        </w:rPr>
        <w:t>Other income decreased in the three-month period ended March 31 2009, compared to the same period last year, primarily due to foreign exchange gains of $1.5 million in the first quarter of 2008 and foreign exchange losses of $2.1 million in the first quarter of 2009. The foreign exchange gain in the first quarter of 2008 primarily related to an intercompany liability of the Company’s Ireland manufacturing company. The foreign exchange loss in the first quarter of 2009 primarily related to an intercompany loan set up in connection with the restructuring of a German subsidiary in the fourth quarter of 2008. Reducing this loss in 2009 was a $1.2 million gain related to the March 2009 repurchase of a face amount of $32.1 million of our 2010 Notes (as defined below).</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vMerge w:val="restart"/>
          </w:tcPr>
          <w:p>
            <w:pPr>
              <w:spacing w:after="0"/>
              <w:rPr>
                <w:sz w:val="24"/>
                <w:szCs w:val="24"/>
                <w:color w:val="auto"/>
              </w:rPr>
            </w:pPr>
          </w:p>
        </w:tc>
        <w:tc>
          <w:tcPr>
            <w:tcW w:w="27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14,947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1760"/>
        <w:spacing w:after="0" w:line="308" w:lineRule="auto"/>
        <w:rPr>
          <w:sz w:val="20"/>
          <w:szCs w:val="20"/>
          <w:color w:val="auto"/>
        </w:rPr>
      </w:pPr>
      <w:r>
        <w:rPr>
          <w:rFonts w:ascii="Arial" w:cs="Arial" w:eastAsia="Arial" w:hAnsi="Arial"/>
          <w:sz w:val="17"/>
          <w:szCs w:val="17"/>
          <w:color w:val="auto"/>
        </w:rPr>
        <w:t>Our effective income tax rate for the three months ended March 31, 2009 and 2008 was 36% for both periods. Income tax expense included certain discrete items in the quarter, including the gain on the buyback of our 2010 Notes.</w:t>
      </w:r>
    </w:p>
    <w:p>
      <w:pPr>
        <w:spacing w:after="0" w:line="106"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35-36%.</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PRODUCT REVENUES AND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United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Europe</w:t>
            </w:r>
          </w:p>
        </w:tc>
        <w:tc>
          <w:tcPr>
            <w:tcW w:w="36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Asia Pacific</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Foreign</w:t>
            </w:r>
          </w:p>
        </w:tc>
        <w:tc>
          <w:tcPr>
            <w:tcW w:w="360" w:type="dxa"/>
            <w:vAlign w:val="bottom"/>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122,585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23,394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160,950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Three months ended March 31, 2008</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113,375</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26,662</w:t>
            </w:r>
          </w:p>
        </w:tc>
        <w:tc>
          <w:tcPr>
            <w:tcW w:w="3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7,219</w:t>
            </w: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8,752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156,008</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w w:val="89"/>
              </w:rPr>
              <w:t>23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For the three months ended March 31, 2009, revenues from customers outside the United States totaled $38.4 million, or 24% of total revenues, of which approximately 61% were from European customers. Revenues from customers outside the United States included $29.7 million of revenues generated in foreign currencies. For the three months ended March 31, 2008, revenues from customers outside the United States totaled $42.6 million, or 27% of total revenues, of which approximately 63% were from European customers. Revenues from customers outside the United States included $30.3 million of revenues generated in foreign currencies. Because we have operations based in Europe and we generate revenues and incur operating expenses in euros, British pounds, Swiss francs, Canadian dollars, Mexican pesos, and the Japanese yen, we experience currency exchange risk with respect to those foreign currency denominated revenues or expenses. We currently do not hedge our exposure to foreign currency risk. Accordingly, a weakening of the dollar against the euro, British pound, Swiss franc, Canadian dollar, Mexican peso, and the Japanese yen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had cash and cash equivalents totaling approximately $185.6 million and $183.5 million as of March 31, 2009 and December 31, 2008, respectively.</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vMerge w:val="restart"/>
          </w:tcPr>
          <w:p>
            <w:pPr>
              <w:spacing w:after="0"/>
              <w:rPr>
                <w:sz w:val="24"/>
                <w:szCs w:val="24"/>
                <w:color w:val="auto"/>
              </w:rPr>
            </w:pPr>
          </w:p>
        </w:tc>
        <w:tc>
          <w:tcPr>
            <w:tcW w:w="26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20,346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(7,049)</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(27,957)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121,001</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Effect of exchange rate fluctuations on cash</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141,674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89"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We generated positive operating cash flows of $37.2 million and $20.3 million at March 31, 2009 and 2008, respectively. Operating cash flows for the year ended December 31, 2008 were $72.6 million. Cash provided by operations has recently been and is expected to continue to be our primary means of funding existing operations and capital expenditures. Operating cash flows improved primarily due to improved working capital management, especially the collection of accounts receivable.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Provided by Investing and Financing Activities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principal use of funds during the first quarter ended March 31, 2009 was $28.0 million used to repurchase the liability component of the 2010 Notes. These Notes had a face value amount of $32.1 million, and their purchase will result in overall reduced net interest costs. Other uses in the period included $3.0 million in capital expenditures, and $4.0 million related to payments related to business acquisitions.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At March 31, 2009 and December 31, 2008, working capital was $306.9 million and $322.6 million, respectively. The decrease in working capital was primarily related to reductions in accounts receivable, stemming from collections activity, and to reduced inventories mainly due to changes in foreign currency exchange rates.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pay interest each June 1 and December 1 on our $132.9 million senior convertible notes due June 2010 (“2010 Notes”) at an annual rate of 2.75% and on our $165 million senior convertible notes due June 2012 (“2012 Notes” and, collectively with the “2010 Notes”, the “Notes”) at an annual rate of 2.375%.</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March 31, 2009, none of these conditions existed and, as a result, the entire balance of the 2010 Notes and the 2012 Notes is classified as long-term.</w:t>
      </w:r>
    </w:p>
    <w:p>
      <w:pPr>
        <w:spacing w:after="0" w:line="13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will rank equal in right of payment to the 2012 Notes. The Notes will be Integra’s direct senior unsecured obligations and will rank equal in right of payment to all of our existing and future unsecured and unsubordinated indebtedness.</w:t>
      </w:r>
    </w:p>
    <w:p>
      <w:pPr>
        <w:spacing w:after="0" w:line="16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1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March 2009, the Company repurchased $32.1 million principal amount of the 2010 Notes and recognized a non-cash gain of $1.2 million. The bond hedge contracts were terminated on a pro-rata basis and the number of options was adjusted to reflect the number of convertible securities outstanding that together have a total principal amount of $132.9 million. In a separate transaction, we amended the warrant transactions to reduce the number of warrants outstanding to reflect such number of convertible securities outstanding.</w:t>
      </w:r>
    </w:p>
    <w:p>
      <w:pPr>
        <w:spacing w:after="0" w:line="161"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1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As of March 31, 2009 we had $260 million of outstanding borrowings under our credit facility at a weighted average rate of 1.53%. The Company used a portion of the proceeds to repay all of the remaining 2008 Notes totaling approximately $119.4 million in the second quarter of 2008 and $3.3 million of related accrued and contingent interest during March 2008. On July 28, 2008 and October 30, 2008, the Company borrowed $80.0 million and $60.0 million, respectively, to fund the acquisition of Theken and for other general corporate purposes. The Company considers $100.0 million of such outstanding amounts to be short-term in nature based on its current intent and ability to repay this borrowing. If additional borrowings are made in connection with, for instance, future acquisitions, such activities could impact the timing of when the Company intends to repay amounts under this credit facility, which runs through December, 2011. We believe that our cash and borrowings under the senior secured revolving credit facility are sufficient to finance our operations and capital expenditures in the near term.</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October 2007, our Board of Directors adopted a program that authorized us to repurchase shares of our common stock for an aggregate purchase price not to exceed $75.0 million through December 31, 2008. 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 We did not repurchase any shares of our common stock in 2009 or 2008 under either of these programs.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2009, we were obligated to pay the following amounts under various agreements: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(in millions)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Years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 — Long Term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Revolving Credit Facility (1)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Employment Agreements (2)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Warranty Obligations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180340</wp:posOffset>
            </wp:positionV>
            <wp:extent cx="1063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98" w:lineRule="exact"/>
        <w:rPr>
          <w:sz w:val="20"/>
          <w:szCs w:val="20"/>
          <w:color w:val="auto"/>
        </w:rPr>
      </w:pPr>
    </w:p>
    <w:p>
      <w:pPr>
        <w:jc w:val="both"/>
        <w:ind w:left="680" w:right="559" w:hanging="348"/>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makes regular borrowing and payments each month against the credit facility and considers $100 million of such outstanding amounts to be short-term in nature based on its current intent and ability. If additional borrowings are made in connection with, for instance, future acquisitions, this could impact the timing of when the Company intends to repay amounts under this credit facility which runs through December 2011.</w:t>
      </w:r>
    </w:p>
    <w:p>
      <w:pPr>
        <w:spacing w:after="0" w:line="38"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executive compensation or compensation resulting from a change in control relating to our executive officers.</w:t>
      </w:r>
    </w:p>
    <w:p>
      <w:pPr>
        <w:spacing w:after="0" w:line="14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Excluded from the contractual obligations table is the liability for unrecognized tax benefits totaling $11.7 million. This liability for unrecognized tax benefits has been excluded because we cannot make a reliable estimate of the period in which the unrecognized tax benefits will be realized.</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addition, the terms of the purchase agreements executed in connection with certain acquisitions we closed in the last several years require us to make payments to the sellers of those businesses based on the performance of such businesses after the acquisition.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2008 has not materially changed.</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02"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 xml:space="preserve">Effective January 1, 2009, the Company adopted Financial Accounting Standards Board (“FASB”) Staff Position No. APB 14-1, </w:t>
      </w:r>
      <w:r>
        <w:rPr>
          <w:rFonts w:ascii="Arial" w:cs="Arial" w:eastAsia="Arial" w:hAnsi="Arial"/>
          <w:sz w:val="17"/>
          <w:szCs w:val="17"/>
          <w:i w:val="1"/>
          <w:iCs w:val="1"/>
          <w:color w:val="auto"/>
        </w:rPr>
        <w:t xml:space="preserve">Accounting for Convertible Debt Instruments that May be Settled in Cash Upon Conversion (Including Partial Cash Settlement) </w:t>
      </w:r>
      <w:r>
        <w:rPr>
          <w:rFonts w:ascii="Arial" w:cs="Arial" w:eastAsia="Arial" w:hAnsi="Arial"/>
          <w:sz w:val="17"/>
          <w:szCs w:val="17"/>
          <w:color w:val="auto"/>
        </w:rPr>
        <w:t>(“FSP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FSP APB 14-1 is effective for our $330.0 million aggregate principal amount of our senior convertible notes due June 2010 and June 2012 with an annual rate of 2.75% and 2.375%, respectively, (the “2010 Notes” and the “2012 Notes,” respectively), and the $119.5 million exchanged portion of our contingent convertible subordinated notes due March 2008 with an annual rate of 2.5% (the “2008 Notes”) and requires retrospective application for all periods presented. FSP APB 14-1 requires the issuer of convertible debt instruments with cash settlement features to separately account for the liability. As of the date of issuance for the 2010 Notes and the 2012 Notes, and the date of modification for the 2008 Notes (collectively, the “Covered Notes”), the result of the impact of FSP APB 14-1 for each of the Covered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Date impacted by FSP APB 14-1</w:t>
            </w:r>
          </w:p>
        </w:tc>
        <w:tc>
          <w:tcPr>
            <w:tcW w:w="1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June 2007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June 2007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Amount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Component</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bl>
    <w:p>
      <w:pPr>
        <w:spacing w:after="0" w:line="16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debt component was recognized at the present value of its cash flows discounted using discount rates of 9.70%, 6.47% and 6.81%, our borrowing rate at the date of exchange of the 2008 Notes and the dates of the issuance of the 2010 Notes and the 2012 Notes, respectively, for a similar debt instrument without the conversion feature. For additional information, see Note 6, “Debt.”</w:t>
      </w:r>
    </w:p>
    <w:p>
      <w:pPr>
        <w:spacing w:after="0" w:line="14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FSP APB 14-1 also requires an accretion of the resultant debt discount over the expected life of the Covered Notes, which is March, 2008 to June, 2012.</w:t>
      </w:r>
    </w:p>
    <w:p>
      <w:pPr>
        <w:spacing w:after="0" w:line="14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 the three months ended March 31, 2009, the additional pre-tax non-cash interest expense recognized in the condensed consolidated income statement was $2.8 million. Accumulated amortization related to the debt discount was $8.2 million and $5.5 million as of March 31, 2009 and December 31, 2008, respectively. The pre-tax increase in non-cash interest expense on our condensed consolidated statements of income to be recognized through 2012, the latest maturity date of the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Pre-tax increase in non-cash interest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bl>
    <w:p>
      <w:pPr>
        <w:spacing w:after="0" w:line="16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 xml:space="preserve">Effective January 1, 2009, we adopted FASB Staff Position No. EITF 03-6-1, </w:t>
      </w:r>
      <w:r>
        <w:rPr>
          <w:rFonts w:ascii="Arial" w:cs="Arial" w:eastAsia="Arial" w:hAnsi="Arial"/>
          <w:sz w:val="17"/>
          <w:szCs w:val="17"/>
          <w:i w:val="1"/>
          <w:iCs w:val="1"/>
          <w:color w:val="auto"/>
        </w:rPr>
        <w:t>Determining Whether Instruments Granted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Transactions Are Participating Securities </w:t>
      </w:r>
      <w:r>
        <w:rPr>
          <w:rFonts w:ascii="Arial" w:cs="Arial" w:eastAsia="Arial" w:hAnsi="Arial"/>
          <w:sz w:val="17"/>
          <w:szCs w:val="17"/>
          <w:color w:val="auto"/>
        </w:rPr>
        <w:t>(“FSP 03-6-1”). In FSP 03-6-1, unvested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that contain rights to receive nonforfeitable dividends or dividend equivalents (whether paid or unpaid) are participating securities, and thus, should be included in the two-class method of computing earnings per share (“EPS”). The adoption of this standard did not have a material impact on our disclosure of EPS. See Note 10, “Net Income Per Share.”</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Effective January 1, 2009, we adopted FASB Statement No. 141(R), Business Combinations (“Statement 141(R)”), a replacement of FASB Statement No. 141. Statement 141(R) changes the practice for accounting for business combinations, such as requiring that we (1) expense transaction costs as incurred, rather than capitalizing them as part of the purchase price;</w:t>
      </w:r>
    </w:p>
    <w:p>
      <w:pPr>
        <w:jc w:val="both"/>
        <w:ind w:left="340" w:right="559" w:hanging="8"/>
        <w:spacing w:after="0" w:line="267" w:lineRule="auto"/>
        <w:tabs>
          <w:tab w:leader="none" w:pos="6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we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Accounting for Costs Associated with Exit or Disposal Activities, would have been met at the acquisition date. Additionally, Statement 141(R)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Statement 141(R) could result in an increase or decrease in future selling, general and administrative and other operating expenses, depending upon the extent of our acquisition related activities going forward. No business combination transactions occurred during the three months ended March 31, 2009. The adoption of this standard did not have a material impact on our financial condition and results of operations.</w:t>
      </w:r>
    </w:p>
    <w:p>
      <w:pPr>
        <w:spacing w:after="0" w:line="15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 xml:space="preserve">In April 2008, the FASB issued FASB Staff Position No.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(“FAS 142-3”). FAS 142-3 amends the factors that should be considered in developing renewal or extension assumptions used to determine the useful life of a recognized intangible asset under Statement of Financial Accounting Standards No. 142,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Intangible Assets </w:t>
      </w:r>
      <w:r>
        <w:rPr>
          <w:rFonts w:ascii="Arial" w:cs="Arial" w:eastAsia="Arial" w:hAnsi="Arial"/>
          <w:sz w:val="18"/>
          <w:szCs w:val="18"/>
          <w:color w:val="auto"/>
        </w:rPr>
        <w:t>(“SFAS 142”). The intent of FAS 142-3 is to improve the consistency between the useful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intangible asset under SFAS 142 and the period of expected cash flows used to measure the fair value of the asset under SFAS 141(R), and other generally accepted accounting principles. FAS 142-3 is effective for fiscal years beginning after December 15, 2008. The adoption of this standard did not have a material impact on our financial condition and results of operations.</w:t>
      </w:r>
    </w:p>
    <w:p>
      <w:pPr>
        <w:spacing w:after="0" w:line="15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We adopted FASB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(“FSP 157-2”), on January 1, 2009, which delayed the effective date of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for all non-financial assets and non-financial liabilities, except for items that are recognized or disclosed at fair value on a recurring basis (at least annually). The adoption of this standard did not have a material impact on our financial condition and results of operations.</w:t>
      </w:r>
    </w:p>
    <w:p>
      <w:pPr>
        <w:spacing w:after="0" w:line="14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 xml:space="preserve">We adopted FASB Statement No. 161, </w:t>
      </w:r>
      <w:r>
        <w:rPr>
          <w:rFonts w:ascii="Arial" w:cs="Arial" w:eastAsia="Arial" w:hAnsi="Arial"/>
          <w:sz w:val="17"/>
          <w:szCs w:val="17"/>
          <w:i w:val="1"/>
          <w:iCs w:val="1"/>
          <w:color w:val="auto"/>
        </w:rPr>
        <w:t>Disclosures about Derivative Instruments and Hedging Activities</w:t>
      </w:r>
      <w:r>
        <w:rPr>
          <w:rFonts w:ascii="Arial" w:cs="Arial" w:eastAsia="Arial" w:hAnsi="Arial"/>
          <w:sz w:val="17"/>
          <w:szCs w:val="17"/>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does not affect our financial position or results of operations.</w:t>
      </w:r>
    </w:p>
    <w:p>
      <w:pPr>
        <w:spacing w:after="0" w:line="151"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June 2008, the FASB ratified Emerging Issues Task Force (“EITF”) Issue No. 07-05, </w:t>
      </w:r>
      <w:r>
        <w:rPr>
          <w:rFonts w:ascii="Arial" w:cs="Arial" w:eastAsia="Arial" w:hAnsi="Arial"/>
          <w:sz w:val="18"/>
          <w:szCs w:val="18"/>
          <w:i w:val="1"/>
          <w:iCs w:val="1"/>
          <w:color w:val="auto"/>
        </w:rPr>
        <w:t>Determining Whether an Instrument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Embedded Feature) is Indexed to an Entity’s Own Stock </w:t>
      </w:r>
      <w:r>
        <w:rPr>
          <w:rFonts w:ascii="Arial" w:cs="Arial" w:eastAsia="Arial" w:hAnsi="Arial"/>
          <w:sz w:val="18"/>
          <w:szCs w:val="18"/>
          <w:color w:val="auto"/>
        </w:rPr>
        <w:t>(“EITF 07-05”). EITF 07-05 mandates a two-step process for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an equity-linked financial instrument or embedded feature is indexed to the entity’s own stock, for the purposes of applying the Paragraph 11(a) scope of exception in FASB Statement No. 133,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Equity instruments that a company issues that contain a strike price adjustment feature, upon the adoption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EITF 07-05, may no longer being considered indexed to the company’s own stock. Accordingly, adoption of EITF 07-05 may change the current classification (from equity to liability) and the related accounting for such equity instruments outstanding at that date. EITF 07-05 is effective for fiscal years beginning after December 15, 2008, and interim periods within those fiscal years. We are currently evaluating the impact the adoption of EITF 07-05 will have on its financial statement presentation and disclosures.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In May 2008, the FASB issued Statement of Financial Accounting Standards No. 162, </w:t>
      </w:r>
      <w:r>
        <w:rPr>
          <w:rFonts w:ascii="Arial" w:cs="Arial" w:eastAsia="Arial" w:hAnsi="Arial"/>
          <w:sz w:val="18"/>
          <w:szCs w:val="18"/>
          <w:i w:val="1"/>
          <w:iCs w:val="1"/>
          <w:color w:val="auto"/>
        </w:rPr>
        <w:t>The Hierarchy of Generally Accepted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w:t>
      </w:r>
      <w:r>
        <w:rPr>
          <w:rFonts w:ascii="Arial" w:cs="Arial" w:eastAsia="Arial" w:hAnsi="Arial"/>
          <w:sz w:val="18"/>
          <w:szCs w:val="18"/>
          <w:color w:val="auto"/>
        </w:rPr>
        <w:t>(“SFAS 162”). SFAS 162 identifies the sources of accounting principles and the framework for selecting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principles used in the preparation of financial statements of nongovernmental entities that are presented in conformity with GAAP in the U.S. Any effect of applying the provisions of SFAS 162 shall be reported as a change in accounting principle in accordance with Statement of Financial Accounting Standards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SFAS 162 is effective 60 days following approval by the Securities and Exchange Commission of the Public Company Accounting Oversight Board amendments to AU Section 411, The Meaning of Present Fairly in Conformity with Generally Accepted Accounting Principles. The Company does not anticipate that the adoption of SFAS 162 will have a material impact on its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paid under the terms of our senior secured credit facility. A hypothetical 100 basis point movement in interest rates applicable to this credit facility would increase or decrease interest expense by approximately $2.6 million on an annual basis.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2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2009. Based upon this evaluation, our principal executive officer and principal financial officer concluded that our disclosure controls and procedures were effective as of March 31, 2009 to provide such reasonable assurance.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There were no material changes in our internal control over financial reporting (as defined in Rule 13a-15(f) under the Exchange Act) that occurred during the quarter ended March 31, 2009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us. The most significant of those are described below.</w:t>
      </w:r>
    </w:p>
    <w:p>
      <w:pPr>
        <w:spacing w:after="0" w:line="130"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7"/>
          <w:szCs w:val="17"/>
          <w:color w:val="auto"/>
        </w:rPr>
        <w:t>In May 2006, Codman &amp; Shurtleff, Inc., a division of Johnson &amp; Johnson, commenced an action in the U.S. District Court for the District of New Jersey for declaratory judgment against us with respect to our U.S. Patent No. 5,997,895 (the “‘895 Patent”). This patent covers dural repair technology related to our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family of duraplasty products.</w:t>
      </w:r>
    </w:p>
    <w:p>
      <w:pPr>
        <w:spacing w:after="0" w:line="18" w:lineRule="exact"/>
        <w:rPr>
          <w:sz w:val="20"/>
          <w:szCs w:val="20"/>
          <w:color w:val="auto"/>
        </w:rPr>
      </w:pPr>
    </w:p>
    <w:p>
      <w:pPr>
        <w:jc w:val="both"/>
        <w:ind w:left="340" w:right="559"/>
        <w:spacing w:after="0" w:line="200" w:lineRule="auto"/>
        <w:rPr>
          <w:sz w:val="20"/>
          <w:szCs w:val="20"/>
          <w:color w:val="auto"/>
        </w:rPr>
      </w:pPr>
      <w:r>
        <w:rPr>
          <w:rFonts w:ascii="Arial" w:cs="Arial" w:eastAsia="Arial" w:hAnsi="Arial"/>
          <w:sz w:val="18"/>
          <w:szCs w:val="18"/>
          <w:color w:val="auto"/>
        </w:rPr>
        <w:t>The action seeks declaratory relief that Codman’s DURAFORM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does not infringe our patent and that our patent is invalid. Codman does not seek either damages from us or injunctive relief to prevent us from selling the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Dural Graft Matrix. We have filed a counterclaim against Codman, alleging that Codman’s DURAFORM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infringes the ‘895 Patent, seeking injunctive relief preventing the sale and use of DURAFORM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and seeking damages, including treble damages, for past infringement.</w:t>
      </w:r>
    </w:p>
    <w:p>
      <w:pPr>
        <w:spacing w:after="0" w:line="164"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ectPr>
          <w:pgSz w:w="11900" w:h="16838" w:orient="portrait"/>
          <w:cols w:equalWidth="0" w:num="1">
            <w:col w:w="10219"/>
          </w:cols>
          <w:pgMar w:left="240" w:top="419" w:right="1440" w:bottom="1136"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6"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2008 have not materially changed other than the modifications to the risk factors as set forth below.</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120" w:lineRule="exact"/>
        <w:rPr>
          <w:sz w:val="20"/>
          <w:szCs w:val="20"/>
          <w:color w:val="auto"/>
        </w:rPr>
      </w:pPr>
    </w:p>
    <w:p>
      <w:pPr>
        <w:ind w:left="1420" w:right="559" w:hanging="345"/>
        <w:spacing w:after="0" w:line="277"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current economic conditions, which could affect the ability of hospitals and other customers to purchase our products and could result in a reduction in elective and non-reimbursed operative procedures;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impact of acquisitions;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impact of our restructuring activities;</w:t>
      </w:r>
    </w:p>
    <w:p>
      <w:pPr>
        <w:spacing w:after="0" w:line="157"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timing of significant customer orders, which tend to increase in the second and fourth quarters to coincide with the end of budget cycles for many hospitals;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market acceptance of our existing products, as well as products in development;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timing of regulatory approvals;</w:t>
      </w:r>
    </w:p>
    <w:p>
      <w:pPr>
        <w:spacing w:after="0" w:line="157"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expenses incurred and business lost in connection with product field corrections or recalls;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the cost or decreases in the supply of raw materials, including energy and steel;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manufacture our products efficiently;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timing of our research and development expenditures;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reimbursement for our products by third-party payors such as Medicare, Medicaid and private health insurers.</w:t>
      </w:r>
    </w:p>
    <w:p>
      <w:pPr>
        <w:spacing w:after="0" w:line="196"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The industry and market segments in which we operate are highly competitive, and we may be unable to compete effectively with other companies.</w:t>
      </w:r>
    </w:p>
    <w:p>
      <w:pPr>
        <w:spacing w:after="0" w:line="130"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52"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competitors have launched and have been developing products to compete with our duraplasty products, extremity reconstruction implants, neuro critical care monitors and ultrasonic tissue ablation devices, among others.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5" w:lineRule="auto"/>
        <w:rPr>
          <w:sz w:val="20"/>
          <w:szCs w:val="20"/>
          <w:color w:val="auto"/>
        </w:rPr>
      </w:pPr>
      <w:r>
        <w:rPr>
          <w:rFonts w:ascii="Arial" w:cs="Arial" w:eastAsia="Arial" w:hAnsi="Arial"/>
          <w:sz w:val="16"/>
          <w:szCs w:val="16"/>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business include Medtronic, Inc., the DePuy division of Johnson &amp; Johnson, Synthes, Inc., Stryker Corporation, Zimmer, NuVasive, Inc., Globus Medical, Inc., Alphatec Spine, Inc. and Orthofix. In surgical instruments, we compete with V. Mueller, a division of Cardinal Healthcare, as well as Aesculap. In addition, we compete with Codman and many smaller instrument companies in the reusable and disposable specialty instruments markets. The competitors in our orthobiologics business include such well-established companies as Medtronic, Inc., Synthes Inc. and Johnson &amp; Johnson and also include several smaller, biologic-focused companies, such as Osteotech and Orthovita.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Since we have grown through acquisitions, we had $207.7 million of goodwill and $50.0 million of indefinite-lived intangible assets as of March 31, 2009. Under Statement of Financial Accounting Standards (“SFAS”) No. 142, “Goodwill and Other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circumstances change that would more likely than not reduce our enterprise fair value below its book value. See “Management’s Discussion and Analysis of Financial Condition and Results of Operations — Critical Accounting Policies and the Use of Estimates — Valuation of Identifiable Intangible Assets, In-Process Research and Development Charges, and Goodwill” of this report.</w:t>
      </w:r>
    </w:p>
    <w:p>
      <w:pPr>
        <w:spacing w:after="0" w:line="14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SFAS No. 144, “Accounting for the Impairment or Disposal of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March 31, 2009, we had $170.2 million of other intangible assets.</w:t>
      </w:r>
    </w:p>
    <w:p>
      <w:pPr>
        <w:spacing w:after="0" w:line="16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value of biotechnology and medical device businesses is often volatile, and the assumptions underlying our estimates made in connection with our assessments under SFAS No. 142 or 144 may change as a result of that volatility or other factors outside our control and may result in impairment charges. The amount of any such impairment charges under SFAS No. 142 or 144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53" w:lineRule="exact"/>
        <w:rPr>
          <w:sz w:val="20"/>
          <w:szCs w:val="20"/>
          <w:color w:val="auto"/>
        </w:rPr>
      </w:pPr>
    </w:p>
    <w:p>
      <w:pPr>
        <w:jc w:val="both"/>
        <w:ind w:left="700" w:right="559"/>
        <w:spacing w:after="0" w:line="312" w:lineRule="auto"/>
        <w:rPr>
          <w:sz w:val="20"/>
          <w:szCs w:val="20"/>
          <w:color w:val="auto"/>
        </w:rPr>
      </w:pPr>
      <w:r>
        <w:rPr>
          <w:rFonts w:ascii="Arial" w:cs="Arial" w:eastAsia="Arial" w:hAnsi="Arial"/>
          <w:sz w:val="16"/>
          <w:szCs w:val="16"/>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0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Current economic conditions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more expensive capital equipment such as our ultrasonic surgical aspirators, neuromonitors and stereotactic products, or result in a reduction in elective and non-reimbursed procedures.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We manufacture our products in a limited number of facilities. Damage to our manufacturing, development or research facilities because of fire,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41"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In addition, certain of our surgical instruments have some manufacturing processes performed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15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We implemented an enterprise business system to support certain of our transaction processing for accounting and financial reporting, supply chain and manufacturing. The system is hosted and maintained by a third party.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October 2008, our Board of Directors adopted a new program that authorizes us to repurchase shares of our common stock for an aggregate purchase price not to exceed $75 million through December 31, 2010. Shares may be repurchased either in the open market or in privately negotiated transactions.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such repurchases of our common stock during the quarter ended March 31, 2009 under this program.</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8040" w:type="dxa"/>
            <w:vAlign w:val="bottom"/>
          </w:tcPr>
          <w:p>
            <w:pPr>
              <w:ind w:left="380"/>
              <w:spacing w:after="0"/>
              <w:rPr>
                <w:sz w:val="20"/>
                <w:szCs w:val="20"/>
                <w:color w:val="auto"/>
              </w:rPr>
            </w:pPr>
            <w:r>
              <w:rPr>
                <w:rFonts w:ascii="Arial" w:cs="Arial" w:eastAsia="Arial" w:hAnsi="Arial"/>
                <w:sz w:val="18"/>
                <w:szCs w:val="18"/>
                <w:color w:val="auto"/>
                <w:w w:val="99"/>
              </w:rPr>
              <w:t>Form of Restricted Stock Agreement with Annual Vesting for Executive Officers (Incorporated by</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6"/>
              </w:rPr>
              <w:t>reference to Exhibit 10.1 to the Company’s Current Report on Form 8-K filed on February 25, 2009)</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8040" w:type="dxa"/>
            <w:vAlign w:val="bottom"/>
          </w:tcPr>
          <w:p>
            <w:pPr>
              <w:ind w:left="380"/>
              <w:spacing w:after="0"/>
              <w:rPr>
                <w:sz w:val="20"/>
                <w:szCs w:val="20"/>
                <w:color w:val="auto"/>
              </w:rPr>
            </w:pPr>
            <w:r>
              <w:rPr>
                <w:rFonts w:ascii="Arial" w:cs="Arial" w:eastAsia="Arial" w:hAnsi="Arial"/>
                <w:sz w:val="18"/>
                <w:szCs w:val="18"/>
                <w:color w:val="auto"/>
              </w:rPr>
              <w:t>Form of Restricted Stock Agreement for Non-Employee Directors (Incorporated by reference to</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April 13, 2009)</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2009-1 Amendment to Employment Agreement, dated as of April 13, 2009, to the Second Amended and</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Restated Employment Agreement, between the Company and Mr. Essig, which is filed as Exhibit 10.1 to</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8"/>
              </w:rPr>
              <w:t>the Company’s Quarterly Report on Form 10-Q for the quarter ended September 30, 2004 filed on</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November 9, 2004, and previously amended by Amendment 2006-1, which is filed as Exhibit 10.1 to the</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Company’s Current Report on Form 8-K filed on December 22, 2006, Amendment 2008-1, which is filed</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as Exhibit 10.12(c) to the Company’s Annual Report on Form 10-K for the year ended December 31,</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6"/>
              </w:rPr>
              <w:t>2007 filed on May 16, 2008 and Amendment 2008-2, which is filed as Exhibit 10.7 to the Company’s</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2008 filed on August 11, 2008</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10.2 to the Company’s Current Report on Form 8-K filed on</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April 13, 2009)</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Form of Restricted Stock Agreement for Mr. Essig for 2009 (Incorporated by reference to Exhibit 10.3 to</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April 13, 2009)</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8040" w:type="dxa"/>
            <w:vAlign w:val="bottom"/>
          </w:tcPr>
          <w:p>
            <w:pPr>
              <w:ind w:left="380"/>
              <w:spacing w:after="0"/>
              <w:rPr>
                <w:sz w:val="20"/>
                <w:szCs w:val="20"/>
                <w:color w:val="auto"/>
              </w:rPr>
            </w:pPr>
            <w:r>
              <w:rPr>
                <w:rFonts w:ascii="Arial" w:cs="Arial" w:eastAsia="Arial" w:hAnsi="Arial"/>
                <w:sz w:val="18"/>
                <w:szCs w:val="18"/>
                <w:color w:val="auto"/>
                <w:w w:val="94"/>
              </w:rPr>
              <w:t>2009-1 Amendment to Employment Agreement, dated as of April 13, 2009, to Mr. Carlozzi’s Amended</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4"/>
              </w:rPr>
              <w:t>and Restated 2005 Employment Agreement, between the Company and Mr. Carlozzi, which is filed as</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Exhibit 10.17 to the Company’s Annual Report on Form 10-K for the year ended December 31, 2005</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filed on March 15, 2006, and previously amended by Amendment 2008-1 filed as Exhibit 10.16(b) to the</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3"/>
              </w:rPr>
              <w:t>Company’s Annual Report on Form 10-K for the year ended December 31, 2007 filed on May 16, 2008</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and Amendment 2008-2, filed as Exhibit 10.2 to the Company’s Current Report on Form 8-K filed on</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6"/>
              </w:rPr>
              <w:t>December 24, 2008 (Incorporated by reference to Exhibit 10.4 to the Company’s Current Report on</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8040" w:type="dxa"/>
            <w:vAlign w:val="bottom"/>
          </w:tcPr>
          <w:p>
            <w:pPr>
              <w:ind w:left="380"/>
              <w:spacing w:after="0"/>
              <w:rPr>
                <w:sz w:val="20"/>
                <w:szCs w:val="20"/>
                <w:color w:val="auto"/>
              </w:rPr>
            </w:pPr>
            <w:r>
              <w:rPr>
                <w:rFonts w:ascii="Arial" w:cs="Arial" w:eastAsia="Arial" w:hAnsi="Arial"/>
                <w:sz w:val="18"/>
                <w:szCs w:val="18"/>
                <w:color w:val="auto"/>
                <w:w w:val="91"/>
              </w:rPr>
              <w:t>2009-1 Amendment to Employment Agreement, dated as of April 13, 2009, to Mr. Henneman’s Amended</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and Restated 2005 Employment Agreement between the Company and Mr. Henneman, which is filed as</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Exhibit 10.16 to the Company’s Annual Report on Form 10-K for the year ended December 31, 2005</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2"/>
              </w:rPr>
              <w:t>filed on March 15, 2006, and previously amended by Amendment 2008-1 filed as Exhibit 10.15(b) to the</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3"/>
              </w:rPr>
              <w:t>Company’s Annual Report on Form 10-K for the year ended December 31, 2007 filed on May 16, 2008</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and Amendment 2008-2, filed as Exhibit 10.3 to the Company’s Current Report on Form 8-K filed on</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6"/>
              </w:rPr>
              <w:t>December 24, 2008 (Incorporated by reference to Exhibit 10.5 to the Company’s Current Report on</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10.7</w:t>
            </w: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Form  of  Restricted  Stock  Agreement  for  2008  and  2009  for  Messrs.  Carlozzi  and  Henneman</w:t>
            </w:r>
          </w:p>
        </w:tc>
      </w:tr>
      <w:tr>
        <w:trPr>
          <w:trHeight w:val="216"/>
        </w:trPr>
        <w:tc>
          <w:tcPr>
            <w:tcW w:w="800" w:type="dxa"/>
            <w:vAlign w:val="bottom"/>
          </w:tcPr>
          <w:p>
            <w:pPr>
              <w:spacing w:after="0"/>
              <w:rPr>
                <w:sz w:val="18"/>
                <w:szCs w:val="18"/>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10.6 to the Company’s Current Report on Form 8-K filed on</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April 13, 2009)</w:t>
            </w:r>
          </w:p>
        </w:tc>
      </w:tr>
      <w:tr>
        <w:trPr>
          <w:trHeight w:val="432"/>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7"/>
              </w:rPr>
              <w:t>+10.8</w:t>
            </w:r>
          </w:p>
        </w:tc>
        <w:tc>
          <w:tcPr>
            <w:tcW w:w="8040" w:type="dxa"/>
            <w:vAlign w:val="bottom"/>
          </w:tcPr>
          <w:p>
            <w:pPr>
              <w:ind w:left="380"/>
              <w:spacing w:after="0"/>
              <w:rPr>
                <w:sz w:val="20"/>
                <w:szCs w:val="20"/>
                <w:color w:val="auto"/>
              </w:rPr>
            </w:pPr>
            <w:r>
              <w:rPr>
                <w:rFonts w:ascii="Arial" w:cs="Arial" w:eastAsia="Arial" w:hAnsi="Arial"/>
                <w:sz w:val="18"/>
                <w:szCs w:val="18"/>
                <w:color w:val="auto"/>
              </w:rPr>
              <w:t>Form of Restricted Stock Agreement with Cliff Vesting for Executive Officers</w:t>
            </w:r>
          </w:p>
        </w:tc>
      </w:tr>
      <w:tr>
        <w:trPr>
          <w:trHeight w:val="418"/>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7"/>
              </w:rPr>
              <w:t>+10.9</w:t>
            </w:r>
          </w:p>
        </w:tc>
        <w:tc>
          <w:tcPr>
            <w:tcW w:w="8040" w:type="dxa"/>
            <w:vAlign w:val="bottom"/>
          </w:tcPr>
          <w:p>
            <w:pPr>
              <w:ind w:left="380"/>
              <w:spacing w:after="0"/>
              <w:rPr>
                <w:sz w:val="20"/>
                <w:szCs w:val="20"/>
                <w:color w:val="auto"/>
              </w:rPr>
            </w:pPr>
            <w:r>
              <w:rPr>
                <w:rFonts w:ascii="Arial" w:cs="Arial" w:eastAsia="Arial" w:hAnsi="Arial"/>
                <w:sz w:val="18"/>
                <w:szCs w:val="18"/>
                <w:color w:val="auto"/>
                <w:w w:val="99"/>
              </w:rPr>
              <w:t>First Amendment to Lease Agreement between 109 Morgan Lane, LLC and Integra LifeSciences</w:t>
            </w:r>
          </w:p>
        </w:tc>
      </w:tr>
      <w:tr>
        <w:trPr>
          <w:trHeight w:val="230"/>
        </w:trPr>
        <w:tc>
          <w:tcPr>
            <w:tcW w:w="800" w:type="dxa"/>
            <w:vAlign w:val="bottom"/>
          </w:tcPr>
          <w:p>
            <w:pPr>
              <w:spacing w:after="0"/>
              <w:rPr>
                <w:sz w:val="20"/>
                <w:szCs w:val="20"/>
                <w:color w:val="auto"/>
              </w:rPr>
            </w:pPr>
          </w:p>
        </w:tc>
        <w:tc>
          <w:tcPr>
            <w:tcW w:w="8040" w:type="dxa"/>
            <w:vAlign w:val="bottom"/>
          </w:tcPr>
          <w:p>
            <w:pPr>
              <w:ind w:left="380"/>
              <w:spacing w:after="0"/>
              <w:rPr>
                <w:sz w:val="20"/>
                <w:szCs w:val="20"/>
                <w:color w:val="auto"/>
              </w:rPr>
            </w:pPr>
            <w:r>
              <w:rPr>
                <w:rFonts w:ascii="Arial" w:cs="Arial" w:eastAsia="Arial" w:hAnsi="Arial"/>
                <w:sz w:val="18"/>
                <w:szCs w:val="18"/>
                <w:color w:val="auto"/>
              </w:rPr>
              <w:t>Corporation, dated March 9, 2009</w:t>
            </w:r>
          </w:p>
        </w:tc>
      </w:tr>
      <w:tr>
        <w:trPr>
          <w:trHeight w:val="432"/>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7"/>
              </w:rPr>
              <w:t>+31.1</w:t>
            </w:r>
          </w:p>
        </w:tc>
        <w:tc>
          <w:tcPr>
            <w:tcW w:w="8040" w:type="dxa"/>
            <w:vAlign w:val="bottom"/>
          </w:tcPr>
          <w:p>
            <w:pPr>
              <w:ind w:left="380"/>
              <w:spacing w:after="0"/>
              <w:rPr>
                <w:sz w:val="20"/>
                <w:szCs w:val="20"/>
                <w:color w:val="auto"/>
              </w:rPr>
            </w:pPr>
            <w:r>
              <w:rPr>
                <w:rFonts w:ascii="Arial" w:cs="Arial" w:eastAsia="Arial" w:hAnsi="Arial"/>
                <w:sz w:val="18"/>
                <w:szCs w:val="18"/>
                <w:color w:val="auto"/>
                <w:w w:val="94"/>
              </w:rPr>
              <w:t>Certification of Principal Executive Officer Pursuant to Section 302 of the Sarbanes-Oxley Act of 2002</w:t>
            </w:r>
          </w:p>
        </w:tc>
      </w:tr>
      <w:tr>
        <w:trPr>
          <w:trHeight w:val="432"/>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7"/>
              </w:rPr>
              <w:t>+31.2</w:t>
            </w: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Certification of Principal Financial Officer Pursuant to Section 302 of the Sarbanes-Oxley Act of 2002</w:t>
            </w:r>
          </w:p>
        </w:tc>
      </w:tr>
      <w:tr>
        <w:trPr>
          <w:trHeight w:val="432"/>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7"/>
              </w:rPr>
              <w:t>+32.1</w:t>
            </w:r>
          </w:p>
        </w:tc>
        <w:tc>
          <w:tcPr>
            <w:tcW w:w="8040" w:type="dxa"/>
            <w:vAlign w:val="bottom"/>
          </w:tcPr>
          <w:p>
            <w:pPr>
              <w:ind w:left="380"/>
              <w:spacing w:after="0"/>
              <w:rPr>
                <w:sz w:val="20"/>
                <w:szCs w:val="20"/>
                <w:color w:val="auto"/>
              </w:rPr>
            </w:pPr>
            <w:r>
              <w:rPr>
                <w:rFonts w:ascii="Arial" w:cs="Arial" w:eastAsia="Arial" w:hAnsi="Arial"/>
                <w:sz w:val="18"/>
                <w:szCs w:val="18"/>
                <w:color w:val="auto"/>
                <w:w w:val="94"/>
              </w:rPr>
              <w:t>Certification of Principal Executive Officer Pursuant to Section 906 of the Sarbanes-Oxley Act of 2002</w:t>
            </w:r>
          </w:p>
        </w:tc>
      </w:tr>
      <w:tr>
        <w:trPr>
          <w:trHeight w:val="432"/>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87"/>
              </w:rPr>
              <w:t>+32.2</w:t>
            </w:r>
          </w:p>
        </w:tc>
        <w:tc>
          <w:tcPr>
            <w:tcW w:w="8040" w:type="dxa"/>
            <w:vAlign w:val="bottom"/>
          </w:tcPr>
          <w:p>
            <w:pPr>
              <w:ind w:left="380"/>
              <w:spacing w:after="0"/>
              <w:rPr>
                <w:sz w:val="20"/>
                <w:szCs w:val="20"/>
                <w:color w:val="auto"/>
              </w:rPr>
            </w:pPr>
            <w:r>
              <w:rPr>
                <w:rFonts w:ascii="Arial" w:cs="Arial" w:eastAsia="Arial" w:hAnsi="Arial"/>
                <w:sz w:val="18"/>
                <w:szCs w:val="18"/>
                <w:color w:val="auto"/>
                <w:w w:val="95"/>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188595</wp:posOffset>
            </wp:positionV>
            <wp:extent cx="10636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this document is filed as an exhibit herewith.</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c>
          <w:tcPr>
            <w:tcW w:w="314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May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3140" w:type="dxa"/>
            <w:vAlign w:val="bottom"/>
          </w:tcPr>
          <w:p>
            <w:pPr>
              <w:spacing w:after="0"/>
              <w:rPr>
                <w:sz w:val="16"/>
                <w:szCs w:val="16"/>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May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314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Executive Vice President, Finance and</w:t>
            </w:r>
          </w:p>
        </w:tc>
        <w:tc>
          <w:tcPr>
            <w:tcW w:w="314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Administration, and Chief Financial Officer</w:t>
            </w:r>
          </w:p>
        </w:tc>
        <w:tc>
          <w:tcPr>
            <w:tcW w:w="3140" w:type="dxa"/>
            <w:vAlign w:val="bottom"/>
          </w:tcPr>
          <w:p>
            <w:pPr>
              <w:spacing w:after="0"/>
              <w:rPr>
                <w:sz w:val="20"/>
                <w:szCs w:val="20"/>
                <w:color w:val="auto"/>
              </w:rPr>
            </w:pPr>
          </w:p>
        </w:tc>
      </w:tr>
      <w:tr>
        <w:trPr>
          <w:trHeight w:val="783"/>
        </w:trPr>
        <w:tc>
          <w:tcPr>
            <w:tcW w:w="482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34</w:t>
            </w:r>
          </w:p>
        </w:tc>
        <w:tc>
          <w:tcPr>
            <w:tcW w:w="3140" w:type="dxa"/>
            <w:vAlign w:val="bottom"/>
          </w:tcPr>
          <w:p>
            <w:pPr>
              <w:spacing w:after="0"/>
              <w:rPr>
                <w:sz w:val="24"/>
                <w:szCs w:val="24"/>
                <w:color w:val="auto"/>
              </w:rPr>
            </w:pPr>
          </w:p>
        </w:tc>
      </w:tr>
      <w:tr>
        <w:trPr>
          <w:trHeight w:val="226"/>
        </w:trPr>
        <w:tc>
          <w:tcPr>
            <w:tcW w:w="48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9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98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9"/>
              </w:rPr>
              <w:t>Form of Restricted Stock Agreement with Annual Vesting for Executive Officers (Incorporated by</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6"/>
              </w:rPr>
              <w:t>reference to Exhibit 10.1 to the Company’s Current Report on Form 8-K filed on February 25, 2009)</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Form of Restricted Stock Agreement for Non-Employee Directors (Incorporated by reference to</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Exhibit 10.1 to the Company’s Current Report on Form 8-K filed on April 13, 2009)</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2009-1 Amendment to Employment Agreement, dated as of April 13, 2009, to the Second Amended and</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Restated Employment Agreement, between the Company and Mr. Essig, which is filed as Exhibit 10.1 to</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8"/>
              </w:rPr>
              <w:t>the Company’s Quarterly Report on Form 10-Q for the quarter ended September 30, 2004 filed on</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November 9, 2004, and previously amended by Amendment 2006-1, which is filed as Exhibit 10.1 to the</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Company’s Current Report on Form 8-K filed on December 22, 2006, Amendment 2008-1, which is filed</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as Exhibit 10.12(c) to the Company’s Annual Report on Form 10-K for the year ended December 31,</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6"/>
              </w:rPr>
              <w:t>2007 filed on May 16, 2008 and Amendment 2008-2, which is filed as Exhibit 10.7 to the Company’s</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Quarterly Report on Form 10-Q for the quarter ended June 30, 2008 filed on August 11, 2008</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9"/>
              </w:rPr>
              <w:t>(Incorporated by reference to Exhibit 10.2 to the Company’s Current Report on Form 8-K filed on</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April 13, 2009)</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Form of Restricted Stock Agreement for Mr. Essig for 2009 (Incorporated by reference to Exhibit 10.3 to</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the Company’s Current Report on Form 8-K filed on April 13, 2009)</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4"/>
              </w:rPr>
              <w:t>2009-1 Amendment to Employment Agreement, dated as of April 13, 2009, to Mr. Carlozzi’s Amended</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4"/>
              </w:rPr>
              <w:t>and Restated 2005 Employment Agreement, between the Company and Mr. Carlozzi, which is filed as</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Exhibit 10.17 to the Company’s Annual Report on Form 10-K for the year ended December 31, 2005</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filed on March 15, 2006, and previously amended by Amendment 2008-1 filed as Exhibit 10.16(b) to the</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3"/>
              </w:rPr>
              <w:t>Company’s Annual Report on Form 10-K for the year ended December 31, 2007 filed on May 16, 2008</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and Amendment 2008-2, filed as Exhibit 10.2 to the Company’s Current Report on Form 8-K filed on</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6"/>
              </w:rPr>
              <w:t>December 24, 2008 (Incorporated by reference to Exhibit 10.4 to the Company’s Current Report on</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1"/>
              </w:rPr>
              <w:t>2009-1 Amendment to Employment Agreement, dated as of April 13, 2009, to Mr. Henneman’s Amended</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and Restated 2005 Employment Agreement between the Company and Mr. Henneman, which is filed as</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Exhibit 10.16 to the Company’s Annual Report on Form 10-K for the year ended December 31, 2005</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2"/>
              </w:rPr>
              <w:t>filed on March 15, 2006, and previously amended by Amendment 2008-1 filed as Exhibit 10.15(b) to the</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3"/>
              </w:rPr>
              <w:t>Company’s Annual Report on Form 10-K for the year ended December 31, 2007 filed on May 16, 2008</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and Amendment 2008-2, filed as Exhibit 10.3 to the Company’s Current Report on Form 8-K filed on</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6"/>
              </w:rPr>
              <w:t>December 24, 2008 (Incorporated by reference to Exhibit 10.5 to the Company’s Current Report on</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Form 8-K filed on April 13, 2009)</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Form  of  Restricted  Stock  Agreement  for  2008  and  2009  for  Messrs.  Carlozzi  and  Henneman</w:t>
            </w: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9"/>
              </w:rPr>
              <w:t>(Incorporated by reference to Exhibit 10.6 to the Company’s Current Report on Form 8-K filed on</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April 13, 2009)</w:t>
            </w:r>
          </w:p>
        </w:tc>
      </w:tr>
      <w:tr>
        <w:trPr>
          <w:trHeight w:val="432"/>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Form of Restricted Stock Agreement with Cliff Vesting for Executive Officers</w:t>
            </w:r>
          </w:p>
        </w:tc>
      </w:tr>
      <w:tr>
        <w:trPr>
          <w:trHeight w:val="418"/>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9"/>
              </w:rPr>
              <w:t>First Amendment to Lease Agreement between 109 Morgan Lane, LLC and Integra LifeSciences</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Corporation, dated March 9, 2009</w:t>
            </w:r>
          </w:p>
        </w:tc>
      </w:tr>
      <w:tr>
        <w:trPr>
          <w:trHeight w:val="432"/>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4"/>
              </w:rPr>
              <w:t>Certification of Principal Executive Officer Pursuant to Section 302 of the Sarbanes-Oxley Act of 2002</w:t>
            </w:r>
          </w:p>
        </w:tc>
      </w:tr>
      <w:tr>
        <w:trPr>
          <w:trHeight w:val="432"/>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Certification of Principal Financial Officer Pursuant to Section 302 of the Sarbanes-Oxley Act of 2002</w:t>
            </w:r>
          </w:p>
        </w:tc>
      </w:tr>
      <w:tr>
        <w:trPr>
          <w:trHeight w:val="432"/>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4"/>
              </w:rPr>
              <w:t>Certification of Principal Executive Officer Pursuant to Section 906 of the Sarbanes-Oxley Act of 2002</w:t>
            </w:r>
          </w:p>
        </w:tc>
      </w:tr>
      <w:tr>
        <w:trPr>
          <w:trHeight w:val="432"/>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5"/>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188595</wp:posOffset>
            </wp:positionV>
            <wp:extent cx="10636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this document is filed as an exhibit herewith.</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219"/>
          </w:cols>
          <w:pgMar w:left="240" w:top="405" w:right="1440" w:bottom="1440" w:gutter="0" w:footer="0" w:header="0"/>
          <w:type w:val="continuous"/>
        </w:sectPr>
      </w:pPr>
    </w:p>
    <w:bookmarkStart w:id="37" w:name="page38"/>
    <w:bookmarkEnd w:id="37"/>
    <w:p>
      <w:pPr>
        <w:jc w:val="right"/>
        <w:ind w:right="559"/>
        <w:spacing w:after="0"/>
        <w:rPr>
          <w:sz w:val="20"/>
          <w:szCs w:val="20"/>
          <w:color w:val="auto"/>
        </w:rPr>
      </w:pPr>
      <w:r>
        <w:rPr>
          <w:rFonts w:ascii="Arial" w:cs="Arial" w:eastAsia="Arial" w:hAnsi="Arial"/>
          <w:sz w:val="18"/>
          <w:szCs w:val="18"/>
          <w:b w:val="1"/>
          <w:bCs w:val="1"/>
          <w:color w:val="auto"/>
        </w:rPr>
        <w:t>Exhibit 10.8</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Form of Restricted Stock Agreement for Executive Officers - Cliff Vesting</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RESTRICTED STOCK AGREEMENT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 xml:space="preserve">THIS RESTRICTED STOCK AGREEMENT </w:t>
      </w:r>
      <w:r>
        <w:rPr>
          <w:rFonts w:ascii="Arial" w:cs="Arial" w:eastAsia="Arial" w:hAnsi="Arial"/>
          <w:sz w:val="18"/>
          <w:szCs w:val="18"/>
          <w:color w:val="auto"/>
        </w:rPr>
        <w:t>(the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_____ (the “Award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Date”), is made by and between Integra LifeSciences Holdings Corporation</w:t>
      </w:r>
      <w:r>
        <w:rPr>
          <w:rFonts w:ascii="Arial" w:cs="Arial" w:eastAsia="Arial" w:hAnsi="Arial"/>
          <w:sz w:val="17"/>
          <w:szCs w:val="17"/>
          <w:b w:val="1"/>
          <w:bCs w:val="1"/>
          <w:color w:val="auto"/>
        </w:rPr>
        <w:t>,</w:t>
      </w:r>
      <w:r>
        <w:rPr>
          <w:rFonts w:ascii="Arial" w:cs="Arial" w:eastAsia="Arial" w:hAnsi="Arial"/>
          <w:sz w:val="17"/>
          <w:szCs w:val="17"/>
          <w:color w:val="auto"/>
        </w:rPr>
        <w:t xml:space="preserve"> a Delaware corporation (the “Company”),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 an employee of the Company (or one or more of its Related Corporations or Affiliates), hereinafter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66" w:lineRule="exact"/>
        <w:rPr>
          <w:sz w:val="20"/>
          <w:szCs w:val="20"/>
          <w:color w:val="auto"/>
        </w:rPr>
      </w:pPr>
    </w:p>
    <w:p>
      <w:pPr>
        <w:ind w:right="839" w:firstLine="11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Integra LifeSciences Holdings Corporation</w:t>
      </w:r>
      <w:r>
        <w:rPr>
          <w:rFonts w:ascii="Arial" w:cs="Arial" w:eastAsia="Arial" w:hAnsi="Arial"/>
          <w:sz w:val="18"/>
          <w:szCs w:val="18"/>
          <w:b w:val="1"/>
          <w:bCs w:val="1"/>
          <w:color w:val="auto"/>
        </w:rPr>
        <w:t xml:space="preserve"> [2003] or [2001] </w:t>
      </w:r>
      <w:r>
        <w:rPr>
          <w:rFonts w:ascii="Arial" w:cs="Arial" w:eastAsia="Arial" w:hAnsi="Arial"/>
          <w:sz w:val="18"/>
          <w:szCs w:val="18"/>
          <w:color w:val="auto"/>
        </w:rPr>
        <w:t>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amended (the “Plan”), and wishes to carry out the Plan, the terms of which are hereby incorporated by reference and made part of this Award Agreement; and</w:t>
      </w:r>
    </w:p>
    <w:p>
      <w:pPr>
        <w:spacing w:after="0" w:line="149" w:lineRule="exact"/>
        <w:rPr>
          <w:sz w:val="20"/>
          <w:szCs w:val="20"/>
          <w:color w:val="auto"/>
        </w:rPr>
      </w:pPr>
    </w:p>
    <w:p>
      <w:pPr>
        <w:ind w:right="819" w:firstLine="11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various covenants herein contained,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hereto agree as follows:</w:t>
      </w:r>
    </w:p>
    <w:p>
      <w:pPr>
        <w:spacing w:after="0" w:line="1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70" w:lineRule="exact"/>
        <w:rPr>
          <w:sz w:val="20"/>
          <w:szCs w:val="20"/>
          <w:color w:val="auto"/>
        </w:rPr>
      </w:pPr>
    </w:p>
    <w:p>
      <w:pPr>
        <w:ind w:right="1119" w:firstLine="1120"/>
        <w:spacing w:after="0" w:line="308" w:lineRule="auto"/>
        <w:rPr>
          <w:sz w:val="20"/>
          <w:szCs w:val="20"/>
          <w:color w:val="auto"/>
        </w:rPr>
      </w:pPr>
      <w:r>
        <w:rPr>
          <w:rFonts w:ascii="Arial" w:cs="Arial" w:eastAsia="Arial" w:hAnsi="Arial"/>
          <w:sz w:val="17"/>
          <w:szCs w:val="17"/>
          <w:color w:val="auto"/>
        </w:rPr>
        <w:t>Capitalized terms not otherwise defined below shall have the meaning set forth in the Plan. The masculine pronoun shall include the feminine and neuter, and the singular the plural, where the context so indicates.</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6"/>
          <w:szCs w:val="16"/>
          <w:b w:val="1"/>
          <w:bCs w:val="1"/>
          <w:u w:val="single" w:color="auto"/>
          <w:color w:val="auto"/>
        </w:rPr>
        <w:t>Section 1.1</w:t>
      </w:r>
      <w:r>
        <w:rPr>
          <w:rFonts w:ascii="Arial" w:cs="Arial" w:eastAsia="Arial" w:hAnsi="Arial"/>
          <w:sz w:val="16"/>
          <w:szCs w:val="16"/>
          <w:b w:val="1"/>
          <w:bCs w:val="1"/>
          <w:color w:val="auto"/>
        </w:rPr>
        <w:t xml:space="preserve"> Restricted Stock. </w:t>
      </w:r>
      <w:r>
        <w:rPr>
          <w:rFonts w:ascii="Arial" w:cs="Arial" w:eastAsia="Arial" w:hAnsi="Arial"/>
          <w:sz w:val="16"/>
          <w:szCs w:val="16"/>
          <w:color w:val="auto"/>
        </w:rPr>
        <w:t>“Restricted Stock” shall mean _____ shares of Common Stock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issued under this Award Agreement and subject to the Restrictions imposed hereunder.</w:t>
      </w:r>
    </w:p>
    <w:p>
      <w:pPr>
        <w:spacing w:after="0" w:line="166" w:lineRule="exact"/>
        <w:rPr>
          <w:sz w:val="20"/>
          <w:szCs w:val="20"/>
          <w:color w:val="auto"/>
        </w:rPr>
      </w:pPr>
    </w:p>
    <w:p>
      <w:pPr>
        <w:ind w:right="779" w:firstLine="1120"/>
        <w:spacing w:after="0" w:line="282"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under the Plan and this Award Agreement.</w:t>
      </w:r>
    </w:p>
    <w:p>
      <w:pPr>
        <w:spacing w:after="0" w:line="121" w:lineRule="exact"/>
        <w:rPr>
          <w:sz w:val="20"/>
          <w:szCs w:val="20"/>
          <w:color w:val="auto"/>
        </w:rPr>
      </w:pPr>
    </w:p>
    <w:p>
      <w:pPr>
        <w:ind w:right="699" w:firstLine="1120"/>
        <w:spacing w:after="0" w:line="282" w:lineRule="auto"/>
        <w:rPr>
          <w:sz w:val="20"/>
          <w:szCs w:val="20"/>
          <w:color w:val="auto"/>
        </w:rPr>
      </w:pPr>
      <w:r>
        <w:rPr>
          <w:rFonts w:ascii="Arial" w:cs="Arial" w:eastAsia="Arial" w:hAnsi="Arial"/>
          <w:sz w:val="18"/>
          <w:szCs w:val="18"/>
          <w:b w:val="1"/>
          <w:bCs w:val="1"/>
          <w:u w:val="single" w:color="auto"/>
          <w:color w:val="auto"/>
        </w:rPr>
        <w:t>Section 1.3</w:t>
      </w:r>
      <w:r>
        <w:rPr>
          <w:rFonts w:ascii="Arial" w:cs="Arial" w:eastAsia="Arial" w:hAnsi="Arial"/>
          <w:sz w:val="18"/>
          <w:szCs w:val="18"/>
          <w:b w:val="1"/>
          <w:bCs w:val="1"/>
          <w:color w:val="auto"/>
        </w:rPr>
        <w:t xml:space="preserve"> Rule 16b-3. </w:t>
      </w:r>
      <w:r>
        <w:rPr>
          <w:rFonts w:ascii="Arial" w:cs="Arial" w:eastAsia="Arial" w:hAnsi="Arial"/>
          <w:sz w:val="18"/>
          <w:szCs w:val="18"/>
          <w:color w:val="auto"/>
        </w:rPr>
        <w:t>“Rule 16b-3” shall mean that certain Rule 16b-3 under the Exchange Act, as such Rule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from time to time.</w:t>
      </w:r>
    </w:p>
    <w:p>
      <w:pPr>
        <w:spacing w:after="0" w:line="135" w:lineRule="exact"/>
        <w:rPr>
          <w:sz w:val="20"/>
          <w:szCs w:val="20"/>
          <w:color w:val="auto"/>
        </w:rPr>
      </w:pPr>
    </w:p>
    <w:p>
      <w:pPr>
        <w:ind w:left="112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185" w:lineRule="exact"/>
        <w:rPr>
          <w:sz w:val="20"/>
          <w:szCs w:val="20"/>
          <w:color w:val="auto"/>
        </w:rPr>
      </w:pPr>
    </w:p>
    <w:p>
      <w:pPr>
        <w:ind w:right="559" w:firstLine="1120"/>
        <w:spacing w:after="0" w:line="298"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“Termination of Service” shall mean the time when the Participant ceases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114" w:lineRule="exact"/>
        <w:rPr>
          <w:sz w:val="20"/>
          <w:szCs w:val="20"/>
          <w:color w:val="auto"/>
        </w:rPr>
      </w:pPr>
    </w:p>
    <w:p>
      <w:pPr>
        <w:ind w:right="1079" w:firstLine="1120"/>
        <w:spacing w:after="0" w:line="282" w:lineRule="auto"/>
        <w:rPr>
          <w:sz w:val="20"/>
          <w:szCs w:val="20"/>
          <w:color w:val="auto"/>
        </w:rPr>
      </w:pPr>
      <w:r>
        <w:rPr>
          <w:rFonts w:ascii="Arial" w:cs="Arial" w:eastAsia="Arial" w:hAnsi="Arial"/>
          <w:sz w:val="18"/>
          <w:szCs w:val="18"/>
          <w:b w:val="1"/>
          <w:bCs w:val="1"/>
          <w:u w:val="single" w:color="auto"/>
          <w:color w:val="auto"/>
        </w:rPr>
        <w:t>Section 1.6</w:t>
      </w:r>
      <w:r>
        <w:rPr>
          <w:rFonts w:ascii="Arial" w:cs="Arial" w:eastAsia="Arial" w:hAnsi="Arial"/>
          <w:sz w:val="18"/>
          <w:szCs w:val="18"/>
          <w:b w:val="1"/>
          <w:bCs w:val="1"/>
          <w:color w:val="auto"/>
        </w:rPr>
        <w:t xml:space="preserve"> Vested Shares. </w:t>
      </w:r>
      <w:r>
        <w:rPr>
          <w:rFonts w:ascii="Arial" w:cs="Arial" w:eastAsia="Arial" w:hAnsi="Arial"/>
          <w:sz w:val="18"/>
          <w:szCs w:val="18"/>
          <w:color w:val="auto"/>
        </w:rPr>
        <w:t>“Vested Shares” shall mean the shares of Restricted Stock which are no longer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Restrictions by reason of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618490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8" w:name="page39"/>
    <w:bookmarkEnd w:id="38"/>
    <w:p>
      <w:pPr>
        <w:ind w:left="3660"/>
        <w:spacing w:after="0"/>
        <w:rPr>
          <w:sz w:val="20"/>
          <w:szCs w:val="20"/>
          <w:color w:val="auto"/>
        </w:rPr>
      </w:pPr>
      <w:r>
        <w:rPr>
          <w:rFonts w:ascii="Arial" w:cs="Arial" w:eastAsia="Arial" w:hAnsi="Arial"/>
          <w:sz w:val="16"/>
          <w:szCs w:val="16"/>
          <w:b w:val="1"/>
          <w:bCs w:val="1"/>
          <w:color w:val="auto"/>
        </w:rPr>
        <w:t>Form of Restricted Stock Agreement for Executive Officers - Cliff Vesting</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Vesting Date. </w:t>
      </w:r>
      <w:r>
        <w:rPr>
          <w:rFonts w:ascii="Arial" w:cs="Arial" w:eastAsia="Arial" w:hAnsi="Arial"/>
          <w:sz w:val="18"/>
          <w:szCs w:val="18"/>
          <w:color w:val="auto"/>
        </w:rPr>
        <w:t>“Vesting Date” shall mean the three year anniversary of the Award Date.</w:t>
      </w:r>
    </w:p>
    <w:p>
      <w:pPr>
        <w:spacing w:after="0" w:line="18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166" w:lineRule="exact"/>
        <w:rPr>
          <w:sz w:val="20"/>
          <w:szCs w:val="20"/>
          <w:color w:val="auto"/>
        </w:rPr>
      </w:pPr>
    </w:p>
    <w:p>
      <w:pPr>
        <w:ind w:right="579" w:firstLine="1120"/>
        <w:spacing w:after="0" w:line="274" w:lineRule="auto"/>
        <w:rPr>
          <w:sz w:val="20"/>
          <w:szCs w:val="20"/>
          <w:color w:val="auto"/>
        </w:rPr>
      </w:pPr>
      <w:r>
        <w:rPr>
          <w:rFonts w:ascii="Arial" w:cs="Arial" w:eastAsia="Arial" w:hAnsi="Arial"/>
          <w:sz w:val="17"/>
          <w:szCs w:val="17"/>
          <w:b w:val="1"/>
          <w:bCs w:val="1"/>
          <w:u w:val="single" w:color="auto"/>
          <w:color w:val="auto"/>
        </w:rPr>
        <w:t>Section 2.1</w:t>
      </w:r>
      <w:r>
        <w:rPr>
          <w:rFonts w:ascii="Arial" w:cs="Arial" w:eastAsia="Arial" w:hAnsi="Arial"/>
          <w:sz w:val="17"/>
          <w:szCs w:val="17"/>
          <w:b w:val="1"/>
          <w:bCs w:val="1"/>
          <w:color w:val="auto"/>
        </w:rPr>
        <w:t xml:space="preserve"> Issuance of Restricted Stock. </w:t>
      </w:r>
      <w:r>
        <w:rPr>
          <w:rFonts w:ascii="Arial" w:cs="Arial" w:eastAsia="Arial" w:hAnsi="Arial"/>
          <w:sz w:val="17"/>
          <w:szCs w:val="17"/>
          <w:color w:val="auto"/>
        </w:rPr>
        <w:t>On the date hereof the Company issues to the Participant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Restricted 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7" w:lineRule="exact"/>
        <w:rPr>
          <w:sz w:val="20"/>
          <w:szCs w:val="20"/>
          <w:color w:val="auto"/>
        </w:rPr>
      </w:pPr>
    </w:p>
    <w:p>
      <w:pPr>
        <w:ind w:right="699" w:firstLine="1120"/>
        <w:spacing w:after="0" w:line="347" w:lineRule="auto"/>
        <w:rPr>
          <w:sz w:val="20"/>
          <w:szCs w:val="20"/>
          <w:color w:val="auto"/>
        </w:rPr>
      </w:pPr>
      <w:r>
        <w:rPr>
          <w:rFonts w:ascii="Arial" w:cs="Arial" w:eastAsia="Arial" w:hAnsi="Arial"/>
          <w:sz w:val="16"/>
          <w:szCs w:val="16"/>
          <w:b w:val="1"/>
          <w:bCs w:val="1"/>
          <w:u w:val="single" w:color="auto"/>
          <w:color w:val="auto"/>
        </w:rPr>
        <w:t>Section 2.2</w:t>
      </w:r>
      <w:r>
        <w:rPr>
          <w:rFonts w:ascii="Arial" w:cs="Arial" w:eastAsia="Arial" w:hAnsi="Arial"/>
          <w:sz w:val="16"/>
          <w:szCs w:val="16"/>
          <w:b w:val="1"/>
          <w:bCs w:val="1"/>
          <w:color w:val="auto"/>
        </w:rPr>
        <w:t xml:space="preserve"> Restrictions. </w:t>
      </w:r>
      <w:r>
        <w:rPr>
          <w:rFonts w:ascii="Arial" w:cs="Arial" w:eastAsia="Arial" w:hAnsi="Arial"/>
          <w:sz w:val="16"/>
          <w:szCs w:val="16"/>
          <w:color w:val="auto"/>
        </w:rPr>
        <w:t>Until vested pursuant to Section 3.2, the Restricted Stock shall be subject to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as provided in Section 3.1 and may not be sold, assigned, transferred, pledged, or otherwise encumbered or disposed of.</w:t>
      </w:r>
    </w:p>
    <w:p>
      <w:pPr>
        <w:spacing w:after="0" w:line="76" w:lineRule="exact"/>
        <w:rPr>
          <w:sz w:val="20"/>
          <w:szCs w:val="20"/>
          <w:color w:val="auto"/>
        </w:rPr>
      </w:pPr>
    </w:p>
    <w:p>
      <w:pPr>
        <w:jc w:val="both"/>
        <w:ind w:right="679" w:firstLine="1120"/>
        <w:spacing w:after="0" w:line="314" w:lineRule="auto"/>
        <w:rPr>
          <w:sz w:val="20"/>
          <w:szCs w:val="20"/>
          <w:color w:val="auto"/>
        </w:rPr>
      </w:pPr>
      <w:r>
        <w:rPr>
          <w:rFonts w:ascii="Arial" w:cs="Arial" w:eastAsia="Arial" w:hAnsi="Arial"/>
          <w:sz w:val="16"/>
          <w:szCs w:val="16"/>
          <w:b w:val="1"/>
          <w:bCs w:val="1"/>
          <w:u w:val="single" w:color="auto"/>
          <w:color w:val="auto"/>
        </w:rPr>
        <w:t>Section 2.3</w:t>
      </w:r>
      <w:r>
        <w:rPr>
          <w:rFonts w:ascii="Arial" w:cs="Arial" w:eastAsia="Arial" w:hAnsi="Arial"/>
          <w:sz w:val="16"/>
          <w:szCs w:val="16"/>
          <w:b w:val="1"/>
          <w:bCs w:val="1"/>
          <w:color w:val="auto"/>
        </w:rPr>
        <w:t xml:space="preserve"> Voting and Dividend Rights</w:t>
      </w:r>
      <w:r>
        <w:rPr>
          <w:rFonts w:ascii="Arial" w:cs="Arial" w:eastAsia="Arial" w:hAnsi="Arial"/>
          <w:sz w:val="16"/>
          <w:szCs w:val="16"/>
          <w:color w:val="auto"/>
        </w:rPr>
        <w:t>. The Participant, shall have all the rights of a stockholder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his Restricted Stock, including the right to vote the Restricted Stock, except that the Participant shall have the right to receive all dividends or other distributions paid or made with respect to only those outstanding vested shares of Common Stock.</w:t>
      </w:r>
    </w:p>
    <w:p>
      <w:pPr>
        <w:spacing w:after="0" w:line="10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180" w:lineRule="exact"/>
        <w:rPr>
          <w:sz w:val="20"/>
          <w:szCs w:val="20"/>
          <w:color w:val="auto"/>
        </w:rPr>
      </w:pPr>
    </w:p>
    <w:p>
      <w:pPr>
        <w:ind w:right="579" w:firstLine="1120"/>
        <w:spacing w:after="0" w:line="281" w:lineRule="auto"/>
        <w:rPr>
          <w:sz w:val="20"/>
          <w:szCs w:val="20"/>
          <w:color w:val="auto"/>
        </w:rPr>
      </w:pPr>
      <w:r>
        <w:rPr>
          <w:rFonts w:ascii="Arial" w:cs="Arial" w:eastAsia="Arial" w:hAnsi="Arial"/>
          <w:sz w:val="17"/>
          <w:szCs w:val="17"/>
          <w:b w:val="1"/>
          <w:bCs w:val="1"/>
          <w:u w:val="single" w:color="auto"/>
          <w:color w:val="auto"/>
        </w:rPr>
        <w:t>Section 3.1</w:t>
      </w:r>
      <w:r>
        <w:rPr>
          <w:rFonts w:ascii="Arial" w:cs="Arial" w:eastAsia="Arial" w:hAnsi="Arial"/>
          <w:sz w:val="17"/>
          <w:szCs w:val="17"/>
          <w:b w:val="1"/>
          <w:bCs w:val="1"/>
          <w:color w:val="auto"/>
        </w:rPr>
        <w:t xml:space="preserve"> Forfeiture. </w:t>
      </w:r>
      <w:r>
        <w:rPr>
          <w:rFonts w:ascii="Arial" w:cs="Arial" w:eastAsia="Arial" w:hAnsi="Arial"/>
          <w:sz w:val="17"/>
          <w:szCs w:val="17"/>
          <w:color w:val="auto"/>
        </w:rPr>
        <w:t>Upon the Participant’s Termination of Service, the Participant’s rights in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124" w:lineRule="exact"/>
        <w:rPr>
          <w:sz w:val="20"/>
          <w:szCs w:val="20"/>
          <w:color w:val="auto"/>
        </w:rPr>
      </w:pPr>
    </w:p>
    <w:p>
      <w:pPr>
        <w:ind w:right="699" w:firstLine="1120"/>
        <w:spacing w:after="0" w:line="303" w:lineRule="auto"/>
        <w:rPr>
          <w:sz w:val="20"/>
          <w:szCs w:val="20"/>
          <w:color w:val="auto"/>
        </w:rPr>
      </w:pPr>
      <w:r>
        <w:rPr>
          <w:rFonts w:ascii="Arial" w:cs="Arial" w:eastAsia="Arial" w:hAnsi="Arial"/>
          <w:sz w:val="16"/>
          <w:szCs w:val="16"/>
          <w:b w:val="1"/>
          <w:bCs w:val="1"/>
          <w:u w:val="single" w:color="auto"/>
          <w:color w:val="auto"/>
        </w:rPr>
        <w:t>Section 3.2</w:t>
      </w:r>
      <w:r>
        <w:rPr>
          <w:rFonts w:ascii="Arial" w:cs="Arial" w:eastAsia="Arial" w:hAnsi="Arial"/>
          <w:sz w:val="16"/>
          <w:szCs w:val="16"/>
          <w:b w:val="1"/>
          <w:bCs w:val="1"/>
          <w:color w:val="auto"/>
        </w:rPr>
        <w:t xml:space="preserve"> Termination of Restrictions. </w:t>
      </w:r>
      <w:r>
        <w:rPr>
          <w:rFonts w:ascii="Arial" w:cs="Arial" w:eastAsia="Arial" w:hAnsi="Arial"/>
          <w:sz w:val="16"/>
          <w:szCs w:val="16"/>
          <w:color w:val="auto"/>
        </w:rPr>
        <w:t>The Restrictions shall terminate and lapse, and such shares shall vest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Participant and become Vested Shares on the Vesting Date as provided in Section 3.3, provided that the Participant has continued to serve as an employee or an Associate from the Award Date to and including the Vesting Date. Notwithstanding the foregoing, upon a Change in Control, all Restrictions shall lapse and all Restricted Stock shall become Vested Shares.</w:t>
      </w:r>
    </w:p>
    <w:p>
      <w:pPr>
        <w:spacing w:after="0" w:line="111" w:lineRule="exact"/>
        <w:rPr>
          <w:sz w:val="20"/>
          <w:szCs w:val="20"/>
          <w:color w:val="auto"/>
        </w:rPr>
      </w:pPr>
    </w:p>
    <w:p>
      <w:pPr>
        <w:ind w:right="579" w:firstLine="1120"/>
        <w:spacing w:after="0" w:line="290" w:lineRule="auto"/>
        <w:rPr>
          <w:sz w:val="20"/>
          <w:szCs w:val="20"/>
          <w:color w:val="auto"/>
        </w:rPr>
      </w:pPr>
      <w:r>
        <w:rPr>
          <w:rFonts w:ascii="Arial" w:cs="Arial" w:eastAsia="Arial" w:hAnsi="Arial"/>
          <w:sz w:val="16"/>
          <w:szCs w:val="16"/>
          <w:b w:val="1"/>
          <w:bCs w:val="1"/>
          <w:u w:val="single" w:color="auto"/>
          <w:color w:val="auto"/>
        </w:rPr>
        <w:t>Section 3.3</w:t>
      </w:r>
      <w:r>
        <w:rPr>
          <w:rFonts w:ascii="Arial" w:cs="Arial" w:eastAsia="Arial" w:hAnsi="Arial"/>
          <w:sz w:val="16"/>
          <w:szCs w:val="16"/>
          <w:b w:val="1"/>
          <w:bCs w:val="1"/>
          <w:color w:val="auto"/>
        </w:rPr>
        <w:t xml:space="preserve"> Lapse of Restrictions. </w:t>
      </w:r>
      <w:r>
        <w:rPr>
          <w:rFonts w:ascii="Arial" w:cs="Arial" w:eastAsia="Arial" w:hAnsi="Arial"/>
          <w:sz w:val="16"/>
          <w:szCs w:val="16"/>
          <w:color w:val="auto"/>
        </w:rPr>
        <w:t>Upon the Vesting Date, the Company shall issue new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Vested Shares and deliver such certificates to the Participant or his legal representative,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9" w:name="page40"/>
    <w:bookmarkEnd w:id="39"/>
    <w:p>
      <w:pPr>
        <w:jc w:val="right"/>
        <w:ind w:right="559"/>
        <w:spacing w:after="0"/>
        <w:rPr>
          <w:sz w:val="20"/>
          <w:szCs w:val="20"/>
          <w:color w:val="auto"/>
        </w:rPr>
      </w:pPr>
      <w:r>
        <w:rPr>
          <w:rFonts w:ascii="Arial" w:cs="Arial" w:eastAsia="Arial" w:hAnsi="Arial"/>
          <w:sz w:val="18"/>
          <w:szCs w:val="18"/>
          <w:b w:val="1"/>
          <w:bCs w:val="1"/>
          <w:color w:val="auto"/>
        </w:rPr>
        <w:t>Form of Restricted Stock Agreement for Executive Officers - Cliff Vesting</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6" w:lineRule="exact"/>
        <w:rPr>
          <w:sz w:val="20"/>
          <w:szCs w:val="20"/>
          <w:color w:val="auto"/>
        </w:rPr>
      </w:pPr>
    </w:p>
    <w:p>
      <w:pPr>
        <w:jc w:val="both"/>
        <w:ind w:right="599" w:firstLine="1120"/>
        <w:spacing w:after="0" w:line="289" w:lineRule="auto"/>
        <w:rPr>
          <w:sz w:val="20"/>
          <w:szCs w:val="20"/>
          <w:color w:val="auto"/>
        </w:rPr>
      </w:pPr>
      <w:r>
        <w:rPr>
          <w:rFonts w:ascii="Arial" w:cs="Arial" w:eastAsia="Arial" w:hAnsi="Arial"/>
          <w:sz w:val="17"/>
          <w:szCs w:val="17"/>
          <w:b w:val="1"/>
          <w:bCs w:val="1"/>
          <w:u w:val="single" w:color="auto"/>
          <w:color w:val="auto"/>
        </w:rPr>
        <w:t>Section 4.1</w:t>
      </w:r>
      <w:r>
        <w:rPr>
          <w:rFonts w:ascii="Arial" w:cs="Arial" w:eastAsia="Arial" w:hAnsi="Arial"/>
          <w:sz w:val="17"/>
          <w:szCs w:val="17"/>
          <w:b w:val="1"/>
          <w:bCs w:val="1"/>
          <w:color w:val="auto"/>
        </w:rPr>
        <w:t xml:space="preserve"> No Additional Rights. </w:t>
      </w:r>
      <w:r>
        <w:rPr>
          <w:rFonts w:ascii="Arial" w:cs="Arial" w:eastAsia="Arial" w:hAnsi="Arial"/>
          <w:sz w:val="17"/>
          <w:szCs w:val="17"/>
          <w:color w:val="auto"/>
        </w:rPr>
        <w:t>Nothing in this Award Agreement or in the Plan shall confer upon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any right to a position as an Associate or continued employment by the Company or any of its Related Corporations or Affiliates or affect in any way the right of any of the foregoing to terminate the services of an individual at any time.</w:t>
      </w:r>
    </w:p>
    <w:p>
      <w:pPr>
        <w:spacing w:after="0" w:line="118" w:lineRule="exact"/>
        <w:rPr>
          <w:sz w:val="20"/>
          <w:szCs w:val="20"/>
          <w:color w:val="auto"/>
        </w:rPr>
      </w:pPr>
    </w:p>
    <w:p>
      <w:pPr>
        <w:ind w:right="799" w:firstLine="1120"/>
        <w:spacing w:after="0" w:line="347" w:lineRule="auto"/>
        <w:rPr>
          <w:sz w:val="20"/>
          <w:szCs w:val="20"/>
          <w:color w:val="auto"/>
        </w:rPr>
      </w:pPr>
      <w:r>
        <w:rPr>
          <w:rFonts w:ascii="Arial" w:cs="Arial" w:eastAsia="Arial" w:hAnsi="Arial"/>
          <w:sz w:val="16"/>
          <w:szCs w:val="16"/>
          <w:b w:val="1"/>
          <w:bCs w:val="1"/>
          <w:u w:val="single" w:color="auto"/>
          <w:color w:val="auto"/>
        </w:rPr>
        <w:t>Section 4.2</w:t>
      </w:r>
      <w:r>
        <w:rPr>
          <w:rFonts w:ascii="Arial" w:cs="Arial" w:eastAsia="Arial" w:hAnsi="Arial"/>
          <w:sz w:val="16"/>
          <w:szCs w:val="16"/>
          <w:b w:val="1"/>
          <w:bCs w:val="1"/>
          <w:color w:val="auto"/>
        </w:rPr>
        <w:t xml:space="preserve"> Legend. </w:t>
      </w:r>
      <w:r>
        <w:rPr>
          <w:rFonts w:ascii="Arial" w:cs="Arial" w:eastAsia="Arial" w:hAnsi="Arial"/>
          <w:sz w:val="16"/>
          <w:szCs w:val="16"/>
          <w:color w:val="auto"/>
        </w:rPr>
        <w:t>Any certificates representing shares of Restricted Stock issued pursuant to this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until all Restrictions lapse and new certificates are issued pursuant to Section 3.3, bear the following legend:</w:t>
      </w:r>
    </w:p>
    <w:p>
      <w:pPr>
        <w:spacing w:after="0" w:line="93" w:lineRule="exact"/>
        <w:rPr>
          <w:sz w:val="20"/>
          <w:szCs w:val="20"/>
          <w:color w:val="auto"/>
        </w:rPr>
      </w:pPr>
    </w:p>
    <w:p>
      <w:pPr>
        <w:ind w:left="360" w:right="619" w:firstLine="358"/>
        <w:spacing w:after="0" w:line="272" w:lineRule="auto"/>
        <w:rPr>
          <w:sz w:val="20"/>
          <w:szCs w:val="20"/>
          <w:color w:val="auto"/>
        </w:rPr>
      </w:pPr>
      <w:r>
        <w:rPr>
          <w:rFonts w:ascii="Arial" w:cs="Arial" w:eastAsia="Arial" w:hAnsi="Arial"/>
          <w:sz w:val="17"/>
          <w:szCs w:val="17"/>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133" w:lineRule="exact"/>
        <w:rPr>
          <w:sz w:val="20"/>
          <w:szCs w:val="20"/>
          <w:color w:val="auto"/>
        </w:rPr>
      </w:pPr>
    </w:p>
    <w:p>
      <w:pPr>
        <w:ind w:right="599" w:firstLine="1120"/>
        <w:spacing w:after="0" w:line="258"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Tax Withholding. </w:t>
      </w:r>
      <w:r>
        <w:rPr>
          <w:rFonts w:ascii="Arial" w:cs="Arial" w:eastAsia="Arial" w:hAnsi="Arial"/>
          <w:sz w:val="18"/>
          <w:szCs w:val="18"/>
          <w:color w:val="auto"/>
        </w:rPr>
        <w:t>On the Vesting Date, the Company shall notify the Participant of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tax which must be 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the Vesting Date, not in excess of the minimum of tax required to be withheld by law.</w:t>
      </w:r>
    </w:p>
    <w:p>
      <w:pPr>
        <w:spacing w:after="0" w:line="143" w:lineRule="exact"/>
        <w:rPr>
          <w:sz w:val="20"/>
          <w:szCs w:val="20"/>
          <w:color w:val="auto"/>
        </w:rPr>
      </w:pPr>
    </w:p>
    <w:p>
      <w:pPr>
        <w:ind w:right="619" w:firstLine="1120"/>
        <w:spacing w:after="0" w:line="291" w:lineRule="auto"/>
        <w:rPr>
          <w:sz w:val="20"/>
          <w:szCs w:val="20"/>
          <w:color w:val="auto"/>
        </w:rPr>
      </w:pPr>
      <w:r>
        <w:rPr>
          <w:rFonts w:ascii="Arial" w:cs="Arial" w:eastAsia="Arial" w:hAnsi="Arial"/>
          <w:sz w:val="16"/>
          <w:szCs w:val="16"/>
          <w:b w:val="1"/>
          <w:bCs w:val="1"/>
          <w:u w:val="single" w:color="auto"/>
          <w:color w:val="auto"/>
        </w:rPr>
        <w:t>Section 4.4</w:t>
      </w:r>
      <w:r>
        <w:rPr>
          <w:rFonts w:ascii="Arial" w:cs="Arial" w:eastAsia="Arial" w:hAnsi="Arial"/>
          <w:sz w:val="16"/>
          <w:szCs w:val="16"/>
          <w:b w:val="1"/>
          <w:bCs w:val="1"/>
          <w:color w:val="auto"/>
        </w:rPr>
        <w:t xml:space="preserve"> Notices. </w:t>
      </w:r>
      <w:r>
        <w:rPr>
          <w:rFonts w:ascii="Arial" w:cs="Arial" w:eastAsia="Arial" w:hAnsi="Arial"/>
          <w:sz w:val="16"/>
          <w:szCs w:val="16"/>
          <w:color w:val="auto"/>
        </w:rPr>
        <w:t>Any notice to be given under the terms of this Award Agreement to the Company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0" w:name="page41"/>
    <w:bookmarkEnd w:id="40"/>
    <w:p>
      <w:pPr>
        <w:ind w:left="4000"/>
        <w:spacing w:after="0"/>
        <w:rPr>
          <w:sz w:val="20"/>
          <w:szCs w:val="20"/>
          <w:color w:val="auto"/>
        </w:rPr>
      </w:pPr>
      <w:r>
        <w:rPr>
          <w:rFonts w:ascii="Arial" w:cs="Arial" w:eastAsia="Arial" w:hAnsi="Arial"/>
          <w:sz w:val="18"/>
          <w:szCs w:val="18"/>
          <w:b w:val="1"/>
          <w:bCs w:val="1"/>
          <w:color w:val="auto"/>
        </w:rPr>
        <w:t>Form of Restricted Stock Agreement for Executive Officers - Cliff Vesting</w:t>
      </w:r>
    </w:p>
    <w:p>
      <w:pPr>
        <w:spacing w:after="0" w:line="198" w:lineRule="exact"/>
        <w:rPr>
          <w:sz w:val="20"/>
          <w:szCs w:val="20"/>
          <w:color w:val="auto"/>
        </w:rPr>
      </w:pPr>
    </w:p>
    <w:p>
      <w:pPr>
        <w:ind w:left="340" w:right="2720" w:firstLine="1120"/>
        <w:spacing w:after="0" w:line="282"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Titles. </w:t>
      </w:r>
      <w:r>
        <w:rPr>
          <w:rFonts w:ascii="Arial" w:cs="Arial" w:eastAsia="Arial" w:hAnsi="Arial"/>
          <w:sz w:val="18"/>
          <w:szCs w:val="18"/>
          <w:color w:val="auto"/>
        </w:rPr>
        <w:t>Titles are provided herein for convenience only and are not to serve as a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or construction of this Award Agreement.</w:t>
      </w:r>
    </w:p>
    <w:p>
      <w:pPr>
        <w:spacing w:after="0" w:line="121" w:lineRule="exact"/>
        <w:rPr>
          <w:sz w:val="20"/>
          <w:szCs w:val="20"/>
          <w:color w:val="auto"/>
        </w:rPr>
      </w:pPr>
    </w:p>
    <w:p>
      <w:pPr>
        <w:ind w:left="340" w:right="1780" w:firstLine="1120"/>
        <w:spacing w:after="0" w:line="295"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Conformity to Securities Laws. </w:t>
      </w:r>
      <w:r>
        <w:rPr>
          <w:rFonts w:ascii="Arial" w:cs="Arial" w:eastAsia="Arial" w:hAnsi="Arial"/>
          <w:sz w:val="16"/>
          <w:szCs w:val="16"/>
          <w:color w:val="auto"/>
        </w:rPr>
        <w:t>This Award Agreement is intended to conform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15" w:lineRule="exact"/>
        <w:rPr>
          <w:sz w:val="20"/>
          <w:szCs w:val="20"/>
          <w:color w:val="auto"/>
        </w:rPr>
      </w:pPr>
    </w:p>
    <w:p>
      <w:pPr>
        <w:ind w:left="340" w:right="2120" w:firstLine="1120"/>
        <w:spacing w:after="0" w:line="282"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 </w:t>
      </w:r>
      <w:r>
        <w:rPr>
          <w:rFonts w:ascii="Arial" w:cs="Arial" w:eastAsia="Arial" w:hAnsi="Arial"/>
          <w:sz w:val="18"/>
          <w:szCs w:val="18"/>
          <w:color w:val="auto"/>
        </w:rPr>
        <w:t>This Award Agreement may be amended only by a writing executed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which specifically states that it is amending this Award Agreement.</w:t>
      </w:r>
    </w:p>
    <w:p>
      <w:pPr>
        <w:spacing w:after="0" w:line="135" w:lineRule="exact"/>
        <w:rPr>
          <w:sz w:val="20"/>
          <w:szCs w:val="20"/>
          <w:color w:val="auto"/>
        </w:rPr>
      </w:pPr>
    </w:p>
    <w:p>
      <w:pPr>
        <w:ind w:left="340" w:right="1940" w:firstLine="1120"/>
        <w:spacing w:after="0" w:line="266"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Governing Law. </w:t>
      </w:r>
      <w:r>
        <w:rPr>
          <w:rFonts w:ascii="Arial" w:cs="Arial" w:eastAsia="Arial" w:hAnsi="Arial"/>
          <w:sz w:val="18"/>
          <w:szCs w:val="18"/>
          <w:color w:val="auto"/>
        </w:rPr>
        <w:t>The laws of the State of Delaware shall govern the interpretation,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enforcement and performance of the terms of this Award Agreement regardless of the law that might be applied under principles of conflicts of laws.</w:t>
      </w:r>
    </w:p>
    <w:p>
      <w:pPr>
        <w:spacing w:after="0" w:line="14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p>
    <w:p>
      <w:pPr>
        <w:spacing w:after="0" w:line="18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Award Agreement has been executed and delivered by the parties hereto.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THE PARTICIPANT</w:t>
            </w:r>
          </w:p>
        </w:tc>
        <w:tc>
          <w:tcPr>
            <w:tcW w:w="8020" w:type="dxa"/>
            <w:vAlign w:val="bottom"/>
            <w:gridSpan w:val="3"/>
          </w:tcPr>
          <w:p>
            <w:pPr>
              <w:ind w:left="600"/>
              <w:spacing w:after="0"/>
              <w:rPr>
                <w:sz w:val="20"/>
                <w:szCs w:val="20"/>
                <w:color w:val="auto"/>
              </w:rPr>
            </w:pPr>
            <w:r>
              <w:rPr>
                <w:rFonts w:ascii="Arial" w:cs="Arial" w:eastAsia="Arial" w:hAnsi="Arial"/>
                <w:sz w:val="18"/>
                <w:szCs w:val="18"/>
                <w:color w:val="auto"/>
              </w:rPr>
              <w:t>INTEGRA LIFESCIENCES HOLDINGS CORPORATION</w:t>
            </w:r>
          </w:p>
        </w:tc>
      </w:tr>
      <w:tr>
        <w:trPr>
          <w:trHeight w:val="432"/>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20" w:type="dxa"/>
            <w:vAlign w:val="bottom"/>
            <w:gridSpan w:val="3"/>
          </w:tcPr>
          <w:p>
            <w:pPr>
              <w:ind w:left="600"/>
              <w:spacing w:after="0"/>
              <w:rPr>
                <w:sz w:val="20"/>
                <w:szCs w:val="20"/>
                <w:color w:val="auto"/>
              </w:rPr>
            </w:pPr>
            <w:r>
              <w:rPr>
                <w:rFonts w:ascii="Arial" w:cs="Arial" w:eastAsia="Arial" w:hAnsi="Arial"/>
                <w:sz w:val="18"/>
                <w:szCs w:val="18"/>
                <w:color w:val="auto"/>
              </w:rPr>
              <w:t>By</w:t>
            </w:r>
          </w:p>
        </w:tc>
      </w:tr>
      <w:tr>
        <w:trPr>
          <w:trHeight w:val="209"/>
        </w:trPr>
        <w:tc>
          <w:tcPr>
            <w:tcW w:w="34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16"/>
        </w:trPr>
        <w:tc>
          <w:tcPr>
            <w:tcW w:w="340" w:type="dxa"/>
            <w:vAlign w:val="bottom"/>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Address</w:t>
            </w:r>
          </w:p>
        </w:tc>
        <w:tc>
          <w:tcPr>
            <w:tcW w:w="9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796"/>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00" w:type="dxa"/>
            <w:vAlign w:val="bottom"/>
            <w:gridSpan w:val="2"/>
          </w:tcPr>
          <w:p>
            <w:pPr>
              <w:jc w:val="right"/>
              <w:ind w:right="3170"/>
              <w:spacing w:after="0"/>
              <w:rPr>
                <w:sz w:val="20"/>
                <w:szCs w:val="20"/>
                <w:color w:val="auto"/>
              </w:rPr>
            </w:pPr>
            <w:r>
              <w:rPr>
                <w:rFonts w:ascii="Arial" w:cs="Arial" w:eastAsia="Arial" w:hAnsi="Arial"/>
                <w:sz w:val="18"/>
                <w:szCs w:val="18"/>
                <w:color w:val="auto"/>
              </w:rPr>
              <w:t>4</w:t>
            </w:r>
          </w:p>
        </w:tc>
        <w:tc>
          <w:tcPr>
            <w:tcW w:w="31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jc w:val="right"/>
        <w:ind w:right="559"/>
        <w:spacing w:after="0"/>
        <w:rPr>
          <w:sz w:val="20"/>
          <w:szCs w:val="20"/>
          <w:color w:val="auto"/>
        </w:rPr>
      </w:pPr>
      <w:r>
        <w:rPr>
          <w:rFonts w:ascii="Arial" w:cs="Arial" w:eastAsia="Arial" w:hAnsi="Arial"/>
          <w:sz w:val="18"/>
          <w:szCs w:val="18"/>
          <w:b w:val="1"/>
          <w:bCs w:val="1"/>
          <w:color w:val="auto"/>
        </w:rPr>
        <w:t>Form of Restricted Stock Agreement for Executive Officers - Cliff Vesting</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_____, spouse of _____, have read and approve the foregoing Award Agreement. In consideration of granting of the</w:t>
      </w:r>
    </w:p>
    <w:p>
      <w:pPr>
        <w:spacing w:after="0" w:line="35" w:lineRule="exact"/>
        <w:rPr>
          <w:sz w:val="20"/>
          <w:szCs w:val="20"/>
          <w:color w:val="auto"/>
        </w:rPr>
      </w:pPr>
    </w:p>
    <w:p>
      <w:pPr>
        <w:ind w:right="559"/>
        <w:spacing w:after="0" w:line="271" w:lineRule="auto"/>
        <w:rPr>
          <w:sz w:val="20"/>
          <w:szCs w:val="20"/>
          <w:color w:val="auto"/>
        </w:rPr>
      </w:pPr>
      <w:r>
        <w:rPr>
          <w:rFonts w:ascii="Arial" w:cs="Arial" w:eastAsia="Arial" w:hAnsi="Arial"/>
          <w:sz w:val="17"/>
          <w:szCs w:val="17"/>
          <w:color w:val="auto"/>
        </w:rPr>
        <w:t>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152400</wp:posOffset>
            </wp:positionV>
            <wp:extent cx="2143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79"/>
          </w:cols>
          <w:pgMar w:left="580" w:top="931" w:right="1440" w:bottom="1440" w:gutter="0" w:footer="0" w:header="0"/>
        </w:sectPr>
      </w:pPr>
    </w:p>
    <w:bookmarkStart w:id="42" w:name="page43"/>
    <w:bookmarkEnd w:id="42"/>
    <w:p>
      <w:pPr>
        <w:jc w:val="right"/>
        <w:ind w:right="559"/>
        <w:spacing w:after="0"/>
        <w:rPr>
          <w:sz w:val="20"/>
          <w:szCs w:val="20"/>
          <w:color w:val="auto"/>
        </w:rPr>
      </w:pPr>
      <w:r>
        <w:rPr>
          <w:rFonts w:ascii="Arial" w:cs="Arial" w:eastAsia="Arial" w:hAnsi="Arial"/>
          <w:sz w:val="18"/>
          <w:szCs w:val="18"/>
          <w:b w:val="1"/>
          <w:bCs w:val="1"/>
          <w:color w:val="auto"/>
        </w:rPr>
        <w:t>Exhibit 10.9</w:t>
      </w:r>
    </w:p>
    <w:p>
      <w:pPr>
        <w:spacing w:after="0" w:line="18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FIRST AMENDMENT TO LEASE AGREEMENT</w:t>
      </w:r>
    </w:p>
    <w:p>
      <w:pPr>
        <w:spacing w:after="0" w:line="198" w:lineRule="exact"/>
        <w:rPr>
          <w:sz w:val="20"/>
          <w:szCs w:val="20"/>
          <w:color w:val="auto"/>
        </w:rPr>
      </w:pPr>
    </w:p>
    <w:p>
      <w:pPr>
        <w:jc w:val="both"/>
        <w:ind w:right="1239" w:firstLine="373"/>
        <w:spacing w:after="0" w:line="264" w:lineRule="auto"/>
        <w:rPr>
          <w:sz w:val="20"/>
          <w:szCs w:val="20"/>
          <w:color w:val="auto"/>
        </w:rPr>
      </w:pPr>
      <w:r>
        <w:rPr>
          <w:rFonts w:ascii="Arial" w:cs="Arial" w:eastAsia="Arial" w:hAnsi="Arial"/>
          <w:sz w:val="18"/>
          <w:szCs w:val="18"/>
          <w:color w:val="auto"/>
        </w:rPr>
        <w:t>THIS FIRST AMENDMENT TO LEASE AGREEMENT (“First Amendment”) is made and dated effective as of January 1, 2009 by and between 109 MORGAN LANE, LLC, a New Jersey limited liability company (“Landlord”) and INTEGRA LIFESCIENCES CORPORATION, (“Tenant”).</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BACKGROUND:</w:t>
      </w:r>
    </w:p>
    <w:p>
      <w:pPr>
        <w:spacing w:after="0" w:line="185" w:lineRule="exact"/>
        <w:rPr>
          <w:sz w:val="20"/>
          <w:szCs w:val="20"/>
          <w:color w:val="auto"/>
        </w:rPr>
      </w:pPr>
    </w:p>
    <w:p>
      <w:pPr>
        <w:ind w:right="899" w:firstLine="373"/>
        <w:spacing w:after="0" w:line="264" w:lineRule="auto"/>
        <w:rPr>
          <w:sz w:val="20"/>
          <w:szCs w:val="20"/>
          <w:color w:val="auto"/>
        </w:rPr>
      </w:pPr>
      <w:r>
        <w:rPr>
          <w:rFonts w:ascii="Arial" w:cs="Arial" w:eastAsia="Arial" w:hAnsi="Arial"/>
          <w:sz w:val="18"/>
          <w:szCs w:val="18"/>
          <w:color w:val="auto"/>
        </w:rPr>
        <w:t>A. Landlord and Tenant are parties to a certain Lease Agreement dated May 15, 2008 (the “Lease”), pursuant to the provisions of which the Landlord leased to the Tenant, and the Tenant rented from the Landlord certain space in the Building located at 109 Morgan Lane, Plainsboro, Middlesex County, New Jersey.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 Landlord and Tenant now desire to amend and modify the Lease pursuant to the provisions of this First Amendment.</w:t>
      </w:r>
    </w:p>
    <w:p>
      <w:pPr>
        <w:spacing w:after="0" w:line="196" w:lineRule="exact"/>
        <w:rPr>
          <w:sz w:val="20"/>
          <w:szCs w:val="20"/>
          <w:color w:val="auto"/>
        </w:rPr>
      </w:pPr>
    </w:p>
    <w:p>
      <w:pPr>
        <w:ind w:right="799" w:firstLine="373"/>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and with the intention of being legally bound, the Landlord and Tenant hereby agree as follows:</w:t>
      </w:r>
    </w:p>
    <w:p>
      <w:pPr>
        <w:spacing w:after="0" w:line="130" w:lineRule="exact"/>
        <w:rPr>
          <w:sz w:val="20"/>
          <w:szCs w:val="20"/>
          <w:color w:val="auto"/>
        </w:rPr>
      </w:pPr>
    </w:p>
    <w:p>
      <w:pPr>
        <w:ind w:right="619" w:firstLine="365"/>
        <w:spacing w:after="0" w:line="277" w:lineRule="auto"/>
        <w:tabs>
          <w:tab w:leader="none" w:pos="5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specifically defined in this First Amendment, initially capitalized terms in this First Amendment shall have the meaning ascribed to such terms in the Lease.</w:t>
      </w:r>
    </w:p>
    <w:p>
      <w:pPr>
        <w:spacing w:after="0" w:line="143" w:lineRule="exact"/>
        <w:rPr>
          <w:rFonts w:ascii="Arial" w:cs="Arial" w:eastAsia="Arial" w:hAnsi="Arial"/>
          <w:sz w:val="18"/>
          <w:szCs w:val="18"/>
          <w:color w:val="auto"/>
        </w:rPr>
      </w:pPr>
    </w:p>
    <w:p>
      <w:pPr>
        <w:ind w:left="700" w:hanging="343"/>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Subsection 9 of the BASIC LEASE PROVISIONS AND DEFINITIONS is hereby amended in its entirety as follows:</w:t>
      </w:r>
    </w:p>
    <w:p>
      <w:pPr>
        <w:spacing w:after="0" w:line="196" w:lineRule="exact"/>
        <w:rPr>
          <w:sz w:val="20"/>
          <w:szCs w:val="20"/>
          <w:color w:val="auto"/>
        </w:rPr>
      </w:pPr>
    </w:p>
    <w:p>
      <w:pPr>
        <w:jc w:val="both"/>
        <w:ind w:right="639" w:firstLine="373"/>
        <w:spacing w:after="0" w:line="264" w:lineRule="auto"/>
        <w:rPr>
          <w:sz w:val="20"/>
          <w:szCs w:val="20"/>
          <w:color w:val="auto"/>
        </w:rPr>
      </w:pPr>
      <w:r>
        <w:rPr>
          <w:rFonts w:ascii="Arial" w:cs="Arial" w:eastAsia="Arial" w:hAnsi="Arial"/>
          <w:sz w:val="18"/>
          <w:szCs w:val="18"/>
          <w:color w:val="auto"/>
        </w:rPr>
        <w:t>“ (9)Termination Date: Shall mean March 31, 2019 for both the Initial Space and for the Remaining Space, unless the term of the Lease is extended by Tenant as provided herein. If Tenant exercises its option to renew for five years, the termination date shall be the last day of such five extension period.”</w:t>
      </w:r>
    </w:p>
    <w:p>
      <w:pPr>
        <w:spacing w:after="0" w:line="141" w:lineRule="exact"/>
        <w:rPr>
          <w:sz w:val="20"/>
          <w:szCs w:val="20"/>
          <w:color w:val="auto"/>
        </w:rPr>
      </w:pPr>
    </w:p>
    <w:p>
      <w:pPr>
        <w:ind w:right="999" w:firstLine="365"/>
        <w:spacing w:after="0" w:line="277" w:lineRule="auto"/>
        <w:tabs>
          <w:tab w:leader="none" w:pos="5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Miniumum Rent as set forth in the BASIC LEASE PROVISIONS AND DEFINITIONS is hereby amended in its entirety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w w:val="94"/>
              </w:rPr>
              <w:t>“Minimum Rent: For the Initial Space from June 1, 2008 through March 31, 2019 :</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Months</w:t>
            </w:r>
          </w:p>
        </w:tc>
        <w:tc>
          <w:tcPr>
            <w:tcW w:w="300" w:type="dxa"/>
            <w:vAlign w:val="bottom"/>
          </w:tcPr>
          <w:p>
            <w:pPr>
              <w:spacing w:after="0"/>
              <w:rPr>
                <w:sz w:val="24"/>
                <w:szCs w:val="2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Monthly Rent</w:t>
            </w:r>
          </w:p>
        </w:tc>
        <w:tc>
          <w:tcPr>
            <w:tcW w:w="380" w:type="dxa"/>
            <w:vAlign w:val="bottom"/>
          </w:tcPr>
          <w:p>
            <w:pPr>
              <w:spacing w:after="0"/>
              <w:rPr>
                <w:sz w:val="24"/>
                <w:szCs w:val="24"/>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Annual Rent</w:t>
            </w:r>
          </w:p>
        </w:tc>
        <w:tc>
          <w:tcPr>
            <w:tcW w:w="100" w:type="dxa"/>
            <w:vAlign w:val="bottom"/>
          </w:tcPr>
          <w:p>
            <w:pPr>
              <w:spacing w:after="0"/>
              <w:rPr>
                <w:sz w:val="24"/>
                <w:szCs w:val="2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6/1/2008 — 9/31/2008</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20,062.50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240,750.00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10/01/08 — 12/31/2008</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20,619.79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247,437.48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1/1/2009 - 3/31/2019</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22,514.58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270,174.96</w:t>
            </w:r>
          </w:p>
        </w:tc>
      </w:tr>
    </w:tbl>
    <w:p>
      <w:pPr>
        <w:spacing w:after="0" w:line="161" w:lineRule="exact"/>
        <w:rPr>
          <w:sz w:val="20"/>
          <w:szCs w:val="20"/>
          <w:color w:val="auto"/>
        </w:rPr>
      </w:pPr>
    </w:p>
    <w:p>
      <w:pPr>
        <w:ind w:right="739" w:firstLine="373"/>
        <w:spacing w:after="0" w:line="277" w:lineRule="auto"/>
        <w:rPr>
          <w:sz w:val="20"/>
          <w:szCs w:val="20"/>
          <w:color w:val="auto"/>
        </w:rPr>
      </w:pPr>
      <w:r>
        <w:rPr>
          <w:rFonts w:ascii="Arial" w:cs="Arial" w:eastAsia="Arial" w:hAnsi="Arial"/>
          <w:sz w:val="18"/>
          <w:szCs w:val="18"/>
          <w:color w:val="auto"/>
        </w:rPr>
        <w:t>For the Remaining Space (if applicable) from the Move In Date through March 31, 2019: $26,311.34 per month (which is equal to $315,736.08 per year), as adjusted pursuant to Article 4 of this Lease.</w:t>
      </w:r>
    </w:p>
    <w:p>
      <w:pPr>
        <w:spacing w:after="0" w:line="130" w:lineRule="exact"/>
        <w:rPr>
          <w:sz w:val="20"/>
          <w:szCs w:val="20"/>
          <w:color w:val="auto"/>
        </w:rPr>
      </w:pPr>
    </w:p>
    <w:p>
      <w:pPr>
        <w:ind w:right="559" w:firstLine="373"/>
        <w:spacing w:after="0" w:line="272" w:lineRule="auto"/>
        <w:rPr>
          <w:sz w:val="20"/>
          <w:szCs w:val="20"/>
          <w:color w:val="auto"/>
        </w:rPr>
      </w:pPr>
      <w:r>
        <w:rPr>
          <w:rFonts w:ascii="Arial" w:cs="Arial" w:eastAsia="Arial" w:hAnsi="Arial"/>
          <w:sz w:val="17"/>
          <w:szCs w:val="17"/>
          <w:color w:val="auto"/>
        </w:rPr>
        <w:t>The Annual Rent during the renewal term shall be computed in accordance with the provisions of this Paragraph. In the event the Consumer Price Index for Urban Wage Earners and Clerical Workers in the City of Philadelphia published by the Bureau of Labor Statistics of the U.S. Department of Labor (1982-84 equals 100) (hereinafter called the “Price Index”) or a successor or substitute index appropriately adjusted, reflects an increase in the cost of living in the first full calendar month of the renewal term of this Lease (the “Adjustment Month”) over and above such cost of living as reflected by the Price Index as it exists for the month in which the Move In Date occurs (hereinafter called the “Base Index”), the Annual Rent during the renewal term shall be increased to the amount determined by multiplying the Annual Rent (applicable to</w:t>
      </w:r>
    </w:p>
    <w:p>
      <w:pPr>
        <w:spacing w:after="0" w:line="200" w:lineRule="exact"/>
        <w:rPr>
          <w:sz w:val="20"/>
          <w:szCs w:val="20"/>
          <w:color w:val="auto"/>
        </w:rPr>
      </w:pPr>
    </w:p>
    <w:p>
      <w:pPr>
        <w:spacing w:after="0" w:line="3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43" w:name="page44"/>
    <w:bookmarkEnd w:id="43"/>
    <w:p>
      <w:pPr>
        <w:ind w:left="8" w:right="599"/>
        <w:spacing w:after="0" w:line="273" w:lineRule="auto"/>
        <w:rPr>
          <w:sz w:val="20"/>
          <w:szCs w:val="20"/>
          <w:color w:val="auto"/>
        </w:rPr>
      </w:pPr>
      <w:r>
        <w:rPr>
          <w:rFonts w:ascii="Arial" w:cs="Arial" w:eastAsia="Arial" w:hAnsi="Arial"/>
          <w:sz w:val="17"/>
          <w:szCs w:val="17"/>
          <w:color w:val="auto"/>
        </w:rPr>
        <w:t>both the Initial Space and the Remaining Space) provided for the last year of the initial term of this Lease by a fraction, the numerator of which shall be the Price Index for the Adjustment Month and the denominator of which shall be the Base Index. In the event that such determination cannot be made until after the commencement of the renewal term, the increase of the monthly rental payments due for the months of the renewal term prior to such determination shall be paid to Landlord upon the date the next payment of rent is due following such determination. In no event shall the Annual Rent during the renewal term be less than the Annual Rent for the last year of the initial term of this Lease.”</w:t>
      </w:r>
    </w:p>
    <w:p>
      <w:pPr>
        <w:spacing w:after="0" w:line="151" w:lineRule="exact"/>
        <w:rPr>
          <w:sz w:val="20"/>
          <w:szCs w:val="20"/>
          <w:color w:val="auto"/>
        </w:rPr>
      </w:pPr>
    </w:p>
    <w:p>
      <w:pPr>
        <w:ind w:left="548" w:hanging="175"/>
        <w:spacing w:after="0"/>
        <w:tabs>
          <w:tab w:leader="none" w:pos="5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5A of the Lease is hereby amended in its entirety as follows:</w:t>
      </w:r>
    </w:p>
    <w:p>
      <w:pPr>
        <w:spacing w:after="0" w:line="184" w:lineRule="exact"/>
        <w:rPr>
          <w:rFonts w:ascii="Arial" w:cs="Arial" w:eastAsia="Arial" w:hAnsi="Arial"/>
          <w:sz w:val="18"/>
          <w:szCs w:val="18"/>
          <w:color w:val="auto"/>
        </w:rPr>
      </w:pPr>
    </w:p>
    <w:p>
      <w:pPr>
        <w:ind w:left="8" w:right="559" w:firstLine="747"/>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 A. Commencing on January 1, 2009, with respect to the Initial Space, Tenant shall pay to Landlord, the Tenant’s Proportionate Share of the Additional Rent. The Additional Rent for the Term of the Lease shall initially be estimated to be $5.00 per square foot or $133,749.96 per annum for the Initial Space which Tenant shall remit to Landlord in monthly payments of $11,145.83 on account of the Additional Rent, commencing on January 1, 2009. Commencing on the Move In Date, unless Landlord contributes to any delay in Tenant’s ability to move in by such date and, if the conditions for the Remaining Space becoming subject to this Lease are satisfied during the applicable time periods indicated herein, Tenant shall pay to Landlord the Additional Rent for both the Initial Space and the Remaining Space. The estimated $5.00 per square foot or $290,055 per annum for the Premises which Tenant shall remit to Landlord in monthly payments of $24,171.25 commencing on the Move In Date on account of the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xml:space="preserve"> shall mean Taxes, Operating Expenses and other charges due to Landlord from Tenant hereunder.”</w:t>
      </w:r>
    </w:p>
    <w:p>
      <w:pPr>
        <w:spacing w:after="0" w:line="137" w:lineRule="exact"/>
        <w:rPr>
          <w:rFonts w:ascii="Arial" w:cs="Arial" w:eastAsia="Arial" w:hAnsi="Arial"/>
          <w:sz w:val="18"/>
          <w:szCs w:val="18"/>
          <w:color w:val="auto"/>
        </w:rPr>
      </w:pPr>
    </w:p>
    <w:p>
      <w:pPr>
        <w:ind w:left="548" w:hanging="175"/>
        <w:spacing w:after="0"/>
        <w:tabs>
          <w:tab w:leader="none" w:pos="5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46 of the Lease is hereby amended in its entirety as follows:</w:t>
      </w:r>
    </w:p>
    <w:p>
      <w:pPr>
        <w:spacing w:after="0" w:line="198" w:lineRule="exact"/>
        <w:rPr>
          <w:sz w:val="20"/>
          <w:szCs w:val="20"/>
          <w:color w:val="auto"/>
        </w:rPr>
      </w:pPr>
    </w:p>
    <w:p>
      <w:pPr>
        <w:ind w:left="8" w:right="679" w:firstLine="747"/>
        <w:spacing w:after="0" w:line="288" w:lineRule="auto"/>
        <w:rPr>
          <w:sz w:val="20"/>
          <w:szCs w:val="20"/>
          <w:color w:val="auto"/>
        </w:rPr>
      </w:pPr>
      <w:r>
        <w:rPr>
          <w:rFonts w:ascii="Arial" w:cs="Arial" w:eastAsia="Arial" w:hAnsi="Arial"/>
          <w:sz w:val="16"/>
          <w:szCs w:val="16"/>
          <w:color w:val="auto"/>
        </w:rPr>
        <w:t>“46. LANDSCAPING AND CERTAIN REPAIRS. On or before April 1, 2009, Landlord at its own cost and expense shall (i) upgrade the existing landscaping by trimming and maintaining the trees and bushes, ensuring none encroach over the walkways, plant flowers, and repair bare patches in the grass, all in a manner similar to the landscaping at 311 Enterprise Drive,</w:t>
      </w:r>
    </w:p>
    <w:p>
      <w:pPr>
        <w:ind w:left="8" w:right="619" w:hanging="8"/>
        <w:spacing w:after="0" w:line="255" w:lineRule="auto"/>
        <w:tabs>
          <w:tab w:leader="none" w:pos="2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 and repair, as needed, all concrete walkways, curbs, and stairs for cracks or damage and (iii) remove the curbing surrounding the place where the electrical circuit breaker boxes had been on the floor of the Building and, restore such floor area to its prior condition.”</w:t>
      </w:r>
    </w:p>
    <w:p>
      <w:pPr>
        <w:spacing w:after="0" w:line="149" w:lineRule="exact"/>
        <w:rPr>
          <w:rFonts w:ascii="Arial" w:cs="Arial" w:eastAsia="Arial" w:hAnsi="Arial"/>
          <w:sz w:val="18"/>
          <w:szCs w:val="18"/>
          <w:color w:val="auto"/>
        </w:rPr>
      </w:pPr>
    </w:p>
    <w:p>
      <w:pPr>
        <w:ind w:left="548" w:hanging="175"/>
        <w:spacing w:after="0"/>
        <w:tabs>
          <w:tab w:leader="none" w:pos="5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Section 49 of the Lease is hereby amended in its entirety as follows:</w:t>
      </w:r>
    </w:p>
    <w:p>
      <w:pPr>
        <w:spacing w:after="0" w:line="185" w:lineRule="exact"/>
        <w:rPr>
          <w:sz w:val="20"/>
          <w:szCs w:val="20"/>
          <w:color w:val="auto"/>
        </w:rPr>
      </w:pPr>
    </w:p>
    <w:p>
      <w:pPr>
        <w:ind w:left="8" w:right="599" w:firstLine="747"/>
        <w:spacing w:after="0" w:line="264" w:lineRule="auto"/>
        <w:rPr>
          <w:sz w:val="20"/>
          <w:szCs w:val="20"/>
          <w:color w:val="auto"/>
        </w:rPr>
      </w:pPr>
      <w:r>
        <w:rPr>
          <w:rFonts w:ascii="Arial" w:cs="Arial" w:eastAsia="Arial" w:hAnsi="Arial"/>
          <w:sz w:val="18"/>
          <w:szCs w:val="18"/>
          <w:color w:val="auto"/>
        </w:rPr>
        <w:t>“49. ADDITIONAL REPAIRS. On or before July 1, 2009, Landlord at its own cost and expense shall remove the steel structure from the roof of the Building and, if such roof area is damaged by such removal, restore the area of the roof to its condition before the steel structure.”</w:t>
      </w:r>
    </w:p>
    <w:p>
      <w:pPr>
        <w:spacing w:after="0" w:line="154" w:lineRule="exact"/>
        <w:rPr>
          <w:sz w:val="20"/>
          <w:szCs w:val="20"/>
          <w:color w:val="auto"/>
        </w:rPr>
      </w:pPr>
    </w:p>
    <w:p>
      <w:pPr>
        <w:ind w:left="8" w:right="619" w:firstLine="365"/>
        <w:spacing w:after="0" w:line="259" w:lineRule="auto"/>
        <w:tabs>
          <w:tab w:leader="none" w:pos="5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expressly provided in this First Amendment, the terms and provisions of the Lease remain in full force and effect in accordance with its terms. Tenant hereby confirms and acknowledges that Tenant has accepted the Initial Space in its current condition, and that there exists no default or event which with the passage of time or the giving of notice could constitute a default by Landlord under the Lease.</w:t>
      </w:r>
    </w:p>
    <w:p>
      <w:pPr>
        <w:spacing w:after="0" w:line="200" w:lineRule="exact"/>
        <w:rPr>
          <w:sz w:val="20"/>
          <w:szCs w:val="20"/>
          <w:color w:val="auto"/>
        </w:rPr>
      </w:pPr>
    </w:p>
    <w:p>
      <w:pPr>
        <w:spacing w:after="0" w:line="338"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IN WITNESS WHEREOF, the parties hereto have executed this First Amendment to Lease on the 9th day of March, 2009.</w:t>
      </w:r>
    </w:p>
    <w:p>
      <w:pPr>
        <w:sectPr>
          <w:pgSz w:w="11900" w:h="16838" w:orient="portrait"/>
          <w:cols w:equalWidth="0" w:num="1">
            <w:col w:w="9519"/>
          </w:cols>
          <w:pgMar w:left="940" w:top="935" w:right="1440" w:bottom="1440" w:gutter="0" w:footer="0" w:header="0"/>
        </w:sectPr>
      </w:pPr>
    </w:p>
    <w:p>
      <w:pPr>
        <w:spacing w:after="0" w:line="24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 xml:space="preserve">109 MORGAN LANE, LLC, </w:t>
      </w:r>
      <w:r>
        <w:rPr>
          <w:rFonts w:ascii="Arial" w:cs="Arial" w:eastAsia="Arial" w:hAnsi="Arial"/>
          <w:sz w:val="18"/>
          <w:szCs w:val="18"/>
          <w:color w:val="auto"/>
        </w:rPr>
        <w:t>as Landlord</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By: Rudner Properties, LLC, Managing Member</w:t>
      </w:r>
    </w:p>
    <w:p>
      <w:pPr>
        <w:spacing w:after="0" w:line="3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/s/ Arthur Rudner</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Arthur Rudner,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-130810</wp:posOffset>
            </wp:positionV>
            <wp:extent cx="21951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INTEGRA LIFESCIENCES CORPORATION,</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as Tenant</w:t>
      </w:r>
    </w:p>
    <w:p>
      <w:pPr>
        <w:spacing w:after="0" w:line="21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By: /s/ Stuart M. Essig</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-130810</wp:posOffset>
            </wp:positionV>
            <wp:extent cx="2298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060"/>
        <w:spacing w:after="0"/>
        <w:tabs>
          <w:tab w:leader="none" w:pos="4620" w:val="left"/>
        </w:tabs>
        <w:rPr>
          <w:sz w:val="20"/>
          <w:szCs w:val="20"/>
          <w:color w:val="auto"/>
        </w:rPr>
      </w:pPr>
      <w:r>
        <w:rPr>
          <w:rFonts w:ascii="Arial" w:cs="Arial" w:eastAsia="Arial" w:hAnsi="Arial"/>
          <w:sz w:val="16"/>
          <w:szCs w:val="16"/>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519"/>
          </w:cols>
          <w:pgMar w:left="940" w:top="935" w:right="1440" w:bottom="1440" w:gutter="0" w:footer="0" w:header="0"/>
          <w:type w:val="continuous"/>
        </w:sectPr>
      </w:pPr>
    </w:p>
    <w:bookmarkStart w:id="45" w:name="page46"/>
    <w:bookmarkEnd w:id="45"/>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w:t>
      </w:r>
      <w:r>
        <w:rPr>
          <w:rFonts w:ascii="Arial" w:cs="Arial" w:eastAsia="Arial" w:hAnsi="Arial"/>
          <w:sz w:val="18"/>
          <w:szCs w:val="18"/>
          <w:color w:val="auto"/>
        </w:rPr>
        <w:t>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w:t>
      </w:r>
      <w:r>
        <w:rPr>
          <w:rFonts w:ascii="Arial" w:cs="Arial" w:eastAsia="Arial" w:hAnsi="Arial"/>
          <w:sz w:val="18"/>
          <w:szCs w:val="18"/>
          <w:color w:val="auto"/>
        </w:rPr>
        <w:t>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46" w:name="page47"/>
    <w:bookmarkEnd w:id="46"/>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w:t>
      </w:r>
      <w:r>
        <w:rPr>
          <w:rFonts w:ascii="Arial" w:cs="Arial" w:eastAsia="Arial" w:hAnsi="Arial"/>
          <w:sz w:val="18"/>
          <w:szCs w:val="18"/>
          <w:color w:val="auto"/>
        </w:rPr>
        <w:t>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w:t>
      </w:r>
      <w:r>
        <w:rPr>
          <w:rFonts w:ascii="Arial" w:cs="Arial" w:eastAsia="Arial" w:hAnsi="Arial"/>
          <w:sz w:val="18"/>
          <w:szCs w:val="18"/>
          <w:color w:val="auto"/>
        </w:rPr>
        <w:t>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98"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 Finance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Administration, and Chief Financial Officer</w:t>
            </w:r>
          </w:p>
        </w:tc>
      </w:tr>
    </w:tbl>
    <w:p>
      <w:pPr>
        <w:sectPr>
          <w:pgSz w:w="11900" w:h="16838" w:orient="portrait"/>
          <w:cols w:equalWidth="0" w:num="1">
            <w:col w:w="9887"/>
          </w:cols>
          <w:pgMar w:left="572" w:top="513" w:right="1440" w:bottom="1440" w:gutter="0" w:footer="0" w:header="0"/>
        </w:sectPr>
      </w:pPr>
    </w:p>
    <w:bookmarkStart w:id="47" w:name="page48"/>
    <w:bookmarkEnd w:id="47"/>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w:t>
      </w:r>
      <w:r>
        <w:rPr>
          <w:rFonts w:ascii="Arial" w:cs="Arial" w:eastAsia="Arial" w:hAnsi="Arial"/>
          <w:sz w:val="18"/>
          <w:szCs w:val="18"/>
          <w:color w:val="auto"/>
        </w:rPr>
        <w:t>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w:t>
      </w:r>
      <w:r>
        <w:rPr>
          <w:rFonts w:ascii="Arial" w:cs="Arial" w:eastAsia="Arial" w:hAnsi="Arial"/>
          <w:sz w:val="18"/>
          <w:szCs w:val="18"/>
          <w:color w:val="auto"/>
        </w:rPr>
        <w:t>2</w:t>
      </w:r>
    </w:p>
    <w:p>
      <w:pPr>
        <w:spacing w:after="0" w:line="170"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President and Chief Executive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2009 (the “Report”) fully complies with the requirement of Section 13(a) or Section 15(d), as applicable, of the Securities Exchange Act of 1934, as amended; and</w:t>
      </w:r>
    </w:p>
    <w:p>
      <w:pPr>
        <w:spacing w:after="0" w:line="15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513" w:right="1440" w:bottom="1440" w:gutter="0" w:footer="0" w:header="0"/>
        </w:sectPr>
      </w:pPr>
    </w:p>
    <w:bookmarkStart w:id="48" w:name="page49"/>
    <w:bookmarkEnd w:id="48"/>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w:t>
      </w:r>
      <w:r>
        <w:rPr>
          <w:rFonts w:ascii="Arial" w:cs="Arial" w:eastAsia="Arial" w:hAnsi="Arial"/>
          <w:sz w:val="18"/>
          <w:szCs w:val="18"/>
          <w:color w:val="auto"/>
        </w:rPr>
        <w:t>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w:t>
      </w:r>
      <w:r>
        <w:rPr>
          <w:rFonts w:ascii="Arial" w:cs="Arial" w:eastAsia="Arial" w:hAnsi="Arial"/>
          <w:sz w:val="18"/>
          <w:szCs w:val="18"/>
          <w:color w:val="auto"/>
        </w:rPr>
        <w:t>2</w:t>
      </w:r>
    </w:p>
    <w:p>
      <w:pPr>
        <w:spacing w:after="0" w:line="170"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2009 (the “Report”) fully complies with the requirement of Section 13(a) or Section 15(d), as applicable, of the Securities Exchange Act of 1934, as amended; and</w:t>
      </w:r>
    </w:p>
    <w:p>
      <w:pPr>
        <w:spacing w:after="0" w:line="15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6,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 Finance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Administration, and Chief Financial Officer</w:t>
            </w:r>
          </w:p>
        </w:tc>
      </w:tr>
    </w:tbl>
    <w:p>
      <w:pPr>
        <w:spacing w:after="0" w:line="1" w:lineRule="exact"/>
        <w:rPr>
          <w:sz w:val="20"/>
          <w:szCs w:val="20"/>
          <w:color w:val="auto"/>
        </w:rPr>
      </w:pPr>
    </w:p>
    <w:sectPr>
      <w:pgSz w:w="11900" w:h="16838" w:orient="portrait"/>
      <w:cols w:equalWidth="0" w:num="1">
        <w:col w:w="9887"/>
      </w:cols>
      <w:pgMar w:left="572"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ldblquote"/>
      <w:numFmt w:val="bullet"/>
      <w:start w:val="1"/>
    </w:lvl>
  </w:abstractNum>
  <w:abstractNum w:abstractNumId="16">
    <w:nsid w:val="436C6125"/>
    <w:multiLevelType w:val="hybridMultilevel"/>
    <w:lvl w:ilvl="0">
      <w:lvlJc w:val="left"/>
      <w:lvlText w:val="%1."/>
      <w:numFmt w:val="decimal"/>
      <w:start w:val="3"/>
    </w:lvl>
  </w:abstractNum>
  <w:abstractNum w:abstractNumId="17">
    <w:nsid w:val="628C895D"/>
    <w:multiLevelType w:val="hybridMultilevel"/>
    <w:lvl w:ilvl="0">
      <w:lvlJc w:val="left"/>
      <w:lvlText w:val="%1."/>
      <w:numFmt w:val="decimal"/>
      <w:start w:val="4"/>
    </w:lvl>
    <w:lvl w:ilvl="1">
      <w:lvlJc w:val="left"/>
      <w:lvlText w:val="\ldblquote"/>
      <w:numFmt w:val="bullet"/>
      <w:start w:val="1"/>
    </w:lvl>
  </w:abstractNum>
  <w:abstractNum w:abstractNumId="18">
    <w:nsid w:val="333AB105"/>
    <w:multiLevelType w:val="hybridMultilevel"/>
    <w:lvl w:ilvl="0">
      <w:lvlJc w:val="left"/>
      <w:lvlText w:val="(%1)"/>
      <w:numFmt w:val="lowerRoman"/>
      <w:start w:val="2"/>
    </w:lvl>
    <w:lvl w:ilvl="1">
      <w:lvlJc w:val="left"/>
      <w:lvlText w:val="%2."/>
      <w:numFmt w:val="decimal"/>
      <w:start w:val="6"/>
    </w:lvl>
  </w:abstractNum>
  <w:abstractNum w:abstractNumId="19">
    <w:nsid w:val="721DA317"/>
    <w:multiLevelType w:val="hybridMultilevel"/>
    <w:lvl w:ilvl="0">
      <w:lvlJc w:val="left"/>
      <w:lvlText w:val="%1."/>
      <w:numFmt w:val="decimal"/>
      <w:start w:val="7"/>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2019-12-10T11:45:33Z</dcterms:created>
  <dcterms:modified xsi:type="dcterms:W3CDTF">2019-12-10T11:45:33Z</dcterms:modified>
</cp:coreProperties>
</file>