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2014</w:t>
      </w:r>
    </w:p>
    <w:p>
      <w:pPr>
        <w:spacing w:after="0" w:line="343"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November 5, 2014 was 32,788,086.</w:t>
      </w:r>
    </w:p>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w w:val="96"/>
              </w:rPr>
            </w:pPr>
            <w:hyperlink w:anchor="page3">
              <w:r>
                <w:rPr>
                  <w:rFonts w:ascii="Arial" w:cs="Arial" w:eastAsia="Arial" w:hAnsi="Arial"/>
                  <w:sz w:val="16"/>
                  <w:szCs w:val="16"/>
                  <w:color w:val="0000FF"/>
                  <w:w w:val="96"/>
                </w:rPr>
                <w:t>Condensed Consolidated Statements of Operations and Comprehensive Income for the three and nine months ended September 30, 2014 and 2013</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tcPr>
          <w:p>
            <w:pPr>
              <w:spacing w:after="0" w:line="183" w:lineRule="exact"/>
              <w:rPr>
                <w:rFonts w:ascii="Arial" w:cs="Arial" w:eastAsia="Arial" w:hAnsi="Arial"/>
                <w:sz w:val="16"/>
                <w:szCs w:val="16"/>
                <w:color w:val="0000FF"/>
                <w:w w:val="90"/>
              </w:rPr>
            </w:pPr>
            <w:hyperlink w:anchor="page3">
              <w:r>
                <w:rPr>
                  <w:rFonts w:ascii="Arial" w:cs="Arial" w:eastAsia="Arial" w:hAnsi="Arial"/>
                  <w:sz w:val="16"/>
                  <w:szCs w:val="16"/>
                  <w:color w:val="0000FF"/>
                  <w:w w:val="90"/>
                </w:rPr>
                <w:t>(Unaudited)</w:t>
              </w:r>
            </w:hyperlink>
          </w:p>
        </w:tc>
        <w:tc>
          <w:tcPr>
            <w:tcW w:w="8720" w:type="dxa"/>
            <w:vAlign w:val="bottom"/>
            <w:tcBorders>
              <w:top w:val="single" w:sz="8" w:color="0000FF"/>
            </w:tcBorders>
            <w:gridSpan w:val="13"/>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2014 and December 31, 2013 (Unaudited)</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Condensed Consolidated Statements of Cash Flows for the nine months ended September 30, 2014 and 2013 (Unaudited)</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2"/>
              </w:rPr>
            </w:pPr>
            <w:hyperlink w:anchor="page25">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39">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40">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Arial" w:cs="Arial" w:eastAsia="Arial" w:hAnsi="Arial"/>
                <w:sz w:val="16"/>
                <w:szCs w:val="16"/>
                <w:color w:val="0000FF"/>
                <w:w w:val="88"/>
              </w:rPr>
            </w:pPr>
            <w:hyperlink w:anchor="page41">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5">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6">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32.1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adjusted)*</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(As adjusted)*</w:t>
            </w:r>
          </w:p>
        </w:tc>
      </w:tr>
      <w:tr>
        <w:trPr>
          <w:trHeight w:val="27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676,129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615,445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243,208</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37,577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306,037</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9,660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jc w:val="right"/>
              <w:ind w:right="2370"/>
              <w:spacing w:after="0"/>
              <w:rPr>
                <w:sz w:val="20"/>
                <w:szCs w:val="20"/>
                <w:color w:val="auto"/>
              </w:rPr>
            </w:pPr>
            <w:r>
              <w:rPr>
                <w:rFonts w:ascii="Arial" w:cs="Arial" w:eastAsia="Arial" w:hAnsi="Arial"/>
                <w:sz w:val="18"/>
                <w:szCs w:val="18"/>
                <w:color w:val="auto"/>
                <w:w w:val="99"/>
              </w:rPr>
              <w:t>Goodwill impairment charge</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46,738</w:t>
            </w:r>
          </w:p>
        </w:tc>
      </w:tr>
      <w:tr>
        <w:trPr>
          <w:trHeight w:val="237"/>
        </w:trPr>
        <w:tc>
          <w:tcPr>
            <w:tcW w:w="4700" w:type="dxa"/>
            <w:vAlign w:val="bottom"/>
          </w:tcPr>
          <w:p>
            <w:pPr>
              <w:jc w:val="right"/>
              <w:ind w:right="2370"/>
              <w:spacing w:after="0"/>
              <w:rPr>
                <w:sz w:val="20"/>
                <w:szCs w:val="20"/>
                <w:color w:val="auto"/>
              </w:rPr>
            </w:pPr>
            <w:r>
              <w:rPr>
                <w:rFonts w:ascii="Arial" w:cs="Arial" w:eastAsia="Arial" w:hAnsi="Arial"/>
                <w:sz w:val="18"/>
                <w:szCs w:val="18"/>
                <w:b w:val="1"/>
                <w:bCs w:val="1"/>
                <w:color w:val="auto"/>
              </w:rPr>
              <w:t>Total costs and expenses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211,992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244,387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637,272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643,220</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(9,172)</w:t>
            </w: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Basic net income (loss)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 net income (loss) per common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5"/>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4"/>
              </w:rPr>
              <w:t>Weighted average common shares outstanding (See Note</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27,855</w:t>
            </w: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32,906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27,855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(See Note 11)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2013</w:t>
            </w:r>
          </w:p>
        </w:tc>
      </w:tr>
      <w:tr>
        <w:trPr>
          <w:trHeight w:val="258"/>
        </w:trPr>
        <w:tc>
          <w:tcPr>
            <w:tcW w:w="79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(As adjusted)*</w:t>
            </w:r>
          </w:p>
        </w:tc>
      </w:tr>
      <w:tr>
        <w:trPr>
          <w:trHeight w:val="147"/>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120,614</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$5,161 and $6,194</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120,741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118,145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206,919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44,276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48,616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26,858</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562,589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521,152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200,310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413,906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197,163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249,764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6,259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15,412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8,338</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1,545,734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1,192,139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50,752</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4,197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40,173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36,354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Borrowings under senior credit facility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130,123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119,382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186,875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211,095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205,182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31,756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12,527</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526,049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$0.01 par value; 60,000 authorized shares; 41,453 and 41,042 issued at September 30, 2014 and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2013,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769,208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750,918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8,903 shares at September 30, 2014 and December 31, 2013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(14,318)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927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297,794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280,956</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685,978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666,090</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1,545,734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1,192,139</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INTEGRA LIFESCIENCES HOLDINGS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54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r>
      <w:tr>
        <w:trPr>
          <w:trHeight w:val="258"/>
        </w:trPr>
        <w:tc>
          <w:tcPr>
            <w:tcW w:w="78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ind w:right="319"/>
              <w:spacing w:after="0"/>
              <w:rPr>
                <w:sz w:val="20"/>
                <w:szCs w:val="20"/>
                <w:color w:val="auto"/>
              </w:rPr>
            </w:pPr>
            <w:r>
              <w:rPr>
                <w:rFonts w:ascii="Arial" w:cs="Arial" w:eastAsia="Arial" w:hAnsi="Arial"/>
                <w:sz w:val="14"/>
                <w:szCs w:val="14"/>
                <w:b w:val="1"/>
                <w:bCs w:val="1"/>
                <w:color w:val="auto"/>
              </w:rPr>
              <w:t>(As adjusted)*</w:t>
            </w:r>
          </w:p>
        </w:tc>
      </w:tr>
      <w:tr>
        <w:trPr>
          <w:trHeight w:val="174"/>
        </w:trPr>
        <w:tc>
          <w:tcPr>
            <w:tcW w:w="7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16,838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(34,838)</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45,105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35,695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impairment charges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46,738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income tax (benefit)</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(7,238)</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1,707</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interest expense</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4,865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(Gain) from change in fair value of contingent consideration</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1,440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(28,765)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6,628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8,794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14,185</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liabilities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(1,264)</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41,572</w:t>
            </w:r>
          </w:p>
        </w:tc>
      </w:tr>
      <w:tr>
        <w:trPr>
          <w:trHeight w:val="231"/>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Sales of property and equipment</w:t>
            </w:r>
          </w:p>
        </w:tc>
        <w:tc>
          <w:tcPr>
            <w:tcW w:w="10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533</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used for business acquisition,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0"/>
              </w:rPr>
              <w:t>(264,466)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(40,169)</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385,000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30,000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Payment of debt issuance costs</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 payments under capital lease obligations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231,044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19,507</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19,617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21,930</w:t>
            </w:r>
          </w:p>
        </w:tc>
      </w:tr>
      <w:tr>
        <w:trPr>
          <w:trHeight w:val="33"/>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96,938</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20" w:type="dxa"/>
            <w:vAlign w:val="bottom"/>
            <w:tcBorders>
              <w:top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140,231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118,868</w:t>
            </w:r>
          </w:p>
        </w:tc>
      </w:tr>
      <w:tr>
        <w:trPr>
          <w:trHeight w:val="3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ectPr>
          <w:pgSz w:w="11900" w:h="16838" w:orient="portrait"/>
          <w:cols w:equalWidth="0" w:num="1">
            <w:col w:w="11400"/>
          </w:cols>
          <w:pgMar w:left="240" w:top="125" w:right="25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September 30, 2014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2013 included in the Company’s Current Report on Form 8-K dated June 16, 2014, which was filed with the Securities and Exchange Commission on June 20, 2014. The December 31, 2013 consolidated balance sheet was derived from audited financial statements, but does not include all disclosures required by accounting principles generally accepted in the United States. Operating results for the three- and nine-month periods ended September 30, 2014 are not necessarily indicative of the results to be expected for the entire year.</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MDET in cost of goods sold when the medical device was sold to the ultimate customer. Under the new method, the MDET will be recorded in selling, general and administrative expenses in the period the first sale occurs in the United States,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peers, the majority of which expense the MDET at the time of the first sale in the United States.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medical device excise tax applies to sales beginning January 1, 2013; therefore, this change affected only 2013 financial results. The cumulative effect of the change in the prior year is included in retained earnings as of December 31, 2013. We have revised the comparative results for the three- and nine-month periods ended September 30, 2013 to reflect the retrospective application of the change in accounting principle had the new method been in effect for all periods, as follows: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Three Months Ended September 30, 2013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Nine Months Ended September 30, 2013</w:t>
            </w:r>
          </w:p>
        </w:tc>
      </w:tr>
      <w:tr>
        <w:trPr>
          <w:trHeight w:val="258"/>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Originally</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22"/>
                <w:szCs w:val="22"/>
                <w:color w:val="auto"/>
              </w:rPr>
            </w:pPr>
          </w:p>
        </w:tc>
        <w:tc>
          <w:tcPr>
            <w:tcW w:w="94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Originally</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As</w:t>
            </w:r>
          </w:p>
        </w:tc>
      </w:tr>
      <w:tr>
        <w:trPr>
          <w:trHeight w:val="276"/>
        </w:trPr>
        <w:tc>
          <w:tcPr>
            <w:tcW w:w="4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Reported</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Adjustments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Reported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4"/>
              </w:rPr>
              <w:t>Adjustments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Adjusted</w:t>
            </w:r>
          </w:p>
        </w:tc>
      </w:tr>
      <w:tr>
        <w:trPr>
          <w:trHeight w:val="250"/>
        </w:trPr>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84,101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247,437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243,208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95,933</w:t>
            </w:r>
          </w:p>
        </w:tc>
        <w:tc>
          <w:tcPr>
            <w:tcW w:w="24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3,861</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99,794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95"/>
              <w:spacing w:after="0"/>
              <w:rPr>
                <w:sz w:val="20"/>
                <w:szCs w:val="20"/>
                <w:color w:val="auto"/>
              </w:rPr>
            </w:pPr>
            <w:r>
              <w:rPr>
                <w:rFonts w:ascii="Arial" w:cs="Arial" w:eastAsia="Arial" w:hAnsi="Arial"/>
                <w:sz w:val="18"/>
                <w:szCs w:val="18"/>
                <w:color w:val="auto"/>
              </w:rPr>
              <w:t>295,713</w:t>
            </w:r>
          </w:p>
        </w:tc>
        <w:tc>
          <w:tcPr>
            <w:tcW w:w="1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10,324</w:t>
            </w: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306,037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(6,605)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(8,755)</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(28,550)</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(29,160)</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(5,678)</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(34,838)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0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(25,076)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(30,754)</w:t>
            </w:r>
          </w:p>
        </w:tc>
      </w:tr>
      <w:tr>
        <w:trPr>
          <w:trHeight w:val="27"/>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Reported</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206,919</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Deferred tax assets - current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46,300</w:t>
            </w:r>
          </w:p>
        </w:tc>
        <w:tc>
          <w:tcPr>
            <w:tcW w:w="2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2,316</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48,616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285,046</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(4,090)</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280,956</w:t>
            </w:r>
          </w:p>
        </w:tc>
        <w:tc>
          <w:tcPr>
            <w:tcW w:w="20" w:type="dxa"/>
            <w:vAlign w:val="bottom"/>
          </w:tcPr>
          <w:p>
            <w:pPr>
              <w:spacing w:after="0"/>
              <w:rPr>
                <w:sz w:val="21"/>
                <w:szCs w:val="21"/>
                <w:color w:val="auto"/>
              </w:rPr>
            </w:pPr>
          </w:p>
        </w:tc>
      </w:tr>
      <w:tr>
        <w:trPr>
          <w:trHeight w:val="675"/>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2013</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417"/>
              <w:spacing w:after="0"/>
              <w:rPr>
                <w:sz w:val="20"/>
                <w:szCs w:val="20"/>
                <w:color w:val="auto"/>
              </w:rPr>
            </w:pPr>
            <w:r>
              <w:rPr>
                <w:rFonts w:ascii="Arial" w:cs="Arial" w:eastAsia="Arial" w:hAnsi="Arial"/>
                <w:sz w:val="14"/>
                <w:szCs w:val="14"/>
                <w:b w:val="1"/>
                <w:bCs w:val="1"/>
                <w:color w:val="auto"/>
              </w:rPr>
              <w:t>Originally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24"/>
                <w:szCs w:val="24"/>
                <w:color w:val="auto"/>
              </w:rPr>
            </w:pPr>
          </w:p>
        </w:tc>
        <w:tc>
          <w:tcPr>
            <w:tcW w:w="1220" w:type="dxa"/>
            <w:vAlign w:val="bottom"/>
          </w:tcPr>
          <w:p>
            <w:pPr>
              <w:jc w:val="center"/>
              <w:ind w:right="275"/>
              <w:spacing w:after="0"/>
              <w:rPr>
                <w:sz w:val="20"/>
                <w:szCs w:val="20"/>
                <w:color w:val="auto"/>
              </w:rPr>
            </w:pPr>
            <w:r>
              <w:rPr>
                <w:rFonts w:ascii="Arial" w:cs="Arial" w:eastAsia="Arial" w:hAnsi="Arial"/>
                <w:sz w:val="14"/>
                <w:szCs w:val="14"/>
                <w:b w:val="1"/>
                <w:bCs w:val="1"/>
                <w:color w:val="auto"/>
                <w:w w:val="91"/>
              </w:rPr>
              <w:t>Adjustments</w:t>
            </w:r>
          </w:p>
        </w:tc>
        <w:tc>
          <w:tcPr>
            <w:tcW w:w="34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r>
      <w:tr>
        <w:trPr>
          <w:trHeight w:val="250"/>
        </w:trPr>
        <w:tc>
          <w:tcPr>
            <w:tcW w:w="2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jc w:val="right"/>
              <w:ind w:right="375"/>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(29,160)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(5,678)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2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(34,855)</w:t>
            </w:r>
          </w:p>
        </w:tc>
        <w:tc>
          <w:tcPr>
            <w:tcW w:w="280" w:type="dxa"/>
            <w:vAlign w:val="bottom"/>
          </w:tcPr>
          <w:p>
            <w:pPr>
              <w:spacing w:after="0"/>
              <w:rPr>
                <w:sz w:val="21"/>
                <w:szCs w:val="21"/>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6,090</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(28,765)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(412)</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Realignment of Segment Revenues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quarter of 2014 the Company realigned certain products between operating segments. The Company did not change its management structure and has determined that the Company still has the same five reportable segments. The impact of this immaterial change on all periods presented is that (i) the revenues and segment profit of the U.S. Extremities segment is lower, and U.S. Instruments and U.S. Spine and Other segments are higher, and (ii) the global revenues of the Orthopedics product category is lower and the Instruments product category is higher. These changes have been reflected in all periods presented. There has been no change in the Company's net revenues reported.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2013, the FASB issued ASU No. 2013-11, </w:t>
      </w:r>
      <w:r>
        <w:rPr>
          <w:rFonts w:ascii="Arial" w:cs="Arial" w:eastAsia="Arial" w:hAnsi="Arial"/>
          <w:sz w:val="17"/>
          <w:szCs w:val="17"/>
          <w:i w:val="1"/>
          <w:iCs w:val="1"/>
          <w:color w:val="auto"/>
        </w:rPr>
        <w:t>Presentation of an Unrecognized Tax Benefit When a Net Operating Loss Carryforward, a Similar Tax</w:t>
      </w:r>
      <w:r>
        <w:rPr>
          <w:rFonts w:ascii="Arial" w:cs="Arial" w:eastAsia="Arial" w:hAnsi="Arial"/>
          <w:sz w:val="17"/>
          <w:szCs w:val="17"/>
          <w:color w:val="auto"/>
        </w:rPr>
        <w:t xml:space="preserve"> </w:t>
      </w:r>
      <w:r>
        <w:rPr>
          <w:rFonts w:ascii="Arial" w:cs="Arial" w:eastAsia="Arial" w:hAnsi="Arial"/>
          <w:sz w:val="17"/>
          <w:szCs w:val="17"/>
          <w:i w:val="1"/>
          <w:iCs w:val="1"/>
          <w:color w:val="auto"/>
        </w:rPr>
        <w:t>Loss, or a Tax Credit Carryforward Exists</w:t>
      </w:r>
      <w:r>
        <w:rPr>
          <w:rFonts w:ascii="Arial" w:cs="Arial" w:eastAsia="Arial" w:hAnsi="Arial"/>
          <w:sz w:val="17"/>
          <w:szCs w:val="17"/>
          <w:color w:val="auto"/>
        </w:rPr>
        <w:t>. This updated guidance requires an unrecognized tax benefit to be presented in the financial statements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to a deferred tax asset for a net operating loss carryforward, similar tax loss, or a tax credit carryforward. To the extent the tax benefit is not available at the reporting date under the governing tax law or if the entity does not intend to use the deferred tax asset for such purpose, the unrecognized tax benefit should be presented as a liability and not combined with deferred tax assets. This ASU is effective for fiscal years and interim periods within those years beginning after December 15, 2013 for public entities and early adoption is permitted. The amendments are to be applied</w:t>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all unrecognized tax benefits that exist as of the effective date and may be applied retrospectively to each prior reporting period presented. The standard adoption did not have a material impact on the Company's financial statements.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implementation of the amended guidance is not expected to have a material impact on our consolidated financial position or results of operations.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is effective for annual reporting periods beginning after December 15, 2016, including interim periods within that reporting period, and early adoption </w:t>
      </w:r>
      <w:r>
        <w:rPr>
          <w:rFonts w:ascii="Arial" w:cs="Arial" w:eastAsia="Arial" w:hAnsi="Arial"/>
          <w:sz w:val="17"/>
          <w:szCs w:val="17"/>
          <w:u w:val="single" w:color="auto"/>
          <w:color w:val="auto"/>
        </w:rPr>
        <w:t>is not</w:t>
      </w:r>
      <w:r>
        <w:rPr>
          <w:rFonts w:ascii="Arial" w:cs="Arial" w:eastAsia="Arial" w:hAnsi="Arial"/>
          <w:sz w:val="17"/>
          <w:szCs w:val="17"/>
          <w:color w:val="auto"/>
        </w:rPr>
        <w:t xml:space="preserve"> permitted. The Company is in the process of evaluating the impact of this standard on its financial statements.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2014, the FASB issued Update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(Topic 718). </w:t>
      </w:r>
      <w:r>
        <w:rPr>
          <w:rFonts w:ascii="Arial" w:cs="Arial" w:eastAsia="Arial" w:hAnsi="Arial"/>
          <w:sz w:val="17"/>
          <w:szCs w:val="17"/>
          <w:color w:val="auto"/>
        </w:rPr>
        <w:t>The amendments require that a performance target that affects vesting and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our consolidated financial position or results of operations.</w:t>
      </w:r>
    </w:p>
    <w:p>
      <w:pPr>
        <w:spacing w:after="0" w:line="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our financial position, results of operations or cash flows.</w:t>
      </w:r>
    </w:p>
    <w:p>
      <w:pPr>
        <w:spacing w:after="0" w:line="200" w:lineRule="exact"/>
        <w:rPr>
          <w:sz w:val="20"/>
          <w:szCs w:val="20"/>
          <w:color w:val="auto"/>
        </w:rPr>
      </w:pPr>
    </w:p>
    <w:p>
      <w:pPr>
        <w:spacing w:after="0" w:line="210" w:lineRule="exact"/>
        <w:rPr>
          <w:sz w:val="20"/>
          <w:szCs w:val="20"/>
          <w:color w:val="auto"/>
        </w:rPr>
      </w:pPr>
    </w:p>
    <w:p>
      <w:pPr>
        <w:ind w:right="898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i w:val="1"/>
          <w:iCs w:val="1"/>
          <w:u w:val="single" w:color="auto"/>
          <w:color w:val="auto"/>
        </w:rPr>
        <w:t>Confluent Surgical, Inc.</w:t>
      </w: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purchase price allocation is preliminary because the Company has not yet completed the final analysis of the tax accounts. The following summarizes the preliminary allocation of the purchase price as of September 30, 2014 based on the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5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Deferred tax assets - long term</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105,331</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349,981</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 long term</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87,464</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this acquisition is based on (i) expected cost savings, operating synergies and other benefits expected to result from the combined operations, (ii) the value of the going-concern element of Confluent Surgical's existing business (that is, the higher rate of return on the assembled net assets versus if the Company had acquired all of the net assets separately), and (iii) intangible assets that do not qualify for separate recognition such as Confluent Surgical's assembled workforce. The goodwill acquired will not be deductible for tax purposes.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contingent consideration during the nine-months ended September 30, 2014 was (i) increased to reflect current period acquisitions, and the change in the time value of money during the period, and (ii) decreased because the Company believes that it is no longer probable that it will reach certain sales-based milestone targets. A reconciliation of the opening balances to the closing balances of these Level 3 measurements is as follows (in thousands):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1,227</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Contingent consideration from Confluent Surgical acquisition</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20,895</w:t>
            </w:r>
          </w:p>
        </w:tc>
        <w:tc>
          <w:tcPr>
            <w:tcW w:w="36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Loss/(gain) from increase/(decrease) in fair value of contingent consideration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(878) Selling, general and administrative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Fair value at September 30, 2014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21,244</w:t>
            </w:r>
          </w:p>
        </w:tc>
        <w:tc>
          <w:tcPr>
            <w:tcW w:w="3640" w:type="dxa"/>
            <w:vAlign w:val="bottom"/>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entire contingent consideration balance was included in Other liabilities at September 30, 2014 and December 31, 2013.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and nine months ended September 30, 2013 as if the Confluent Surgical acquisition completed by the Company during 2014 had been completed as of January 1, 2013.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2013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impact of the Confluent Surgical pre-acquisition results were not material to the 2014 consolidated operating results of the Company; therefore the pro forma impact on the 2014 results of the Company has not been presented below. The pro forma results below also incorporate the impact of the change in accounting for the MDET on the 2013 results which is discussed in Note 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162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September 30, 2013</w:t>
            </w:r>
          </w:p>
        </w:tc>
      </w:tr>
      <w:tr>
        <w:trPr>
          <w:trHeight w:val="250"/>
        </w:trPr>
        <w:tc>
          <w:tcPr>
            <w:tcW w:w="7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0" w:type="dxa"/>
            <w:vAlign w:val="bottom"/>
            <w:gridSpan w:val="4"/>
          </w:tcPr>
          <w:p>
            <w:pPr>
              <w:jc w:val="right"/>
              <w:ind w:right="13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229,645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664,642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58"/>
              <w:spacing w:after="0"/>
              <w:rPr>
                <w:sz w:val="20"/>
                <w:szCs w:val="20"/>
                <w:color w:val="auto"/>
              </w:rPr>
            </w:pPr>
            <w:r>
              <w:rPr>
                <w:rFonts w:ascii="Arial" w:cs="Arial" w:eastAsia="Arial" w:hAnsi="Arial"/>
                <w:sz w:val="18"/>
                <w:szCs w:val="18"/>
                <w:color w:val="auto"/>
              </w:rPr>
              <w:t>(28,324)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(30,356)</w:t>
            </w:r>
          </w:p>
        </w:tc>
      </w:tr>
      <w:tr>
        <w:trPr>
          <w:trHeight w:val="918"/>
        </w:trPr>
        <w:tc>
          <w:tcPr>
            <w:tcW w:w="76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88"/>
        </w:trPr>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December 31, 2013</w:t>
            </w:r>
          </w:p>
        </w:tc>
      </w:tr>
      <w:tr>
        <w:trPr>
          <w:trHeight w:val="190"/>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4"/>
          </w:tcPr>
          <w:p>
            <w:pPr>
              <w:jc w:val="right"/>
              <w:ind w:right="1337"/>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(As adjusted)*</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142,342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123,786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Arial" w:cs="Arial" w:eastAsia="Arial" w:hAnsi="Arial"/>
                <w:sz w:val="18"/>
                <w:szCs w:val="18"/>
                <w:color w:val="auto"/>
              </w:rPr>
              <w:t>50,864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47,403</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37,249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35,730</w:t>
            </w:r>
          </w:p>
        </w:tc>
      </w:tr>
      <w:tr>
        <w:trPr>
          <w:trHeight w:val="237"/>
        </w:trPr>
        <w:tc>
          <w:tcPr>
            <w:tcW w:w="76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230,455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206,919</w:t>
            </w:r>
          </w:p>
        </w:tc>
      </w:tr>
      <w:tr>
        <w:trPr>
          <w:trHeight w:val="27"/>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goodwill for impairment annually as of July 31 and whenever events or changes in circumstances indicate the carrying value of goodwill may not be recoverable. In reviewing goodwill for impairment, an Company has the option - for any or all of its reporting units that carry goodwill - to first assess qualitative factors to determine whether the existence of events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or circumstances leads to a determination that it is more likely than not (i.e. greater than 50%) that the estimated fair value of a reporting unit is less than its carrying amount. If the Company elects to perform a qualitative assessment and determines that an impairment is more likely than not, the Company is then required to perform the two-step quantitative impairment test, otherwise no further analysis is required. The Company also may elect not to perform the qualitative assessment and, instead, proceed directly to step one of the two-step quantitative impairment test. The ultimate outcome of the goodwill impairment review for a reporting unit should be the same whether the Company chooses to perform the qualitative assessment or proceeds directly to the two-step quantitative impairment test. The most recent two-step quantitative impairment test completed for each reporting unit was as of July 31, 2013 (the "Base Valuation"), which resulted in the full impairment of goodwill held by the U.S. Spine reporting unit. At July 31, 2014 the following reporting units carried goodwill: U.S. Neurosurgery, U.S. Instruments, U.S. Extremities, Private Label, EMEA and LAPAC.</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July 31, 2014, management performed a comprehensive analysis of various events and circumstances (i.e. factors) that would likely affect the estimated fair value of all of its reporting units that carried goodwill at that date, and whether those factors would have a positive or negative impact on the fair value of the reporting unit when compared to the Base Valuation. Management considered Company-wide factors such as, but not limited to (i) macroeconomic conditions, (ii) industry conditions, (iii) the Company's overall financial prospects and market capitalization, (iv) the competitive environment, (v) regulatory and political developments, and (vi) any changes in the Company's weighted average cost of capital ("WACC"). Management also considered reporting unit specific factors such as, but not limited to (i) changes in the market for products and services, (ii) strategic business changes, (iii) reporting unit financial performance, (iv) management's most recent prospective revenue estimates, (v) the prospective cost burden of the reporting units, (vi) changes in a reporting unit's management, (vii) how any change in the Company's WACC above might impact the reporting unit specific WACC, and (viii) the suitability of the risk premiums on the reporting unit specific WACC. These factors are then classified by the type of impact they would have on the estimated fair value using positive, neutral, and adverse categories based on current business conditions. The Company then performs an assessment of the level of impact that a particular factor would have on the estimated fair value using high, medium, and low weighting. Finally, management considered all of the factors above in the context of the results of the Base Valuation, and whether it is more likely than not that the carrying value of any of the reporting units that have goodwill exceeds their individual fair value.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concluded that at July 31, 2014, based on the totality of information available for each reporting unit that carried goodwill, it was more likely than not that the estimated fair values of the U.S. Neurosurgery, U.S. Extremities, Private Label, EMEA and LAPAC reporting units were greater than their carrying values, and as such, no further analysis was required for those reporting units. The Company proceeded to step one of the quantitative goodwill impairment test for the U.S. Instruments reporting unit, primarily as a result of recent declines in that reporting unit's revenues.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derive the fair value of the U.S. Instruments reporting unit, as required in step one of the impairment test, the Company used the income approach, specifically the discounted cash flow ("DCF") method,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w:t>
      </w:r>
    </w:p>
    <w:p>
      <w:pPr>
        <w:spacing w:after="0" w:line="119"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1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determined, after performing the Step-1 fair value analysis above, that the U.S. Instruments reporting unit's fair value was in excess of its carrying value; therefore, it was not necessary to proceed to Step-2 of the goodwill impairment test for the U.S. Instruments reporting unit.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2014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Spine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Neurosurgery</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Extremities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249,764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Confluent Surgical acquisition</w:t>
            </w: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105,331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Goodwill at September 30,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187,572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57,132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60,131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35,301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349,574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September 30, 2014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320,270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261,812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145,658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(85,762)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59,896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33,316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25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4,620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587,069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(173,163)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413,906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12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81,238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146,627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(79,624)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67,003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31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Pr>
          <w:p>
            <w:pPr>
              <w:spacing w:after="0"/>
              <w:rPr>
                <w:sz w:val="21"/>
                <w:szCs w:val="21"/>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5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4,251</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349,024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(151,861)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197,163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2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September 30, 2014 and December 31, 2013, all other included in-process research and development ("IPR&amp;D") of $1.4 million in both periods, which was indefinite-lived.</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2014, the Company recorded an impairment charge of $0.6 million in cost of goods sold related to technology assets acquired from Confluent Surgical that will no longer be sold resulting from a regulatory event that occurred after the acquisition date.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$31.2 million in 2014, $28.7 million in 2015, $26.6 million in 2016, $24.5 million in 2017 and $24.1 million in 2018. Identifiable intangible assets are initially recorded at fair market value at the time of acquisition using an income or cost approach.</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 2014, the Company entered into an amended and restated credit agreement (the "Senior Credit Facility")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The Company's Senior Credit Facility was originally amended and restated on August 10, 2010, and that agreement was then amended on June 8, 2011, May 11, 2012, and June 21, 2013, as previously disclosed.</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2014 amended and restated Senior Credit Facility created an aggregate principal amount of up to $900.0 million available to the Company through the following facilities:</w:t>
      </w:r>
    </w:p>
    <w:p>
      <w:pPr>
        <w:spacing w:after="0" w:line="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2014 the Company was in compliance with all such covenants. In connection with the modification of the 2014 amendment and restatement of the Senior Credit Facility the Company capitalized $3.1 million of incremental financing costs, and expensed $0.3 million of previously capitalized financing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2014, the Company borrowed $422.0 million under the Senior Credit Facility consisting of a $150.0 million term loan and $272.0 million under its revolving credit facility. The Company used the funds to repay the balance of its previous Senior Credit Facility. The outstanding borrowings have one, two, three, six months, or, if available, twelve months interest periods.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2014 and December 31, 2013, there was $261.9 million and $186.9 million outstanding under the revolving credit component of the Senior Credit Facility at a weighted average interest rate of 1.7% and 2.0%, respectively. At September 30, 2014, there was approximately $488.1 million available for borrowing under the Senior Credit Facility.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2014 there was $150.0 million outstanding under the term loan component of the Senior Credit Facility at a weighted average interest rate of 1.7%. Contractual repayments of the term loan do not begin until September 30, 2015 and are due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2015</w:t>
            </w:r>
          </w:p>
        </w:tc>
        <w:tc>
          <w:tcPr>
            <w:tcW w:w="744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9,375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108,750</w:t>
            </w:r>
          </w:p>
        </w:tc>
      </w:tr>
      <w:tr>
        <w:trPr>
          <w:trHeight w:val="237"/>
        </w:trPr>
        <w:tc>
          <w:tcPr>
            <w:tcW w:w="2000" w:type="dxa"/>
            <w:vAlign w:val="bottom"/>
          </w:tcPr>
          <w:p>
            <w:pPr>
              <w:spacing w:after="0"/>
              <w:rPr>
                <w:sz w:val="20"/>
                <w:szCs w:val="20"/>
                <w:color w:val="auto"/>
              </w:rPr>
            </w:pPr>
          </w:p>
        </w:tc>
        <w:tc>
          <w:tcPr>
            <w:tcW w:w="7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150,000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components at September 30, 2014 was approximately $241.4 million and $139.1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2014, the carrying amount of the liability component was $211.1 million, the remaining unamortized discount was $18.9 million, and the principal amount outstanding was $230.0 million. The fair value of the 2016 Notes at September 30, 2014 was approximately $247.7 million. At December 31, 2013, the carrying amount of the liability component was $205.2 million, the remaining unamortized discount was $24.8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September 30, 2014, none of these conditions existed with respect to the 2016 Notes and as a result, the 2016 Notes are classified as long term.</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1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0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196"/>
        </w:trPr>
        <w:tc>
          <w:tcPr>
            <w:tcW w:w="5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1,822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4,865</w:t>
            </w:r>
          </w:p>
        </w:tc>
      </w:tr>
      <w:tr>
        <w:trPr>
          <w:trHeight w:val="27"/>
        </w:trPr>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2,675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7,303</w:t>
            </w:r>
          </w:p>
        </w:tc>
      </w:tr>
      <w:tr>
        <w:trPr>
          <w:trHeight w:val="27"/>
        </w:trPr>
        <w:tc>
          <w:tcPr>
            <w:tcW w:w="5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$1.3 million of pre-tax losses recorded as net in AOCI related to the interest rate hedge could be reclassified to earnings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September 30, 2014 and December 31, 2013: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1,676</w:t>
            </w:r>
          </w:p>
        </w:tc>
      </w:tr>
      <w:tr>
        <w:trPr>
          <w:trHeight w:val="270"/>
        </w:trPr>
        <w:tc>
          <w:tcPr>
            <w:tcW w:w="79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liabilities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2,439</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19"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At September 30, 2014 and December 31, 2013, the notional amount related to the Company’s sole interest rate swap was $101.3 million and $112.5 million, respectively. In the next twelve months, the Company expects to reduce the notional amount by the entire $101.3 million.</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and nine months ended September 30, 2014 and 2013: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of Gain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4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Gain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4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2014</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(1,289)</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51"/>
        </w:trPr>
        <w:tc>
          <w:tcPr>
            <w:tcW w:w="36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2013</w:t>
            </w:r>
          </w:p>
        </w:tc>
        <w:tc>
          <w:tcPr>
            <w:tcW w:w="2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Forward currency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580" w:type="dxa"/>
            <w:vAlign w:val="bottom"/>
          </w:tcPr>
          <w:p>
            <w:pPr>
              <w:ind w:left="140"/>
              <w:spacing w:after="0"/>
              <w:rPr>
                <w:sz w:val="20"/>
                <w:szCs w:val="20"/>
                <w:color w:val="auto"/>
              </w:rPr>
            </w:pPr>
            <w:r>
              <w:rPr>
                <w:rFonts w:ascii="Arial" w:cs="Arial" w:eastAsia="Arial" w:hAnsi="Arial"/>
                <w:sz w:val="18"/>
                <w:szCs w:val="18"/>
                <w:color w:val="auto"/>
                <w:w w:val="95"/>
              </w:rPr>
              <w:t>Cost of goods sold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139"/>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Amount of Gain (Loss)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Balance in AOCI</w:t>
            </w:r>
          </w:p>
        </w:tc>
        <w:tc>
          <w:tcPr>
            <w:tcW w:w="1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AOCI into</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Balance in AOCI</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Earnings-Effective</w:t>
            </w:r>
          </w:p>
        </w:tc>
        <w:tc>
          <w:tcPr>
            <w:tcW w:w="1100" w:type="dxa"/>
            <w:vAlign w:val="bottom"/>
            <w:gridSpan w:val="2"/>
            <w:vMerge w:val="continue"/>
          </w:tcPr>
          <w:p>
            <w:pPr>
              <w:spacing w:after="0"/>
              <w:rPr>
                <w:sz w:val="12"/>
                <w:szCs w:val="12"/>
                <w:color w:val="auto"/>
              </w:rPr>
            </w:pPr>
          </w:p>
        </w:tc>
        <w:tc>
          <w:tcPr>
            <w:tcW w:w="180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5"/>
              </w:rPr>
              <w:t>Effective Portion</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Portion</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End of Quarter</w:t>
            </w:r>
          </w:p>
        </w:tc>
        <w:tc>
          <w:tcPr>
            <w:tcW w:w="18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2014</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51"/>
        </w:trPr>
        <w:tc>
          <w:tcPr>
            <w:tcW w:w="3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2013</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gridSpan w:val="2"/>
          </w:tcPr>
          <w:p>
            <w:pPr>
              <w:ind w:left="40"/>
              <w:spacing w:after="0"/>
              <w:rPr>
                <w:sz w:val="20"/>
                <w:szCs w:val="20"/>
                <w:color w:val="auto"/>
              </w:rPr>
            </w:pPr>
            <w:r>
              <w:rPr>
                <w:rFonts w:ascii="Arial" w:cs="Arial" w:eastAsia="Arial" w:hAnsi="Arial"/>
                <w:sz w:val="18"/>
                <w:szCs w:val="18"/>
                <w:color w:val="auto"/>
              </w:rPr>
              <w:t>Forward currency forward contracts</w:t>
            </w: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8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nine months ended September 30, 2014 and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2014,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2014, there were approximately $1.7 million of total unrecognized compensation costs related to unvested stock options. These costs are expected to be recognized over a weighted-average period of approximately two years. There were approximately 80,991 stock options granted during the nine months ended September 30,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September 30, 2014, there were approximately $14.7 million of total unrecognized compensation costs related to these unvested awards. The Company expects to recognize these costs over a weighted-average period of approximately two years. The Company granted 255,407 restricted stock awards/stock units and 90,025 performance shares during the nine months ended September 30, 2014.</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June 30, 2014, the Company recorded an incremental stock compensation expense of $3.0 million in connection with the accelerated vesting of grants due to the amendment of an executive employment contract. The expense, which was comprised of both restricted shares and performance shares, was measured based on the difference between (i) the fair value of the awards on the date of modification and (ii) previously recognized compensation expense for such awards. The expense related to the acceleration of performance stock, included in the compensation expense amount above, was recorded in its entirety on the date of modification as the Company believes the performance obligation will be satisfied.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23, 2012, the Company's Board of Directors authorized a repurchase plan of up to $75.0 million of its outstanding common stock through December 2014. The Company has not repurchased any of its outstanding shares of common stock during the nine month periods ended September 30, 2014 and 2013. As of September 30, 2014, there remained $75.0 million available for repurchases under this authorization.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14 - Subsequent Events</w:t>
      </w:r>
      <w:r>
        <w:rPr>
          <w:rFonts w:ascii="Arial" w:cs="Arial" w:eastAsia="Arial" w:hAnsi="Arial"/>
          <w:sz w:val="18"/>
          <w:szCs w:val="18"/>
          <w:color w:val="auto"/>
        </w:rPr>
        <w:t xml:space="preserve"> regarding changes to this share repurchase plan made after September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22"/>
                <w:szCs w:val="22"/>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2013</w:t>
            </w:r>
          </w:p>
        </w:tc>
      </w:tr>
      <w:tr>
        <w:trPr>
          <w:trHeight w:val="258"/>
        </w:trPr>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(As adjusted)*</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(As adjusted)*</w:t>
            </w:r>
          </w:p>
        </w:tc>
      </w:tr>
      <w:tr>
        <w:trPr>
          <w:trHeight w:val="147"/>
        </w:trPr>
        <w:tc>
          <w:tcPr>
            <w:tcW w:w="5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43"/>
        </w:trPr>
        <w:tc>
          <w:tcPr>
            <w:tcW w:w="5980" w:type="dxa"/>
            <w:vAlign w:val="bottom"/>
            <w:gridSpan w:val="2"/>
            <w:shd w:val="clear" w:color="auto" w:fill="CCEEFF"/>
          </w:tcPr>
          <w:p>
            <w:pPr>
              <w:jc w:val="right"/>
              <w:ind w:right="4628"/>
              <w:spacing w:after="0"/>
              <w:rPr>
                <w:sz w:val="20"/>
                <w:szCs w:val="20"/>
                <w:color w:val="auto"/>
              </w:rPr>
            </w:pPr>
            <w:r>
              <w:rPr>
                <w:rFonts w:ascii="Arial" w:cs="Arial" w:eastAsia="Arial" w:hAnsi="Arial"/>
                <w:sz w:val="18"/>
                <w:szCs w:val="18"/>
                <w:color w:val="auto"/>
                <w:w w:val="90"/>
              </w:rPr>
              <w:t>Reported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5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effective income tax rates for the three months ended September 30, 2014 and 2013 were 15.0% and 17.3%, respectively. The primary drivers of the overall tax rate for the three months ended September 30, 2014 were a tax benefit of $1.6 million that was recognized for the release of uncertain tax positions due to the expiration of statute of limitations, partially offset by an expense of $0.5 million relating to a state income tax audit settlement and an expense of $0.3 million relating to foreign returns filed during the quarter. The primary drivers of the overall tax rate for the three months ended September 30, 2013 were the goodwill impairment charge that was partially deductible for tax purposes, partially offset by a benefit of $2.3 million for the release of uncertain tax positions and related interest due to the expiration of the statute of limitations.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effective income tax rates for the nine months ended September 30, 2014 and 2013 were 25.8% and 20.8%, respectively. The primary drivers of the income tax rate for the nine months ended September 30, 2014 were an expense of $1.2 million relating to state income tax audit settlements, an expense of $0.4 million for a foreign income tax audit settlement, and an expense of $0.3 million from a change in state filing positions; offset by a benefit of $2.0 million for the release of uncertain tax positions and related interest due to the expiration of statute of limitations. The primary drivers of the income tax rate for the nine months ended September 30, 2013 were a benefit of $3.5 million for the release of uncertain tax positions, a benefit of $0.5 million relating to the granting of Irish research credits for 2011 and 2012, and a benefit of $0.9 million due to the extension of the Federal research credit, enacted through the American Taxpayer Relief Act. These benefits in 2013 were recorded against a book loss, relating primarily to goodwill impairment; accordingly, they had the effect of increasing the effective tax rate in that period.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23% to 24%, resulting largely from the release of uncertain tax positions, domestic and foreign audit settlements, as well as the jurisdictional mix of pretax income in U.S.-based operations relative to foreign operations. This estimate could be revised in the future as additional information is presented to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(loss)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352"/>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(As adjusted)*</w:t>
            </w:r>
          </w:p>
        </w:tc>
      </w:tr>
      <w:tr>
        <w:trPr>
          <w:trHeight w:val="209"/>
        </w:trPr>
        <w:tc>
          <w:tcPr>
            <w:tcW w:w="5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16,838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(34,838)</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27,855</w:t>
            </w: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38"/>
        </w:trPr>
        <w:tc>
          <w:tcPr>
            <w:tcW w:w="4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538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Diluted net income (loss) per share:</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r>
      <w:tr>
        <w:trPr>
          <w:trHeight w:val="243"/>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27,855</w:t>
            </w:r>
          </w:p>
        </w:tc>
      </w:tr>
      <w:tr>
        <w:trPr>
          <w:trHeight w:val="243"/>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32,906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27,896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32,844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27,855</w:t>
            </w: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2014 and 2013, the Company had 1.4 million and 1.7 million of outstanding stock options, respectively. The Company also has warrants outstanding relating to its 2016 Notes at September 30, 2014 and 2013 and the Company's 2016 Notes are convertible to common shares in certain circumstances (see Note 5). Stock options, restricted stock, warrants and the excess conversion value of the 2016 Notes are included in the diluted earnings per share calculation using the treasury stock method, unless the effect of including such items would be anti-dilutive.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three months ended September 30, 2014 and 2013, 0.2 million of anti-dilutive stock options were excluded from the diluted earnings per share calculation. For the nine months ended September 30, 2014, 0.2 million of anti-dilutive stock options were excluded. For the three and nine months ended September 30, 2013, all stock options, and all restricted stock were excluded from the diluted earnings per share calculation using the treasury stock method because of their anti-dilutive effect. The effect of outstanding warrants were anti-dilutive because the strike price of the warrants exceeded the Company’s average stock price for the periods, and the potential excess conversion value of the 2016 Notes were anti-dilutive because the conversion price exceeded the Company's stock price; therefore, these amounts have been excluded from the diluted earnings per share calculation in all periods presented.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8100" w:firstLine="8"/>
        <w:spacing w:after="0" w:line="453" w:lineRule="auto"/>
        <w:tabs>
          <w:tab w:leader="none" w:pos="2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(As adjusted)*</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9,807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3,288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3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Changes in Accumulated Other Comprehensive Income (Loss) by component between December 31, 2013 and September 30, 2014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4,604</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Amounts reclassified from accumulated other comprehensive income</w:t>
            </w: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5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6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reclassification adjustments out of Accumulated Other Comprehensive Income (Loss) during the three and nine months ended September 30, 2014 were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57"/>
        </w:trPr>
        <w:tc>
          <w:tcPr>
            <w:tcW w:w="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832"/>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2014</w:t>
            </w: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38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3"/>
                <w:szCs w:val="13"/>
                <w:color w:val="auto"/>
              </w:rPr>
            </w:pPr>
          </w:p>
        </w:tc>
        <w:tc>
          <w:tcPr>
            <w:tcW w:w="340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3"/>
                <w:szCs w:val="13"/>
                <w:color w:val="auto"/>
              </w:rPr>
            </w:pPr>
          </w:p>
        </w:tc>
        <w:tc>
          <w:tcPr>
            <w:tcW w:w="3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58"/>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Gains and losses on cash flow hedges</w:t>
            </w:r>
          </w:p>
        </w:tc>
        <w:tc>
          <w:tcPr>
            <w:tcW w:w="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43"/>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tcPr>
          <w:p>
            <w:pPr>
              <w:jc w:val="right"/>
              <w:ind w:right="4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Tax (expense) or benefit</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internally manages and reports the results of its businesses to its chief operating decision maker through five reportable segments. The five reportable segments and a description of their activities are described below:</w:t>
      </w:r>
    </w:p>
    <w:p>
      <w:pPr>
        <w:spacing w:after="0" w:line="224" w:lineRule="exact"/>
        <w:rPr>
          <w:sz w:val="20"/>
          <w:szCs w:val="20"/>
          <w:color w:val="auto"/>
        </w:rPr>
      </w:pPr>
    </w:p>
    <w:p>
      <w:pPr>
        <w:ind w:left="660" w:right="20" w:hanging="328"/>
        <w:spacing w:after="0" w:line="29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U.S. Neurosurgery segment sells a full line of products specifically for neurosurgery and critical care such as tissue ablation equipment, dural repair products, cerebral spinal fluid management devices, intracranial monitoring equipment, and cranial stabilization equipment.</w:t>
      </w: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Instruments business sells more than 60,000 instrument patterns and surgical and lighting products to hospitals, surgery centers, and dental, podiatry, and veterinary offices.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Extremities segment includes the U.S. Extremity reconstruction business, which includes such offerings as skin and wound repair, bone and joint fixation, implants in the upper and lower extremities, bone grafts and nerve and tendon repair.</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Spine and Other segment includes (i) the U.S. Spine business, which focuses on spinal fusion, spinal implants, and deformity correction, together with bone graft substitutes and other related medical devices that are used to enhance the repair and regeneration of bone in various types of orthopedic surgical procedures, and (ii) the Private Label business, which sells the Company’s regenerative medicine and other products to strategic partners.</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International segment sells similar products to those discussed above, but are managed through the following geographies: (i) Europe, Middle East and Africa, and (ii) Central/South America, Asia-Pacific and Canada.</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Corporate and other category includes: (i) various legal, finance, information systems, executive, and human resource functions, (ii) brand management, (iii) share-based compensation costs, and (iv) costs related to procurement, manufacturing operations and logistics for the Company’s entire organization.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nine months ended September 30, 2014 and 2013 are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(As adjusted)*</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Neurosurgery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62,323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45,114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177,265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125,877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121,900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Extremities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31,831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93,802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Spine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134,889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48,782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151,535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138,977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213,246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615,445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Neurosurgery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Instruments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12,416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Extremities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U.S. Spine and Other</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91,566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259,232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167,199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(185,314)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 See Note 1 of these condensed consolidated financial statements for discussion of the impact of the change in accounting for the medical device excise tax.</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Certain 2013 segment revenues and the related impact on segment profit above have been reclassified in order to conform with the current year's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Revenue by major product category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Orthopedics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91,650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92,125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271,958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271,862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92,089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72,639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269,717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204,283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48,482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134,454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139,300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229,719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213,246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676,129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615,445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180,101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166,555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473,740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23,850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21,543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75,026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68,936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78,815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72,769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229,719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213,246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676,129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615,445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6, 2012, the Company was contacted by the United States Attorney's Office for the District of New Jersey regarding the activities of sales representatives in a single region within our Extremities Reconstruction division. The U.S. Attorney's Office was investigating the activities of three sales representatives, one of whom was a supervisor until terminated by the Company for failure to cooperate with this investigation. The activities at issue pertained to alleged improper billing of products for extremities indications. On August 12, 2014, the United States Attorney for the District of New Jersey announced that two former Integra sales representatives, one of whom was a supervisor, entered guilty pleas as a result of the investigation. According to the United States Attorney for the District of New Jersey, these individuals acted without the awareness of the Company. The Company cooperated with the U.S. Attorney’s Office on a voluntary basis throughout the investigation and has reimbursed affected customers. The reimbursements were made in historical periods and were not material. The Company was not a subject or target of the investigation, and believes the investigation to now be concluded.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MicroFrance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27, 2014, the Company completed a stock and asset purchase agreement (the “Purchase Agreement”) with Medtronic, Inc. (“Medtronic”), a Minnesota corporation and Medtronic Xomed Instrumentation, SAS (“MicroFrance”), a French corporation and an indirect wholly-owned subsidiary of Medtronic, for the acquisition by the Company of all of the capital stock of MicroFrance and certain assets of Medtronic and its affiliates related to MicroFrance’s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MicroFrance is engaged in the business of developing, manufacturing, marketing and distributing reusable handheld surgical instrument products, which are specialized for ear, nose and throat and laparoscopic procedures and providing related services.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terms of the Purchase Agreement, the Company paid Medtronic a net purchase price of approximately $60.0 million for the stock and assets acquired subject to a purchase price adjustment for certain working capital changes. The Company also entered into a distribution agreement, an independent sales representative agreement, and a supply agreement with an affiliate of Medtronic at the closing. In addition, the Company entered into a transition services agreement with Medtronic at the closing. The Company has not yet performed the purchase price allocation, and will do so during the fourth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 Authorization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Spine Business Spinoff and Organizational Changes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3, 2014, the Company announced its plan for 2015 to spinoff its spine business, and realign the remaining business into two global reporting segments. The spinoff will create a separate, independent medical technology company focused on developing, marketing and selling spine hardware and orthobiologics. The realignment of the remaining business will result in two globally managed divisions, with one providing Specialty Surgical Solutions and the other Orthopedics and Tissue Technologies. These moves to align the portfolio are part of a broader strategy to transform the business that includes optimization and accelerating growth.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Spinoff of the Spine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proposed plan, the spine business will spinoff from Integra and operate as an independent, publicly held company. The new spine company will have a comprehensive portfolio of spinal hardware solutions, including unique interbody devices, minimally invasive surgery, and deformity, and a top-three orthobiologics offering, including a full range of osteoconductive and osteoinductive solutions utilizing unique demineralized bone, collagen and synthetic matrices.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spinoff transaction is expected to take the form of a tax-free distribution to Integra shareholders of publicly traded stock in the new spine company. The transaction is expected to be completed within twelve months, subject to certain customary and other conditions, including final approval by the Integra Board of Directors, confirmation of the tax-free nature of the transaction, and the effectiveness of a registration statement that will be filed with the Securities and Exchange Commission, including information about the separation, distribution and related matters. While the Company expects any spinoff transaction to close within twelve months, there can be no assurances regarding the ultimate timing of the transaction or that the transaction will be completed.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incur one-time charges related to the transaction during the reporting periods preceding the separation and does not otherwise expect this to impact the Company's financial results in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Alignment of Integra Portfolio: Creating the Specialty Surgical Solutions Division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above announced separation of the Spine business in a separate publicly traded company, in 2015 the Company plans to realign the remaining business into 2 global reporting segments, Specialty Surgical Solutions and Orthopedics and Tissue Technologies. The new Specialty Surgical Solutions organization will integrate globally what today are the Neurosurgery and Instruments businesses within Integra. Robert T. Davis, Jr., CVP, President, Specialty Surgical Solutions, will lead this newly-created division. The new global Specialty Surgical Solutions division will leverage Integra’s market-leading positions in both neurosurgery and instruments and will open up a larger potential market in which this business can achieve its communicated growth trajectory.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Mark Augusti, CVP, President, Orthopedics and Tissue Technologies, will also take on global responsibility for that division. Dan Reuvers, CVP, President, International, will continue to run an International region management structure to prioritize and focus Integra’s investments in International markets.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plans to realign the business have not taken place yet and therefore these proposed changes have not impacted the Company's current segment disclosures. The Company is in the process of determining how this realignment will impact its segment information in 2015.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2013 included in the Company’s Current Report on Form 8-K dated June 16, 2014, which was filed with the Securities and Exchange Commission on June 20, 2014.</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2013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Integra is a world leader in medical technology focused on limiting uncertainty for surgeons so that they can concentrate on providing the best patient 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Integra offers innovative solutions in orthopedic extremity surgery, neurosurgery, spine surgery, and reconstructive and general surgery.</w:t>
      </w:r>
    </w:p>
    <w:p>
      <w:pPr>
        <w:spacing w:after="0" w:line="1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through a combination of product groups and geography, and accordingly, we report our financial results under five reportable segments - U.S. Instruments, U.S. Neurosurgery, U.S. Extremities, U.S. Spine and Other (which consists of our U.S. Spine and Private Label businesses) and International.</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present revenues in the following three product categories: Orthopedics, Neurosurgery and Instruments. Our orthopedics product group includes specialty metal implants for surgery of the extremities, shoulder and spine, orthobiologics products for repair and grafting of bone, dermal regeneration products and tissue-engineered wound dressings and nerve and tendon repair products. Our neurosurgery product group includes, among other things, dural grafts and dural sealants which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 group includes a wide range of specialty and general surgical and dental instruments and surgical lighting for sale to hospitals, outpatient surgery centers, and physician, veterinarian and dental practices.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Puerto Rico, France, Germany, Ireland, the United Kingdom and Mexico. We also source most of our handheld surgical instruments and specialty metal and pyrocarbon implants through specialized third-party vendors.</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we have several sales channels. We sell Orthopedics products through a large direct sales organization and through specialty distributors focused on their respective surgical specialties. Most Neurosurgery products are sold through directly employed sales representatives; products acquired in the Confluent Surgical acquisition were initially sold through distributors, and we transitioned those products to our direct sales force in the third quarter of 2014. Instruments products are sold through two sales channels, both directly and through distributors and wholesalers, depending on the customer call point. We sell in the international markets through a combination of a direct sales organization and distributors.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Confluent Surgical, Inc.</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15, 2014, we acquired all outstanding shares of Confluent Surgical, Inc., ("Confluent Surgical") - including its surgical sealant and adhesion barrier product lines - from Covidien Group S.a.r.l, ("Covidien") for an aggregate purchase price of $255.9 million. The purchase price is comprised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purchase agreement includes a potential maximum undiscounted contingent consideration of $30.0 million which consists of $25.0 million upon obtaining certain U.S. governmental approvals and $5.0 million upon obtaining certain European governmental approvals, both related to the completion of the transition of the Confluent Surgical business.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Treatment for the Medical Device Excise Tax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2014, the Company changed its method of accounting for the medical device excise tax (“MDET”). Prior to the change the Company recorded the MDET in inventory at the time of the first sale in the United States and then recognized the tax in cost of goods sold when the medical device was sold to the ultimate customer. Under the new method, the MDET is recorded in selling, general and administrative expenses in the period the first sale in the United States occurs, which could be an intercompany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this change in accounting principle is preferable as the new method provides a better comparison with the Company's industry peers, the majority of which expense the MDET at the time of the first sale in the United States.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excise tax applies to sales beginning January 1, 2013; therefore, this change affected only 2013 financial results. The cumulative effect of the change in the prior years is included in retained earnings as of December 31, 2013 and the comparative period for the three- and nine-month periods ended September 30, 2013. The financial impact of this change on 2013 has been incorporated into the amounts presented throughout this Form 10-Q and the impact on the three and nine months ended September 30, 2013 is discussed in detail in Note 1 to the condensed consolidated financial statements. For a full reconciliation of the impact on the 2013 historical quarterly financial results, please refer to the investor presentations on the Investor Relations homepage of Integra's website at investor.integralife.com.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29, 2014, the Board of Directors (the "Board") of the Company appointed Glenn G. Coleman as Corporate Vice President of the Company effective as of May 2, 2014. In addition, on April 29, 2014, the Board of the Company appointed Mr. Coleman as Corporate Vice President, Chief Financial Officer and Principal Accounting Officer, which became effective on May 2, 2014. When Mr. Coleman commenced as Chief Financial Officer, John B. Henneman,</w:t>
      </w:r>
    </w:p>
    <w:p>
      <w:pPr>
        <w:jc w:val="both"/>
        <w:ind w:firstLine="8"/>
        <w:spacing w:after="0" w:line="255" w:lineRule="auto"/>
        <w:tabs>
          <w:tab w:leader="none" w:pos="2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ceased to serve as the Company’s Chief Financial Officer; however, Mr. Henneman continued to serve as Corporate Vice President, Chief Administrative Officer, until his retirement in September 2014. Jerry Corbin ceased to serve as the Company’s Principal Accounting Officer effective May 2, 2014, and continued to serve as Corporate Vice President, Corporate Controller until his retirement in August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July 2014, we completed our multicenter clinical trial evaluating the safety and effectiveness of the INTEGRA® Dermal Regeneration Template for the Treatment of Diabetic Foot Ulcers (“the DFU study”), and we are in the process of evaluating all of the data. We are currently preparing submissions in advance of our clinical publication, reimbursement and regulatory strategies. We expect to submit the data from this clinical trial to the Unites States Food and Drug Administration ("FDA") by the end of 2014. In parallel, we will pursue publishing the data in a peer-reviewed journal. An FDA approval, coupled with published data, is the key to securing reimbursement from third-party payors such as the Centers for Medicare and Medicaid Services, and other large private payors. We anticipate commercializing the resulting DFU product mid-2016.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Medtronic’s MicroFrance and Xomed Manual ENT and Laparoscopy Instrumentation Lines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September 30, 2014, on October 27, 2014, the Company completed a stock and asset purchase agreement (the “Purchase Agreement”) with Medtronic, Inc. (“Medtronic”), a Minnesota corporation and Medtronic Xomed Instrumentation, SAS (“Medtronic MicroFrance”), a French corporation and an indirect wholly-owned subsidiary of Medtronic, for the acquisition by the Company of all of the capital stock of Medtronic MicroFrance and certain assets of Medtronic and its affiliates related to Medtronic MicroFrance’s business (collectively the "MicroFrance Acquisition").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Medtronic MicroFrance is engaged in the business of developing, manufacturing, marketing and distributing reusable handheld surgical instrument products, which are specialized for ear, nose and throat ("ENT") and laparoscopic procedures and providing related services.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terms of the Purchase Agreement, the Company paid Medtronic a net purchase price of approximately $60.0 million for the stock and assets acquired subject to a purchase price adjustment for certain working capital changes. The Company also entered into a distribution agreement, an independent sales representative agreement, and a supply agreement with an affiliate of Medtronic at the closing. In addition, the Company entered into a transition services agreement with Medtronic at the closing. The Company has not yet performed the purchase price allocation, and will do so during the fourth quarter.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Spine Business Spinoff and Organizational Changes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September 30, 2014, on November 3, 2014, we announced our plan for 2015 to spinoff our spine business, and realign the remaining business into two global reporting segments. The spinoff will create a separate, independent medical technology company focused on developing, marketing and selling spine hardware and orthobiologics. The realignment of our remaining business will result in two globally managed divisions, with one providing Specialty Surgical Solutions and the other Orthopedics and Tissue Technologies. These moves to align the portfolio are part of a broader strategy to transform the business that includes optimization and accelerating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Spinoff of the Spine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proposed plan, the spine business will spinoff from Integra and operate as an independent, publicly held company. The new spine company will have a comprehensive portfolio of spinal hardware solutions, including unique interbody devices, minimally invasive surgery, and deformity, and a top-three orthobiologics offering, including a full range of osteoconductive and osteoinductive solutions utilizing unique demineralized bone, collagen and synthetic matrices.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spinoff transaction is expected to take the form of a tax-free distribution to Integra shareholders of publicly traded stock in the new spine company. The transaction is expected to be completed within twelve months, subject to certain customary and other conditions, including final approval by the Integra Board of Directors, confirmation of the tax-free nature of the transaction, and the effectiveness of a registration statement that will be filed with the Securities and Exchange Commission, including information about the separation, distribution and related matters. While we expect any spinoff transaction to close within twelve months, there can be no assurances regarding the ultimate timing of the transaction or that the transaction will be completed.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incur one-time charges related to the transaction during the reporting periods preceding the separation and do not otherwise expect this to impact our financial results in 2014.</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Alignment of Integra Portfolio: Creating the Specialty Surgical Solutions Division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above announced separation of the Spine business in a separate publicly traded company, in 2015 we plan to realign the remaining business into 2 global reporting segments, Specialty Surgical Solutions and Orthopedics and Tissue Technologies. The new Specialty Surgical Solutions organization will integrate globally what today are the Neurosurgery and Instruments businesses within Integra. Robert T. Davis, Jr., CVP, President, Specialty Surgical Solutions, will lead this newly-created division. The new global Specialty Surgical Solutions division will leverage Integra’s market-leading positions in both neurosurgery and instruments and will open up a larger potential market in which this business can achieve its communicated growth trajectory.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Mark Augusti, CVP, President, Orthopedics and Tissue Technologies, will also take on global responsibility for that division. Dan Reuvers, CVP, President, International, will continue to run an International region management structure to prioritize and focus Integra’s investments in International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September 30, 2014, was $9.8 million, or $0.30 per diluted share as compared with a loss of $30.3 million or $1.09 per diluted share for the three months ended September 30, 2013.</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nine months ended September 30, 2014 was $16.8 million, or $0.51 per diluted share as compared with net loss of $34.8 million or $1.25 per diluted share for the nine months ended September 30, 2013.</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and nine months ended September 30, 2013 were adversely affected by a voluntary recall of certain collagen-based products manufactured in our Añasco, Puerto Rico facility, and a non-cash goodwill impairment charge of $46.7 million for our U.S. Spine reporting unit recorded in the quarter ended September 30, 2013. This recall resulted in lost revenues, increased sales reserves, inventory scrap, and costs of remediation at the facility which continued throughout 2013. We resolved the issues relating to the recall by the beginning of the first quarter of 2014, and saw improved margins from DuraSeal revenues; however, the costs associated with closing the Confluent Surgical acquisition and the related integration effort impacted our 2014 financial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5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0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7,030</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Certain expenses associated with product recalls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1,444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employee severance charges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Discontinued product lines charges</w:t>
            </w: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46,738</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4,865</w:t>
            </w:r>
          </w:p>
        </w:tc>
      </w:tr>
      <w:tr>
        <w:trPr>
          <w:trHeight w:val="237"/>
        </w:trPr>
        <w:tc>
          <w:tcPr>
            <w:tcW w:w="50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17,650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57,791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51,109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87,664</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58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0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46,738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46,738</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4,865</w:t>
            </w:r>
          </w:p>
        </w:tc>
      </w:tr>
      <w:tr>
        <w:trPr>
          <w:trHeight w:val="237"/>
        </w:trPr>
        <w:tc>
          <w:tcPr>
            <w:tcW w:w="504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17,650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57,791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51,109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87,664</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2014. We placed the ERP in service across a number of U.S. sites in May of 2014, and at that time we began depreciating the capitalized costs associated with that part of the implementation.</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inspected our neurosurgery manufacturing facility in Andover, England in June 2012. On November 5, 2012, we received a warning letter dated November 1, 2012 related to quality systems issues at that facility. The warning letter identified violations related to corrective and preventative actions, process validations, internal quality audits, and internal review of the suitability and effectiveness of the quality system at defined intervals. Since the conclusion of the FDA inspection in June 2012, we have remediated the observations that the FDA has made and continue to make further improvements in the quality system. We have received a letter from the FDA on April 28, 2014 stating that the FDA had accepted the Corrective Action Plan which would be verified at an FDA Inspection.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14, 2013, we received a warning letter from the FDA dated February 13, 2013 relating to quality systems issues at our manufacturing facility located in Añasco, Puerto Rico ("Añasco facility"). The letter resulted from an inspection conducted at that facility during October and November 2012. On February 15, 2013 we stopped distribution of our collagen products manufactured in the Añasco facility in order to confirm that we had successfully validated all such products and engaged a third-party consultant having appropriate quality system regulations expertise to confirm such validations. On February 22, 2013 the third-party consultant certified the completeness of such validations and we resumed distribution of collagen products from the Añasco facility.</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met with the Office of Compliance at the Center for Devices and Radiological Health on March 26, 2013. We presented our plans for both immediate remediation and our corporate plan for the development and implementation of a single Quality System for the entire Company. We have engaged former FDA professionals as third party consultants to work with us on our remediation plans. We also met with the Office of Compliance at the FDA San Juan, Puerto Rico office to discuss the remediation plans at the Añasco facility. We have prioritized senior level quality and regulatory staff to address the quality system improvement plans at all of our facilities.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2013, the FDA began an inspection of the Añasco facility. At the end of the inspection on November 26, 2013, the FDA issued a new Form 483 with six additional observations relating to Corrective and Preventative Action (“CAPA”), quality system procedures and instructions, procedures pertaining to complaints, procedures pertaining to checking and maintaining equipment, procedures for finished device acceptance and procedures to prevent contamination of equipment or products. These observations did not impact our ability to manufacture and sell product. On March 4, 2014 we met with the FDA Office of Compliance, San Juan, Puerto Rico District to discuss the Corrective Action and remediation plan at the Añasco facility. We committed to several corporate-wide corrections and additional site corrections at that meeting.</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4, 2014, the FDA began a re-inspection of the Añasco facility. This re-inspection focused primarily on the issues raised in the February 2013 Warning Letter and in previous inspections of the Añasco facility relating to quality systems and compliance issues. The inspection was completed on September 30, 2014, and the FDA found that the Company had addressed the issues raised in the warning letter and previous inspectional observations, and it issued no other inspectional observations. In reaching this conclusion, the FDA determined that the Company’s remediation activities were effective and its quality management system was adequate.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the past several years we have undertaken significant efforts to remediate the observations that the FDA has made and have been working on improving and revising our quality systems. Our remediation activity expenses during the three and nine months ended September 30, 2014 were $0.5 million and $0.9 million, respectively, and during the three and nine months ended September 30, 2013, were $2.8 million and $7.8 million, respectively. These costs consist of consulting expenses and other work activities required to complete our remediation activities, and we expect to incur similar types of expenses during the remainder of 2014, albeit at lower spending levels compared to 2013. We will provide periodic status reports to the FDA and work cooperatively with the agency to resolve any outstanding issues.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49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r>
      <w:tr>
        <w:trPr>
          <w:trHeight w:val="251"/>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Neurosurgery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45,114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177,265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125,877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Instruments</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43,004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116,078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121,900</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Extremities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36,746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31,831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103,083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93,802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U.S. Spine and Other</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47,408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128,168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134,889</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48,782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45,889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151,535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138,977</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229,719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213,246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676,129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615,445</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81,767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255,333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243,208</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143,745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131,479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420,796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372,237</w:t>
            </w:r>
          </w:p>
        </w:tc>
      </w:tr>
      <w:tr>
        <w:trPr>
          <w:trHeight w:val="67"/>
        </w:trPr>
        <w:tc>
          <w:tcPr>
            <w:tcW w:w="49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24"/>
        </w:trPr>
        <w:tc>
          <w:tcPr>
            <w:tcW w:w="49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4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180" w:hanging="172"/>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attributes revenue to geographic areas based on the location of the customer. There are certain revenues managed by the various U.S. segments above that are generated from non-U.S. customers and therefore included in Europe and Rest of World revenues disclosed in the "Geographic Product Revenues and Operations" section of this document.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Certain 2013 segment revenues above have been reclassified in order to conform with the current year's presentation.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as Compared to Three Months Ended September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2014 total revenues increased by $16.5 million to $229.7 million from $213.2 million for the same period in 2013.</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Neurosurgery revenues were $62.3 million, an increase of 38% from the prior-year period. The increase largely resulted from the impact of the DuraSeal product sales arising out of the Confluent Surgical acquisition, which added $13.9 million in the quarter. We also saw increases from neuro critical care and tissue ablation product lines, which benefited from strong sales of capital equipment in the quarter.</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Instruments revenues were $39.9 million, a decrease of 7% from the prior-year period. The decrease impacted all instrument franchises as hospital spending is still cautious, and as hospitals are beginning to focus more on repairing old instruments versus replacing them. The decrease also resulted from product discontinuances.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$36.7 million, an increase of 15% from the prior-year period. This increase resulted primarily from dermal and wound care franchise, as a result of adding new salespeople and the launch of the Integra Wound Matrix-Thin product, and from our shoulder business as a result of the launch of new shoulder lines and adding new distributors.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$42.0 million, a 11% decrease from the prior-year period. Our private label business was a large driver of the decrease because the comparable quarter last year was unusually high as we increased capacity once the backorder from the 2013 recall subsided. Our overall spine business was down 3%, resulting from fewer overall spine procedures partially offset by smaller increases in orthobiologics revenues.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segment revenues were $48.8 million, an increase of 6% from the prior-year period, spread evenly across both the EMEA and LAPAC divisions. This increase primarily resulted from the incremental impact of DuraSeal product sales, and increased skin and would sales. Foreign currency also reduced our sales by $0.1 million when compared to the same quarter last year. These contributions to increasing sales were largely offset by weak spine sales and product discontinuances.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margin increased to $143.7 million for the three-month period ended September 30, 2014 from $131.5 million for the same period last year. Gross margin as a percentage of total revenue increased to 62.6% for the third quarter of 2014 from 61.7% for the same period last year. The increase in gross margin percentage resulted primarily from an increase in sales of higher margin products such as DuraSeal, skin and wound products, and Duragen products which were subject to the recall in 2013, and improved manufacturing capacity utilization for our regenerative products. We also saw decreased remediation costs at our manufacturing facilities because throughout 2013 we invested in improvements to quality systems across our organization as a result of prior FDA findings. In 2014, we are seeing our spending return to a more normal level since those initial remediation efforts are largely complete. Finally, we also saw gross margin improvement from product recall expenses in 2013 that did not recur in the current period.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consolidated gross margin percentage for the full year 2014 to be approximately 62%, up compared to 2013. We expect our gross margin will see increases from improved product mix - with more sales in the skin, wound and DuraSeal lines - and improvements in yield as we resolve FDA inspection issues.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gridSpan w:val="2"/>
          </w:tcPr>
          <w:p>
            <w:pPr>
              <w:ind w:left="884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decreased $36.6 million, or 23%, to $126.0 million in the three months ended September 30, 2014, compared to $162.6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third quarter of 2014 increased $0.1 million compared to the same period last year. These increases resulted from higher product development spending in extremities and neurosurgery, partially offset by headcount reductions earlier in the year. We expect full-year 2014 spending on research and development to be approximately 6% of total revenues.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in the third quarter of 2014 increased by $10.1 million to $109.9 million compared to $99.8 million in the same period last year. Selling and marketing expenses increased by $3.1 million, primarily resulting from higher commissions and distributor fees related to the DuraSeal sales, increased headcount and overall sales increases in general. General and administrative costs increased $7.0 million as a result of integration costs for DuraSeal, additional depreciation as we implemented our ERP system in certain locations during May, and higher severance costs. We expect full year selling, general and administrative expenses to be approximately 47% to 49% of revenues. Going forward we expect to incur incremental depreciation expense of approximately $6.0 million per year over the life of our ERP system.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third quarter of 2014 was flat compared to the same period last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for the third quarter of 2013 included a goodwill impairment charge of $46.7 million. The goodwill impairment charge was related to our U.S. Spine reporting unit.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Three Months Ended September 30,</w:t>
            </w:r>
          </w:p>
        </w:tc>
        <w:tc>
          <w:tcPr>
            <w:tcW w:w="6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20" w:type="dxa"/>
            <w:vAlign w:val="bottom"/>
            <w:gridSpan w:val="2"/>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c>
          <w:tcPr>
            <w:tcW w:w="120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(5,916)</w:t>
            </w:r>
          </w:p>
        </w:tc>
        <w:tc>
          <w:tcPr>
            <w:tcW w:w="1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(5,316)</w:t>
            </w:r>
          </w:p>
        </w:tc>
      </w:tr>
      <w:tr>
        <w:trPr>
          <w:trHeight w:val="27"/>
        </w:trPr>
        <w:tc>
          <w:tcPr>
            <w:tcW w:w="7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w:t>
            </w: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7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 the three months ended September 30, 2014 increased by $0.6 million primarily because we have increased borrowings on our Senior Credit facility compared to the prior year. Additionally, we placed our ERP system in service in various U.S. locations during May 2014 and therefore no longer capitalize interest related to that portion of the project. Finally, we immediately expensed $0.3 million of previously capitalized financing costs in connection with the refinancing of our Senior Credit Facility in July 2014. Our reported interest expense for the three-month periods ended September 30, 2014 and 2013 includes non-cash interest related to the accounting for convertible securities of $1.8 million and $1.6 million,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September 30, 2014, and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for both the third quarter of 2014 and 2013 was primarily attributable to the foreign exchange impact on intercompany balances.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728"/>
              <w:spacing w:after="0"/>
              <w:rPr>
                <w:sz w:val="20"/>
                <w:szCs w:val="20"/>
                <w:color w:val="auto"/>
              </w:rPr>
            </w:pPr>
            <w:r>
              <w:rPr>
                <w:rFonts w:ascii="Arial" w:cs="Arial" w:eastAsia="Arial" w:hAnsi="Arial"/>
                <w:sz w:val="14"/>
                <w:szCs w:val="14"/>
                <w:b w:val="1"/>
                <w:bCs w:val="1"/>
                <w:color w:val="auto"/>
                <w:w w:val="93"/>
              </w:rPr>
              <w:t>Three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4060" w:type="dxa"/>
            <w:vAlign w:val="bottom"/>
          </w:tcPr>
          <w:p>
            <w:pPr>
              <w:spacing w:after="0"/>
              <w:rPr>
                <w:sz w:val="22"/>
                <w:szCs w:val="22"/>
                <w:color w:val="auto"/>
              </w:rPr>
            </w:pPr>
          </w:p>
        </w:tc>
        <w:tc>
          <w:tcPr>
            <w:tcW w:w="4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22"/>
                <w:szCs w:val="22"/>
                <w:color w:val="auto"/>
              </w:rPr>
            </w:pPr>
          </w:p>
        </w:tc>
      </w:tr>
      <w:tr>
        <w:trPr>
          <w:trHeight w:val="196"/>
        </w:trPr>
        <w:tc>
          <w:tcPr>
            <w:tcW w:w="40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Borders>
              <w:top w:val="single" w:sz="8" w:color="auto"/>
            </w:tcBorders>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5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11,543</w:t>
            </w:r>
          </w:p>
        </w:tc>
        <w:tc>
          <w:tcPr>
            <w:tcW w:w="11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(36,682)</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1,736</w:t>
            </w:r>
          </w:p>
        </w:tc>
        <w:tc>
          <w:tcPr>
            <w:tcW w:w="1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(6,352)</w:t>
            </w:r>
          </w:p>
        </w:tc>
      </w:tr>
      <w:tr>
        <w:trPr>
          <w:trHeight w:val="27"/>
        </w:trPr>
        <w:tc>
          <w:tcPr>
            <w:tcW w:w="4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675"/>
        </w:trPr>
        <w:tc>
          <w:tcPr>
            <w:tcW w:w="4060" w:type="dxa"/>
            <w:vAlign w:val="bottom"/>
          </w:tcPr>
          <w:p>
            <w:pPr>
              <w:spacing w:after="0"/>
              <w:rPr>
                <w:sz w:val="24"/>
                <w:szCs w:val="24"/>
                <w:color w:val="auto"/>
              </w:rPr>
            </w:pPr>
          </w:p>
        </w:tc>
        <w:tc>
          <w:tcPr>
            <w:tcW w:w="3400" w:type="dxa"/>
            <w:vAlign w:val="bottom"/>
          </w:tcPr>
          <w:p>
            <w:pPr>
              <w:jc w:val="right"/>
              <w:ind w:right="1576"/>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effective income tax rates for the three months ended September 30, 2014 and 2013 were 15.0% and 17.3%, respectively. The primary drivers of the overall tax rate for the three months ended September 30, 2014 were a tax benefit of $1.6 million that was recognized for the release of uncertain tax positions due to the expiration of statute of limitations, partially offset by an expense of $0.5 million relating to a state income tax audit settlement and an expense of $0.3 million relating to foreign returns filed during the quarter. The primary drivers of the overall tax rate for the three months ended September 30, 2013 were the goodwill impairment charge that was partially deductible for tax purposes, partially offset by a benefit of $2.3 million for the release of uncertain tax positions and related interest due to the expiration of the statute of limitations.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expects its effective income tax rate for the full year to be approximately 23% to 24%, resulting largely from the release of uncertain tax positions, domestic and foreign audit settlements, as well as the jurisdictional mix of pretax income in U.S.-based operations relative to foreign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deferred tax assets on a quarterly basis.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as Compared to Nine Months Ended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2014, total revenues increased by $60.7 million to $676.1 million from $615.4 million during the prior-year period.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Neurosurgery revenues were $177.3 million, an increase of 41%. The increase largely resulted from the impact of the DuraSeal product sales arising out of the Confluent Surgical acquisition which added $38.2 million in the period. We also saw increases from our dural repair franchise, which was up against a soft comparable as a result of the recall in 2013, and neuro critical care and tissue ablation, both of which benefited from strong sales of capital equipment in the period.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Instruments revenues were $116.1 million, a decrease of 5% from the prior year. The decrease resulted primarily from lower sales in our acute-care and alternate-site businesses and product discontinuances. Increases in our lighting product line partially offset this decline.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Extremities revenues were $103.1 million, an increase of 10% from the prior year. This increase resulted primarily from dermal and wound care products, and from our shoulder business as a result of the launch of new shoulder lines in the latter half of 2013 and increases in distributors. We also saw some softness in our lower extremity franchise during the period.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Spine and Other revenues, which include our spine hardware, orthobiologics and private label products, were $128.2 million, a decrease of 5% from the prior year. Our overall spine business was down approximately 3% as decreases in spine hardware revenues were partially offset by increases in orthobiologics, especially demineralized bone products. Sales of our private label products were down from the prior-year period because we lost some business due to the recall issues in 2013.</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segment revenues were $151.5 million, an increase of 9% from prior year. These increases primarily resulted from the incremental impact of DuraSeal product sales, skin and wound, and strong neuro capital equipment sales. Foreign currency also increased our sales in the period by $0.7 million primarily due to a stronger euro. These contributions to increasing sales were partially offset by weak orthopedic and spine sales.</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margin increased to $420.8 million for the nine months ended September 30, 2014 from $372.2 million for the same period last year. Gross margin as a percentage of total revenue increased to 62.2% for the year to date period from 60.5% for the same period last year. The increase in gross margin percentage resulted primarily from increased sales of higher margin products such as DuraSeal, skin and wound products, and Duragen products that were subject to the recall in 2013. Our 2014 gross margin also saw improvement from product recall expenses in 2013 that did not recur. Additionally, we had lower remediation costs at our manufacturing facilities because throughout 2013, we invested in improvements to quality systems across our organization as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result of prior FDA findings. In 2014, we are seeing our spending return to a more normal level since those initial remediation efforts are largely complete.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5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23495</wp:posOffset>
            </wp:positionV>
            <wp:extent cx="2435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ind w:left="8280"/>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ind w:right="693"/>
              <w:spacing w:after="0"/>
              <w:rPr>
                <w:sz w:val="20"/>
                <w:szCs w:val="20"/>
                <w:color w:val="auto"/>
              </w:rPr>
            </w:pPr>
            <w:r>
              <w:rPr>
                <w:rFonts w:ascii="Arial" w:cs="Arial" w:eastAsia="Arial" w:hAnsi="Arial"/>
                <w:sz w:val="14"/>
                <w:szCs w:val="14"/>
                <w:b w:val="1"/>
                <w:bCs w:val="1"/>
                <w:color w:val="auto"/>
              </w:rPr>
              <w:t>2013</w:t>
            </w:r>
          </w:p>
        </w:tc>
      </w:tr>
      <w:tr>
        <w:trPr>
          <w:trHeight w:val="250"/>
        </w:trPr>
        <w:tc>
          <w:tcPr>
            <w:tcW w:w="7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7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Goodwill impairment charge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4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decreased $18.1 million, or 5%, to $381.9 million in the first nine months of 2014, compared to $400.0 million in the same period last year.</w:t>
      </w:r>
    </w:p>
    <w:p>
      <w:pPr>
        <w:spacing w:after="0" w:line="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Research and development expenses in the first nine months of 2014 increased $1.9 million compared to the same period last year primarily resulting from higher product development spending in extremities and neurosurgery. These increases were partially offset by lower expenses earlier in the year due to headcount reductions, and lower overall project costs in other areas.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expenses in the first nine months of 2014 increased by $27.5 million to $333.5 million compared to $306.0 million in the same period last year. Selling and marketing expenses increased by $9.3 million primarily resulting from higher headcount, the impact of DuraSeal, and U.S. Extremities' commission costs which were higher as a result of increases in revenue. General and administrative costs were up $18.2 million primarily because of higher headcount, additional depreciation as we implemented our ERP system in certain locations during May, consulting costs to support various strategic projects, and higher severance costs. These general and administrative increases were partially offset by $1.2 million to reflect a decrease in the fair value of the contingent consideration liability because during the second quarter of 2014 management concluded that the sales threshold for a contingent consideration payment from a prior acquisition was no longer probable of being achieved. We expect full year selling, general and administrative expenses to be approximately 47% to 49%. Going forward we expect to incur incremental depreciation expense of approximately $6.0 million per year over the life of our ERP system.</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in the first nine months of 2014 decreased by $0.6 million to $9.0 million, compared to $9.7 million in the same period last year. The decrease primarily resulted from certain intangible assets becoming fully amortized in the first quarter of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for the third quarter of 2013 included a goodwill impairment charge of $46.7 million. The goodwill impairment charge was related to our U.S. Spine reporting unit.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(16,440)</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(15,081)</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142</w:t>
            </w: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7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nine months ended September 30, 2014 increased by $1.4 million primarily because we increased borrowings on our Senior Credit facility compared to the prior year, and we placed our ERP system in service in various U.S. locations during May 2014; therefore, we no longer capitalize interest related to that portion of the project. Also, in July 2014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expensed $0.3 million of previously capitalized deferred financing costs in connection with the refinancing of our Senior Credit Facility. Furthermore, the amount of our 2016 Notes discount amortization increased by $0.3 million as expected when using the effective interest method for its amortization in the nine-month period ended September 30, 2013. Our reported interest expense for the nine-month periods ended September 30, 2014 and 2013 includes non-cash interest related to the accounting for convertible securities of $5.3 million and $4.9 million, respectively.</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nine months ended September 30, 2014 and 2013 decreased because the Company no longer holds any short-term investments in time deposit accounts outside the United States as it did for a portion of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of $0.1 million in 2014 was primarily attributable to foreign exchange gains on intercompany balances. Other expenses of $1.5 million in 2013 were primarily related to a write off of $1.5 million for a capital expenditure project not placed into service and by foreign exchange losses on intercompany balances.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100" w:type="dxa"/>
            <w:vAlign w:val="bottom"/>
            <w:tcBorders>
              <w:bottom w:val="single" w:sz="8" w:color="auto"/>
            </w:tcBorders>
            <w:gridSpan w:val="3"/>
          </w:tcPr>
          <w:p>
            <w:pPr>
              <w:jc w:val="center"/>
              <w:ind w:left="722"/>
              <w:spacing w:after="0"/>
              <w:rPr>
                <w:sz w:val="20"/>
                <w:szCs w:val="20"/>
                <w:color w:val="auto"/>
              </w:rPr>
            </w:pPr>
            <w:r>
              <w:rPr>
                <w:rFonts w:ascii="Arial" w:cs="Arial" w:eastAsia="Arial" w:hAnsi="Arial"/>
                <w:sz w:val="14"/>
                <w:szCs w:val="14"/>
                <w:b w:val="1"/>
                <w:bCs w:val="1"/>
                <w:color w:val="auto"/>
                <w:w w:val="92"/>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74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tcPr>
          <w:p>
            <w:pPr>
              <w:spacing w:after="0"/>
              <w:rPr>
                <w:sz w:val="22"/>
                <w:szCs w:val="22"/>
                <w:color w:val="auto"/>
              </w:rPr>
            </w:pPr>
          </w:p>
        </w:tc>
      </w:tr>
      <w:tr>
        <w:trPr>
          <w:trHeight w:val="196"/>
        </w:trPr>
        <w:tc>
          <w:tcPr>
            <w:tcW w:w="7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22,704</w:t>
            </w:r>
          </w:p>
        </w:tc>
        <w:tc>
          <w:tcPr>
            <w:tcW w:w="11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(44,010)</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140" w:type="dxa"/>
            <w:vAlign w:val="bottom"/>
          </w:tcPr>
          <w:p>
            <w:pPr>
              <w:spacing w:after="0"/>
              <w:rPr>
                <w:sz w:val="21"/>
                <w:szCs w:val="21"/>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5,866</w:t>
            </w:r>
          </w:p>
        </w:tc>
        <w:tc>
          <w:tcPr>
            <w:tcW w:w="1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(9,172)</w:t>
            </w:r>
          </w:p>
        </w:tc>
      </w:tr>
      <w:tr>
        <w:trPr>
          <w:trHeight w:val="27"/>
        </w:trPr>
        <w:tc>
          <w:tcPr>
            <w:tcW w:w="7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7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effective income tax rates for the nine months ended September 30, 2014 and 2013 were 25.8% and 20.8%, respectively. The primary drivers of the income tax rate for the nine months ended September 30, 2014 were an expense of $1.2 million relating to state income tax audit settlements, an expense of $0.4 million for a foreign income tax audit settlement, and an expense of $0.3 million from a change in state filing positions; offset by a benefit of $2.0 million for the release of uncertain tax positions and related interest due to the expiration of statute of limitations. The primary drivers of the income tax rate for the nine months ended September 30, 2013 were a benefit of $3.5 million for the release of uncertain tax positions, a benefit of $0.5 million relating to the granting of Irish research credits for 2011 and 2012, and a benefit of $0.9 million due to the extension of the Federal research credit, enacted through the American Taxpayer Relief Act. These benefits in 2013 were recorded against a book loss, relating primarily to goodwill impairment; accordingly, they had the effect of increasing the effective tax rate in that period.</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expects its effective income tax rate for the full year to be approximately 23% to 24%, resulting largely from the release of uncertain tax positions, domestic and foreign audit settlements, as well as the jurisdictional mix of pretax income in U.S.-based operations relative to foreign operations.</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attribute revenues to geographic areas based on the location of the customer. There are certain revenues managed by the various U.S. segments that are generated from non-U.S. customers and therefore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180,101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166,555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522,288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473,740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23,850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75,026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68,936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25,768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78,815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72,769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229,719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213,246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676,129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615,445</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Domestic revenues increased to $180.1 million, or 78% of total revenues, for the three months ended September 30, 2014 from $166.6 million, or 78% of total revenues, for the three months ended September 30, 2013. International revenues increased to $49.6 million from $46.7 million in the prior-year period, an increase of 6%. Changes in foreign exchange rates decreased our sales by $0.1 million compared to the three months ended September 30, 2013.</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increased to $522.3 million, or 77% of total revenues, for the nine months ended September 30, 2014 from $473.7 million, or 77% of total revenues, for the nine months ended September 30, 2013. International revenues increased to $153.8 million from $141.7 million in the prior-year period, an increase of 9%. Changes in foreign exchange rates increased our sales by $0.7 million compared to the nine months ended September 30, 2013, primarily due to a stronger euro.</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cash and cash equivalents totaling approximately $140.2 million and $120.6 million at September 30, 2014 and December 31, 2013, respectively, which are valued based on Level 1 measurements in the fair value hierarchy. At September 30, 2014, our non-U.S. subsidiaries held approximately $105.8 million of cash and cash equivalents that are available for use by our operations outside of the United States; however, subsequent to September 30, 2014, on October 27, 2014, the Company funded the purchase price for the MicroFrance Acquisition with funds held outside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4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58,706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41,572</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(264,466)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(40,169)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231,044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3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19,617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714"/>
              <w:spacing w:after="0"/>
              <w:rPr>
                <w:sz w:val="20"/>
                <w:szCs w:val="20"/>
                <w:color w:val="auto"/>
              </w:rPr>
            </w:pPr>
            <w:r>
              <w:rPr>
                <w:rFonts w:ascii="Arial" w:cs="Arial" w:eastAsia="Arial" w:hAnsi="Arial"/>
                <w:sz w:val="18"/>
                <w:szCs w:val="18"/>
                <w:color w:val="auto"/>
              </w:rPr>
              <w:t>36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we anticipate that our principal uses of cash will include between $40.0 million and $45.0 million on capital expenditures primarily for our continued expansion of regenerative medicine manufacturing capacity, support and maintenance in our existing plants, our enterprise resource planning system implementation, and additions to our instrument kits used in sales of orthopedic products. Additionally, we will continue to build inventories in preparation for our facilities consolidations expected to occur at the end of 2014.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$58.7 million and $41.6 million for the nine months ended September 30, 2014 and 2013,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for the nine months ended September 30, 2014 benefited from an increase in net income of $51.7 million compared to the same period in 2013. Changes in working capital decreased cash flows for the nine months ended September 30, 2014 by approximately $14.0 million. Among the changes in working capital, accounts receivable used $3.8 million of cash, inventory used $26.6 million of cash, prepaid expenses and other current assets provided $6.6 million of cash, and accounts payable, accrued expenses and other current liabilities provided $8.8 million of cash.</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nine months ended September 30, 2013 was negatively impacted by the net loss for the period. Changes in working capital decreased cash flows by approximately $12.8 million. Among the changes in working capital, accounts receivable provided $1.4 million of cash, inventory used $28.8 million of cash, prepaid expenses and other current assets used $0.7 million of cash, and accounts payable, accrued expenses and other current liabilities provided $14.2 million of cash.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4"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During the nine months ended September 30, 2014, we paid $235.0 million for the acquisition of Confluent Surgical, $29.5 million for capital expenditures, most of which was directed to the expansion of our regenerative medicine production capacity and global enterprise system implementation.</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2013, we paid $37.7 million for capital expenditures, most of which was directed to the expansion of our regenerative medicine production capacity and global enterprise system implementation, and $3.0 million for the acquisition of Tarsus Medical,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principal sources of cash for financing activities in the nine months ended September 30, 2014 were $225.0 million of net borrowings under our Senior Credit Facility primarily to fund the Confluent Surgical acquisition. We also borrowed $150.0 million under the term loan portion of our Senior Credit Facility in connection with our July 2014 refinancing, but that had no net impact on our cash position as it was used to repay a portion of our revolving line of credit balance. Additionally, we incurred debt issuance costs of $3.1 million and received proceeds from stock option exercises of $8.3 million.</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cash for financing activities in the nine months ended September 30, 2013 were $30.0 million of borrowings under our senior credit facility, and our primary uses of cash for financing activities were $1.1 million in debt issuance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2014 and December 31, 2013, working capital was $432.5 million and $401.8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5 -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 We repurchased no shares under this program during the first nine months of 2014 and $75.0 million remains available under the authorization.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September 30, 2014, 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were obligated to pay the following amounts under various agreements: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Payments Due by Calendar Year</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Remaining 2014</w:t>
            </w:r>
          </w:p>
        </w:tc>
        <w:tc>
          <w:tcPr>
            <w:tcW w:w="14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2017-2018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3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261.9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(3)</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753.9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403.1</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40" w:right="40" w:hanging="293"/>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5 "Debt"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317"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may borrow and make payments against the revolver portion of its Senior Credit Facility from time to time and considers all of the outstanding amounts to be long term based on its current intent and ability to repay the borrowing outside of the next twelve-month period.</w:t>
      </w:r>
    </w:p>
    <w:p>
      <w:pPr>
        <w:ind w:left="840" w:right="40" w:hanging="293"/>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contingent consideration obligations related to prior acquisitions from the contractual obligations table above; these liabilities had a fair value of $21.2 million at September 30, 2014.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$1.5 million at September 30, 2014.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critical accounting estimates included in Company’s Current Report on Form 8-K dated June 16, 2014, which was filed with the Securities and Exchange Commission on June 20, 2014, for the fiscal year ended December 31, 2013, have not materially changed, except as noted below.</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Goodwill and Other Intangible Assets</w:t>
      </w:r>
      <w:r>
        <w:rPr>
          <w:rFonts w:ascii="Arial" w:cs="Arial" w:eastAsia="Arial" w:hAnsi="Arial"/>
          <w:sz w:val="18"/>
          <w:szCs w:val="18"/>
          <w:color w:val="auto"/>
        </w:rPr>
        <w:t xml:space="preserve"> to the current period’s condensed consolidated financial statements for a discussion of the annual goodwill impairment testing that we performed as of July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w:t>
      </w:r>
      <w:r>
        <w:rPr>
          <w:rFonts w:ascii="Arial" w:cs="Arial" w:eastAsia="Arial" w:hAnsi="Arial"/>
          <w:sz w:val="18"/>
          <w:szCs w:val="18"/>
          <w:i w:val="1"/>
          <w:iCs w:val="1"/>
          <w:color w:val="auto"/>
        </w:rPr>
        <w:t>Note 1 - Basis of Presentation</w:t>
      </w:r>
      <w:r>
        <w:rPr>
          <w:rFonts w:ascii="Arial" w:cs="Arial" w:eastAsia="Arial" w:hAnsi="Arial"/>
          <w:sz w:val="18"/>
          <w:szCs w:val="18"/>
          <w:color w:val="auto"/>
        </w:rPr>
        <w:t xml:space="preserve"> to the current period’s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2014 would increase interest income by approximately $1.4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14 basis points. We are subject to foreign currency exchange risk with respect to cash balances maintained in foreign currencies.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$101.3 million outstanding as of September 30, 2014. We recognized $0.4 million of additional interest expense related to this derivative during the three months ended September 30, 2014. The fair value of our interest rate derivative instrument was a net liability of $1.3 million at September 30, 2014.</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September 30, 2014, a one-percentage point change in interest rates would have impacted interest expense on the unhedged portion of the debt by $3.1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2014. Based upon this evaluation, our principal executive officer and principal financial officer concluded that our disclosure controls and procedures were effective as of September 30, 2014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in the quarter ended June 30, 2014,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September 30,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6, 2012, the Company was contacted by the United States Attorney's Office for the District of New Jersey regarding the activities of sales representatives in a single region within our Extremities Reconstruction division. The U.S. Attorney's Office was investigating the activities of three sales representatives, one of whom was a supervisor until terminated by the Company for failure to cooperate with this investigation. The activities at issue pertain to alleged improper billing of products for extremities indications. On August 12, 2014, the United States Attorney for the District of New Jersey announced that two former Integra sales representatives, one of whom was a supervisor, entered guilty pleas as a result of the investigation. According to the United States Attorney for the District of New Jersey, these individuals acted without the awareness of the Company. The Company cooperated with the U.S. Attorney’s Office on a voluntary basis throughout the investigation and has reimbursed affected customers. The reimbursements were made in historical periods and were not material. The Company was not a subject or target of the investigation, and believes the investigation to now be concluded.</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manufactures and sells certain extremities products internationally pursuant to a license agreement that the licensor had indicated it would terminate effective October 20, 2014 after the parties were unable to resolve disagreements under the license agreement. Revenues for products sold under that license agreement approximated $5.5 million in 2013. On October 17, 2014, the parties resolved their disagreements and extended the Company’s right to manufacture and sell these products through December 31,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2013, as modified by the subsequent Quarterly Report on Form 10-Q for the period ended June 30, 2014, have not materially changed except as noted below.</w:t>
      </w:r>
    </w:p>
    <w:p>
      <w:pPr>
        <w:spacing w:after="0" w:line="3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Our plan to separate our Spine business into a separate, independent medical technology company is subject to various risks and uncertainties and may not be completed in accordance with the expected plans or anticipated timeline, or at all.</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3, 2014, we announced a plan to separate our Spine business into a separate, independent public company. The separation, which is expected to be completed within 12 months, is subject to board approval of the final terms of the separation and certain other customary conditions, including confirmation of the tax-free nature of the transaction, and the effectiveness of a registration statement that will be filed with the SEC.</w:t>
      </w:r>
    </w:p>
    <w:p>
      <w:pPr>
        <w:spacing w:after="0" w:line="20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Unanticipated developments, including both the Spine and legacy businesses’ ability to respond to the changes in its end markets that could affect demand for those companies’ products, changes in business relationships with customers or their purchases from each company, possible delays in obtaining necessary tax opinions, regulatory approvals or clearances, uncertainty of the financial markets and executing the separation, could delay or prevent the completion of the proposed separation, or cause the proposed separation to occur on terms or conditions that are different or less favorable than expected. We expect that the process of completing the proposed separation will be time-consuming and involve significant costs and expenses, which may be significantly higher than what we currently anticipate and may not yield a discernible benefit if the separation is not completed. Executing the proposed separation will require significant time and attention from our senior management and key employees, which could distract them from operating our business, disrupt operations and result in the loss of business opportunities, which could adversely affect our business, financial results and results of operations. We may also experience increased difficulties in attracting, retaining and motivating key employees during the pendency of the separation and following its completion, which could harm our businesses.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separation of the Spine business may not achieve some or all of the anticipated benefits.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the proposed separation of the Spine business is completed, we may not realize any or all of the anticipated strategic, financial, operational, marketing or other benefits from the spin-off, including each company’s ability to benefit from the new focus or to achieve anticipated growth rates, margins and scale and to execute on its strategy generally. As separate, independent, publicly traded companies, each of the two companies will be smaller with a narrower business focus and may be more vulnerable to changing market conditions, which could materially and adversely affect their respective business, financial condition and results of operations. Further, there can be no assurance that the combined value of the common stock of the two publicly-traded companies will be equal to or greater than what the value of our common stock would have been had the proposed separation not occurred.</w:t>
      </w:r>
    </w:p>
    <w:p>
      <w:pPr>
        <w:spacing w:after="0" w:line="20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materially adversely affect our financial condition and business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The process of obtaining marketing approval or clearance from the FDA and comparable foreign regulatory agencies for new products, or for enhancements or modifications to existing products, could:</w:t>
      </w:r>
    </w:p>
    <w:p>
      <w:pPr>
        <w:spacing w:after="0" w:line="1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Both before and after a product is commercially released, we have ongoing responsibilities under FDA regulations. For example, we are required to comply with the FDA's Quality System Regulation (QSR),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14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20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outstanding FDA warning letters related to our Andover, England and Añasco, Puerto Rico facilities. We have incurred, and will incur, expenses to remediate issues identified in those warning letters and other observations issued in connection with other inspections at other facilities, and to prepare our manufacturing facilities for anticipated FDA inspections. The FDA has notified us that it will not grant requests for exportation certificates to foreign governments for our Añasco, Puerto Rico facility (the “Añasco Facility”) until the violations identified in the warning letter have been corrected. If such remediation cannot be completed in a timely manner, we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 On September 30, 2014, the FDA completed an inspection of the Añasco Facility. The Añasco Facility is operating subject to an FDA warning letter dated February 13, 2013 (the “Warning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Letter”) that relates to quality systems and compliance issues. The inspection began on September 4, 2014 and focused primarily on the issues raised in the Warning Letter and in previous inspections of the Añasco Facility. At the conclusion of the inspection, the FDA found that the Company had addressed the issues raised in the Warning Letter and previous inspectional observations, and it issued no other inspectional observations. In reaching this conclusion, the FDA determined that the Company’s remediation activities were effective and its quality management system was adequate.</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also new requirements regarding FDA Establishment Registration and Listing of Medical Devices. All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 new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 device itself. This regulation will require significant resources and expense to comply with the regulation.</w:t>
      </w:r>
    </w:p>
    <w:p>
      <w:pPr>
        <w:spacing w:after="0" w:line="1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(the “AATB”). The AATB has issued operating standards for tissue banking. Compliance with these standards is a requirement in order to become a licensed tissue bank. Finally, the FDA issued new regulations regarding “Current Good Manufacturing Practice Requirements for Combination Products” on January 22, 2013. These new regulations apply to some of our product lines that have been designated by the FDA as Combination Products. There will be additional costs associated with compliance with these new Good Manufacturing Practice Requirements regulations for Combination Products.</w:t>
      </w:r>
    </w:p>
    <w:p>
      <w:pPr>
        <w:spacing w:after="0" w:line="12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were implemented in some markets starting in July 2012 and have continued to be adopted over the following years worldwide. If we cannot comply with these standards, we may not be able to sell some of our products in the affected markets. Most of our affected products have already been modified to meet the new standards and are substantially in compliance with these standards. Except in limited circumstances, we do not anticipate any delays in selling our products in the markets that have adopted the IEC updated standards.</w:t>
      </w:r>
    </w:p>
    <w:p>
      <w:pPr>
        <w:spacing w:after="0" w:line="21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3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Foreign governmental regulations have become increasingly stringent and more common, and we may become subject to even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Certain of our products, including our dermal regeneration products, duraplasty products, biomaterial products for the spine, nerve and tendon repair products and certain other products, contain material derived from bovine tissue. In 2013 approximately 23%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 In 2013, the World Organization for Animal Health (OIE) recommended that the United States risk classification for BSE be upgraded from controlled risk to negligible risk.</w:t>
      </w:r>
    </w:p>
    <w:p>
      <w:pPr>
        <w:spacing w:after="0" w:line="3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200" w:lineRule="exact"/>
        <w:rPr>
          <w:sz w:val="20"/>
          <w:szCs w:val="20"/>
          <w:color w:val="auto"/>
        </w:rPr>
      </w:pPr>
    </w:p>
    <w:p>
      <w:pPr>
        <w:spacing w:after="0" w:line="384"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Damage to our manufacturing, development or research facilities because of fire, extreme weather conditions, natural disaster, power loss, communications failure, unauthorized entry or other events, such as a flu or other health epidemic, could cause us to cease development and manufacturing of some or all of our products. In particular, our San Diego, Vista, and Irvine, California facilities are susceptible to earthquake damage, wildfire damage and power losses from electrical shortages as are other businesses in Southern California. Our Añasco, Puerto Rico plant, where we manufacture collagen, silicone and our private-label products, is vulnerable to hurricane, storm, earthquake and wind damage. Our Plainsboro, New Jersey facility is vulnerable to hurricane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establishing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which has experienced labor strikes. Thus far, strikes have not had a material impact on our business; however, if such strikes were to occur, there is no assurance that they would not disrupt our business, and any such disruption could have a material adverse effect on our business.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experienced third party hosts and maintains the enterprise business system used to support certain of our transaction processing for accounting and financial reporting, supply chain and manufacturing. Currently, we have developed a comprehensive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disaster recovery plan for the Company’s infrastructure. As we have not fully tested the plan,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dependent on information technology and if we fail to properly maintain the integrity of our data, our business could be materially affected.</w:t>
      </w:r>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increasingly dependent on sophisticated information technology for our infrastructure and to support business decisions. As a result of technology initiatives, recently enacted regulations, changes in our system platforms and integration of new business acquisitions, we have been consolidating and integrating the number of systems.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Any significant breakdown, intrusion, interruption, corruption, or destruction of these systems, as well as any data breaches, could have a material adverse effect on our business.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third parties may attempt to breach our systems and may obtain data relating to patients, the Company’s proprietary information or other sensitive data. If we fail to maintain or protect our information systems and data integrity effectively, we could lose existing customers, have difficulty attracting new customers, suffer backlash from negative public relations, have problems in determining product cost estimates and establishing appropriate pricing, have difficulty preventing, detecting, and controlling fraud, have disputes with customers, physicians, and other health care professionals, have regulatory sanctions or penalties imposed, have increases in operating expenses, incur expenses or lose revenues as a result of a data privacy breach, or suffer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2012, our Board of Directors authorized a repurchase of up to $75.0 million of outstanding common stock through December 2014. Shares may be repurchased either in the open market or in privately negotiated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September 30, 2014 under this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September 30, 2014, 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0020" w:type="dxa"/>
            <w:vAlign w:val="bottom"/>
          </w:tcPr>
          <w:p>
            <w:pPr>
              <w:ind w:left="140"/>
              <w:spacing w:after="0"/>
              <w:rPr>
                <w:sz w:val="20"/>
                <w:szCs w:val="20"/>
                <w:color w:val="auto"/>
              </w:rPr>
            </w:pPr>
            <w:r>
              <w:rPr>
                <w:rFonts w:ascii="Arial" w:cs="Arial" w:eastAsia="Arial" w:hAnsi="Arial"/>
                <w:sz w:val="18"/>
                <w:szCs w:val="18"/>
                <w:color w:val="auto"/>
                <w:w w:val="91"/>
              </w:rPr>
              <w:t>Stock and Asset Purchase Agreement by and among Medtronic, Inc., Medtronic Xomed Instrumentation, SAS, and Integra LifeSciences</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Corporation, dated as of September 12, 2014 (Incorporated by reference to Exhibit 2.1 to the Company's Current Report on Form 8-K</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filed on October 27, 2014)</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Third Amended and Restated Credit Agreement, dated as of July 2, 2014, among Integra LifeSciences Holdings Corporation, the other</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3"/>
              </w:rPr>
              <w:t>lenders party hereto, Bank of America, N.A., as Administrative Agent, Swing Line Lender and L/C Issuer, Wells Fargo Bank, National</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7"/>
              </w:rPr>
              <w:t>Association, as Syndication Agent and HSBC Bank USA, National Association, Royal Bank of Canada, Citizens Bank, National</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5"/>
              </w:rPr>
              <w:t>Association, DNB Capital LLC, Credit Agricole-Corporate and Investment Bank and TD Bank, N.A., as Co-Documentation Agents.</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755"/>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20" w:type="dxa"/>
            <w:vAlign w:val="bottom"/>
          </w:tcPr>
          <w:p>
            <w:pPr>
              <w:ind w:left="140"/>
              <w:spacing w:after="0"/>
              <w:rPr>
                <w:sz w:val="20"/>
                <w:szCs w:val="20"/>
                <w:color w:val="auto"/>
              </w:rPr>
            </w:pPr>
            <w:r>
              <w:rPr>
                <w:rFonts w:ascii="Arial" w:cs="Arial" w:eastAsia="Arial" w:hAnsi="Arial"/>
                <w:sz w:val="18"/>
                <w:szCs w:val="18"/>
                <w:color w:val="auto"/>
                <w:w w:val="94"/>
              </w:rPr>
              <w:t>Ratification Agreement, dated as of July 2, 2014, between Integra LifeSciences Holdings Corporation, the Subsidiary Guarantors of</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Integra LifeSciences Holdings Corporation and Bank of America, N.A., as Administrative Agent. (Incorporated by Reference to Exhibit</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4.2 to the Company’s Current Report on Form</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8-K filed on July 9, 2014)</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10020" w:type="dxa"/>
            <w:vAlign w:val="bottom"/>
          </w:tcPr>
          <w:p>
            <w:pPr>
              <w:ind w:left="140"/>
              <w:spacing w:after="0"/>
              <w:rPr>
                <w:sz w:val="20"/>
                <w:szCs w:val="20"/>
                <w:color w:val="auto"/>
              </w:rPr>
            </w:pPr>
            <w:r>
              <w:rPr>
                <w:rFonts w:ascii="Arial" w:cs="Arial" w:eastAsia="Arial" w:hAnsi="Arial"/>
                <w:sz w:val="18"/>
                <w:szCs w:val="18"/>
                <w:color w:val="auto"/>
                <w:w w:val="94"/>
              </w:rPr>
              <w:t>Preferability letter of independent registered public accounting firm (Incorporated by Reference to Exhibit 18 to the Company’s Form</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10-Q for the quarter ended March 31, 2014)</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2014 filed on November 7, 2014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00"/>
              <w:spacing w:after="0"/>
              <w:rPr>
                <w:sz w:val="20"/>
                <w:szCs w:val="20"/>
                <w:color w:val="auto"/>
              </w:rPr>
            </w:pPr>
            <w:r>
              <w:rPr>
                <w:rFonts w:ascii="Arial" w:cs="Arial" w:eastAsia="Arial" w:hAnsi="Arial"/>
                <w:sz w:val="18"/>
                <w:szCs w:val="18"/>
                <w:color w:val="auto"/>
              </w:rPr>
              <w:t>November 7, 2014</w:t>
            </w:r>
          </w:p>
        </w:tc>
        <w:tc>
          <w:tcPr>
            <w:tcW w:w="23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00"/>
              <w:spacing w:after="0"/>
              <w:rPr>
                <w:sz w:val="20"/>
                <w:szCs w:val="20"/>
                <w:color w:val="auto"/>
              </w:rPr>
            </w:pPr>
            <w:r>
              <w:rPr>
                <w:rFonts w:ascii="Arial" w:cs="Arial" w:eastAsia="Arial" w:hAnsi="Arial"/>
                <w:sz w:val="18"/>
                <w:szCs w:val="18"/>
                <w:color w:val="auto"/>
              </w:rPr>
              <w:t>November 7, 2014</w:t>
            </w:r>
          </w:p>
        </w:tc>
        <w:tc>
          <w:tcPr>
            <w:tcW w:w="23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Pr>
          <w:p>
            <w:pPr>
              <w:jc w:val="right"/>
              <w:ind w:right="290"/>
              <w:spacing w:after="0"/>
              <w:rPr>
                <w:sz w:val="20"/>
                <w:szCs w:val="20"/>
                <w:color w:val="auto"/>
              </w:rPr>
            </w:pPr>
            <w:r>
              <w:rPr>
                <w:rFonts w:ascii="Arial" w:cs="Arial" w:eastAsia="Arial" w:hAnsi="Arial"/>
                <w:sz w:val="18"/>
                <w:szCs w:val="18"/>
                <w:color w:val="auto"/>
              </w:rPr>
              <w:t>47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00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0020" w:type="dxa"/>
            <w:vAlign w:val="bottom"/>
          </w:tcPr>
          <w:p>
            <w:pPr>
              <w:spacing w:after="0"/>
              <w:rPr>
                <w:sz w:val="17"/>
                <w:szCs w:val="17"/>
                <w:color w:val="auto"/>
              </w:rPr>
            </w:pPr>
          </w:p>
        </w:tc>
      </w:tr>
      <w:tr>
        <w:trPr>
          <w:trHeight w:val="398"/>
        </w:trPr>
        <w:tc>
          <w:tcPr>
            <w:tcW w:w="2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1"/>
              </w:rPr>
              <w:t>Stock and Asset Purchase Agreement by and among Medtronic, Inc., Medtronic Xomed Instrumentation, SAS, and Integra LifeSciences</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Corporation, dated as of September 12, 2014 (Incorporated by reference to Exhibit 2.1 to the Company's Current Report on Form 8-K</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filed on October 27, 2014)</w:t>
            </w:r>
          </w:p>
        </w:tc>
      </w:tr>
      <w:tr>
        <w:trPr>
          <w:trHeight w:val="431"/>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Third Amended and Restated Credit Agreement, dated as of July 2, 2014, among Integra LifeSciences Holdings Corporation, the other</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3"/>
              </w:rPr>
              <w:t>lenders party hereto, Bank of America, N.A., as Administrative Agent, Swing Line Lender and L/C Issuer, Wells Fargo Bank, National</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7"/>
              </w:rPr>
              <w:t>Association, as Syndication Agent and HSBC Bank USA, National Association, Royal Bank of Canada, Citizens Bank, National</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5"/>
              </w:rPr>
              <w:t>Association, DNB Capital LLC, Credit Agricole-Corporate and Investment Bank and TD Bank, N.A., as Co-Documentation Agents.</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the Company’s Current Report on Form 8-K filed on July 9, 2014)</w:t>
            </w:r>
          </w:p>
        </w:tc>
      </w:tr>
      <w:tr>
        <w:trPr>
          <w:trHeight w:val="79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4"/>
              </w:rPr>
              <w:t>Ratification Agreement, dated as of July 2, 2014, between Integra LifeSciences Holdings Corporation, the Subsidiary Guarantors of</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Integra LifeSciences Holdings Corporation and Bank of America, N.A., as Administrative Agent. (Incorporated by Reference to Exhibit</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4.2 to the Company’s Current Report on Form</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8-K filed on July 9, 2014)</w:t>
            </w:r>
          </w:p>
        </w:tc>
      </w:tr>
      <w:tr>
        <w:trPr>
          <w:trHeight w:val="796"/>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18.1</w:t>
            </w:r>
          </w:p>
        </w:tc>
        <w:tc>
          <w:tcPr>
            <w:tcW w:w="10020" w:type="dxa"/>
            <w:vAlign w:val="bottom"/>
          </w:tcPr>
          <w:p>
            <w:pPr>
              <w:ind w:left="140"/>
              <w:spacing w:after="0"/>
              <w:rPr>
                <w:sz w:val="20"/>
                <w:szCs w:val="20"/>
                <w:color w:val="auto"/>
              </w:rPr>
            </w:pPr>
            <w:r>
              <w:rPr>
                <w:rFonts w:ascii="Arial" w:cs="Arial" w:eastAsia="Arial" w:hAnsi="Arial"/>
                <w:sz w:val="18"/>
                <w:szCs w:val="18"/>
                <w:color w:val="auto"/>
                <w:w w:val="94"/>
              </w:rPr>
              <w:t>Preferability letter of independent registered public accounting firm (Incorporated by Reference to Exhibit 18 to the Company’s Form</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10-Q for the quarter ended March 31, 2014)</w:t>
            </w:r>
          </w:p>
        </w:tc>
      </w:tr>
      <w:tr>
        <w:trPr>
          <w:trHeight w:val="594"/>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*†101.SCH</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*†101.CAL</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*†101.DEF</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*†101.LAB</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*†101.PRE</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2014 filed on November 7, 2014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2014</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November 7, 2014</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2014</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1"/>
    </w:lvl>
    <w:lvl w:ilvl="1">
      <w:lvlJc w:val="left"/>
      <w:lvlText w:val="%2."/>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upperLetter"/>
      <w:start w:val="6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2019-12-06T10:15:45Z</dcterms:created>
  <dcterms:modified xsi:type="dcterms:W3CDTF">2019-12-06T10:15:45Z</dcterms:modified>
</cp:coreProperties>
</file>